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1.xml" ContentType="application/vnd.openxmlformats-officedocument.drawingml.chartshapes+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2.xml" ContentType="application/vnd.openxmlformats-officedocument.drawingml.chartshapes+xml"/>
  <Override PartName="/word/charts/chart9.xml" ContentType="application/vnd.openxmlformats-officedocument.drawingml.chart+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3.xml" ContentType="application/vnd.openxmlformats-officedocument.drawingml.chartshapes+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0.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1.xml" ContentType="application/vnd.openxmlformats-officedocument.drawingml.chart+xml"/>
  <Override PartName="/word/charts/style19.xml" ContentType="application/vnd.ms-office.chartstyle+xml"/>
  <Override PartName="/word/charts/colors19.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ADA13B" w14:textId="77777777" w:rsidR="00540945" w:rsidRDefault="007F15F1" w:rsidP="00A92E34">
      <w:pPr>
        <w:spacing w:line="360" w:lineRule="auto"/>
        <w:jc w:val="center"/>
        <w:rPr>
          <w:rFonts w:ascii="Arial" w:hAnsi="Arial" w:cs="Arial"/>
          <w:b/>
          <w:color w:val="000000" w:themeColor="text1"/>
          <w:lang w:val="es-ES"/>
        </w:rPr>
      </w:pPr>
      <w:bookmarkStart w:id="0" w:name="_Hlk199874907"/>
      <w:bookmarkEnd w:id="0"/>
      <w:r w:rsidRPr="0022519B">
        <w:rPr>
          <w:rFonts w:ascii="Arial" w:hAnsi="Arial" w:cs="Arial"/>
          <w:b/>
          <w:color w:val="000000" w:themeColor="text1"/>
          <w:lang w:val="es-ES"/>
        </w:rPr>
        <w:t xml:space="preserve">UNIVERSIDAD NACIONAL </w:t>
      </w:r>
    </w:p>
    <w:p w14:paraId="58909058" w14:textId="1619A3A2" w:rsidR="007F15F1" w:rsidRPr="0022519B" w:rsidRDefault="007F15F1" w:rsidP="00A92E34">
      <w:pPr>
        <w:spacing w:line="360" w:lineRule="auto"/>
        <w:jc w:val="center"/>
        <w:rPr>
          <w:rFonts w:ascii="Arial" w:hAnsi="Arial" w:cs="Arial"/>
          <w:b/>
          <w:color w:val="000000" w:themeColor="text1"/>
          <w:lang w:val="es-ES"/>
        </w:rPr>
      </w:pPr>
      <w:r w:rsidRPr="0022519B">
        <w:rPr>
          <w:rFonts w:ascii="Arial" w:hAnsi="Arial" w:cs="Arial"/>
          <w:b/>
          <w:color w:val="000000" w:themeColor="text1"/>
          <w:lang w:val="es-ES"/>
        </w:rPr>
        <w:t xml:space="preserve">SISTEMA </w:t>
      </w:r>
      <w:r w:rsidR="00AB3BE8" w:rsidRPr="0022519B">
        <w:rPr>
          <w:rFonts w:ascii="Arial" w:hAnsi="Arial" w:cs="Arial"/>
          <w:b/>
          <w:color w:val="000000" w:themeColor="text1"/>
          <w:lang w:val="es-ES"/>
        </w:rPr>
        <w:t>DE</w:t>
      </w:r>
      <w:r w:rsidR="00AB3BE8">
        <w:rPr>
          <w:rFonts w:ascii="Arial" w:hAnsi="Arial" w:cs="Arial"/>
          <w:b/>
          <w:color w:val="000000" w:themeColor="text1"/>
          <w:lang w:val="es-ES"/>
        </w:rPr>
        <w:t xml:space="preserve"> </w:t>
      </w:r>
      <w:r w:rsidR="00AB3BE8" w:rsidRPr="0022519B">
        <w:rPr>
          <w:rFonts w:ascii="Arial" w:hAnsi="Arial" w:cs="Arial"/>
          <w:b/>
          <w:color w:val="000000" w:themeColor="text1"/>
          <w:lang w:val="es-ES"/>
        </w:rPr>
        <w:t>ESTUDIOS</w:t>
      </w:r>
      <w:r w:rsidRPr="0022519B">
        <w:rPr>
          <w:rFonts w:ascii="Arial" w:hAnsi="Arial" w:cs="Arial"/>
          <w:b/>
          <w:color w:val="000000" w:themeColor="text1"/>
          <w:lang w:val="es-ES"/>
        </w:rPr>
        <w:t xml:space="preserve"> DE POSGRADO</w:t>
      </w:r>
    </w:p>
    <w:p w14:paraId="65D3F798" w14:textId="77777777" w:rsidR="00540945" w:rsidRDefault="007F15F1" w:rsidP="00A92E34">
      <w:pPr>
        <w:spacing w:line="360" w:lineRule="auto"/>
        <w:jc w:val="center"/>
        <w:rPr>
          <w:rFonts w:ascii="Arial" w:hAnsi="Arial" w:cs="Arial"/>
          <w:b/>
          <w:color w:val="000000" w:themeColor="text1"/>
          <w:lang w:val="es-ES"/>
        </w:rPr>
      </w:pPr>
      <w:r w:rsidRPr="0022519B">
        <w:rPr>
          <w:rFonts w:ascii="Arial" w:hAnsi="Arial" w:cs="Arial"/>
          <w:b/>
          <w:color w:val="000000" w:themeColor="text1"/>
          <w:lang w:val="es-ES"/>
        </w:rPr>
        <w:t xml:space="preserve">CENTRO INTERNACIONAL DE POLÍTICA ECONÓMICA PARA EL DESARROLLO SOSTENIBLE </w:t>
      </w:r>
    </w:p>
    <w:p w14:paraId="7CB105F8" w14:textId="77777777" w:rsidR="00540945" w:rsidRDefault="00540945" w:rsidP="00A92E34">
      <w:pPr>
        <w:spacing w:line="360" w:lineRule="auto"/>
        <w:jc w:val="center"/>
        <w:rPr>
          <w:rFonts w:ascii="Arial" w:hAnsi="Arial" w:cs="Arial"/>
          <w:b/>
          <w:color w:val="000000" w:themeColor="text1"/>
          <w:lang w:val="es-ES"/>
        </w:rPr>
      </w:pPr>
    </w:p>
    <w:p w14:paraId="3CFE5BE8" w14:textId="0FCE6979" w:rsidR="007F15F1" w:rsidRPr="0022519B" w:rsidRDefault="007F15F1" w:rsidP="00A92E34">
      <w:pPr>
        <w:spacing w:line="360" w:lineRule="auto"/>
        <w:jc w:val="center"/>
        <w:rPr>
          <w:rFonts w:ascii="Arial" w:hAnsi="Arial" w:cs="Arial"/>
          <w:b/>
          <w:color w:val="000000" w:themeColor="text1"/>
          <w:lang w:val="es-ES"/>
        </w:rPr>
      </w:pPr>
      <w:r w:rsidRPr="0022519B">
        <w:rPr>
          <w:rFonts w:ascii="Arial" w:hAnsi="Arial" w:cs="Arial"/>
          <w:b/>
          <w:color w:val="000000" w:themeColor="text1"/>
          <w:lang w:val="es-ES"/>
        </w:rPr>
        <w:t>POSGRADO EN POLÍTICA ECONÓMICA</w:t>
      </w:r>
    </w:p>
    <w:p w14:paraId="1DFB7858" w14:textId="77777777" w:rsidR="007F15F1" w:rsidRPr="0022519B" w:rsidRDefault="007F15F1" w:rsidP="00A92E34">
      <w:pPr>
        <w:spacing w:line="360" w:lineRule="auto"/>
        <w:jc w:val="center"/>
        <w:rPr>
          <w:rFonts w:ascii="Arial" w:hAnsi="Arial" w:cs="Arial"/>
          <w:b/>
          <w:color w:val="000000" w:themeColor="text1"/>
          <w:lang w:val="es-ES"/>
        </w:rPr>
      </w:pPr>
    </w:p>
    <w:p w14:paraId="53447A52" w14:textId="77777777" w:rsidR="007F15F1" w:rsidRPr="0022519B" w:rsidRDefault="007F15F1" w:rsidP="00A92E34">
      <w:pPr>
        <w:spacing w:line="360" w:lineRule="auto"/>
        <w:jc w:val="center"/>
        <w:rPr>
          <w:rFonts w:ascii="Arial" w:hAnsi="Arial" w:cs="Arial"/>
          <w:b/>
          <w:color w:val="000000" w:themeColor="text1"/>
          <w:lang w:val="es-ES"/>
        </w:rPr>
      </w:pPr>
    </w:p>
    <w:p w14:paraId="05157808" w14:textId="77777777" w:rsidR="007F15F1" w:rsidRPr="0022519B" w:rsidRDefault="007F15F1" w:rsidP="00A92E34">
      <w:pPr>
        <w:spacing w:line="360" w:lineRule="auto"/>
        <w:jc w:val="center"/>
        <w:rPr>
          <w:rFonts w:ascii="Arial" w:hAnsi="Arial" w:cs="Arial"/>
          <w:b/>
          <w:color w:val="000000" w:themeColor="text1"/>
          <w:lang w:val="es-ES"/>
        </w:rPr>
      </w:pPr>
    </w:p>
    <w:p w14:paraId="295C774D" w14:textId="4359C1CC" w:rsidR="0022519B" w:rsidRPr="0022519B" w:rsidRDefault="0022519B" w:rsidP="00A92E34">
      <w:pPr>
        <w:spacing w:line="360" w:lineRule="auto"/>
        <w:jc w:val="center"/>
        <w:rPr>
          <w:rFonts w:ascii="Arial" w:hAnsi="Arial" w:cs="Arial"/>
          <w:b/>
          <w:color w:val="000000" w:themeColor="text1"/>
          <w:lang w:val="es-ES"/>
        </w:rPr>
      </w:pPr>
      <w:r w:rsidRPr="0022519B">
        <w:rPr>
          <w:rFonts w:ascii="Arial" w:hAnsi="Arial" w:cs="Arial"/>
          <w:b/>
          <w:color w:val="000000" w:themeColor="text1"/>
          <w:lang w:val="es-ES"/>
        </w:rPr>
        <w:t>RELACIONES COMERCIALES HONDURAS – CHINA:</w:t>
      </w:r>
    </w:p>
    <w:p w14:paraId="5C7201C9" w14:textId="5B59942C" w:rsidR="007F15F1" w:rsidRPr="0022519B" w:rsidRDefault="0022519B" w:rsidP="00A92E34">
      <w:pPr>
        <w:spacing w:line="360" w:lineRule="auto"/>
        <w:jc w:val="center"/>
        <w:rPr>
          <w:rFonts w:ascii="Arial" w:hAnsi="Arial" w:cs="Arial"/>
          <w:b/>
          <w:color w:val="000000" w:themeColor="text1"/>
          <w:lang w:val="es-ES"/>
        </w:rPr>
      </w:pPr>
      <w:r w:rsidRPr="0022519B">
        <w:rPr>
          <w:rFonts w:ascii="Arial" w:hAnsi="Arial" w:cs="Arial"/>
          <w:b/>
          <w:color w:val="000000" w:themeColor="text1"/>
          <w:lang w:val="es-ES"/>
        </w:rPr>
        <w:t>PRINCIPALES OPORTUNIDADES Y DESAFÍOS FRENTE AL TRATADO DE LIBRE COMERCIO (TLC)</w:t>
      </w:r>
    </w:p>
    <w:p w14:paraId="1CBB563C" w14:textId="77777777" w:rsidR="007F15F1" w:rsidRPr="0022519B" w:rsidRDefault="007F15F1" w:rsidP="00A92E34">
      <w:pPr>
        <w:spacing w:line="360" w:lineRule="auto"/>
        <w:jc w:val="center"/>
        <w:rPr>
          <w:rFonts w:ascii="Arial" w:hAnsi="Arial" w:cs="Arial"/>
          <w:b/>
          <w:color w:val="000000" w:themeColor="text1"/>
          <w:lang w:val="es-ES"/>
        </w:rPr>
      </w:pPr>
    </w:p>
    <w:p w14:paraId="59E809F2" w14:textId="77777777" w:rsidR="007F15F1" w:rsidRPr="0022519B" w:rsidRDefault="007F15F1" w:rsidP="00A92E34">
      <w:pPr>
        <w:spacing w:line="360" w:lineRule="auto"/>
        <w:jc w:val="center"/>
        <w:rPr>
          <w:rFonts w:ascii="Arial" w:hAnsi="Arial" w:cs="Arial"/>
          <w:b/>
          <w:color w:val="000000" w:themeColor="text1"/>
          <w:lang w:val="es-ES"/>
        </w:rPr>
      </w:pPr>
    </w:p>
    <w:p w14:paraId="35D27410" w14:textId="77777777" w:rsidR="007F15F1" w:rsidRPr="0022519B" w:rsidRDefault="007F15F1" w:rsidP="00A92E34">
      <w:pPr>
        <w:spacing w:line="360" w:lineRule="auto"/>
        <w:jc w:val="center"/>
        <w:rPr>
          <w:rFonts w:ascii="Arial" w:hAnsi="Arial" w:cs="Arial"/>
          <w:b/>
          <w:color w:val="000000" w:themeColor="text1"/>
          <w:lang w:val="es-ES"/>
        </w:rPr>
      </w:pPr>
    </w:p>
    <w:p w14:paraId="65BB59E9" w14:textId="77777777" w:rsidR="007F15F1" w:rsidRPr="0022519B" w:rsidRDefault="007F15F1" w:rsidP="00A92E34">
      <w:pPr>
        <w:spacing w:line="360" w:lineRule="auto"/>
        <w:jc w:val="center"/>
        <w:rPr>
          <w:rFonts w:ascii="Arial" w:hAnsi="Arial" w:cs="Arial"/>
          <w:b/>
          <w:color w:val="000000" w:themeColor="text1"/>
          <w:lang w:val="es-ES"/>
        </w:rPr>
      </w:pPr>
    </w:p>
    <w:p w14:paraId="5F752027" w14:textId="77777777" w:rsidR="007F15F1" w:rsidRPr="0022519B" w:rsidRDefault="007F15F1" w:rsidP="00A92E34">
      <w:pPr>
        <w:spacing w:line="360" w:lineRule="auto"/>
        <w:jc w:val="center"/>
        <w:rPr>
          <w:rFonts w:ascii="Arial" w:hAnsi="Arial" w:cs="Arial"/>
          <w:b/>
          <w:color w:val="000000" w:themeColor="text1"/>
          <w:lang w:val="es-ES"/>
        </w:rPr>
      </w:pPr>
    </w:p>
    <w:p w14:paraId="03E0E348" w14:textId="77777777" w:rsidR="0022519B" w:rsidRPr="0022519B" w:rsidRDefault="0022519B" w:rsidP="00A92E34">
      <w:pPr>
        <w:spacing w:line="360" w:lineRule="auto"/>
        <w:jc w:val="center"/>
        <w:rPr>
          <w:rFonts w:ascii="Arial" w:hAnsi="Arial" w:cs="Arial"/>
          <w:b/>
          <w:color w:val="000000" w:themeColor="text1"/>
        </w:rPr>
      </w:pPr>
      <w:r w:rsidRPr="0022519B">
        <w:rPr>
          <w:rFonts w:ascii="Arial" w:hAnsi="Arial" w:cs="Arial"/>
          <w:b/>
          <w:color w:val="000000" w:themeColor="text1"/>
        </w:rPr>
        <w:t>NELLY CAROLINA MORALES LUNA</w:t>
      </w:r>
    </w:p>
    <w:p w14:paraId="261B7D12" w14:textId="77777777" w:rsidR="007F15F1" w:rsidRPr="0022519B" w:rsidRDefault="007F15F1" w:rsidP="00A92E34">
      <w:pPr>
        <w:spacing w:line="360" w:lineRule="auto"/>
        <w:jc w:val="center"/>
        <w:rPr>
          <w:rFonts w:ascii="Arial" w:hAnsi="Arial" w:cs="Arial"/>
          <w:b/>
          <w:color w:val="000000" w:themeColor="text1"/>
          <w:lang w:val="es-ES"/>
        </w:rPr>
      </w:pPr>
    </w:p>
    <w:p w14:paraId="0799E0C7" w14:textId="77777777" w:rsidR="007F15F1" w:rsidRPr="0022519B" w:rsidRDefault="007F15F1" w:rsidP="00A92E34">
      <w:pPr>
        <w:spacing w:line="360" w:lineRule="auto"/>
        <w:jc w:val="center"/>
        <w:rPr>
          <w:rFonts w:ascii="Arial" w:hAnsi="Arial" w:cs="Arial"/>
          <w:b/>
          <w:color w:val="000000" w:themeColor="text1"/>
          <w:lang w:val="es-ES"/>
        </w:rPr>
      </w:pPr>
    </w:p>
    <w:p w14:paraId="3550F67B" w14:textId="77777777" w:rsidR="007F15F1" w:rsidRPr="0022519B" w:rsidRDefault="007F15F1" w:rsidP="00A92E34">
      <w:pPr>
        <w:spacing w:line="360" w:lineRule="auto"/>
        <w:jc w:val="center"/>
        <w:rPr>
          <w:rFonts w:ascii="Arial" w:hAnsi="Arial" w:cs="Arial"/>
          <w:b/>
          <w:color w:val="000000" w:themeColor="text1"/>
          <w:lang w:val="es-ES"/>
        </w:rPr>
      </w:pPr>
    </w:p>
    <w:p w14:paraId="7E0C8B65" w14:textId="77777777" w:rsidR="007F15F1" w:rsidRPr="0022519B" w:rsidRDefault="007F15F1" w:rsidP="00A92E34">
      <w:pPr>
        <w:spacing w:line="360" w:lineRule="auto"/>
        <w:jc w:val="center"/>
        <w:rPr>
          <w:rFonts w:ascii="Arial" w:hAnsi="Arial" w:cs="Arial"/>
          <w:b/>
          <w:color w:val="000000" w:themeColor="text1"/>
          <w:lang w:val="es-ES"/>
        </w:rPr>
      </w:pPr>
      <w:r w:rsidRPr="0022519B">
        <w:rPr>
          <w:rFonts w:ascii="Arial" w:hAnsi="Arial" w:cs="Arial"/>
          <w:b/>
          <w:color w:val="000000" w:themeColor="text1"/>
          <w:lang w:val="es-ES"/>
        </w:rPr>
        <w:t>HEREDIA, COSTA RICA</w:t>
      </w:r>
    </w:p>
    <w:p w14:paraId="424CA32B" w14:textId="2D85A366" w:rsidR="007F15F1" w:rsidRPr="0022519B" w:rsidRDefault="00715C83" w:rsidP="00A92E34">
      <w:pPr>
        <w:spacing w:line="360" w:lineRule="auto"/>
        <w:jc w:val="center"/>
        <w:rPr>
          <w:rFonts w:ascii="Arial" w:hAnsi="Arial" w:cs="Arial"/>
          <w:b/>
          <w:color w:val="000000" w:themeColor="text1"/>
          <w:lang w:val="es-ES"/>
        </w:rPr>
      </w:pPr>
      <w:r>
        <w:rPr>
          <w:rFonts w:ascii="Arial" w:hAnsi="Arial" w:cs="Arial"/>
          <w:b/>
          <w:color w:val="000000" w:themeColor="text1"/>
          <w:lang w:val="es-ES"/>
        </w:rPr>
        <w:t>Agosto</w:t>
      </w:r>
      <w:r w:rsidR="0022519B" w:rsidRPr="0022519B">
        <w:rPr>
          <w:rFonts w:ascii="Arial" w:hAnsi="Arial" w:cs="Arial"/>
          <w:b/>
          <w:color w:val="000000" w:themeColor="text1"/>
          <w:lang w:val="es-ES"/>
        </w:rPr>
        <w:t>, 20</w:t>
      </w:r>
      <w:r w:rsidR="0038250A">
        <w:rPr>
          <w:rFonts w:ascii="Arial" w:hAnsi="Arial" w:cs="Arial"/>
          <w:b/>
          <w:color w:val="000000" w:themeColor="text1"/>
          <w:lang w:val="es-ES"/>
        </w:rPr>
        <w:t>2</w:t>
      </w:r>
      <w:r w:rsidR="00AB3BE8">
        <w:rPr>
          <w:rFonts w:ascii="Arial" w:hAnsi="Arial" w:cs="Arial"/>
          <w:b/>
          <w:color w:val="000000" w:themeColor="text1"/>
          <w:lang w:val="es-ES"/>
        </w:rPr>
        <w:t>6</w:t>
      </w:r>
    </w:p>
    <w:p w14:paraId="111C7DAB" w14:textId="77777777" w:rsidR="007F15F1" w:rsidRPr="007F15F1" w:rsidRDefault="007F15F1" w:rsidP="00A92E34">
      <w:pPr>
        <w:spacing w:line="360" w:lineRule="auto"/>
        <w:jc w:val="center"/>
        <w:rPr>
          <w:rFonts w:ascii="Arial" w:hAnsi="Arial" w:cs="Arial"/>
          <w:b/>
          <w:color w:val="0D78CA" w:themeColor="background2" w:themeShade="80"/>
          <w:lang w:val="es-ES"/>
        </w:rPr>
      </w:pPr>
    </w:p>
    <w:p w14:paraId="0D0DC2D2" w14:textId="77777777" w:rsidR="007F15F1" w:rsidRPr="007F15F1" w:rsidRDefault="007F15F1" w:rsidP="00A92E34">
      <w:pPr>
        <w:spacing w:line="360" w:lineRule="auto"/>
        <w:jc w:val="center"/>
        <w:rPr>
          <w:rFonts w:ascii="Arial" w:hAnsi="Arial" w:cs="Arial"/>
          <w:b/>
          <w:color w:val="0D78CA" w:themeColor="background2" w:themeShade="80"/>
          <w:lang w:val="es-ES"/>
        </w:rPr>
      </w:pPr>
    </w:p>
    <w:p w14:paraId="63F7A085" w14:textId="77777777" w:rsidR="007F15F1" w:rsidRPr="007F15F1" w:rsidRDefault="007F15F1" w:rsidP="00A92E34">
      <w:pPr>
        <w:spacing w:line="360" w:lineRule="auto"/>
        <w:jc w:val="center"/>
        <w:rPr>
          <w:rFonts w:ascii="Arial" w:hAnsi="Arial" w:cs="Arial"/>
          <w:b/>
          <w:color w:val="0D78CA" w:themeColor="background2" w:themeShade="80"/>
          <w:lang w:val="es-ES"/>
        </w:rPr>
      </w:pPr>
    </w:p>
    <w:p w14:paraId="2DD5EAEE" w14:textId="77777777" w:rsidR="007F15F1" w:rsidRPr="007F15F1" w:rsidRDefault="007F15F1" w:rsidP="00A92E34">
      <w:pPr>
        <w:spacing w:line="360" w:lineRule="auto"/>
        <w:jc w:val="center"/>
        <w:rPr>
          <w:rFonts w:ascii="Arial" w:hAnsi="Arial" w:cs="Arial"/>
          <w:b/>
          <w:color w:val="0D78CA" w:themeColor="background2" w:themeShade="80"/>
          <w:lang w:val="es-ES"/>
        </w:rPr>
      </w:pPr>
    </w:p>
    <w:p w14:paraId="02A2736C" w14:textId="77777777" w:rsidR="007F15F1" w:rsidRDefault="007F15F1" w:rsidP="00A92E34">
      <w:pPr>
        <w:spacing w:line="360" w:lineRule="auto"/>
        <w:jc w:val="center"/>
        <w:rPr>
          <w:rFonts w:ascii="Arial" w:hAnsi="Arial" w:cs="Arial"/>
          <w:b/>
          <w:color w:val="0D78CA" w:themeColor="background2" w:themeShade="80"/>
          <w:lang w:val="es-ES"/>
        </w:rPr>
      </w:pPr>
    </w:p>
    <w:p w14:paraId="7646145F" w14:textId="77777777" w:rsidR="00A5602E" w:rsidRDefault="00A5602E" w:rsidP="00A92E34">
      <w:pPr>
        <w:spacing w:line="360" w:lineRule="auto"/>
        <w:jc w:val="center"/>
        <w:rPr>
          <w:rFonts w:ascii="Arial" w:hAnsi="Arial" w:cs="Arial"/>
          <w:b/>
          <w:color w:val="0D78CA" w:themeColor="background2" w:themeShade="80"/>
          <w:lang w:val="es-ES"/>
        </w:rPr>
      </w:pPr>
    </w:p>
    <w:p w14:paraId="3FD9D430" w14:textId="11D31D05" w:rsidR="00540945" w:rsidRPr="00D35514" w:rsidRDefault="00D35514" w:rsidP="00A92E34">
      <w:pPr>
        <w:spacing w:line="360" w:lineRule="auto"/>
        <w:jc w:val="center"/>
        <w:rPr>
          <w:rFonts w:ascii="Arial" w:hAnsi="Arial" w:cs="Arial"/>
          <w:b/>
          <w:color w:val="000000" w:themeColor="text1"/>
          <w:lang w:val="es-ES"/>
        </w:rPr>
      </w:pPr>
      <w:r w:rsidRPr="00D35514">
        <w:rPr>
          <w:rFonts w:ascii="Arial" w:hAnsi="Arial" w:cs="Arial"/>
          <w:b/>
          <w:color w:val="000000" w:themeColor="text1"/>
          <w:lang w:val="es-ES"/>
        </w:rPr>
        <w:t xml:space="preserve">Tesis sometida a consideración del Tribunal Examinador de la Maestría en Política Económica para optar por el grado de Magister </w:t>
      </w:r>
      <w:proofErr w:type="spellStart"/>
      <w:r w:rsidRPr="00D35514">
        <w:rPr>
          <w:rFonts w:ascii="Arial" w:hAnsi="Arial" w:cs="Arial"/>
          <w:b/>
          <w:color w:val="000000" w:themeColor="text1"/>
          <w:lang w:val="es-ES"/>
        </w:rPr>
        <w:t>Scientiae</w:t>
      </w:r>
      <w:proofErr w:type="spellEnd"/>
      <w:r w:rsidRPr="00D35514">
        <w:rPr>
          <w:rFonts w:ascii="Arial" w:hAnsi="Arial" w:cs="Arial"/>
          <w:b/>
          <w:color w:val="000000" w:themeColor="text1"/>
          <w:lang w:val="es-ES"/>
        </w:rPr>
        <w:t xml:space="preserve"> en Política Económica con énfasis en Economía Internacional</w:t>
      </w:r>
    </w:p>
    <w:p w14:paraId="0BB4FB26" w14:textId="77777777" w:rsidR="00540945" w:rsidRPr="007F15F1" w:rsidRDefault="00540945" w:rsidP="00A92E34">
      <w:pPr>
        <w:spacing w:line="360" w:lineRule="auto"/>
        <w:jc w:val="center"/>
        <w:rPr>
          <w:rFonts w:ascii="Arial" w:hAnsi="Arial" w:cs="Arial"/>
          <w:b/>
          <w:color w:val="0D78CA" w:themeColor="background2" w:themeShade="80"/>
          <w:lang w:val="es-ES"/>
        </w:rPr>
      </w:pPr>
    </w:p>
    <w:p w14:paraId="2D32AA3C" w14:textId="77777777" w:rsidR="007F15F1" w:rsidRPr="007F15F1" w:rsidRDefault="007F15F1" w:rsidP="00A92E34">
      <w:pPr>
        <w:spacing w:line="360" w:lineRule="auto"/>
        <w:jc w:val="center"/>
        <w:rPr>
          <w:rFonts w:ascii="Arial" w:hAnsi="Arial" w:cs="Arial"/>
          <w:b/>
          <w:color w:val="0D78CA" w:themeColor="background2" w:themeShade="80"/>
          <w:lang w:val="es-ES"/>
        </w:rPr>
      </w:pPr>
    </w:p>
    <w:p w14:paraId="5354554A" w14:textId="77777777" w:rsidR="00540945" w:rsidRDefault="00540945" w:rsidP="00A92E34">
      <w:pPr>
        <w:spacing w:line="360" w:lineRule="auto"/>
        <w:jc w:val="center"/>
        <w:rPr>
          <w:rFonts w:ascii="Arial" w:hAnsi="Arial" w:cs="Arial"/>
          <w:b/>
          <w:color w:val="000000" w:themeColor="text1"/>
          <w:lang w:val="es-ES"/>
        </w:rPr>
      </w:pPr>
    </w:p>
    <w:p w14:paraId="1E5AF663" w14:textId="77777777" w:rsidR="00540945" w:rsidRDefault="00540945" w:rsidP="00A92E34">
      <w:pPr>
        <w:spacing w:line="360" w:lineRule="auto"/>
        <w:jc w:val="center"/>
        <w:rPr>
          <w:rFonts w:ascii="Arial" w:hAnsi="Arial" w:cs="Arial"/>
          <w:b/>
          <w:color w:val="000000" w:themeColor="text1"/>
          <w:lang w:val="es-ES"/>
        </w:rPr>
      </w:pPr>
    </w:p>
    <w:p w14:paraId="52DBD8F2" w14:textId="0B1DE693" w:rsidR="0022519B" w:rsidRPr="0022519B" w:rsidRDefault="0022519B" w:rsidP="00A92E34">
      <w:pPr>
        <w:spacing w:line="360" w:lineRule="auto"/>
        <w:jc w:val="center"/>
        <w:rPr>
          <w:rFonts w:ascii="Arial" w:hAnsi="Arial" w:cs="Arial"/>
          <w:b/>
          <w:color w:val="000000" w:themeColor="text1"/>
          <w:lang w:val="es-ES"/>
        </w:rPr>
      </w:pPr>
      <w:r w:rsidRPr="0022519B">
        <w:rPr>
          <w:rFonts w:ascii="Arial" w:hAnsi="Arial" w:cs="Arial"/>
          <w:b/>
          <w:color w:val="000000" w:themeColor="text1"/>
          <w:lang w:val="es-ES"/>
        </w:rPr>
        <w:t>RELACIONES COMERCIALES HONDURAS – CHINA:</w:t>
      </w:r>
    </w:p>
    <w:p w14:paraId="571EAEC7" w14:textId="77777777" w:rsidR="0022519B" w:rsidRPr="0022519B" w:rsidRDefault="0022519B" w:rsidP="00A92E34">
      <w:pPr>
        <w:spacing w:line="360" w:lineRule="auto"/>
        <w:jc w:val="center"/>
        <w:rPr>
          <w:rFonts w:ascii="Arial" w:hAnsi="Arial" w:cs="Arial"/>
          <w:b/>
          <w:color w:val="000000" w:themeColor="text1"/>
          <w:lang w:val="es-ES"/>
        </w:rPr>
      </w:pPr>
      <w:r w:rsidRPr="0022519B">
        <w:rPr>
          <w:rFonts w:ascii="Arial" w:hAnsi="Arial" w:cs="Arial"/>
          <w:b/>
          <w:color w:val="000000" w:themeColor="text1"/>
          <w:lang w:val="es-ES"/>
        </w:rPr>
        <w:t>PRINCIPALES OPORTUNIDADES Y DESAFÍOS FRENTE AL TRATADO DE LIBRE COMERCIO (TLC)</w:t>
      </w:r>
    </w:p>
    <w:p w14:paraId="03B2CB10" w14:textId="77777777" w:rsidR="004E3B2B" w:rsidRPr="004E3B2B" w:rsidRDefault="004E3B2B" w:rsidP="00A92E34">
      <w:pPr>
        <w:spacing w:after="160" w:line="259" w:lineRule="auto"/>
        <w:jc w:val="center"/>
        <w:rPr>
          <w:rFonts w:ascii="Arial" w:hAnsi="Arial" w:cs="Arial"/>
          <w:b/>
          <w:color w:val="0D78CA" w:themeColor="background2" w:themeShade="80"/>
          <w:lang w:val="es-ES"/>
        </w:rPr>
      </w:pPr>
    </w:p>
    <w:p w14:paraId="1444E720" w14:textId="77777777" w:rsidR="004E3B2B" w:rsidRPr="004E3B2B" w:rsidRDefault="004E3B2B" w:rsidP="00540945">
      <w:pPr>
        <w:spacing w:after="160" w:line="259" w:lineRule="auto"/>
        <w:rPr>
          <w:rFonts w:ascii="Arial" w:hAnsi="Arial" w:cs="Arial"/>
          <w:b/>
          <w:color w:val="0D78CA" w:themeColor="background2" w:themeShade="80"/>
          <w:lang w:val="es-ES"/>
        </w:rPr>
      </w:pPr>
    </w:p>
    <w:p w14:paraId="3263793D" w14:textId="77777777" w:rsidR="004E3B2B" w:rsidRPr="004E3B2B" w:rsidRDefault="004E3B2B" w:rsidP="00A92E34">
      <w:pPr>
        <w:spacing w:after="160" w:line="259" w:lineRule="auto"/>
        <w:jc w:val="center"/>
        <w:rPr>
          <w:rFonts w:ascii="Arial" w:hAnsi="Arial" w:cs="Arial"/>
          <w:b/>
          <w:color w:val="0D78CA" w:themeColor="background2" w:themeShade="80"/>
          <w:lang w:val="es-ES"/>
        </w:rPr>
      </w:pPr>
    </w:p>
    <w:p w14:paraId="2D2EDEFF" w14:textId="77777777" w:rsidR="004E3B2B" w:rsidRPr="004E3B2B" w:rsidRDefault="004E3B2B" w:rsidP="00A92E34">
      <w:pPr>
        <w:spacing w:after="160" w:line="259" w:lineRule="auto"/>
        <w:jc w:val="center"/>
        <w:rPr>
          <w:rFonts w:ascii="Arial" w:hAnsi="Arial" w:cs="Arial"/>
          <w:b/>
          <w:color w:val="0D78CA" w:themeColor="background2" w:themeShade="80"/>
          <w:lang w:val="es-ES"/>
        </w:rPr>
      </w:pPr>
    </w:p>
    <w:p w14:paraId="7A2D9B33" w14:textId="77777777" w:rsidR="004E3B2B" w:rsidRPr="004E3B2B" w:rsidRDefault="004E3B2B" w:rsidP="00A92E34">
      <w:pPr>
        <w:spacing w:after="160" w:line="259" w:lineRule="auto"/>
        <w:jc w:val="center"/>
        <w:rPr>
          <w:rFonts w:ascii="Arial" w:hAnsi="Arial" w:cs="Arial"/>
          <w:b/>
          <w:color w:val="0D78CA" w:themeColor="background2" w:themeShade="80"/>
          <w:lang w:val="es-ES"/>
        </w:rPr>
      </w:pPr>
    </w:p>
    <w:p w14:paraId="42A7E711" w14:textId="77777777" w:rsidR="004E3B2B" w:rsidRPr="004E3B2B" w:rsidRDefault="004E3B2B" w:rsidP="00A92E34">
      <w:pPr>
        <w:spacing w:after="160" w:line="259" w:lineRule="auto"/>
        <w:jc w:val="center"/>
        <w:rPr>
          <w:rFonts w:ascii="Arial" w:hAnsi="Arial" w:cs="Arial"/>
          <w:b/>
          <w:color w:val="0D78CA" w:themeColor="background2" w:themeShade="80"/>
          <w:lang w:val="es-ES"/>
        </w:rPr>
      </w:pPr>
    </w:p>
    <w:p w14:paraId="3144C5E4" w14:textId="77777777" w:rsidR="0022519B" w:rsidRPr="0022519B" w:rsidRDefault="0022519B" w:rsidP="00A92E34">
      <w:pPr>
        <w:spacing w:line="360" w:lineRule="auto"/>
        <w:jc w:val="center"/>
        <w:rPr>
          <w:rFonts w:ascii="Arial" w:hAnsi="Arial" w:cs="Arial"/>
          <w:b/>
          <w:color w:val="000000" w:themeColor="text1"/>
        </w:rPr>
      </w:pPr>
      <w:r w:rsidRPr="0022519B">
        <w:rPr>
          <w:rFonts w:ascii="Arial" w:hAnsi="Arial" w:cs="Arial"/>
          <w:b/>
          <w:color w:val="000000" w:themeColor="text1"/>
        </w:rPr>
        <w:t>NELLY CAROLINA MORALES LUNA</w:t>
      </w:r>
    </w:p>
    <w:p w14:paraId="5DB2D1EA" w14:textId="77777777" w:rsidR="004E3B2B" w:rsidRPr="004E3B2B" w:rsidRDefault="004E3B2B" w:rsidP="00A92E34">
      <w:pPr>
        <w:spacing w:after="160" w:line="259" w:lineRule="auto"/>
        <w:jc w:val="center"/>
        <w:rPr>
          <w:rFonts w:ascii="Arial" w:hAnsi="Arial" w:cs="Arial"/>
          <w:b/>
          <w:color w:val="0D78CA" w:themeColor="background2" w:themeShade="80"/>
          <w:lang w:val="es-ES"/>
        </w:rPr>
      </w:pPr>
    </w:p>
    <w:p w14:paraId="302BF7C4" w14:textId="77777777" w:rsidR="004E3B2B" w:rsidRPr="004E3B2B" w:rsidRDefault="004E3B2B" w:rsidP="00A92E34">
      <w:pPr>
        <w:spacing w:after="160" w:line="259" w:lineRule="auto"/>
        <w:jc w:val="center"/>
        <w:rPr>
          <w:rFonts w:ascii="Arial" w:hAnsi="Arial" w:cs="Arial"/>
          <w:b/>
          <w:color w:val="0D78CA" w:themeColor="background2" w:themeShade="80"/>
          <w:lang w:val="es-ES"/>
        </w:rPr>
      </w:pPr>
    </w:p>
    <w:p w14:paraId="21CCFA6A" w14:textId="77777777" w:rsidR="004E3B2B" w:rsidRPr="004E3B2B" w:rsidRDefault="004E3B2B" w:rsidP="00A92E34">
      <w:pPr>
        <w:spacing w:after="160" w:line="259" w:lineRule="auto"/>
        <w:jc w:val="center"/>
        <w:rPr>
          <w:rFonts w:ascii="Arial" w:hAnsi="Arial" w:cs="Arial"/>
          <w:b/>
          <w:color w:val="0D78CA" w:themeColor="background2" w:themeShade="80"/>
          <w:lang w:val="es-ES"/>
        </w:rPr>
      </w:pPr>
    </w:p>
    <w:p w14:paraId="4FAF70AD" w14:textId="77777777" w:rsidR="004E3B2B" w:rsidRPr="004E3B2B" w:rsidRDefault="004E3B2B" w:rsidP="00A92E34">
      <w:pPr>
        <w:spacing w:after="160" w:line="259" w:lineRule="auto"/>
        <w:jc w:val="center"/>
        <w:rPr>
          <w:rFonts w:ascii="Arial" w:hAnsi="Arial" w:cs="Arial"/>
          <w:b/>
          <w:color w:val="0D78CA" w:themeColor="background2" w:themeShade="80"/>
          <w:lang w:val="es-ES"/>
        </w:rPr>
      </w:pPr>
    </w:p>
    <w:p w14:paraId="18827138" w14:textId="77777777" w:rsidR="004E3B2B" w:rsidRPr="004E3B2B" w:rsidRDefault="004E3B2B" w:rsidP="00A92E34">
      <w:pPr>
        <w:spacing w:after="160" w:line="259" w:lineRule="auto"/>
        <w:jc w:val="center"/>
        <w:rPr>
          <w:rFonts w:ascii="Arial" w:hAnsi="Arial" w:cs="Arial"/>
          <w:b/>
          <w:color w:val="0D78CA" w:themeColor="background2" w:themeShade="80"/>
          <w:lang w:val="es-ES"/>
        </w:rPr>
      </w:pPr>
    </w:p>
    <w:p w14:paraId="5F3E390C" w14:textId="77777777" w:rsidR="004E3B2B" w:rsidRPr="004E3B2B" w:rsidRDefault="004E3B2B" w:rsidP="00A92E34">
      <w:pPr>
        <w:spacing w:after="160" w:line="259" w:lineRule="auto"/>
        <w:jc w:val="center"/>
        <w:rPr>
          <w:rFonts w:ascii="Arial" w:hAnsi="Arial" w:cs="Arial"/>
          <w:b/>
          <w:color w:val="0D78CA" w:themeColor="background2" w:themeShade="80"/>
          <w:lang w:val="es-ES"/>
        </w:rPr>
      </w:pPr>
    </w:p>
    <w:p w14:paraId="711F7B0A" w14:textId="77777777" w:rsidR="004E3B2B" w:rsidRPr="004E3B2B" w:rsidRDefault="004E3B2B" w:rsidP="00A92E34">
      <w:pPr>
        <w:spacing w:after="160" w:line="259" w:lineRule="auto"/>
        <w:jc w:val="center"/>
        <w:rPr>
          <w:rFonts w:ascii="Arial" w:hAnsi="Arial" w:cs="Arial"/>
          <w:b/>
          <w:color w:val="0D78CA" w:themeColor="background2" w:themeShade="80"/>
          <w:lang w:val="es-ES"/>
        </w:rPr>
      </w:pPr>
    </w:p>
    <w:p w14:paraId="5FC02E3C" w14:textId="77777777" w:rsidR="004E3B2B" w:rsidRPr="0022519B" w:rsidRDefault="004E3B2B" w:rsidP="00A92E34">
      <w:pPr>
        <w:spacing w:after="160" w:line="259" w:lineRule="auto"/>
        <w:jc w:val="center"/>
        <w:rPr>
          <w:rFonts w:ascii="Arial" w:hAnsi="Arial" w:cs="Arial"/>
          <w:b/>
          <w:color w:val="000000" w:themeColor="text1"/>
          <w:lang w:val="es-ES"/>
        </w:rPr>
      </w:pPr>
    </w:p>
    <w:p w14:paraId="6ABA9A85" w14:textId="49339A4E" w:rsidR="004E3B2B" w:rsidRPr="0022519B" w:rsidRDefault="004E3B2B" w:rsidP="00A92E34">
      <w:pPr>
        <w:spacing w:after="160" w:line="259" w:lineRule="auto"/>
        <w:jc w:val="center"/>
        <w:rPr>
          <w:rFonts w:ascii="Arial" w:hAnsi="Arial" w:cs="Arial"/>
          <w:b/>
          <w:color w:val="000000" w:themeColor="text1"/>
          <w:lang w:val="es-ES"/>
        </w:rPr>
      </w:pPr>
      <w:r w:rsidRPr="0022519B">
        <w:rPr>
          <w:rFonts w:ascii="Arial" w:hAnsi="Arial" w:cs="Arial"/>
          <w:b/>
          <w:color w:val="000000" w:themeColor="text1"/>
          <w:lang w:val="es-ES"/>
        </w:rPr>
        <w:t xml:space="preserve">Tesis presentada para optar por el grado de Magister </w:t>
      </w:r>
      <w:proofErr w:type="spellStart"/>
      <w:r w:rsidRPr="0022519B">
        <w:rPr>
          <w:rFonts w:ascii="Arial" w:hAnsi="Arial" w:cs="Arial"/>
          <w:b/>
          <w:color w:val="000000" w:themeColor="text1"/>
          <w:lang w:val="es-ES"/>
        </w:rPr>
        <w:t>Scientiae</w:t>
      </w:r>
      <w:proofErr w:type="spellEnd"/>
      <w:r w:rsidRPr="0022519B">
        <w:rPr>
          <w:rFonts w:ascii="Arial" w:hAnsi="Arial" w:cs="Arial"/>
          <w:b/>
          <w:color w:val="000000" w:themeColor="text1"/>
          <w:lang w:val="es-ES"/>
        </w:rPr>
        <w:t xml:space="preserve"> en Política Económica</w:t>
      </w:r>
      <w:r w:rsidR="00D35514">
        <w:rPr>
          <w:rFonts w:ascii="Arial" w:hAnsi="Arial" w:cs="Arial"/>
          <w:b/>
          <w:color w:val="000000" w:themeColor="text1"/>
          <w:lang w:val="es-ES"/>
        </w:rPr>
        <w:t xml:space="preserve"> con énfasis en Economía Internacional</w:t>
      </w:r>
      <w:r w:rsidRPr="0022519B">
        <w:rPr>
          <w:rFonts w:ascii="Arial" w:hAnsi="Arial" w:cs="Arial"/>
          <w:b/>
          <w:color w:val="000000" w:themeColor="text1"/>
          <w:lang w:val="es-ES"/>
        </w:rPr>
        <w:t>. Cumple con los requisitos establecidos por el Sistema de Estudios de Posgrado de la Universidad Nacional. Heredia. Costa Rica.</w:t>
      </w:r>
    </w:p>
    <w:p w14:paraId="13C6E1A5" w14:textId="77777777" w:rsidR="004E3B2B" w:rsidRPr="004E3B2B" w:rsidRDefault="004E3B2B" w:rsidP="004E3B2B">
      <w:pPr>
        <w:spacing w:after="160" w:line="259" w:lineRule="auto"/>
        <w:rPr>
          <w:rFonts w:ascii="Arial" w:hAnsi="Arial" w:cs="Arial"/>
          <w:color w:val="0D78CA" w:themeColor="background2" w:themeShade="80"/>
          <w:lang w:val="es-ES"/>
        </w:rPr>
      </w:pPr>
    </w:p>
    <w:p w14:paraId="6E13BCC2" w14:textId="31FA4FE9" w:rsidR="004E3B2B" w:rsidRPr="0022519B" w:rsidRDefault="004E3B2B" w:rsidP="00E40D73">
      <w:pPr>
        <w:spacing w:after="160" w:line="259" w:lineRule="auto"/>
        <w:jc w:val="center"/>
        <w:rPr>
          <w:rFonts w:ascii="Arial" w:hAnsi="Arial" w:cs="Arial"/>
          <w:b/>
          <w:color w:val="000000" w:themeColor="text1"/>
          <w:lang w:val="es-ES"/>
        </w:rPr>
      </w:pPr>
      <w:r w:rsidRPr="004E3B2B">
        <w:rPr>
          <w:rFonts w:ascii="Arial" w:hAnsi="Arial" w:cs="Arial"/>
          <w:color w:val="0D78CA" w:themeColor="background2" w:themeShade="80"/>
          <w:lang w:val="es-ES"/>
        </w:rPr>
        <w:br w:type="page"/>
      </w:r>
      <w:r w:rsidRPr="0022519B">
        <w:rPr>
          <w:rFonts w:ascii="Arial" w:hAnsi="Arial" w:cs="Arial"/>
          <w:b/>
          <w:color w:val="000000" w:themeColor="text1"/>
          <w:lang w:val="es-ES"/>
        </w:rPr>
        <w:lastRenderedPageBreak/>
        <w:t>MIEMBROS DEL TRIBUNAL EXAMINADOR</w:t>
      </w:r>
    </w:p>
    <w:p w14:paraId="7B660AF4" w14:textId="77777777" w:rsidR="004E3B2B" w:rsidRPr="00715C83" w:rsidRDefault="004E3B2B" w:rsidP="004E3B2B">
      <w:pPr>
        <w:spacing w:after="160" w:line="259" w:lineRule="auto"/>
        <w:rPr>
          <w:rFonts w:ascii="Arial" w:hAnsi="Arial" w:cs="Arial"/>
          <w:b/>
          <w:color w:val="000000" w:themeColor="text1"/>
          <w:lang w:val="es-ES"/>
        </w:rPr>
      </w:pPr>
    </w:p>
    <w:p w14:paraId="14BF395D" w14:textId="77777777" w:rsidR="004E3B2B" w:rsidRPr="00715C83" w:rsidRDefault="004E3B2B" w:rsidP="004E3B2B">
      <w:pPr>
        <w:spacing w:after="160" w:line="259" w:lineRule="auto"/>
        <w:jc w:val="center"/>
        <w:rPr>
          <w:rFonts w:ascii="Arial" w:hAnsi="Arial" w:cs="Arial"/>
          <w:b/>
          <w:color w:val="000000" w:themeColor="text1"/>
          <w:lang w:val="es-ES"/>
        </w:rPr>
      </w:pPr>
      <w:r w:rsidRPr="00715C83">
        <w:rPr>
          <w:rFonts w:ascii="Arial" w:hAnsi="Arial" w:cs="Arial"/>
          <w:b/>
          <w:color w:val="000000" w:themeColor="text1"/>
          <w:lang w:val="es-ES"/>
        </w:rPr>
        <w:t>NOMBRE</w:t>
      </w:r>
    </w:p>
    <w:p w14:paraId="66BACCAA" w14:textId="66078A9D" w:rsidR="006034E4" w:rsidRPr="00715C83" w:rsidRDefault="00E40D73" w:rsidP="00E40D73">
      <w:pPr>
        <w:spacing w:after="160" w:line="259" w:lineRule="auto"/>
        <w:jc w:val="center"/>
        <w:rPr>
          <w:rFonts w:ascii="Arial" w:hAnsi="Arial" w:cs="Arial"/>
          <w:b/>
          <w:color w:val="000000" w:themeColor="text1"/>
          <w:lang w:val="es-ES"/>
        </w:rPr>
      </w:pPr>
      <w:r w:rsidRPr="0022519B">
        <w:rPr>
          <w:rFonts w:ascii="Arial" w:hAnsi="Arial" w:cs="Arial"/>
          <w:noProof/>
          <w:color w:val="000000" w:themeColor="text1"/>
          <w:lang w:val="es-ES"/>
        </w:rPr>
        <mc:AlternateContent>
          <mc:Choice Requires="wps">
            <w:drawing>
              <wp:anchor distT="0" distB="0" distL="0" distR="0" simplePos="0" relativeHeight="251665408" behindDoc="1" locked="0" layoutInCell="1" allowOverlap="1" wp14:anchorId="46AB80D6" wp14:editId="5C407B9D">
                <wp:simplePos x="0" y="0"/>
                <wp:positionH relativeFrom="page">
                  <wp:posOffset>2593975</wp:posOffset>
                </wp:positionH>
                <wp:positionV relativeFrom="paragraph">
                  <wp:posOffset>462280</wp:posOffset>
                </wp:positionV>
                <wp:extent cx="2336800" cy="45085"/>
                <wp:effectExtent l="0" t="0" r="12700" b="0"/>
                <wp:wrapTopAndBottom/>
                <wp:docPr id="908588480" name="Forma lib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2336800" cy="45085"/>
                        </a:xfrm>
                        <a:custGeom>
                          <a:avLst/>
                          <a:gdLst/>
                          <a:ahLst/>
                          <a:cxnLst/>
                          <a:rect l="l" t="t" r="r" b="b"/>
                          <a:pathLst>
                            <a:path w="2209800">
                              <a:moveTo>
                                <a:pt x="0" y="0"/>
                              </a:moveTo>
                              <a:lnTo>
                                <a:pt x="22098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275ED2" id="Forma libre: forma 19" o:spid="_x0000_s1026" style="position:absolute;margin-left:204.25pt;margin-top:36.4pt;width:184pt;height:3.55pt;flip:y;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09800,450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" path="m,l2209800,e" filled="f" strokeweight=".17183mm">
                <v:path arrowok="t"/>
                <w10:wrap type="topAndBottom" anchorx="page"/>
              </v:shape>
            </w:pict>
          </mc:Fallback>
        </mc:AlternateContent>
      </w:r>
    </w:p>
    <w:p w14:paraId="6C8E43CD" w14:textId="3D89AEE6" w:rsidR="006034E4" w:rsidRPr="00715C83" w:rsidRDefault="006034E4" w:rsidP="00E40D73">
      <w:pPr>
        <w:ind w:left="1474" w:right="1474"/>
        <w:jc w:val="center"/>
        <w:rPr>
          <w:rFonts w:ascii="Arial" w:hAnsi="Arial" w:cs="Arial"/>
          <w:color w:val="000000"/>
        </w:rPr>
      </w:pPr>
      <w:r w:rsidRPr="00715C83">
        <w:rPr>
          <w:rFonts w:ascii="Arial" w:hAnsi="Arial" w:cs="Arial"/>
          <w:color w:val="000000"/>
        </w:rPr>
        <w:t xml:space="preserve">Dr. José </w:t>
      </w:r>
      <w:r w:rsidR="00E40D73">
        <w:rPr>
          <w:rFonts w:ascii="Arial" w:hAnsi="Arial" w:cs="Arial"/>
          <w:color w:val="000000"/>
        </w:rPr>
        <w:t xml:space="preserve">Roberto </w:t>
      </w:r>
      <w:r w:rsidRPr="00715C83">
        <w:rPr>
          <w:rFonts w:ascii="Arial" w:hAnsi="Arial" w:cs="Arial"/>
          <w:color w:val="000000"/>
        </w:rPr>
        <w:t>Vega Baudrit</w:t>
      </w:r>
    </w:p>
    <w:p w14:paraId="6998ACB2" w14:textId="77777777" w:rsidR="004E3B2B" w:rsidRPr="00715C83" w:rsidRDefault="004E3B2B" w:rsidP="006034E4">
      <w:pPr>
        <w:spacing w:after="160"/>
        <w:contextualSpacing/>
        <w:jc w:val="center"/>
        <w:rPr>
          <w:rFonts w:ascii="Arial" w:hAnsi="Arial" w:cs="Arial"/>
          <w:color w:val="000000" w:themeColor="text1"/>
          <w:lang w:val="es-ES"/>
        </w:rPr>
      </w:pPr>
      <w:r w:rsidRPr="00715C83">
        <w:rPr>
          <w:rFonts w:ascii="Arial" w:hAnsi="Arial" w:cs="Arial"/>
          <w:color w:val="000000" w:themeColor="text1"/>
          <w:lang w:val="es-ES"/>
        </w:rPr>
        <w:t>Representante del Consejo Central de Posgrado</w:t>
      </w:r>
    </w:p>
    <w:p w14:paraId="21260F3E" w14:textId="77777777" w:rsidR="004E3B2B" w:rsidRPr="00715C83" w:rsidRDefault="004E3B2B" w:rsidP="004E3B2B">
      <w:pPr>
        <w:spacing w:after="160" w:line="259" w:lineRule="auto"/>
        <w:rPr>
          <w:rFonts w:ascii="Arial" w:hAnsi="Arial" w:cs="Arial"/>
          <w:b/>
          <w:color w:val="000000" w:themeColor="text1"/>
          <w:lang w:val="es-ES"/>
        </w:rPr>
      </w:pPr>
    </w:p>
    <w:p w14:paraId="4C238A8D" w14:textId="77777777" w:rsidR="004E3B2B" w:rsidRPr="00715C83" w:rsidRDefault="004E3B2B" w:rsidP="004E3B2B">
      <w:pPr>
        <w:spacing w:after="160" w:line="259" w:lineRule="auto"/>
        <w:rPr>
          <w:rFonts w:ascii="Arial" w:hAnsi="Arial" w:cs="Arial"/>
          <w:b/>
          <w:color w:val="000000" w:themeColor="text1"/>
          <w:lang w:val="es-ES"/>
        </w:rPr>
      </w:pPr>
    </w:p>
    <w:p w14:paraId="0A871293" w14:textId="69A6160F" w:rsidR="004E3B2B" w:rsidRPr="0022519B" w:rsidRDefault="006034E4" w:rsidP="004E3B2B">
      <w:pPr>
        <w:spacing w:after="160" w:line="259" w:lineRule="auto"/>
        <w:rPr>
          <w:rFonts w:ascii="Arial" w:hAnsi="Arial" w:cs="Arial"/>
          <w:b/>
          <w:color w:val="000000" w:themeColor="text1"/>
          <w:lang w:val="es-ES"/>
        </w:rPr>
      </w:pPr>
      <w:r w:rsidRPr="0022519B">
        <w:rPr>
          <w:rFonts w:ascii="Arial" w:hAnsi="Arial" w:cs="Arial"/>
          <w:noProof/>
          <w:color w:val="000000" w:themeColor="text1"/>
          <w:lang w:val="es-ES"/>
        </w:rPr>
        <mc:AlternateContent>
          <mc:Choice Requires="wps">
            <w:drawing>
              <wp:anchor distT="0" distB="0" distL="0" distR="0" simplePos="0" relativeHeight="251659264" behindDoc="1" locked="0" layoutInCell="1" allowOverlap="1" wp14:anchorId="0DB0E809" wp14:editId="4E4B125C">
                <wp:simplePos x="0" y="0"/>
                <wp:positionH relativeFrom="page">
                  <wp:posOffset>2722245</wp:posOffset>
                </wp:positionH>
                <wp:positionV relativeFrom="paragraph">
                  <wp:posOffset>178435</wp:posOffset>
                </wp:positionV>
                <wp:extent cx="2097405" cy="45085"/>
                <wp:effectExtent l="0" t="0" r="0" b="0"/>
                <wp:wrapTopAndBottom/>
                <wp:docPr id="1256853768" name="Forma lib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2097405" cy="45085"/>
                        </a:xfrm>
                        <a:custGeom>
                          <a:avLst/>
                          <a:gdLst/>
                          <a:ahLst/>
                          <a:cxnLst/>
                          <a:rect l="l" t="t" r="r" b="b"/>
                          <a:pathLst>
                            <a:path w="1981200">
                              <a:moveTo>
                                <a:pt x="0" y="0"/>
                              </a:moveTo>
                              <a:lnTo>
                                <a:pt x="19812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5976AB" id="Forma libre: forma 20" o:spid="_x0000_s1026" style="position:absolute;margin-left:214.35pt;margin-top:14.05pt;width:165.15pt;height:3.55pt;flip:y;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812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" path="m,l1981200,e" filled="f" strokeweight=".17183mm">
                <v:path arrowok="t"/>
                <w10:wrap type="topAndBottom" anchorx="page"/>
              </v:shape>
            </w:pict>
          </mc:Fallback>
        </mc:AlternateContent>
      </w:r>
    </w:p>
    <w:p w14:paraId="7AE05296" w14:textId="56D24BA6" w:rsidR="004E3B2B" w:rsidRPr="006034E4" w:rsidRDefault="00E40D73" w:rsidP="006034E4">
      <w:pPr>
        <w:spacing w:after="160" w:line="259" w:lineRule="auto"/>
        <w:jc w:val="center"/>
        <w:rPr>
          <w:rFonts w:ascii="Arial" w:hAnsi="Arial" w:cs="Arial"/>
          <w:bCs/>
          <w:color w:val="000000" w:themeColor="text1"/>
          <w:lang w:val="es-ES"/>
        </w:rPr>
      </w:pPr>
      <w:proofErr w:type="spellStart"/>
      <w:r>
        <w:rPr>
          <w:rFonts w:ascii="Arial" w:hAnsi="Arial" w:cs="Arial"/>
          <w:bCs/>
          <w:color w:val="000000" w:themeColor="text1"/>
          <w:lang w:val="es-ES"/>
        </w:rPr>
        <w:t>M.Sc</w:t>
      </w:r>
      <w:proofErr w:type="spellEnd"/>
      <w:r>
        <w:rPr>
          <w:rFonts w:ascii="Arial" w:hAnsi="Arial" w:cs="Arial"/>
          <w:bCs/>
          <w:color w:val="000000" w:themeColor="text1"/>
          <w:lang w:val="es-ES"/>
        </w:rPr>
        <w:t>. Donald Miranda Montes</w:t>
      </w:r>
    </w:p>
    <w:p w14:paraId="7FF97099" w14:textId="59C2BBB0" w:rsidR="004E3B2B" w:rsidRPr="0022519B" w:rsidRDefault="0052219A" w:rsidP="004E3B2B">
      <w:pPr>
        <w:spacing w:after="160"/>
        <w:contextualSpacing/>
        <w:jc w:val="center"/>
        <w:rPr>
          <w:rFonts w:ascii="Arial" w:hAnsi="Arial" w:cs="Arial"/>
          <w:color w:val="000000" w:themeColor="text1"/>
          <w:lang w:val="es-ES"/>
        </w:rPr>
      </w:pPr>
      <w:r w:rsidRPr="006034E4">
        <w:rPr>
          <w:rFonts w:ascii="Arial" w:hAnsi="Arial" w:cs="Arial"/>
          <w:color w:val="000000" w:themeColor="text1"/>
          <w:lang w:val="es-ES"/>
        </w:rPr>
        <w:t xml:space="preserve">Representante del </w:t>
      </w:r>
      <w:r w:rsidR="004E3B2B" w:rsidRPr="006034E4">
        <w:rPr>
          <w:rFonts w:ascii="Arial" w:hAnsi="Arial" w:cs="Arial"/>
          <w:color w:val="000000" w:themeColor="text1"/>
          <w:lang w:val="es-ES"/>
        </w:rPr>
        <w:t>Coordinador de la Maestría en Política Económica</w:t>
      </w:r>
    </w:p>
    <w:p w14:paraId="1F6190F9" w14:textId="77777777" w:rsidR="004E3B2B" w:rsidRPr="0022519B" w:rsidRDefault="004E3B2B" w:rsidP="004E3B2B">
      <w:pPr>
        <w:spacing w:after="160" w:line="259" w:lineRule="auto"/>
        <w:rPr>
          <w:rFonts w:ascii="Arial" w:hAnsi="Arial" w:cs="Arial"/>
          <w:color w:val="000000" w:themeColor="text1"/>
          <w:lang w:val="es-ES"/>
        </w:rPr>
      </w:pPr>
    </w:p>
    <w:p w14:paraId="7D036FCD" w14:textId="77777777" w:rsidR="004E3B2B" w:rsidRPr="0022519B" w:rsidRDefault="004E3B2B" w:rsidP="004E3B2B">
      <w:pPr>
        <w:spacing w:after="160" w:line="259" w:lineRule="auto"/>
        <w:rPr>
          <w:rFonts w:ascii="Arial" w:hAnsi="Arial" w:cs="Arial"/>
          <w:color w:val="000000" w:themeColor="text1"/>
          <w:lang w:val="es-ES"/>
        </w:rPr>
      </w:pPr>
    </w:p>
    <w:p w14:paraId="0DB7E271" w14:textId="73EE0C2A" w:rsidR="004E3B2B" w:rsidRPr="0022519B" w:rsidRDefault="004E3B2B" w:rsidP="004E3B2B">
      <w:pPr>
        <w:spacing w:after="160" w:line="259" w:lineRule="auto"/>
        <w:rPr>
          <w:rFonts w:ascii="Arial" w:hAnsi="Arial" w:cs="Arial"/>
          <w:color w:val="000000" w:themeColor="text1"/>
          <w:lang w:val="es-ES"/>
        </w:rPr>
      </w:pPr>
      <w:r w:rsidRPr="0022519B">
        <w:rPr>
          <w:rFonts w:ascii="Arial" w:hAnsi="Arial" w:cs="Arial"/>
          <w:noProof/>
          <w:color w:val="000000" w:themeColor="text1"/>
          <w:lang w:val="es-ES"/>
        </w:rPr>
        <mc:AlternateContent>
          <mc:Choice Requires="wps">
            <w:drawing>
              <wp:anchor distT="0" distB="0" distL="0" distR="0" simplePos="0" relativeHeight="251660288" behindDoc="1" locked="0" layoutInCell="1" allowOverlap="1" wp14:anchorId="56C26707" wp14:editId="7CA22839">
                <wp:simplePos x="0" y="0"/>
                <wp:positionH relativeFrom="page">
                  <wp:posOffset>2781935</wp:posOffset>
                </wp:positionH>
                <wp:positionV relativeFrom="paragraph">
                  <wp:posOffset>288925</wp:posOffset>
                </wp:positionV>
                <wp:extent cx="2209800" cy="1270"/>
                <wp:effectExtent l="0" t="0" r="0" b="0"/>
                <wp:wrapTopAndBottom/>
                <wp:docPr id="1365257033" name="Forma lib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1270"/>
                        </a:xfrm>
                        <a:custGeom>
                          <a:avLst/>
                          <a:gdLst/>
                          <a:ahLst/>
                          <a:cxnLst/>
                          <a:rect l="l" t="t" r="r" b="b"/>
                          <a:pathLst>
                            <a:path w="2209800">
                              <a:moveTo>
                                <a:pt x="0" y="0"/>
                              </a:moveTo>
                              <a:lnTo>
                                <a:pt x="22098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2FABBB" id="Forma libre: forma 19" o:spid="_x0000_s1026" style="position:absolute;margin-left:219.05pt;margin-top:22.75pt;width:174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0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" path="m,l2209800,e" filled="f" strokeweight=".17183mm">
                <v:path arrowok="t"/>
                <w10:wrap type="topAndBottom" anchorx="page"/>
              </v:shape>
            </w:pict>
          </mc:Fallback>
        </mc:AlternateContent>
      </w:r>
    </w:p>
    <w:p w14:paraId="6276C704" w14:textId="0E59FB76" w:rsidR="004E3B2B" w:rsidRPr="0022519B" w:rsidRDefault="004E3B2B" w:rsidP="004E3B2B">
      <w:pPr>
        <w:spacing w:after="160"/>
        <w:contextualSpacing/>
        <w:jc w:val="center"/>
        <w:rPr>
          <w:rFonts w:ascii="Arial" w:hAnsi="Arial" w:cs="Arial"/>
          <w:color w:val="000000" w:themeColor="text1"/>
          <w:lang w:val="es-ES"/>
        </w:rPr>
      </w:pPr>
      <w:r w:rsidRPr="0022519B">
        <w:rPr>
          <w:rFonts w:ascii="Arial" w:hAnsi="Arial" w:cs="Arial"/>
          <w:color w:val="000000" w:themeColor="text1"/>
          <w:lang w:val="es-ES"/>
        </w:rPr>
        <w:t>PhD. Randall Arce Alvarado</w:t>
      </w:r>
    </w:p>
    <w:p w14:paraId="01BDC69D" w14:textId="21BF5E23" w:rsidR="004E3B2B" w:rsidRPr="0022519B" w:rsidRDefault="004E3B2B" w:rsidP="004E3B2B">
      <w:pPr>
        <w:spacing w:after="160"/>
        <w:contextualSpacing/>
        <w:jc w:val="center"/>
        <w:rPr>
          <w:rFonts w:ascii="Arial" w:hAnsi="Arial" w:cs="Arial"/>
          <w:color w:val="000000" w:themeColor="text1"/>
          <w:lang w:val="es-ES"/>
        </w:rPr>
      </w:pPr>
      <w:r w:rsidRPr="0022519B">
        <w:rPr>
          <w:rFonts w:ascii="Arial" w:hAnsi="Arial" w:cs="Arial"/>
          <w:color w:val="000000" w:themeColor="text1"/>
          <w:lang w:val="es-ES"/>
        </w:rPr>
        <w:t>Tutor</w:t>
      </w:r>
      <w:r w:rsidR="006034E4">
        <w:rPr>
          <w:rFonts w:ascii="Arial" w:hAnsi="Arial" w:cs="Arial"/>
          <w:color w:val="000000" w:themeColor="text1"/>
          <w:lang w:val="es-ES"/>
        </w:rPr>
        <w:t xml:space="preserve"> de tesis</w:t>
      </w:r>
    </w:p>
    <w:p w14:paraId="68792690" w14:textId="77777777" w:rsidR="004E3B2B" w:rsidRPr="0022519B" w:rsidRDefault="004E3B2B" w:rsidP="004E3B2B">
      <w:pPr>
        <w:spacing w:after="160" w:line="259" w:lineRule="auto"/>
        <w:rPr>
          <w:rFonts w:ascii="Arial" w:hAnsi="Arial" w:cs="Arial"/>
          <w:color w:val="000000" w:themeColor="text1"/>
          <w:lang w:val="es-ES"/>
        </w:rPr>
      </w:pPr>
    </w:p>
    <w:p w14:paraId="5686337C" w14:textId="23FF7768" w:rsidR="004E3B2B" w:rsidRPr="0022519B" w:rsidRDefault="004E3B2B" w:rsidP="004E3B2B">
      <w:pPr>
        <w:spacing w:after="160" w:line="259" w:lineRule="auto"/>
        <w:rPr>
          <w:rFonts w:ascii="Arial" w:hAnsi="Arial" w:cs="Arial"/>
          <w:color w:val="000000" w:themeColor="text1"/>
          <w:lang w:val="es-ES"/>
        </w:rPr>
      </w:pPr>
      <w:r w:rsidRPr="0022519B">
        <w:rPr>
          <w:rFonts w:ascii="Arial" w:hAnsi="Arial" w:cs="Arial"/>
          <w:noProof/>
          <w:color w:val="000000" w:themeColor="text1"/>
          <w:lang w:val="es-ES"/>
        </w:rPr>
        <mc:AlternateContent>
          <mc:Choice Requires="wps">
            <w:drawing>
              <wp:anchor distT="0" distB="0" distL="0" distR="0" simplePos="0" relativeHeight="251661312" behindDoc="1" locked="0" layoutInCell="1" allowOverlap="1" wp14:anchorId="7AF75580" wp14:editId="4C6A45AA">
                <wp:simplePos x="0" y="0"/>
                <wp:positionH relativeFrom="page">
                  <wp:posOffset>2743835</wp:posOffset>
                </wp:positionH>
                <wp:positionV relativeFrom="paragraph">
                  <wp:posOffset>289560</wp:posOffset>
                </wp:positionV>
                <wp:extent cx="2286000" cy="1270"/>
                <wp:effectExtent l="0" t="0" r="0" b="0"/>
                <wp:wrapTopAndBottom/>
                <wp:docPr id="719583226" name="Forma lib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17571A" id="Forma libre: forma 18" o:spid="_x0000_s1026" style="position:absolute;margin-left:216.05pt;margin-top:22.8pt;width:180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" path="m,l2286000,e" filled="f" strokeweight=".17183mm">
                <v:path arrowok="t"/>
                <w10:wrap type="topAndBottom" anchorx="page"/>
              </v:shape>
            </w:pict>
          </mc:Fallback>
        </mc:AlternateContent>
      </w:r>
    </w:p>
    <w:p w14:paraId="75720CF6" w14:textId="5ADC9C70" w:rsidR="004E3B2B" w:rsidRPr="0022519B" w:rsidRDefault="0052219A" w:rsidP="004E3B2B">
      <w:pPr>
        <w:spacing w:after="160"/>
        <w:contextualSpacing/>
        <w:jc w:val="center"/>
        <w:rPr>
          <w:rFonts w:ascii="Arial" w:hAnsi="Arial" w:cs="Arial"/>
          <w:color w:val="000000" w:themeColor="text1"/>
          <w:lang w:val="es-ES"/>
        </w:rPr>
      </w:pPr>
      <w:r>
        <w:rPr>
          <w:rFonts w:ascii="Arial" w:hAnsi="Arial" w:cs="Arial"/>
          <w:color w:val="000000" w:themeColor="text1"/>
          <w:lang w:val="es-ES"/>
        </w:rPr>
        <w:t>PhD. Jeffrey Orozco Barrantes</w:t>
      </w:r>
    </w:p>
    <w:p w14:paraId="33682F4E" w14:textId="77777777" w:rsidR="004E3B2B" w:rsidRPr="0022519B" w:rsidRDefault="004E3B2B" w:rsidP="004E3B2B">
      <w:pPr>
        <w:spacing w:after="160"/>
        <w:contextualSpacing/>
        <w:jc w:val="center"/>
        <w:rPr>
          <w:rFonts w:ascii="Arial" w:hAnsi="Arial" w:cs="Arial"/>
          <w:color w:val="000000" w:themeColor="text1"/>
          <w:lang w:val="es-ES"/>
        </w:rPr>
      </w:pPr>
      <w:r w:rsidRPr="0022519B">
        <w:rPr>
          <w:rFonts w:ascii="Arial" w:hAnsi="Arial" w:cs="Arial"/>
          <w:color w:val="000000" w:themeColor="text1"/>
          <w:lang w:val="es-ES"/>
        </w:rPr>
        <w:t>Miembro del Comité Asesor</w:t>
      </w:r>
    </w:p>
    <w:p w14:paraId="3EEB9994" w14:textId="77777777" w:rsidR="004E3B2B" w:rsidRPr="0022519B" w:rsidRDefault="004E3B2B" w:rsidP="004E3B2B">
      <w:pPr>
        <w:spacing w:after="160" w:line="259" w:lineRule="auto"/>
        <w:rPr>
          <w:rFonts w:ascii="Arial" w:hAnsi="Arial" w:cs="Arial"/>
          <w:color w:val="000000" w:themeColor="text1"/>
          <w:lang w:val="es-ES"/>
        </w:rPr>
      </w:pPr>
    </w:p>
    <w:p w14:paraId="6F6F9F39" w14:textId="77777777" w:rsidR="004E3B2B" w:rsidRPr="0022519B" w:rsidRDefault="004E3B2B" w:rsidP="004E3B2B">
      <w:pPr>
        <w:spacing w:after="160" w:line="259" w:lineRule="auto"/>
        <w:rPr>
          <w:rFonts w:ascii="Arial" w:hAnsi="Arial" w:cs="Arial"/>
          <w:color w:val="000000" w:themeColor="text1"/>
          <w:lang w:val="es-ES"/>
        </w:rPr>
      </w:pPr>
    </w:p>
    <w:p w14:paraId="283C5375" w14:textId="6FAFFDB4" w:rsidR="004E3B2B" w:rsidRPr="0022519B" w:rsidRDefault="004E3B2B" w:rsidP="0052219A">
      <w:pPr>
        <w:spacing w:after="160"/>
        <w:contextualSpacing/>
        <w:rPr>
          <w:rFonts w:ascii="Arial" w:hAnsi="Arial" w:cs="Arial"/>
          <w:color w:val="000000" w:themeColor="text1"/>
          <w:lang w:val="es-ES"/>
        </w:rPr>
      </w:pPr>
      <w:r w:rsidRPr="0022519B">
        <w:rPr>
          <w:rFonts w:ascii="Arial" w:hAnsi="Arial" w:cs="Arial"/>
          <w:noProof/>
          <w:color w:val="000000" w:themeColor="text1"/>
          <w:lang w:val="es-ES"/>
        </w:rPr>
        <mc:AlternateContent>
          <mc:Choice Requires="wps">
            <w:drawing>
              <wp:anchor distT="0" distB="0" distL="0" distR="0" simplePos="0" relativeHeight="251662336" behindDoc="1" locked="0" layoutInCell="1" allowOverlap="1" wp14:anchorId="7D980728" wp14:editId="4517E6B2">
                <wp:simplePos x="0" y="0"/>
                <wp:positionH relativeFrom="page">
                  <wp:posOffset>2737485</wp:posOffset>
                </wp:positionH>
                <wp:positionV relativeFrom="paragraph">
                  <wp:posOffset>96520</wp:posOffset>
                </wp:positionV>
                <wp:extent cx="2286000" cy="1270"/>
                <wp:effectExtent l="0" t="0" r="0" b="0"/>
                <wp:wrapTopAndBottom/>
                <wp:docPr id="344785414" name="Forma lib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C647961" id="Forma libre: forma 17" o:spid="_x0000_s1026" style="position:absolute;margin-left:215.55pt;margin-top:7.6pt;width:180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" path="m,l2286000,e" filled="f" strokeweight=".17183mm">
                <v:path arrowok="t"/>
                <w10:wrap type="topAndBottom" anchorx="page"/>
              </v:shape>
            </w:pict>
          </mc:Fallback>
        </mc:AlternateContent>
      </w:r>
    </w:p>
    <w:p w14:paraId="54B11740" w14:textId="77777777" w:rsidR="0052219A" w:rsidRDefault="0052219A" w:rsidP="0052219A">
      <w:pPr>
        <w:spacing w:after="160"/>
        <w:contextualSpacing/>
        <w:jc w:val="center"/>
        <w:rPr>
          <w:rFonts w:ascii="Arial" w:hAnsi="Arial" w:cs="Arial"/>
          <w:color w:val="000000" w:themeColor="text1"/>
          <w:lang w:val="es-ES"/>
        </w:rPr>
      </w:pPr>
      <w:r>
        <w:rPr>
          <w:rFonts w:ascii="Arial" w:hAnsi="Arial" w:cs="Arial"/>
          <w:color w:val="000000" w:themeColor="text1"/>
          <w:lang w:val="es-ES"/>
        </w:rPr>
        <w:t>PhD. Suyen Alonso Ubieta</w:t>
      </w:r>
    </w:p>
    <w:p w14:paraId="34533A6E" w14:textId="1A76A553" w:rsidR="004E3B2B" w:rsidRPr="0022519B" w:rsidRDefault="004E3B2B" w:rsidP="0052219A">
      <w:pPr>
        <w:spacing w:after="160"/>
        <w:contextualSpacing/>
        <w:jc w:val="center"/>
        <w:rPr>
          <w:rFonts w:ascii="Arial" w:hAnsi="Arial" w:cs="Arial"/>
          <w:color w:val="000000" w:themeColor="text1"/>
          <w:lang w:val="es-ES"/>
        </w:rPr>
      </w:pPr>
      <w:r w:rsidRPr="0022519B">
        <w:rPr>
          <w:rFonts w:ascii="Arial" w:hAnsi="Arial" w:cs="Arial"/>
          <w:color w:val="000000" w:themeColor="text1"/>
          <w:lang w:val="es-ES"/>
        </w:rPr>
        <w:t>Miembro del Comité Asesor</w:t>
      </w:r>
    </w:p>
    <w:p w14:paraId="77F56B9E" w14:textId="77777777" w:rsidR="004E3B2B" w:rsidRPr="0022519B" w:rsidRDefault="004E3B2B" w:rsidP="004E3B2B">
      <w:pPr>
        <w:spacing w:after="160" w:line="259" w:lineRule="auto"/>
        <w:rPr>
          <w:rFonts w:ascii="Arial" w:hAnsi="Arial" w:cs="Arial"/>
          <w:color w:val="000000" w:themeColor="text1"/>
          <w:lang w:val="es-ES"/>
        </w:rPr>
      </w:pPr>
    </w:p>
    <w:p w14:paraId="1E1F7E55" w14:textId="77777777" w:rsidR="004E3B2B" w:rsidRPr="0022519B" w:rsidRDefault="004E3B2B" w:rsidP="004E3B2B">
      <w:pPr>
        <w:spacing w:after="160" w:line="259" w:lineRule="auto"/>
        <w:rPr>
          <w:rFonts w:ascii="Arial" w:hAnsi="Arial" w:cs="Arial"/>
          <w:color w:val="000000" w:themeColor="text1"/>
          <w:lang w:val="es-ES"/>
        </w:rPr>
      </w:pPr>
    </w:p>
    <w:p w14:paraId="393E44D1" w14:textId="224B9EB9" w:rsidR="004E3B2B" w:rsidRPr="0022519B" w:rsidRDefault="004E3B2B" w:rsidP="004E3B2B">
      <w:pPr>
        <w:spacing w:after="160" w:line="259" w:lineRule="auto"/>
        <w:rPr>
          <w:rFonts w:ascii="Arial" w:hAnsi="Arial" w:cs="Arial"/>
          <w:color w:val="000000" w:themeColor="text1"/>
          <w:lang w:val="es-ES"/>
        </w:rPr>
      </w:pPr>
      <w:r w:rsidRPr="0022519B">
        <w:rPr>
          <w:rFonts w:ascii="Arial" w:hAnsi="Arial" w:cs="Arial"/>
          <w:noProof/>
          <w:color w:val="000000" w:themeColor="text1"/>
          <w:lang w:val="es-ES"/>
        </w:rPr>
        <mc:AlternateContent>
          <mc:Choice Requires="wps">
            <w:drawing>
              <wp:anchor distT="0" distB="0" distL="0" distR="0" simplePos="0" relativeHeight="251663360" behindDoc="1" locked="0" layoutInCell="1" allowOverlap="1" wp14:anchorId="4C578CE1" wp14:editId="7419F151">
                <wp:simplePos x="0" y="0"/>
                <wp:positionH relativeFrom="page">
                  <wp:posOffset>2743835</wp:posOffset>
                </wp:positionH>
                <wp:positionV relativeFrom="paragraph">
                  <wp:posOffset>259715</wp:posOffset>
                </wp:positionV>
                <wp:extent cx="2286000" cy="1270"/>
                <wp:effectExtent l="0" t="0" r="0" b="0"/>
                <wp:wrapTopAndBottom/>
                <wp:docPr id="90378511" name="Forma lib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16EC7A" id="Forma libre: forma 16" o:spid="_x0000_s1026" style="position:absolute;margin-left:216.05pt;margin-top:20.45pt;width:180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" path="m,l2286000,e" filled="f" strokeweight=".17183mm">
                <v:path arrowok="t"/>
                <w10:wrap type="topAndBottom" anchorx="page"/>
              </v:shape>
            </w:pict>
          </mc:Fallback>
        </mc:AlternateContent>
      </w:r>
    </w:p>
    <w:p w14:paraId="24E2D9C6" w14:textId="4CC8332A" w:rsidR="004E3B2B" w:rsidRPr="0022519B" w:rsidRDefault="003D4289" w:rsidP="004E3B2B">
      <w:pPr>
        <w:spacing w:after="160"/>
        <w:contextualSpacing/>
        <w:jc w:val="center"/>
        <w:rPr>
          <w:rFonts w:ascii="Arial" w:hAnsi="Arial" w:cs="Arial"/>
          <w:color w:val="000000" w:themeColor="text1"/>
          <w:lang w:val="es-ES"/>
        </w:rPr>
      </w:pPr>
      <w:r>
        <w:rPr>
          <w:rFonts w:ascii="Arial" w:hAnsi="Arial" w:cs="Arial"/>
          <w:color w:val="000000" w:themeColor="text1"/>
          <w:lang w:val="es-ES"/>
        </w:rPr>
        <w:t>Nelly Carolina Morales Luna</w:t>
      </w:r>
    </w:p>
    <w:p w14:paraId="2DC93E39" w14:textId="7B0A8BE7" w:rsidR="004E3B2B" w:rsidRPr="0022519B" w:rsidRDefault="004E3B2B" w:rsidP="004E3B2B">
      <w:pPr>
        <w:spacing w:after="160"/>
        <w:contextualSpacing/>
        <w:jc w:val="center"/>
        <w:rPr>
          <w:rFonts w:ascii="Arial" w:hAnsi="Arial" w:cs="Arial"/>
          <w:color w:val="000000" w:themeColor="text1"/>
          <w:lang w:val="es-ES"/>
        </w:rPr>
      </w:pPr>
      <w:r w:rsidRPr="0022519B">
        <w:rPr>
          <w:rFonts w:ascii="Arial" w:hAnsi="Arial" w:cs="Arial"/>
          <w:color w:val="000000" w:themeColor="text1"/>
          <w:lang w:val="es-ES"/>
        </w:rPr>
        <w:t xml:space="preserve">Sustentante </w:t>
      </w:r>
    </w:p>
    <w:p w14:paraId="1C64DA84" w14:textId="7829FC9A" w:rsidR="004E3B2B" w:rsidRPr="0022519B" w:rsidRDefault="004E3B2B">
      <w:pPr>
        <w:spacing w:after="160" w:line="259" w:lineRule="auto"/>
        <w:rPr>
          <w:rFonts w:ascii="Arial" w:hAnsi="Arial" w:cs="Arial"/>
          <w:color w:val="000000" w:themeColor="text1"/>
          <w:lang w:val="es-ES"/>
        </w:rPr>
      </w:pPr>
      <w:r w:rsidRPr="0022519B">
        <w:rPr>
          <w:rFonts w:ascii="Arial" w:hAnsi="Arial" w:cs="Arial"/>
          <w:color w:val="000000" w:themeColor="text1"/>
          <w:lang w:val="es-ES"/>
        </w:rPr>
        <w:br w:type="page"/>
      </w:r>
    </w:p>
    <w:p w14:paraId="18F8E299" w14:textId="77777777" w:rsidR="004E3B2B" w:rsidRPr="00084875" w:rsidRDefault="004E3B2B" w:rsidP="004E3B2B">
      <w:pPr>
        <w:spacing w:after="160" w:line="259" w:lineRule="auto"/>
        <w:rPr>
          <w:rFonts w:ascii="Arial" w:hAnsi="Arial" w:cs="Arial"/>
          <w:b/>
          <w:bCs/>
          <w:color w:val="000000" w:themeColor="text1"/>
        </w:rPr>
      </w:pPr>
      <w:r w:rsidRPr="00084875">
        <w:rPr>
          <w:rFonts w:ascii="Arial" w:hAnsi="Arial" w:cs="Arial"/>
          <w:b/>
          <w:bCs/>
          <w:color w:val="000000" w:themeColor="text1"/>
        </w:rPr>
        <w:lastRenderedPageBreak/>
        <w:t>RESUMEN EJECUTIVO</w:t>
      </w:r>
    </w:p>
    <w:p w14:paraId="54AB847B" w14:textId="77777777" w:rsidR="00084875" w:rsidRPr="00084875" w:rsidRDefault="00084875" w:rsidP="00084875">
      <w:pPr>
        <w:spacing w:after="160" w:line="360" w:lineRule="auto"/>
        <w:jc w:val="both"/>
        <w:rPr>
          <w:rFonts w:ascii="Arial" w:hAnsi="Arial" w:cs="Arial"/>
          <w:color w:val="000000" w:themeColor="text1"/>
        </w:rPr>
      </w:pPr>
      <w:r w:rsidRPr="00084875">
        <w:rPr>
          <w:rFonts w:ascii="Arial" w:hAnsi="Arial" w:cs="Arial"/>
          <w:color w:val="000000" w:themeColor="text1"/>
        </w:rPr>
        <w:t xml:space="preserve">En marzo de 2023, Honduras reconoció oficialmente a la República Popular de China como la única China, poniendo fin a sus relaciones diplomáticas con Taiwán y dando por concluido el tratado comercial que sostenía con este país. Este cambio geopolítico abrió paso a un proceso acelerado de acercamiento bilateral, incluido el inicio de negociaciones para un Tratado de Libre Comercio (TLC) entre Honduras y China, cuya firma se prevé para 2026. Desde entonces, el sector productivo nacional ha manifestado expectativas diversas ante las posibles implicaciones de este acuerdo, tanto en materia de acceso a mercados como en competitividad y condiciones institucionales. </w:t>
      </w:r>
    </w:p>
    <w:p w14:paraId="1D985733" w14:textId="530645AA" w:rsidR="004E3B2B" w:rsidRDefault="00084875" w:rsidP="00084875">
      <w:pPr>
        <w:spacing w:after="160" w:line="360" w:lineRule="auto"/>
        <w:jc w:val="both"/>
        <w:rPr>
          <w:rFonts w:ascii="Arial" w:hAnsi="Arial" w:cs="Arial"/>
          <w:color w:val="000000" w:themeColor="text1"/>
        </w:rPr>
      </w:pPr>
      <w:r w:rsidRPr="00084875">
        <w:rPr>
          <w:rFonts w:ascii="Arial" w:hAnsi="Arial" w:cs="Arial"/>
          <w:color w:val="000000" w:themeColor="text1"/>
        </w:rPr>
        <w:t xml:space="preserve">La relación comercial entre Honduras y China durante las últimas dos décadas ha estado caracterizada por una marcada asimetría, evidenciada en un déficit comercial persistente y en una estructura exportadora hondureña altamente concentrada en bienes primarios, frente a un flujo constante de importaciones de manufacturas y productos tecnológicos provenientes de China. </w:t>
      </w:r>
    </w:p>
    <w:p w14:paraId="73F176BE" w14:textId="0CFC22FD" w:rsidR="00084875" w:rsidRDefault="008C1E8A" w:rsidP="00084875">
      <w:pPr>
        <w:spacing w:after="160" w:line="360" w:lineRule="auto"/>
        <w:jc w:val="both"/>
        <w:rPr>
          <w:rFonts w:ascii="Arial" w:hAnsi="Arial" w:cs="Arial"/>
          <w:color w:val="000000" w:themeColor="text1"/>
        </w:rPr>
      </w:pPr>
      <w:r w:rsidRPr="008C1E8A">
        <w:rPr>
          <w:rFonts w:ascii="Arial" w:hAnsi="Arial" w:cs="Arial"/>
          <w:color w:val="000000" w:themeColor="text1"/>
        </w:rPr>
        <w:t xml:space="preserve">El objetivo de esta investigación es identificar las principales expectativas de los sectores estratégicos hondureños, analizando las oportunidades potenciales y los desafíos que surgirían de la implementación del acuerdo. </w:t>
      </w:r>
      <w:r w:rsidR="00D345EC">
        <w:rPr>
          <w:rFonts w:ascii="Arial" w:hAnsi="Arial" w:cs="Arial"/>
          <w:color w:val="000000" w:themeColor="text1"/>
        </w:rPr>
        <w:t>Teóricamente, el análisis parte de las principales teorías del comercio internacional, las negociaciones comerciales, así como de la medición de la apertura comercial. Metodológicamente</w:t>
      </w:r>
      <w:r w:rsidRPr="008C1E8A">
        <w:rPr>
          <w:rFonts w:ascii="Arial" w:hAnsi="Arial" w:cs="Arial"/>
          <w:color w:val="000000" w:themeColor="text1"/>
        </w:rPr>
        <w:t xml:space="preserve">, se empleó un enfoque mixto: se analizaron series de comercio bilateral de los últimos veinte años </w:t>
      </w:r>
      <w:r>
        <w:rPr>
          <w:rFonts w:ascii="Arial" w:hAnsi="Arial" w:cs="Arial"/>
          <w:color w:val="000000" w:themeColor="text1"/>
        </w:rPr>
        <w:t xml:space="preserve">entre China y Honduras y entre China y otros países latinoamericanos con un TLC vigente </w:t>
      </w:r>
      <w:r w:rsidRPr="008C1E8A">
        <w:rPr>
          <w:rFonts w:ascii="Arial" w:hAnsi="Arial" w:cs="Arial"/>
          <w:color w:val="000000" w:themeColor="text1"/>
        </w:rPr>
        <w:t>y se utilizaron indicadores clave</w:t>
      </w:r>
      <w:r>
        <w:rPr>
          <w:rFonts w:ascii="Arial" w:hAnsi="Arial" w:cs="Arial"/>
          <w:color w:val="000000" w:themeColor="text1"/>
        </w:rPr>
        <w:t xml:space="preserve">, </w:t>
      </w:r>
      <w:r w:rsidRPr="008C1E8A">
        <w:rPr>
          <w:rFonts w:ascii="Arial" w:hAnsi="Arial" w:cs="Arial"/>
          <w:color w:val="000000" w:themeColor="text1"/>
        </w:rPr>
        <w:t>como el índice de apertura comercial, el índice de complementariedad comercial y el índice de Grubel y Lloyd</w:t>
      </w:r>
      <w:r>
        <w:rPr>
          <w:rFonts w:ascii="Arial" w:hAnsi="Arial" w:cs="Arial"/>
          <w:color w:val="000000" w:themeColor="text1"/>
        </w:rPr>
        <w:t>,</w:t>
      </w:r>
      <w:r w:rsidRPr="008C1E8A">
        <w:rPr>
          <w:rFonts w:ascii="Arial" w:hAnsi="Arial" w:cs="Arial"/>
          <w:color w:val="000000" w:themeColor="text1"/>
        </w:rPr>
        <w:t xml:space="preserve"> junto con un componente cualitativo basado en entrevistas a </w:t>
      </w:r>
      <w:r w:rsidR="00D345EC">
        <w:rPr>
          <w:rFonts w:ascii="Arial" w:hAnsi="Arial" w:cs="Arial"/>
          <w:color w:val="000000" w:themeColor="text1"/>
        </w:rPr>
        <w:t xml:space="preserve">personas </w:t>
      </w:r>
      <w:r w:rsidRPr="008C1E8A">
        <w:rPr>
          <w:rFonts w:ascii="Arial" w:hAnsi="Arial" w:cs="Arial"/>
          <w:color w:val="000000" w:themeColor="text1"/>
        </w:rPr>
        <w:t>productor</w:t>
      </w:r>
      <w:r w:rsidR="00D345EC">
        <w:rPr>
          <w:rFonts w:ascii="Arial" w:hAnsi="Arial" w:cs="Arial"/>
          <w:color w:val="000000" w:themeColor="text1"/>
        </w:rPr>
        <w:t>a</w:t>
      </w:r>
      <w:r w:rsidRPr="008C1E8A">
        <w:rPr>
          <w:rFonts w:ascii="Arial" w:hAnsi="Arial" w:cs="Arial"/>
          <w:color w:val="000000" w:themeColor="text1"/>
        </w:rPr>
        <w:t>s, académic</w:t>
      </w:r>
      <w:r w:rsidR="00D345EC">
        <w:rPr>
          <w:rFonts w:ascii="Arial" w:hAnsi="Arial" w:cs="Arial"/>
          <w:color w:val="000000" w:themeColor="text1"/>
        </w:rPr>
        <w:t>a</w:t>
      </w:r>
      <w:r w:rsidRPr="008C1E8A">
        <w:rPr>
          <w:rFonts w:ascii="Arial" w:hAnsi="Arial" w:cs="Arial"/>
          <w:color w:val="000000" w:themeColor="text1"/>
        </w:rPr>
        <w:t>s y funcionarios vinculados al proceso.</w:t>
      </w:r>
    </w:p>
    <w:p w14:paraId="51FF918B" w14:textId="772DE835" w:rsidR="008C1E8A" w:rsidRPr="00084875" w:rsidRDefault="008C1E8A" w:rsidP="00084875">
      <w:pPr>
        <w:spacing w:after="160" w:line="360" w:lineRule="auto"/>
        <w:jc w:val="both"/>
        <w:rPr>
          <w:rFonts w:ascii="Arial" w:hAnsi="Arial" w:cs="Arial"/>
          <w:color w:val="000000" w:themeColor="text1"/>
        </w:rPr>
      </w:pPr>
      <w:r w:rsidRPr="008C1E8A">
        <w:rPr>
          <w:rFonts w:ascii="Arial" w:hAnsi="Arial" w:cs="Arial"/>
          <w:color w:val="000000" w:themeColor="text1"/>
        </w:rPr>
        <w:t xml:space="preserve">Los hallazgos revelan un panorama </w:t>
      </w:r>
      <w:r>
        <w:rPr>
          <w:rFonts w:ascii="Arial" w:hAnsi="Arial" w:cs="Arial"/>
          <w:color w:val="000000" w:themeColor="text1"/>
        </w:rPr>
        <w:t>heterogéneo</w:t>
      </w:r>
      <w:r w:rsidRPr="008C1E8A">
        <w:rPr>
          <w:rFonts w:ascii="Arial" w:hAnsi="Arial" w:cs="Arial"/>
          <w:color w:val="000000" w:themeColor="text1"/>
        </w:rPr>
        <w:t xml:space="preserve">: por un lado, existen oportunidades relacionadas con el acceso a un mercado de gran escala y con el potencial de impulsar sectores estratégicos; por otro, persisten desafíos vinculados a la limitada diversificación exportadora, las brechas de capacidad productiva y las exigencias institucionales y sanitarias del mercado chino. </w:t>
      </w:r>
      <w:r w:rsidR="00C36793" w:rsidRPr="00C36793">
        <w:rPr>
          <w:rFonts w:ascii="Arial" w:hAnsi="Arial" w:cs="Arial"/>
          <w:color w:val="000000" w:themeColor="text1"/>
        </w:rPr>
        <w:t xml:space="preserve">Estos </w:t>
      </w:r>
      <w:r w:rsidR="00C36793" w:rsidRPr="00C36793">
        <w:rPr>
          <w:rFonts w:ascii="Arial" w:hAnsi="Arial" w:cs="Arial"/>
          <w:color w:val="000000" w:themeColor="text1"/>
        </w:rPr>
        <w:lastRenderedPageBreak/>
        <w:t>elementos permiten delinear recomendaciones orientadas a fortalecer la preparación del país ante un eventual TLC, reduciendo posibles impactos adversos y creando las condiciones necesarias para un aprovechamiento responsable de sus beneficios.</w:t>
      </w:r>
    </w:p>
    <w:p w14:paraId="350FD8A3" w14:textId="77777777" w:rsidR="004E3B2B" w:rsidRPr="001232BA" w:rsidRDefault="004E3B2B">
      <w:pPr>
        <w:spacing w:after="160" w:line="259" w:lineRule="auto"/>
        <w:rPr>
          <w:rFonts w:ascii="Arial" w:hAnsi="Arial" w:cs="Arial"/>
          <w:b/>
          <w:bCs/>
          <w:color w:val="000000" w:themeColor="text1"/>
          <w:sz w:val="28"/>
          <w:szCs w:val="28"/>
        </w:rPr>
      </w:pPr>
    </w:p>
    <w:p w14:paraId="76CD338F" w14:textId="4CE4225A" w:rsidR="00C36793" w:rsidRPr="00795AAA" w:rsidRDefault="00795AAA">
      <w:pPr>
        <w:spacing w:after="160" w:line="259" w:lineRule="auto"/>
        <w:rPr>
          <w:rFonts w:ascii="Arial" w:hAnsi="Arial" w:cs="Arial"/>
          <w:b/>
          <w:bCs/>
          <w:color w:val="000000" w:themeColor="text1"/>
        </w:rPr>
      </w:pPr>
      <w:r w:rsidRPr="00795AAA">
        <w:rPr>
          <w:rFonts w:ascii="Arial" w:hAnsi="Arial" w:cs="Arial"/>
          <w:b/>
          <w:bCs/>
          <w:color w:val="000000" w:themeColor="text1"/>
        </w:rPr>
        <w:t xml:space="preserve">PALABRAS CLAVES:  </w:t>
      </w:r>
    </w:p>
    <w:p w14:paraId="286105E2" w14:textId="78DC9F35" w:rsidR="004E3B2B" w:rsidRDefault="00795AAA" w:rsidP="00C36793">
      <w:pPr>
        <w:spacing w:after="160" w:line="360" w:lineRule="auto"/>
        <w:jc w:val="both"/>
        <w:rPr>
          <w:rFonts w:ascii="Arial" w:hAnsi="Arial" w:cs="Arial"/>
          <w:b/>
          <w:bCs/>
          <w:color w:val="0D78CA" w:themeColor="background2" w:themeShade="80"/>
          <w:sz w:val="28"/>
          <w:szCs w:val="28"/>
        </w:rPr>
      </w:pPr>
      <w:r w:rsidRPr="00795AAA">
        <w:rPr>
          <w:rFonts w:ascii="Arial" w:hAnsi="Arial" w:cs="Arial"/>
          <w:color w:val="000000" w:themeColor="text1"/>
        </w:rPr>
        <w:t>TRATADO DE LIBRE COMERCIO, HONDURAS, CHINA, COMERCIO INTERNACIONAL, EXPORTACIONES, INVERSIÓN EXTRANJERA DIRECTA, DIVERSIFICACIÓN PRODUCTIVA</w:t>
      </w:r>
      <w:r w:rsidR="004E3B2B" w:rsidRPr="006D1A79">
        <w:rPr>
          <w:rFonts w:ascii="Arial" w:hAnsi="Arial" w:cs="Arial"/>
          <w:b/>
          <w:bCs/>
          <w:color w:val="0D78CA" w:themeColor="background2" w:themeShade="80"/>
          <w:sz w:val="28"/>
          <w:szCs w:val="28"/>
        </w:rPr>
        <w:br w:type="page"/>
      </w:r>
    </w:p>
    <w:p w14:paraId="43BA879A" w14:textId="0D888E8E" w:rsidR="00C36793" w:rsidRPr="006D1A79" w:rsidRDefault="004E3B2B" w:rsidP="00C36793">
      <w:pPr>
        <w:spacing w:after="160" w:line="360" w:lineRule="auto"/>
        <w:jc w:val="both"/>
        <w:rPr>
          <w:rFonts w:ascii="Arial" w:hAnsi="Arial" w:cs="Arial"/>
          <w:b/>
          <w:bCs/>
          <w:color w:val="000000" w:themeColor="text1"/>
          <w:lang w:val="en-US"/>
        </w:rPr>
      </w:pPr>
      <w:r w:rsidRPr="006D1A79">
        <w:rPr>
          <w:rFonts w:ascii="Arial" w:hAnsi="Arial" w:cs="Arial"/>
          <w:b/>
          <w:bCs/>
          <w:color w:val="000000" w:themeColor="text1"/>
          <w:lang w:val="en-US"/>
        </w:rPr>
        <w:lastRenderedPageBreak/>
        <w:t xml:space="preserve">ABSTRACT </w:t>
      </w:r>
    </w:p>
    <w:p w14:paraId="68A4A744" w14:textId="4AD18898" w:rsidR="00C36793" w:rsidRPr="006D1A79" w:rsidRDefault="00C36793" w:rsidP="00C36793">
      <w:pPr>
        <w:spacing w:after="160" w:line="360" w:lineRule="auto"/>
        <w:jc w:val="both"/>
        <w:rPr>
          <w:rFonts w:ascii="Arial" w:hAnsi="Arial" w:cs="Arial"/>
          <w:color w:val="000000" w:themeColor="text1"/>
          <w:lang w:val="en-US"/>
        </w:rPr>
      </w:pPr>
      <w:r w:rsidRPr="006D1A79">
        <w:rPr>
          <w:rFonts w:ascii="Arial" w:hAnsi="Arial" w:cs="Arial"/>
          <w:color w:val="000000" w:themeColor="text1"/>
          <w:lang w:val="en-US"/>
        </w:rPr>
        <w:t>In March 2023, Honduras officially recognized the People’s Republic of China as the sole China, ending its diplomatic relations with Taiwan and terminating the trade agreement previously in force between both countries. This geopolitical shift triggered a rapid process of bilateral engagement, including the launch of negotiations for a Free Trade Agreement (FTA) between Honduras and China, expected to conclude in 2026. Since then, Honduran productive sectors have expressed diverse expectations regarding the potential implications of such agreement, particularly in terms of market access, competitiveness, and institutional requirements.</w:t>
      </w:r>
    </w:p>
    <w:p w14:paraId="343191C2" w14:textId="63721319" w:rsidR="00C36793" w:rsidRPr="006D1A79" w:rsidRDefault="00C36793" w:rsidP="00C36793">
      <w:pPr>
        <w:spacing w:after="160" w:line="360" w:lineRule="auto"/>
        <w:jc w:val="both"/>
        <w:rPr>
          <w:rFonts w:ascii="Arial" w:hAnsi="Arial" w:cs="Arial"/>
          <w:color w:val="000000" w:themeColor="text1"/>
          <w:lang w:val="en-US"/>
        </w:rPr>
      </w:pPr>
      <w:r w:rsidRPr="006D1A79">
        <w:rPr>
          <w:rFonts w:ascii="Arial" w:hAnsi="Arial" w:cs="Arial"/>
          <w:color w:val="000000" w:themeColor="text1"/>
          <w:lang w:val="en-US"/>
        </w:rPr>
        <w:t>The commercial relationship between Honduras and China over the past two decades has been characterized by a pronounced asymmetry, reflected in a persistent trade deficit and an export structure highly concentrated in primary goods, contrasted with a steady inflow of Chinese manufactured and technological products.</w:t>
      </w:r>
    </w:p>
    <w:p w14:paraId="7228C30E" w14:textId="6FA523B1" w:rsidR="00C36793" w:rsidRPr="006D1A79" w:rsidRDefault="00C36793" w:rsidP="00C36793">
      <w:pPr>
        <w:spacing w:after="160" w:line="360" w:lineRule="auto"/>
        <w:jc w:val="both"/>
        <w:rPr>
          <w:rFonts w:ascii="Arial" w:hAnsi="Arial" w:cs="Arial"/>
          <w:color w:val="000000" w:themeColor="text1"/>
          <w:lang w:val="en-US"/>
        </w:rPr>
      </w:pPr>
      <w:r w:rsidRPr="006D1A79">
        <w:rPr>
          <w:rFonts w:ascii="Arial" w:hAnsi="Arial" w:cs="Arial"/>
          <w:color w:val="000000" w:themeColor="text1"/>
          <w:lang w:val="en-US"/>
        </w:rPr>
        <w:t xml:space="preserve">The objective of this research is to identify the main expectations of Honduras’ strategic sectors by analyzing the potential opportunities and challenges arising from the implementation of the FTA. </w:t>
      </w:r>
      <w:r w:rsidR="00D345EC">
        <w:rPr>
          <w:rFonts w:ascii="Arial" w:hAnsi="Arial" w:cs="Arial"/>
          <w:color w:val="000000" w:themeColor="text1"/>
          <w:lang w:val="en-US"/>
        </w:rPr>
        <w:t xml:space="preserve">The </w:t>
      </w:r>
      <w:r w:rsidR="00AE2D0F">
        <w:rPr>
          <w:rFonts w:ascii="Arial" w:hAnsi="Arial" w:cs="Arial"/>
          <w:color w:val="000000" w:themeColor="text1"/>
          <w:lang w:val="en-US"/>
        </w:rPr>
        <w:t>theoretical</w:t>
      </w:r>
      <w:r w:rsidR="00D345EC">
        <w:rPr>
          <w:rFonts w:ascii="Arial" w:hAnsi="Arial" w:cs="Arial"/>
          <w:color w:val="000000" w:themeColor="text1"/>
          <w:lang w:val="en-US"/>
        </w:rPr>
        <w:t xml:space="preserve"> background is based </w:t>
      </w:r>
      <w:r w:rsidR="00AE2D0F">
        <w:rPr>
          <w:rFonts w:ascii="Arial" w:hAnsi="Arial" w:cs="Arial"/>
          <w:color w:val="000000" w:themeColor="text1"/>
          <w:lang w:val="en-US"/>
        </w:rPr>
        <w:t>on</w:t>
      </w:r>
      <w:r w:rsidR="00D345EC">
        <w:rPr>
          <w:rFonts w:ascii="Arial" w:hAnsi="Arial" w:cs="Arial"/>
          <w:color w:val="000000" w:themeColor="text1"/>
          <w:lang w:val="en-US"/>
        </w:rPr>
        <w:t xml:space="preserve"> international trade theories and trade negotiations. </w:t>
      </w:r>
      <w:r w:rsidRPr="006D1A79">
        <w:rPr>
          <w:rFonts w:ascii="Arial" w:hAnsi="Arial" w:cs="Arial"/>
          <w:color w:val="000000" w:themeColor="text1"/>
          <w:lang w:val="en-US"/>
        </w:rPr>
        <w:t>A mixed-methods approach was employed: bilateral trade data from the last twenty years was analyzed</w:t>
      </w:r>
      <w:r w:rsidR="005A5F07">
        <w:rPr>
          <w:rFonts w:ascii="Arial" w:hAnsi="Arial" w:cs="Arial"/>
          <w:color w:val="000000" w:themeColor="text1"/>
          <w:lang w:val="en-US"/>
        </w:rPr>
        <w:t xml:space="preserve"> </w:t>
      </w:r>
      <w:r w:rsidRPr="006D1A79">
        <w:rPr>
          <w:rFonts w:ascii="Arial" w:hAnsi="Arial" w:cs="Arial"/>
          <w:color w:val="000000" w:themeColor="text1"/>
          <w:lang w:val="en-US"/>
        </w:rPr>
        <w:t>both between Honduras and China and between China and other Latin American countries with existing FTAs</w:t>
      </w:r>
      <w:r w:rsidR="005A5F07">
        <w:rPr>
          <w:rFonts w:ascii="Arial" w:hAnsi="Arial" w:cs="Arial"/>
          <w:color w:val="000000" w:themeColor="text1"/>
          <w:lang w:val="en-US"/>
        </w:rPr>
        <w:t xml:space="preserve"> </w:t>
      </w:r>
      <w:r w:rsidRPr="006D1A79">
        <w:rPr>
          <w:rFonts w:ascii="Arial" w:hAnsi="Arial" w:cs="Arial"/>
          <w:color w:val="000000" w:themeColor="text1"/>
          <w:lang w:val="en-US"/>
        </w:rPr>
        <w:t>and key indicators such as the trade openness index, the trade complementarity index, and the Grubel-Lloyd index were used. This analysis was complemented by qualitative evidence gathered through interviews with producers, academics, and government officials involved in the process.</w:t>
      </w:r>
    </w:p>
    <w:p w14:paraId="6F1E0EC0" w14:textId="0E1F8FAD" w:rsidR="00C36793" w:rsidRPr="006D1A79" w:rsidRDefault="00C36793" w:rsidP="00C36793">
      <w:pPr>
        <w:spacing w:after="160" w:line="360" w:lineRule="auto"/>
        <w:jc w:val="both"/>
        <w:rPr>
          <w:rFonts w:ascii="Arial" w:hAnsi="Arial" w:cs="Arial"/>
          <w:color w:val="000000" w:themeColor="text1"/>
          <w:lang w:val="en-US"/>
        </w:rPr>
      </w:pPr>
      <w:r w:rsidRPr="006D1A79">
        <w:rPr>
          <w:rFonts w:ascii="Arial" w:hAnsi="Arial" w:cs="Arial"/>
          <w:color w:val="000000" w:themeColor="text1"/>
          <w:lang w:val="en-US"/>
        </w:rPr>
        <w:t xml:space="preserve">Findings reveal a heterogeneous landscape: on the one hand, opportunities emerge from access to a large and dynamic market and the potential to strengthen strategic export sectors; on the other, significant challenges persist, including limited export diversification, production capacity gaps, and the institutional and sanitary requirements associated with the Chinese market. These elements inform recommendations aimed at strengthening the country’s </w:t>
      </w:r>
      <w:r w:rsidRPr="006D1A79">
        <w:rPr>
          <w:rFonts w:ascii="Arial" w:hAnsi="Arial" w:cs="Arial"/>
          <w:color w:val="000000" w:themeColor="text1"/>
          <w:lang w:val="en-US"/>
        </w:rPr>
        <w:lastRenderedPageBreak/>
        <w:t>preparedness for an eventual FTA, mitigating potential adverse impacts, and creating the conditions necessary for a responsible and sustainable use of its benefits.</w:t>
      </w:r>
    </w:p>
    <w:p w14:paraId="4780D13B" w14:textId="77777777" w:rsidR="00795AAA" w:rsidRPr="006D1A79" w:rsidRDefault="00795AAA" w:rsidP="00C36793">
      <w:pPr>
        <w:spacing w:after="160" w:line="360" w:lineRule="auto"/>
        <w:jc w:val="both"/>
        <w:rPr>
          <w:rFonts w:ascii="Arial" w:hAnsi="Arial" w:cs="Arial"/>
          <w:color w:val="000000" w:themeColor="text1"/>
          <w:lang w:val="en-US"/>
        </w:rPr>
      </w:pPr>
    </w:p>
    <w:p w14:paraId="33069EF4" w14:textId="2766E732" w:rsidR="004E3B2B" w:rsidRPr="006D1A79" w:rsidRDefault="00795AAA" w:rsidP="00C36793">
      <w:pPr>
        <w:spacing w:after="160" w:line="360" w:lineRule="auto"/>
        <w:jc w:val="both"/>
        <w:rPr>
          <w:rFonts w:ascii="Arial" w:hAnsi="Arial" w:cs="Arial"/>
          <w:b/>
          <w:bCs/>
          <w:color w:val="000000" w:themeColor="text1"/>
          <w:lang w:val="en-US"/>
        </w:rPr>
      </w:pPr>
      <w:r w:rsidRPr="006D1A79">
        <w:rPr>
          <w:rFonts w:ascii="Arial" w:hAnsi="Arial" w:cs="Arial"/>
          <w:b/>
          <w:bCs/>
          <w:color w:val="000000" w:themeColor="text1"/>
          <w:lang w:val="en-US"/>
        </w:rPr>
        <w:t>KEYWORDS:</w:t>
      </w:r>
    </w:p>
    <w:p w14:paraId="3BA37864" w14:textId="42D4AC5D" w:rsidR="00C36793" w:rsidRPr="006D1A79" w:rsidRDefault="00795AAA" w:rsidP="00C36793">
      <w:pPr>
        <w:spacing w:after="160" w:line="360" w:lineRule="auto"/>
        <w:jc w:val="both"/>
        <w:rPr>
          <w:rFonts w:ascii="Arial" w:hAnsi="Arial" w:cs="Arial"/>
          <w:strike/>
          <w:color w:val="000000" w:themeColor="text1"/>
          <w:lang w:val="en-US"/>
        </w:rPr>
      </w:pPr>
      <w:r w:rsidRPr="006D1A79">
        <w:rPr>
          <w:rFonts w:ascii="Arial" w:hAnsi="Arial" w:cs="Arial"/>
          <w:color w:val="000000" w:themeColor="text1"/>
          <w:lang w:val="en-US"/>
        </w:rPr>
        <w:t>FREE TRADE AGREEMENT, HONDURAS, CHINA, INTERNATIONAL TRADE, EXPORTS, FOREIGN DIRECT INVESTMENT, PRODUCTIVE DIVERSIFICATION</w:t>
      </w:r>
    </w:p>
    <w:p w14:paraId="5CD57571" w14:textId="77777777" w:rsidR="004E3B2B" w:rsidRPr="006D1A79" w:rsidRDefault="004E3B2B" w:rsidP="004E3B2B">
      <w:pPr>
        <w:spacing w:after="160" w:line="259" w:lineRule="auto"/>
        <w:rPr>
          <w:rFonts w:ascii="Arial" w:hAnsi="Arial" w:cs="Arial"/>
          <w:b/>
          <w:bCs/>
          <w:color w:val="0D78CA" w:themeColor="background2" w:themeShade="80"/>
          <w:sz w:val="28"/>
          <w:szCs w:val="28"/>
          <w:lang w:val="en-US"/>
        </w:rPr>
      </w:pPr>
    </w:p>
    <w:p w14:paraId="7DCC9701" w14:textId="77777777" w:rsidR="004E3B2B" w:rsidRPr="006D1A79" w:rsidRDefault="004E3B2B" w:rsidP="004E3B2B">
      <w:pPr>
        <w:spacing w:after="160" w:line="259" w:lineRule="auto"/>
        <w:rPr>
          <w:rFonts w:ascii="Arial" w:hAnsi="Arial" w:cs="Arial"/>
          <w:color w:val="0D78CA" w:themeColor="background2" w:themeShade="80"/>
          <w:lang w:val="en-US"/>
        </w:rPr>
      </w:pPr>
    </w:p>
    <w:p w14:paraId="01899FD3" w14:textId="641FAA34" w:rsidR="004E3B2B" w:rsidRPr="006D1A79" w:rsidRDefault="004E3B2B">
      <w:pPr>
        <w:spacing w:after="160" w:line="259" w:lineRule="auto"/>
        <w:rPr>
          <w:rFonts w:ascii="Arial" w:hAnsi="Arial" w:cs="Arial"/>
          <w:color w:val="0D78CA" w:themeColor="background2" w:themeShade="80"/>
          <w:lang w:val="en-US"/>
        </w:rPr>
      </w:pPr>
      <w:r w:rsidRPr="006D1A79">
        <w:rPr>
          <w:rFonts w:ascii="Arial" w:hAnsi="Arial" w:cs="Arial"/>
          <w:color w:val="0D78CA" w:themeColor="background2" w:themeShade="80"/>
          <w:lang w:val="en-US"/>
        </w:rPr>
        <w:br w:type="page"/>
      </w:r>
    </w:p>
    <w:p w14:paraId="168846BA" w14:textId="77777777" w:rsidR="00540945" w:rsidRPr="007B43C7" w:rsidRDefault="00540945" w:rsidP="007B43C7">
      <w:pPr>
        <w:spacing w:after="160" w:line="360" w:lineRule="auto"/>
        <w:jc w:val="both"/>
        <w:rPr>
          <w:rFonts w:ascii="Arial" w:hAnsi="Arial" w:cs="Arial"/>
          <w:b/>
          <w:bCs/>
          <w:color w:val="000000" w:themeColor="text1"/>
          <w:lang w:val="es-ES"/>
        </w:rPr>
      </w:pPr>
      <w:r w:rsidRPr="007B43C7">
        <w:rPr>
          <w:rFonts w:ascii="Arial" w:hAnsi="Arial" w:cs="Arial"/>
          <w:b/>
          <w:bCs/>
          <w:color w:val="000000" w:themeColor="text1"/>
          <w:lang w:val="es-ES"/>
        </w:rPr>
        <w:lastRenderedPageBreak/>
        <w:t>Agradecimiento</w:t>
      </w:r>
    </w:p>
    <w:p w14:paraId="614A1620" w14:textId="11E9F5D0" w:rsidR="007B43C7" w:rsidRPr="007B43C7" w:rsidRDefault="007B43C7" w:rsidP="007B43C7">
      <w:pPr>
        <w:spacing w:after="160" w:line="360" w:lineRule="auto"/>
        <w:jc w:val="both"/>
        <w:rPr>
          <w:rFonts w:ascii="Arial" w:hAnsi="Arial" w:cs="Arial"/>
          <w:color w:val="000000" w:themeColor="text1"/>
          <w:lang w:val="es-ES"/>
        </w:rPr>
      </w:pPr>
      <w:r w:rsidRPr="007B43C7">
        <w:rPr>
          <w:rFonts w:ascii="Arial" w:hAnsi="Arial" w:cs="Arial"/>
          <w:color w:val="000000" w:themeColor="text1"/>
          <w:lang w:val="es-ES"/>
        </w:rPr>
        <w:t>Expreso mi profundo agradecimiento, en primer lugar, a mi familia por su apoyo incondicional. A la Universidad Nacional y al CINPE por brindarme la oportunidad de desarrollar esta investigación en un entorno académico de excelencia.</w:t>
      </w:r>
    </w:p>
    <w:p w14:paraId="54CE5EBF" w14:textId="39D43237" w:rsidR="007B43C7" w:rsidRPr="007B43C7" w:rsidRDefault="007B43C7" w:rsidP="007B43C7">
      <w:pPr>
        <w:spacing w:after="160" w:line="360" w:lineRule="auto"/>
        <w:jc w:val="both"/>
        <w:rPr>
          <w:rFonts w:ascii="Arial" w:hAnsi="Arial" w:cs="Arial"/>
          <w:color w:val="000000" w:themeColor="text1"/>
          <w:lang w:val="es-ES"/>
        </w:rPr>
      </w:pPr>
      <w:r w:rsidRPr="007B43C7">
        <w:rPr>
          <w:rFonts w:ascii="Arial" w:hAnsi="Arial" w:cs="Arial"/>
          <w:color w:val="000000" w:themeColor="text1"/>
          <w:lang w:val="es-ES"/>
        </w:rPr>
        <w:t>A mis maestros, cuyo compromiso y dedicación fueron fundamentales en este proceso. De manera especial, extiendo mi agradecimiento a mi tutor de tesis por su guía</w:t>
      </w:r>
      <w:r>
        <w:rPr>
          <w:rFonts w:ascii="Arial" w:hAnsi="Arial" w:cs="Arial"/>
          <w:color w:val="000000" w:themeColor="text1"/>
          <w:lang w:val="es-ES"/>
        </w:rPr>
        <w:t xml:space="preserve"> y acompañamiento</w:t>
      </w:r>
      <w:r w:rsidRPr="007B43C7">
        <w:rPr>
          <w:rFonts w:ascii="Arial" w:hAnsi="Arial" w:cs="Arial"/>
          <w:color w:val="000000" w:themeColor="text1"/>
          <w:lang w:val="es-ES"/>
        </w:rPr>
        <w:t>.</w:t>
      </w:r>
    </w:p>
    <w:p w14:paraId="32DA5D9D" w14:textId="1C3C9124" w:rsidR="006D5DC7" w:rsidRDefault="007B43C7" w:rsidP="006D5DC7">
      <w:pPr>
        <w:spacing w:after="160" w:line="360" w:lineRule="auto"/>
        <w:jc w:val="both"/>
        <w:rPr>
          <w:rFonts w:ascii="Arial" w:hAnsi="Arial" w:cs="Arial"/>
          <w:color w:val="0D78CA" w:themeColor="background2" w:themeShade="80"/>
          <w:lang w:val="es-ES"/>
        </w:rPr>
      </w:pPr>
      <w:r w:rsidRPr="007B43C7">
        <w:rPr>
          <w:rFonts w:ascii="Arial" w:hAnsi="Arial" w:cs="Arial"/>
          <w:color w:val="000000" w:themeColor="text1"/>
          <w:lang w:val="es-ES"/>
        </w:rPr>
        <w:t>Agradezco también al DAAD</w:t>
      </w:r>
      <w:r w:rsidR="006D5DC7">
        <w:rPr>
          <w:rFonts w:ascii="Arial" w:hAnsi="Arial" w:cs="Arial"/>
          <w:color w:val="000000" w:themeColor="text1"/>
          <w:lang w:val="es-ES"/>
        </w:rPr>
        <w:t xml:space="preserve"> </w:t>
      </w:r>
      <w:r w:rsidRPr="007B43C7">
        <w:rPr>
          <w:rFonts w:ascii="Arial" w:hAnsi="Arial" w:cs="Arial"/>
          <w:color w:val="000000" w:themeColor="text1"/>
          <w:lang w:val="es-ES"/>
        </w:rPr>
        <w:t>por la oportunidad de crecimiento académico, profesional y cultural que hizo posible la realización de esta maestría.</w:t>
      </w:r>
      <w:r w:rsidR="004E3B2B">
        <w:rPr>
          <w:rFonts w:ascii="Arial" w:hAnsi="Arial" w:cs="Arial"/>
          <w:color w:val="0D78CA" w:themeColor="background2" w:themeShade="80"/>
          <w:lang w:val="es-ES"/>
        </w:rPr>
        <w:br w:type="page"/>
      </w:r>
      <w:r w:rsidR="006D5DC7">
        <w:rPr>
          <w:rFonts w:ascii="Arial" w:hAnsi="Arial" w:cs="Arial"/>
          <w:b/>
          <w:bCs/>
          <w:color w:val="000000" w:themeColor="text1"/>
          <w:lang w:val="es-ES"/>
        </w:rPr>
        <w:lastRenderedPageBreak/>
        <w:t>Dedicatoria</w:t>
      </w:r>
    </w:p>
    <w:p w14:paraId="4049B47D" w14:textId="5A98DCDB" w:rsidR="004E3B2B" w:rsidRPr="006D5DC7" w:rsidRDefault="006D5DC7" w:rsidP="006D5DC7">
      <w:pPr>
        <w:spacing w:after="160" w:line="360" w:lineRule="auto"/>
        <w:jc w:val="both"/>
        <w:rPr>
          <w:rFonts w:ascii="Arial" w:hAnsi="Arial" w:cs="Arial"/>
          <w:color w:val="0D78CA" w:themeColor="background2" w:themeShade="80"/>
          <w:lang w:val="es-ES"/>
        </w:rPr>
      </w:pPr>
      <w:r w:rsidRPr="006D5DC7">
        <w:rPr>
          <w:rFonts w:ascii="Arial" w:hAnsi="Arial" w:cs="Arial"/>
          <w:color w:val="000000" w:themeColor="text1"/>
          <w:lang w:val="es-ES"/>
        </w:rPr>
        <w:t xml:space="preserve">Dedico este trabajo a mi familia, por su apoyo constante y por acompañarme en cada desafío, especialmente a mi madre, quien me ha enseñado la importancia de la resiliencia y la perseverancia. </w:t>
      </w:r>
    </w:p>
    <w:p w14:paraId="55BD7A6E" w14:textId="77777777" w:rsidR="004E3B2B" w:rsidRPr="004E3B2B" w:rsidRDefault="004E3B2B">
      <w:pPr>
        <w:spacing w:after="160" w:line="259" w:lineRule="auto"/>
        <w:rPr>
          <w:rFonts w:ascii="Arial" w:hAnsi="Arial" w:cs="Arial"/>
          <w:color w:val="0D78CA" w:themeColor="background2" w:themeShade="80"/>
          <w:lang w:val="es-ES"/>
        </w:rPr>
      </w:pPr>
    </w:p>
    <w:p w14:paraId="429E1E8F" w14:textId="77777777" w:rsidR="007F15F1" w:rsidRPr="007F15F1" w:rsidRDefault="007F15F1" w:rsidP="007F15F1">
      <w:pPr>
        <w:spacing w:line="360" w:lineRule="auto"/>
        <w:rPr>
          <w:rFonts w:ascii="Arial" w:hAnsi="Arial" w:cs="Arial"/>
          <w:lang w:val="es-ES"/>
        </w:rPr>
      </w:pPr>
    </w:p>
    <w:p w14:paraId="14A7CFA4" w14:textId="77777777" w:rsidR="00DA5180" w:rsidRPr="007F15F1" w:rsidRDefault="00DA5180" w:rsidP="002168C8">
      <w:pPr>
        <w:spacing w:line="360" w:lineRule="auto"/>
        <w:rPr>
          <w:rFonts w:ascii="Arial" w:hAnsi="Arial" w:cs="Arial"/>
          <w:lang w:val="es-ES"/>
        </w:rPr>
      </w:pPr>
    </w:p>
    <w:p w14:paraId="27F925E0" w14:textId="77777777" w:rsidR="007F15F1" w:rsidRDefault="007F15F1" w:rsidP="002168C8">
      <w:pPr>
        <w:spacing w:line="360" w:lineRule="auto"/>
        <w:rPr>
          <w:rFonts w:ascii="Arial" w:hAnsi="Arial" w:cs="Arial"/>
        </w:rPr>
      </w:pPr>
    </w:p>
    <w:p w14:paraId="0AC98F54" w14:textId="3DFB7A9F" w:rsidR="007F15F1" w:rsidRPr="003E0592" w:rsidRDefault="004E3B2B" w:rsidP="003927B6">
      <w:pPr>
        <w:spacing w:after="160" w:line="259" w:lineRule="auto"/>
        <w:rPr>
          <w:rFonts w:ascii="Arial" w:hAnsi="Arial" w:cs="Arial"/>
        </w:rPr>
      </w:pPr>
      <w:r>
        <w:rPr>
          <w:rFonts w:ascii="Arial" w:hAnsi="Arial" w:cs="Arial"/>
        </w:rPr>
        <w:br w:type="page"/>
      </w:r>
    </w:p>
    <w:p w14:paraId="3244C62A" w14:textId="7E611EBB" w:rsidR="004E3B2B" w:rsidRPr="00DB32E2" w:rsidRDefault="00540945" w:rsidP="00822279">
      <w:pPr>
        <w:spacing w:line="360" w:lineRule="auto"/>
        <w:jc w:val="both"/>
        <w:rPr>
          <w:rFonts w:ascii="Arial" w:hAnsi="Arial" w:cs="Arial"/>
          <w:b/>
          <w:bCs/>
          <w:color w:val="000000" w:themeColor="text1"/>
        </w:rPr>
      </w:pPr>
      <w:r w:rsidRPr="00DB32E2">
        <w:rPr>
          <w:rFonts w:ascii="Arial" w:hAnsi="Arial" w:cs="Arial"/>
          <w:b/>
          <w:bCs/>
          <w:color w:val="000000" w:themeColor="text1"/>
        </w:rPr>
        <w:lastRenderedPageBreak/>
        <w:t>Tabla de Contenido</w:t>
      </w:r>
    </w:p>
    <w:sdt>
      <w:sdtPr>
        <w:rPr>
          <w:rFonts w:ascii="Arial" w:hAnsi="Arial" w:cs="Arial"/>
        </w:rPr>
        <w:id w:val="-426955556"/>
        <w:docPartObj>
          <w:docPartGallery w:val="Table of Contents"/>
          <w:docPartUnique/>
        </w:docPartObj>
      </w:sdtPr>
      <w:sdtEndPr>
        <w:rPr>
          <w:b/>
          <w:bCs/>
        </w:rPr>
      </w:sdtEndPr>
      <w:sdtContent>
        <w:p w14:paraId="3D8035D4" w14:textId="65ACCC3A" w:rsidR="00580BA9" w:rsidRPr="00715C83" w:rsidRDefault="00031B05">
          <w:pPr>
            <w:pStyle w:val="TDC1"/>
            <w:tabs>
              <w:tab w:val="right" w:leader="dot" w:pos="8494"/>
            </w:tabs>
            <w:rPr>
              <w:rFonts w:ascii="Arial" w:eastAsiaTheme="minorEastAsia" w:hAnsi="Arial" w:cs="Arial"/>
              <w:noProof/>
              <w:kern w:val="2"/>
              <w:lang w:eastAsia="es-CR"/>
              <w14:ligatures w14:val="standardContextual"/>
            </w:rPr>
          </w:pPr>
          <w:r w:rsidRPr="00715C83">
            <w:rPr>
              <w:rFonts w:ascii="Arial" w:hAnsi="Arial" w:cs="Arial"/>
            </w:rPr>
            <w:fldChar w:fldCharType="begin"/>
          </w:r>
          <w:r w:rsidRPr="00715C83">
            <w:rPr>
              <w:rFonts w:ascii="Arial" w:hAnsi="Arial" w:cs="Arial"/>
            </w:rPr>
            <w:instrText xml:space="preserve"> TOC \o "1-3" \h \z \u </w:instrText>
          </w:r>
          <w:r w:rsidRPr="00715C83">
            <w:rPr>
              <w:rFonts w:ascii="Arial" w:hAnsi="Arial" w:cs="Arial"/>
            </w:rPr>
            <w:fldChar w:fldCharType="separate"/>
          </w:r>
          <w:hyperlink w:anchor="_Toc236232331" w:history="1">
            <w:r w:rsidR="00580BA9" w:rsidRPr="00715C83">
              <w:rPr>
                <w:rStyle w:val="Hipervnculo"/>
                <w:rFonts w:ascii="Arial" w:hAnsi="Arial" w:cs="Arial"/>
                <w:b/>
                <w:bCs/>
                <w:noProof/>
              </w:rPr>
              <w:t>CAPÍTULO 1: CONTEXTO GENERAL DE LA INVESTIGACIÓN Y PROBLEMATIZACIÓN</w:t>
            </w:r>
            <w:r w:rsidR="00580BA9" w:rsidRPr="00715C83">
              <w:rPr>
                <w:rFonts w:ascii="Arial" w:hAnsi="Arial" w:cs="Arial"/>
                <w:noProof/>
                <w:webHidden/>
              </w:rPr>
              <w:tab/>
            </w:r>
            <w:r w:rsidR="00580BA9" w:rsidRPr="00715C83">
              <w:rPr>
                <w:rFonts w:ascii="Arial" w:hAnsi="Arial" w:cs="Arial"/>
                <w:noProof/>
                <w:webHidden/>
              </w:rPr>
              <w:fldChar w:fldCharType="begin"/>
            </w:r>
            <w:r w:rsidR="00580BA9" w:rsidRPr="00715C83">
              <w:rPr>
                <w:rFonts w:ascii="Arial" w:hAnsi="Arial" w:cs="Arial"/>
                <w:noProof/>
                <w:webHidden/>
              </w:rPr>
              <w:instrText xml:space="preserve"> PAGEREF _Toc236232331 \h </w:instrText>
            </w:r>
            <w:r w:rsidR="00580BA9" w:rsidRPr="00715C83">
              <w:rPr>
                <w:rFonts w:ascii="Arial" w:hAnsi="Arial" w:cs="Arial"/>
                <w:noProof/>
                <w:webHidden/>
              </w:rPr>
            </w:r>
            <w:r w:rsidR="00580BA9" w:rsidRPr="00715C83">
              <w:rPr>
                <w:rFonts w:ascii="Arial" w:hAnsi="Arial" w:cs="Arial"/>
                <w:noProof/>
                <w:webHidden/>
              </w:rPr>
              <w:fldChar w:fldCharType="separate"/>
            </w:r>
            <w:r w:rsidR="00580BA9" w:rsidRPr="00715C83">
              <w:rPr>
                <w:rFonts w:ascii="Arial" w:hAnsi="Arial" w:cs="Arial"/>
                <w:noProof/>
                <w:webHidden/>
              </w:rPr>
              <w:t>1</w:t>
            </w:r>
            <w:r w:rsidR="00580BA9" w:rsidRPr="00715C83">
              <w:rPr>
                <w:rFonts w:ascii="Arial" w:hAnsi="Arial" w:cs="Arial"/>
                <w:noProof/>
                <w:webHidden/>
              </w:rPr>
              <w:fldChar w:fldCharType="end"/>
            </w:r>
          </w:hyperlink>
        </w:p>
        <w:p w14:paraId="7A9DECBD" w14:textId="408D6165" w:rsidR="00580BA9" w:rsidRPr="00715C83" w:rsidRDefault="00580BA9">
          <w:pPr>
            <w:pStyle w:val="TDC2"/>
            <w:tabs>
              <w:tab w:val="left" w:pos="960"/>
              <w:tab w:val="right" w:leader="dot" w:pos="8494"/>
            </w:tabs>
            <w:rPr>
              <w:rFonts w:ascii="Arial" w:eastAsiaTheme="minorEastAsia" w:hAnsi="Arial" w:cs="Arial"/>
              <w:noProof/>
              <w:kern w:val="2"/>
              <w:lang w:eastAsia="es-CR"/>
              <w14:ligatures w14:val="standardContextual"/>
            </w:rPr>
          </w:pPr>
          <w:hyperlink w:anchor="_Toc236232332" w:history="1">
            <w:r w:rsidRPr="00715C83">
              <w:rPr>
                <w:rStyle w:val="Hipervnculo"/>
                <w:rFonts w:ascii="Arial" w:hAnsi="Arial" w:cs="Arial"/>
                <w:noProof/>
              </w:rPr>
              <w:t>1.1</w:t>
            </w:r>
            <w:r w:rsidRPr="00715C83">
              <w:rPr>
                <w:rFonts w:ascii="Arial" w:eastAsiaTheme="minorEastAsia" w:hAnsi="Arial" w:cs="Arial"/>
                <w:noProof/>
                <w:kern w:val="2"/>
                <w:lang w:eastAsia="es-CR"/>
                <w14:ligatures w14:val="standardContextual"/>
              </w:rPr>
              <w:tab/>
            </w:r>
            <w:r w:rsidRPr="00715C83">
              <w:rPr>
                <w:rStyle w:val="Hipervnculo"/>
                <w:rFonts w:ascii="Arial" w:hAnsi="Arial" w:cs="Arial"/>
                <w:noProof/>
              </w:rPr>
              <w:t>Antecedentes</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_Toc236232332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1</w:t>
            </w:r>
            <w:r w:rsidRPr="00715C83">
              <w:rPr>
                <w:rFonts w:ascii="Arial" w:hAnsi="Arial" w:cs="Arial"/>
                <w:noProof/>
                <w:webHidden/>
              </w:rPr>
              <w:fldChar w:fldCharType="end"/>
            </w:r>
          </w:hyperlink>
        </w:p>
        <w:p w14:paraId="17900FFD" w14:textId="07E22425" w:rsidR="00580BA9" w:rsidRPr="00715C83" w:rsidRDefault="00580BA9">
          <w:pPr>
            <w:pStyle w:val="TDC2"/>
            <w:tabs>
              <w:tab w:val="left" w:pos="960"/>
              <w:tab w:val="right" w:leader="dot" w:pos="8494"/>
            </w:tabs>
            <w:rPr>
              <w:rFonts w:ascii="Arial" w:eastAsiaTheme="minorEastAsia" w:hAnsi="Arial" w:cs="Arial"/>
              <w:noProof/>
              <w:kern w:val="2"/>
              <w:lang w:eastAsia="es-CR"/>
              <w14:ligatures w14:val="standardContextual"/>
            </w:rPr>
          </w:pPr>
          <w:hyperlink w:anchor="_Toc236232333" w:history="1">
            <w:r w:rsidRPr="00715C83">
              <w:rPr>
                <w:rStyle w:val="Hipervnculo"/>
                <w:rFonts w:ascii="Arial" w:hAnsi="Arial" w:cs="Arial"/>
                <w:noProof/>
              </w:rPr>
              <w:t>1.2</w:t>
            </w:r>
            <w:r w:rsidRPr="00715C83">
              <w:rPr>
                <w:rFonts w:ascii="Arial" w:eastAsiaTheme="minorEastAsia" w:hAnsi="Arial" w:cs="Arial"/>
                <w:noProof/>
                <w:kern w:val="2"/>
                <w:lang w:eastAsia="es-CR"/>
                <w14:ligatures w14:val="standardContextual"/>
              </w:rPr>
              <w:tab/>
            </w:r>
            <w:r w:rsidRPr="00715C83">
              <w:rPr>
                <w:rStyle w:val="Hipervnculo"/>
                <w:rFonts w:ascii="Arial" w:hAnsi="Arial" w:cs="Arial"/>
                <w:noProof/>
              </w:rPr>
              <w:t>Justificación</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_Toc236232333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6</w:t>
            </w:r>
            <w:r w:rsidRPr="00715C83">
              <w:rPr>
                <w:rFonts w:ascii="Arial" w:hAnsi="Arial" w:cs="Arial"/>
                <w:noProof/>
                <w:webHidden/>
              </w:rPr>
              <w:fldChar w:fldCharType="end"/>
            </w:r>
          </w:hyperlink>
        </w:p>
        <w:p w14:paraId="0CC2242C" w14:textId="28DE9F42" w:rsidR="00580BA9" w:rsidRPr="00715C83" w:rsidRDefault="00580BA9">
          <w:pPr>
            <w:pStyle w:val="TDC2"/>
            <w:tabs>
              <w:tab w:val="left" w:pos="960"/>
              <w:tab w:val="right" w:leader="dot" w:pos="8494"/>
            </w:tabs>
            <w:rPr>
              <w:rFonts w:ascii="Arial" w:eastAsiaTheme="minorEastAsia" w:hAnsi="Arial" w:cs="Arial"/>
              <w:noProof/>
              <w:kern w:val="2"/>
              <w:lang w:eastAsia="es-CR"/>
              <w14:ligatures w14:val="standardContextual"/>
            </w:rPr>
          </w:pPr>
          <w:hyperlink w:anchor="_Toc236232334" w:history="1">
            <w:r w:rsidRPr="00715C83">
              <w:rPr>
                <w:rStyle w:val="Hipervnculo"/>
                <w:rFonts w:ascii="Arial" w:hAnsi="Arial" w:cs="Arial"/>
                <w:noProof/>
              </w:rPr>
              <w:t>1.3</w:t>
            </w:r>
            <w:r w:rsidRPr="00715C83">
              <w:rPr>
                <w:rFonts w:ascii="Arial" w:eastAsiaTheme="minorEastAsia" w:hAnsi="Arial" w:cs="Arial"/>
                <w:noProof/>
                <w:kern w:val="2"/>
                <w:lang w:eastAsia="es-CR"/>
                <w14:ligatures w14:val="standardContextual"/>
              </w:rPr>
              <w:tab/>
            </w:r>
            <w:r w:rsidRPr="00715C83">
              <w:rPr>
                <w:rStyle w:val="Hipervnculo"/>
                <w:rFonts w:ascii="Arial" w:hAnsi="Arial" w:cs="Arial"/>
                <w:noProof/>
              </w:rPr>
              <w:t>Planteamiento del Problema</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_Toc236232334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8</w:t>
            </w:r>
            <w:r w:rsidRPr="00715C83">
              <w:rPr>
                <w:rFonts w:ascii="Arial" w:hAnsi="Arial" w:cs="Arial"/>
                <w:noProof/>
                <w:webHidden/>
              </w:rPr>
              <w:fldChar w:fldCharType="end"/>
            </w:r>
          </w:hyperlink>
        </w:p>
        <w:p w14:paraId="0EF2557F" w14:textId="63186136" w:rsidR="00580BA9" w:rsidRPr="00715C83" w:rsidRDefault="00580BA9">
          <w:pPr>
            <w:pStyle w:val="TDC2"/>
            <w:tabs>
              <w:tab w:val="left" w:pos="960"/>
              <w:tab w:val="right" w:leader="dot" w:pos="8494"/>
            </w:tabs>
            <w:rPr>
              <w:rFonts w:ascii="Arial" w:eastAsiaTheme="minorEastAsia" w:hAnsi="Arial" w:cs="Arial"/>
              <w:noProof/>
              <w:kern w:val="2"/>
              <w:lang w:eastAsia="es-CR"/>
              <w14:ligatures w14:val="standardContextual"/>
            </w:rPr>
          </w:pPr>
          <w:hyperlink w:anchor="_Toc236232335" w:history="1">
            <w:r w:rsidRPr="00715C83">
              <w:rPr>
                <w:rStyle w:val="Hipervnculo"/>
                <w:rFonts w:ascii="Arial" w:hAnsi="Arial" w:cs="Arial"/>
                <w:noProof/>
              </w:rPr>
              <w:t>1.4</w:t>
            </w:r>
            <w:r w:rsidRPr="00715C83">
              <w:rPr>
                <w:rFonts w:ascii="Arial" w:eastAsiaTheme="minorEastAsia" w:hAnsi="Arial" w:cs="Arial"/>
                <w:noProof/>
                <w:kern w:val="2"/>
                <w:lang w:eastAsia="es-CR"/>
                <w14:ligatures w14:val="standardContextual"/>
              </w:rPr>
              <w:tab/>
            </w:r>
            <w:r w:rsidRPr="00715C83">
              <w:rPr>
                <w:rStyle w:val="Hipervnculo"/>
                <w:rFonts w:ascii="Arial" w:hAnsi="Arial" w:cs="Arial"/>
                <w:noProof/>
              </w:rPr>
              <w:t>Objetivos</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_Toc236232335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11</w:t>
            </w:r>
            <w:r w:rsidRPr="00715C83">
              <w:rPr>
                <w:rFonts w:ascii="Arial" w:hAnsi="Arial" w:cs="Arial"/>
                <w:noProof/>
                <w:webHidden/>
              </w:rPr>
              <w:fldChar w:fldCharType="end"/>
            </w:r>
          </w:hyperlink>
        </w:p>
        <w:p w14:paraId="01C6B4BE" w14:textId="3DA5291F" w:rsidR="00580BA9" w:rsidRPr="00715C83" w:rsidRDefault="00580BA9">
          <w:pPr>
            <w:pStyle w:val="TDC2"/>
            <w:tabs>
              <w:tab w:val="left" w:pos="1200"/>
              <w:tab w:val="right" w:leader="dot" w:pos="8494"/>
            </w:tabs>
            <w:rPr>
              <w:rFonts w:ascii="Arial" w:eastAsiaTheme="minorEastAsia" w:hAnsi="Arial" w:cs="Arial"/>
              <w:noProof/>
              <w:kern w:val="2"/>
              <w:lang w:eastAsia="es-CR"/>
              <w14:ligatures w14:val="standardContextual"/>
            </w:rPr>
          </w:pPr>
          <w:hyperlink w:anchor="_Toc236232336" w:history="1">
            <w:r w:rsidRPr="00715C83">
              <w:rPr>
                <w:rStyle w:val="Hipervnculo"/>
                <w:rFonts w:ascii="Arial" w:hAnsi="Arial" w:cs="Arial"/>
                <w:noProof/>
              </w:rPr>
              <w:t>1.4.1</w:t>
            </w:r>
            <w:r w:rsidRPr="00715C83">
              <w:rPr>
                <w:rFonts w:ascii="Arial" w:eastAsiaTheme="minorEastAsia" w:hAnsi="Arial" w:cs="Arial"/>
                <w:noProof/>
                <w:kern w:val="2"/>
                <w:lang w:eastAsia="es-CR"/>
                <w14:ligatures w14:val="standardContextual"/>
              </w:rPr>
              <w:tab/>
            </w:r>
            <w:r w:rsidRPr="00715C83">
              <w:rPr>
                <w:rStyle w:val="Hipervnculo"/>
                <w:rFonts w:ascii="Arial" w:hAnsi="Arial" w:cs="Arial"/>
                <w:noProof/>
              </w:rPr>
              <w:t>Objetivo general</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_Toc236232336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11</w:t>
            </w:r>
            <w:r w:rsidRPr="00715C83">
              <w:rPr>
                <w:rFonts w:ascii="Arial" w:hAnsi="Arial" w:cs="Arial"/>
                <w:noProof/>
                <w:webHidden/>
              </w:rPr>
              <w:fldChar w:fldCharType="end"/>
            </w:r>
          </w:hyperlink>
        </w:p>
        <w:p w14:paraId="3F109B10" w14:textId="739D291E" w:rsidR="00580BA9" w:rsidRPr="00715C83" w:rsidRDefault="00580BA9">
          <w:pPr>
            <w:pStyle w:val="TDC1"/>
            <w:tabs>
              <w:tab w:val="right" w:leader="dot" w:pos="8494"/>
            </w:tabs>
            <w:rPr>
              <w:rFonts w:ascii="Arial" w:eastAsiaTheme="minorEastAsia" w:hAnsi="Arial" w:cs="Arial"/>
              <w:noProof/>
              <w:kern w:val="2"/>
              <w:lang w:eastAsia="es-CR"/>
              <w14:ligatures w14:val="standardContextual"/>
            </w:rPr>
          </w:pPr>
          <w:hyperlink w:anchor="_Toc236232337" w:history="1">
            <w:r w:rsidRPr="00715C83">
              <w:rPr>
                <w:rStyle w:val="Hipervnculo"/>
                <w:rFonts w:ascii="Arial" w:hAnsi="Arial" w:cs="Arial"/>
                <w:b/>
                <w:bCs/>
                <w:noProof/>
              </w:rPr>
              <w:t>CAPÍTULO 2. MARCO TEÓRICO Y METODOLÓGICO</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_Toc236232337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12</w:t>
            </w:r>
            <w:r w:rsidRPr="00715C83">
              <w:rPr>
                <w:rFonts w:ascii="Arial" w:hAnsi="Arial" w:cs="Arial"/>
                <w:noProof/>
                <w:webHidden/>
              </w:rPr>
              <w:fldChar w:fldCharType="end"/>
            </w:r>
          </w:hyperlink>
        </w:p>
        <w:p w14:paraId="7B199DF0" w14:textId="6D6BD123" w:rsidR="00580BA9" w:rsidRPr="00715C83" w:rsidRDefault="00580BA9">
          <w:pPr>
            <w:pStyle w:val="TDC2"/>
            <w:tabs>
              <w:tab w:val="left" w:pos="960"/>
              <w:tab w:val="right" w:leader="dot" w:pos="8494"/>
            </w:tabs>
            <w:rPr>
              <w:rFonts w:ascii="Arial" w:eastAsiaTheme="minorEastAsia" w:hAnsi="Arial" w:cs="Arial"/>
              <w:noProof/>
              <w:kern w:val="2"/>
              <w:lang w:eastAsia="es-CR"/>
              <w14:ligatures w14:val="standardContextual"/>
            </w:rPr>
          </w:pPr>
          <w:hyperlink w:anchor="_Toc236232338" w:history="1">
            <w:r w:rsidRPr="00715C83">
              <w:rPr>
                <w:rStyle w:val="Hipervnculo"/>
                <w:rFonts w:ascii="Arial" w:hAnsi="Arial" w:cs="Arial"/>
                <w:noProof/>
              </w:rPr>
              <w:t>2.1</w:t>
            </w:r>
            <w:r w:rsidRPr="00715C83">
              <w:rPr>
                <w:rFonts w:ascii="Arial" w:eastAsiaTheme="minorEastAsia" w:hAnsi="Arial" w:cs="Arial"/>
                <w:noProof/>
                <w:kern w:val="2"/>
                <w:lang w:eastAsia="es-CR"/>
                <w14:ligatures w14:val="standardContextual"/>
              </w:rPr>
              <w:tab/>
            </w:r>
            <w:r w:rsidRPr="00715C83">
              <w:rPr>
                <w:rStyle w:val="Hipervnculo"/>
                <w:rFonts w:ascii="Arial" w:hAnsi="Arial" w:cs="Arial"/>
                <w:noProof/>
              </w:rPr>
              <w:t>Marco Teórico</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_Toc236232338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12</w:t>
            </w:r>
            <w:r w:rsidRPr="00715C83">
              <w:rPr>
                <w:rFonts w:ascii="Arial" w:hAnsi="Arial" w:cs="Arial"/>
                <w:noProof/>
                <w:webHidden/>
              </w:rPr>
              <w:fldChar w:fldCharType="end"/>
            </w:r>
          </w:hyperlink>
        </w:p>
        <w:p w14:paraId="20CCEAF6" w14:textId="189F609F" w:rsidR="00580BA9" w:rsidRPr="00715C83" w:rsidRDefault="00580BA9">
          <w:pPr>
            <w:pStyle w:val="TDC3"/>
            <w:tabs>
              <w:tab w:val="left" w:pos="1440"/>
              <w:tab w:val="right" w:leader="dot" w:pos="8494"/>
            </w:tabs>
            <w:rPr>
              <w:rFonts w:ascii="Arial" w:eastAsiaTheme="minorEastAsia" w:hAnsi="Arial" w:cs="Arial"/>
              <w:noProof/>
              <w:kern w:val="2"/>
              <w:lang w:eastAsia="es-CR"/>
              <w14:ligatures w14:val="standardContextual"/>
            </w:rPr>
          </w:pPr>
          <w:hyperlink w:anchor="_Toc236232339" w:history="1">
            <w:r w:rsidRPr="00715C83">
              <w:rPr>
                <w:rStyle w:val="Hipervnculo"/>
                <w:rFonts w:ascii="Arial" w:hAnsi="Arial" w:cs="Arial"/>
                <w:noProof/>
              </w:rPr>
              <w:t>2.1.1</w:t>
            </w:r>
            <w:r w:rsidRPr="00715C83">
              <w:rPr>
                <w:rFonts w:ascii="Arial" w:eastAsiaTheme="minorEastAsia" w:hAnsi="Arial" w:cs="Arial"/>
                <w:noProof/>
                <w:kern w:val="2"/>
                <w:lang w:eastAsia="es-CR"/>
                <w14:ligatures w14:val="standardContextual"/>
              </w:rPr>
              <w:tab/>
            </w:r>
            <w:r w:rsidRPr="00715C83">
              <w:rPr>
                <w:rStyle w:val="Hipervnculo"/>
                <w:rFonts w:ascii="Arial" w:hAnsi="Arial" w:cs="Arial"/>
                <w:noProof/>
              </w:rPr>
              <w:t>Economía Internacional</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_Toc236232339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12</w:t>
            </w:r>
            <w:r w:rsidRPr="00715C83">
              <w:rPr>
                <w:rFonts w:ascii="Arial" w:hAnsi="Arial" w:cs="Arial"/>
                <w:noProof/>
                <w:webHidden/>
              </w:rPr>
              <w:fldChar w:fldCharType="end"/>
            </w:r>
          </w:hyperlink>
        </w:p>
        <w:p w14:paraId="705EB30F" w14:textId="020E44D8" w:rsidR="00580BA9" w:rsidRPr="00715C83" w:rsidRDefault="00580BA9">
          <w:pPr>
            <w:pStyle w:val="TDC3"/>
            <w:tabs>
              <w:tab w:val="left" w:pos="1440"/>
              <w:tab w:val="right" w:leader="dot" w:pos="8494"/>
            </w:tabs>
            <w:rPr>
              <w:rFonts w:ascii="Arial" w:eastAsiaTheme="minorEastAsia" w:hAnsi="Arial" w:cs="Arial"/>
              <w:noProof/>
              <w:kern w:val="2"/>
              <w:lang w:eastAsia="es-CR"/>
              <w14:ligatures w14:val="standardContextual"/>
            </w:rPr>
          </w:pPr>
          <w:hyperlink w:anchor="_Toc236232340" w:history="1">
            <w:r w:rsidRPr="00715C83">
              <w:rPr>
                <w:rStyle w:val="Hipervnculo"/>
                <w:rFonts w:ascii="Arial" w:hAnsi="Arial" w:cs="Arial"/>
                <w:noProof/>
              </w:rPr>
              <w:t>2.1.2</w:t>
            </w:r>
            <w:r w:rsidRPr="00715C83">
              <w:rPr>
                <w:rFonts w:ascii="Arial" w:eastAsiaTheme="minorEastAsia" w:hAnsi="Arial" w:cs="Arial"/>
                <w:noProof/>
                <w:kern w:val="2"/>
                <w:lang w:eastAsia="es-CR"/>
                <w14:ligatures w14:val="standardContextual"/>
              </w:rPr>
              <w:tab/>
            </w:r>
            <w:r w:rsidRPr="00715C83">
              <w:rPr>
                <w:rStyle w:val="Hipervnculo"/>
                <w:rFonts w:ascii="Arial" w:hAnsi="Arial" w:cs="Arial"/>
                <w:noProof/>
              </w:rPr>
              <w:t>Comercio Internacional</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_Toc236232340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12</w:t>
            </w:r>
            <w:r w:rsidRPr="00715C83">
              <w:rPr>
                <w:rFonts w:ascii="Arial" w:hAnsi="Arial" w:cs="Arial"/>
                <w:noProof/>
                <w:webHidden/>
              </w:rPr>
              <w:fldChar w:fldCharType="end"/>
            </w:r>
          </w:hyperlink>
        </w:p>
        <w:p w14:paraId="7C084287" w14:textId="0E523183" w:rsidR="00580BA9" w:rsidRPr="00715C83" w:rsidRDefault="00580BA9">
          <w:pPr>
            <w:pStyle w:val="TDC3"/>
            <w:tabs>
              <w:tab w:val="left" w:pos="1440"/>
              <w:tab w:val="right" w:leader="dot" w:pos="8494"/>
            </w:tabs>
            <w:rPr>
              <w:rFonts w:ascii="Arial" w:eastAsiaTheme="minorEastAsia" w:hAnsi="Arial" w:cs="Arial"/>
              <w:noProof/>
              <w:kern w:val="2"/>
              <w:lang w:eastAsia="es-CR"/>
              <w14:ligatures w14:val="standardContextual"/>
            </w:rPr>
          </w:pPr>
          <w:hyperlink w:anchor="_Toc236232341" w:history="1">
            <w:r w:rsidRPr="00715C83">
              <w:rPr>
                <w:rStyle w:val="Hipervnculo"/>
                <w:rFonts w:ascii="Arial" w:hAnsi="Arial" w:cs="Arial"/>
                <w:noProof/>
              </w:rPr>
              <w:t>2.1.3</w:t>
            </w:r>
            <w:r w:rsidRPr="00715C83">
              <w:rPr>
                <w:rFonts w:ascii="Arial" w:eastAsiaTheme="minorEastAsia" w:hAnsi="Arial" w:cs="Arial"/>
                <w:noProof/>
                <w:kern w:val="2"/>
                <w:lang w:eastAsia="es-CR"/>
                <w14:ligatures w14:val="standardContextual"/>
              </w:rPr>
              <w:tab/>
            </w:r>
            <w:r w:rsidRPr="00715C83">
              <w:rPr>
                <w:rStyle w:val="Hipervnculo"/>
                <w:rFonts w:ascii="Arial" w:hAnsi="Arial" w:cs="Arial"/>
                <w:noProof/>
              </w:rPr>
              <w:t>Política Comercial</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_Toc236232341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16</w:t>
            </w:r>
            <w:r w:rsidRPr="00715C83">
              <w:rPr>
                <w:rFonts w:ascii="Arial" w:hAnsi="Arial" w:cs="Arial"/>
                <w:noProof/>
                <w:webHidden/>
              </w:rPr>
              <w:fldChar w:fldCharType="end"/>
            </w:r>
          </w:hyperlink>
        </w:p>
        <w:p w14:paraId="63ED2D73" w14:textId="3E94B2AD" w:rsidR="00580BA9" w:rsidRPr="00715C83" w:rsidRDefault="00580BA9">
          <w:pPr>
            <w:pStyle w:val="TDC2"/>
            <w:tabs>
              <w:tab w:val="left" w:pos="960"/>
              <w:tab w:val="right" w:leader="dot" w:pos="8494"/>
            </w:tabs>
            <w:rPr>
              <w:rFonts w:ascii="Arial" w:eastAsiaTheme="minorEastAsia" w:hAnsi="Arial" w:cs="Arial"/>
              <w:noProof/>
              <w:kern w:val="2"/>
              <w:lang w:eastAsia="es-CR"/>
              <w14:ligatures w14:val="standardContextual"/>
            </w:rPr>
          </w:pPr>
          <w:hyperlink w:anchor="_Toc236232342" w:history="1">
            <w:r w:rsidRPr="00715C83">
              <w:rPr>
                <w:rStyle w:val="Hipervnculo"/>
                <w:rFonts w:ascii="Arial" w:hAnsi="Arial" w:cs="Arial"/>
                <w:noProof/>
              </w:rPr>
              <w:t>2.2</w:t>
            </w:r>
            <w:r w:rsidRPr="00715C83">
              <w:rPr>
                <w:rFonts w:ascii="Arial" w:eastAsiaTheme="minorEastAsia" w:hAnsi="Arial" w:cs="Arial"/>
                <w:noProof/>
                <w:kern w:val="2"/>
                <w:lang w:eastAsia="es-CR"/>
                <w14:ligatures w14:val="standardContextual"/>
              </w:rPr>
              <w:tab/>
            </w:r>
            <w:r w:rsidRPr="00715C83">
              <w:rPr>
                <w:rStyle w:val="Hipervnculo"/>
                <w:rFonts w:ascii="Arial" w:hAnsi="Arial" w:cs="Arial"/>
                <w:noProof/>
              </w:rPr>
              <w:t>Marco metodológico</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_Toc236232342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31</w:t>
            </w:r>
            <w:r w:rsidRPr="00715C83">
              <w:rPr>
                <w:rFonts w:ascii="Arial" w:hAnsi="Arial" w:cs="Arial"/>
                <w:noProof/>
                <w:webHidden/>
              </w:rPr>
              <w:fldChar w:fldCharType="end"/>
            </w:r>
          </w:hyperlink>
        </w:p>
        <w:p w14:paraId="1CF59116" w14:textId="7004CD0B" w:rsidR="00580BA9" w:rsidRPr="00715C83" w:rsidRDefault="00580BA9">
          <w:pPr>
            <w:pStyle w:val="TDC3"/>
            <w:tabs>
              <w:tab w:val="left" w:pos="1440"/>
              <w:tab w:val="right" w:leader="dot" w:pos="8494"/>
            </w:tabs>
            <w:rPr>
              <w:rFonts w:ascii="Arial" w:eastAsiaTheme="minorEastAsia" w:hAnsi="Arial" w:cs="Arial"/>
              <w:noProof/>
              <w:kern w:val="2"/>
              <w:lang w:eastAsia="es-CR"/>
              <w14:ligatures w14:val="standardContextual"/>
            </w:rPr>
          </w:pPr>
          <w:hyperlink w:anchor="_Toc236232343" w:history="1">
            <w:r w:rsidRPr="00715C83">
              <w:rPr>
                <w:rStyle w:val="Hipervnculo"/>
                <w:rFonts w:ascii="Arial" w:hAnsi="Arial" w:cs="Arial"/>
                <w:noProof/>
              </w:rPr>
              <w:t>2.2.1</w:t>
            </w:r>
            <w:r w:rsidRPr="00715C83">
              <w:rPr>
                <w:rFonts w:ascii="Arial" w:eastAsiaTheme="minorEastAsia" w:hAnsi="Arial" w:cs="Arial"/>
                <w:noProof/>
                <w:kern w:val="2"/>
                <w:lang w:eastAsia="es-CR"/>
                <w14:ligatures w14:val="standardContextual"/>
              </w:rPr>
              <w:tab/>
            </w:r>
            <w:r w:rsidRPr="00715C83">
              <w:rPr>
                <w:rStyle w:val="Hipervnculo"/>
                <w:rFonts w:ascii="Arial" w:hAnsi="Arial" w:cs="Arial"/>
                <w:noProof/>
              </w:rPr>
              <w:t>Enfoque de la investigación</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_Toc236232343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31</w:t>
            </w:r>
            <w:r w:rsidRPr="00715C83">
              <w:rPr>
                <w:rFonts w:ascii="Arial" w:hAnsi="Arial" w:cs="Arial"/>
                <w:noProof/>
                <w:webHidden/>
              </w:rPr>
              <w:fldChar w:fldCharType="end"/>
            </w:r>
          </w:hyperlink>
        </w:p>
        <w:p w14:paraId="13CBB995" w14:textId="0C936B96" w:rsidR="00580BA9" w:rsidRPr="00715C83" w:rsidRDefault="00580BA9">
          <w:pPr>
            <w:pStyle w:val="TDC3"/>
            <w:tabs>
              <w:tab w:val="left" w:pos="1440"/>
              <w:tab w:val="right" w:leader="dot" w:pos="8494"/>
            </w:tabs>
            <w:rPr>
              <w:rFonts w:ascii="Arial" w:eastAsiaTheme="minorEastAsia" w:hAnsi="Arial" w:cs="Arial"/>
              <w:noProof/>
              <w:kern w:val="2"/>
              <w:lang w:eastAsia="es-CR"/>
              <w14:ligatures w14:val="standardContextual"/>
            </w:rPr>
          </w:pPr>
          <w:hyperlink w:anchor="_Toc236232344" w:history="1">
            <w:r w:rsidRPr="00715C83">
              <w:rPr>
                <w:rStyle w:val="Hipervnculo"/>
                <w:rFonts w:ascii="Arial" w:hAnsi="Arial" w:cs="Arial"/>
                <w:noProof/>
              </w:rPr>
              <w:t>2.2.2</w:t>
            </w:r>
            <w:r w:rsidRPr="00715C83">
              <w:rPr>
                <w:rFonts w:ascii="Arial" w:eastAsiaTheme="minorEastAsia" w:hAnsi="Arial" w:cs="Arial"/>
                <w:noProof/>
                <w:kern w:val="2"/>
                <w:lang w:eastAsia="es-CR"/>
                <w14:ligatures w14:val="standardContextual"/>
              </w:rPr>
              <w:tab/>
            </w:r>
            <w:r w:rsidRPr="00715C83">
              <w:rPr>
                <w:rStyle w:val="Hipervnculo"/>
                <w:rFonts w:ascii="Arial" w:hAnsi="Arial" w:cs="Arial"/>
                <w:noProof/>
              </w:rPr>
              <w:t>Alcance de la investigación</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_Toc236232344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33</w:t>
            </w:r>
            <w:r w:rsidRPr="00715C83">
              <w:rPr>
                <w:rFonts w:ascii="Arial" w:hAnsi="Arial" w:cs="Arial"/>
                <w:noProof/>
                <w:webHidden/>
              </w:rPr>
              <w:fldChar w:fldCharType="end"/>
            </w:r>
          </w:hyperlink>
        </w:p>
        <w:p w14:paraId="099B52A3" w14:textId="3D426DC8" w:rsidR="00580BA9" w:rsidRPr="00715C83" w:rsidRDefault="00580BA9">
          <w:pPr>
            <w:pStyle w:val="TDC3"/>
            <w:tabs>
              <w:tab w:val="left" w:pos="1440"/>
              <w:tab w:val="right" w:leader="dot" w:pos="8494"/>
            </w:tabs>
            <w:rPr>
              <w:rFonts w:ascii="Arial" w:eastAsiaTheme="minorEastAsia" w:hAnsi="Arial" w:cs="Arial"/>
              <w:noProof/>
              <w:kern w:val="2"/>
              <w:lang w:eastAsia="es-CR"/>
              <w14:ligatures w14:val="standardContextual"/>
            </w:rPr>
          </w:pPr>
          <w:hyperlink w:anchor="_Toc236232345" w:history="1">
            <w:r w:rsidRPr="00715C83">
              <w:rPr>
                <w:rStyle w:val="Hipervnculo"/>
                <w:rFonts w:ascii="Arial" w:hAnsi="Arial" w:cs="Arial"/>
                <w:noProof/>
              </w:rPr>
              <w:t>2.2.3</w:t>
            </w:r>
            <w:r w:rsidRPr="00715C83">
              <w:rPr>
                <w:rFonts w:ascii="Arial" w:eastAsiaTheme="minorEastAsia" w:hAnsi="Arial" w:cs="Arial"/>
                <w:noProof/>
                <w:kern w:val="2"/>
                <w:lang w:eastAsia="es-CR"/>
                <w14:ligatures w14:val="standardContextual"/>
              </w:rPr>
              <w:tab/>
            </w:r>
            <w:r w:rsidRPr="00715C83">
              <w:rPr>
                <w:rStyle w:val="Hipervnculo"/>
                <w:rFonts w:ascii="Arial" w:hAnsi="Arial" w:cs="Arial"/>
                <w:noProof/>
              </w:rPr>
              <w:t>Diseño de la investigación</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_Toc236232345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34</w:t>
            </w:r>
            <w:r w:rsidRPr="00715C83">
              <w:rPr>
                <w:rFonts w:ascii="Arial" w:hAnsi="Arial" w:cs="Arial"/>
                <w:noProof/>
                <w:webHidden/>
              </w:rPr>
              <w:fldChar w:fldCharType="end"/>
            </w:r>
          </w:hyperlink>
        </w:p>
        <w:p w14:paraId="26BDF1F6" w14:textId="4B42AB4B" w:rsidR="00580BA9" w:rsidRPr="00715C83" w:rsidRDefault="00580BA9">
          <w:pPr>
            <w:pStyle w:val="TDC3"/>
            <w:tabs>
              <w:tab w:val="left" w:pos="1440"/>
              <w:tab w:val="right" w:leader="dot" w:pos="8494"/>
            </w:tabs>
            <w:rPr>
              <w:rFonts w:ascii="Arial" w:eastAsiaTheme="minorEastAsia" w:hAnsi="Arial" w:cs="Arial"/>
              <w:noProof/>
              <w:kern w:val="2"/>
              <w:lang w:eastAsia="es-CR"/>
              <w14:ligatures w14:val="standardContextual"/>
            </w:rPr>
          </w:pPr>
          <w:hyperlink w:anchor="_Toc236232346" w:history="1">
            <w:r w:rsidRPr="00715C83">
              <w:rPr>
                <w:rStyle w:val="Hipervnculo"/>
                <w:rFonts w:ascii="Arial" w:hAnsi="Arial" w:cs="Arial"/>
                <w:noProof/>
              </w:rPr>
              <w:t>2.2.3.1</w:t>
            </w:r>
            <w:r w:rsidRPr="00715C83">
              <w:rPr>
                <w:rFonts w:ascii="Arial" w:eastAsiaTheme="minorEastAsia" w:hAnsi="Arial" w:cs="Arial"/>
                <w:noProof/>
                <w:kern w:val="2"/>
                <w:lang w:eastAsia="es-CR"/>
                <w14:ligatures w14:val="standardContextual"/>
              </w:rPr>
              <w:tab/>
            </w:r>
            <w:r w:rsidRPr="00715C83">
              <w:rPr>
                <w:rStyle w:val="Hipervnculo"/>
                <w:rFonts w:ascii="Arial" w:hAnsi="Arial" w:cs="Arial"/>
                <w:noProof/>
              </w:rPr>
              <w:t>Diseño no experimental</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_Toc236232346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34</w:t>
            </w:r>
            <w:r w:rsidRPr="00715C83">
              <w:rPr>
                <w:rFonts w:ascii="Arial" w:hAnsi="Arial" w:cs="Arial"/>
                <w:noProof/>
                <w:webHidden/>
              </w:rPr>
              <w:fldChar w:fldCharType="end"/>
            </w:r>
          </w:hyperlink>
        </w:p>
        <w:p w14:paraId="5FF82D6D" w14:textId="6AC63C2E" w:rsidR="00580BA9" w:rsidRPr="00715C83" w:rsidRDefault="00580BA9">
          <w:pPr>
            <w:pStyle w:val="TDC3"/>
            <w:tabs>
              <w:tab w:val="left" w:pos="1440"/>
              <w:tab w:val="right" w:leader="dot" w:pos="8494"/>
            </w:tabs>
            <w:rPr>
              <w:rFonts w:ascii="Arial" w:eastAsiaTheme="minorEastAsia" w:hAnsi="Arial" w:cs="Arial"/>
              <w:noProof/>
              <w:kern w:val="2"/>
              <w:lang w:eastAsia="es-CR"/>
              <w14:ligatures w14:val="standardContextual"/>
            </w:rPr>
          </w:pPr>
          <w:hyperlink w:anchor="_Toc236232347" w:history="1">
            <w:r w:rsidRPr="00715C83">
              <w:rPr>
                <w:rStyle w:val="Hipervnculo"/>
                <w:rFonts w:ascii="Arial" w:hAnsi="Arial" w:cs="Arial"/>
                <w:noProof/>
              </w:rPr>
              <w:t>2.2.3.2</w:t>
            </w:r>
            <w:r w:rsidRPr="00715C83">
              <w:rPr>
                <w:rFonts w:ascii="Arial" w:eastAsiaTheme="minorEastAsia" w:hAnsi="Arial" w:cs="Arial"/>
                <w:noProof/>
                <w:kern w:val="2"/>
                <w:lang w:eastAsia="es-CR"/>
                <w14:ligatures w14:val="standardContextual"/>
              </w:rPr>
              <w:tab/>
            </w:r>
            <w:r w:rsidRPr="00715C83">
              <w:rPr>
                <w:rStyle w:val="Hipervnculo"/>
                <w:rFonts w:ascii="Arial" w:hAnsi="Arial" w:cs="Arial"/>
                <w:noProof/>
              </w:rPr>
              <w:t>Temporalidad del estudio</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_Toc236232347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34</w:t>
            </w:r>
            <w:r w:rsidRPr="00715C83">
              <w:rPr>
                <w:rFonts w:ascii="Arial" w:hAnsi="Arial" w:cs="Arial"/>
                <w:noProof/>
                <w:webHidden/>
              </w:rPr>
              <w:fldChar w:fldCharType="end"/>
            </w:r>
          </w:hyperlink>
        </w:p>
        <w:p w14:paraId="4EF39E3D" w14:textId="55DA394B" w:rsidR="00580BA9" w:rsidRPr="00715C83" w:rsidRDefault="00580BA9">
          <w:pPr>
            <w:pStyle w:val="TDC3"/>
            <w:tabs>
              <w:tab w:val="left" w:pos="1440"/>
              <w:tab w:val="right" w:leader="dot" w:pos="8494"/>
            </w:tabs>
            <w:rPr>
              <w:rFonts w:ascii="Arial" w:eastAsiaTheme="minorEastAsia" w:hAnsi="Arial" w:cs="Arial"/>
              <w:noProof/>
              <w:kern w:val="2"/>
              <w:lang w:eastAsia="es-CR"/>
              <w14:ligatures w14:val="standardContextual"/>
            </w:rPr>
          </w:pPr>
          <w:hyperlink w:anchor="_Toc236232348" w:history="1">
            <w:r w:rsidRPr="00715C83">
              <w:rPr>
                <w:rStyle w:val="Hipervnculo"/>
                <w:rFonts w:ascii="Arial" w:hAnsi="Arial" w:cs="Arial"/>
                <w:noProof/>
              </w:rPr>
              <w:t>2.2.3.3</w:t>
            </w:r>
            <w:r w:rsidRPr="00715C83">
              <w:rPr>
                <w:rFonts w:ascii="Arial" w:eastAsiaTheme="minorEastAsia" w:hAnsi="Arial" w:cs="Arial"/>
                <w:noProof/>
                <w:kern w:val="2"/>
                <w:lang w:eastAsia="es-CR"/>
                <w14:ligatures w14:val="standardContextual"/>
              </w:rPr>
              <w:tab/>
            </w:r>
            <w:r w:rsidRPr="00715C83">
              <w:rPr>
                <w:rStyle w:val="Hipervnculo"/>
                <w:rFonts w:ascii="Arial" w:hAnsi="Arial" w:cs="Arial"/>
                <w:noProof/>
              </w:rPr>
              <w:t>Estudios de caso</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_Toc236232348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35</w:t>
            </w:r>
            <w:r w:rsidRPr="00715C83">
              <w:rPr>
                <w:rFonts w:ascii="Arial" w:hAnsi="Arial" w:cs="Arial"/>
                <w:noProof/>
                <w:webHidden/>
              </w:rPr>
              <w:fldChar w:fldCharType="end"/>
            </w:r>
          </w:hyperlink>
        </w:p>
        <w:p w14:paraId="730A7CB9" w14:textId="12B18DA4" w:rsidR="00580BA9" w:rsidRPr="00715C83" w:rsidRDefault="00580BA9">
          <w:pPr>
            <w:pStyle w:val="TDC3"/>
            <w:tabs>
              <w:tab w:val="left" w:pos="1440"/>
              <w:tab w:val="right" w:leader="dot" w:pos="8494"/>
            </w:tabs>
            <w:rPr>
              <w:rFonts w:ascii="Arial" w:eastAsiaTheme="minorEastAsia" w:hAnsi="Arial" w:cs="Arial"/>
              <w:noProof/>
              <w:kern w:val="2"/>
              <w:lang w:eastAsia="es-CR"/>
              <w14:ligatures w14:val="standardContextual"/>
            </w:rPr>
          </w:pPr>
          <w:hyperlink w:anchor="_Toc236232349" w:history="1">
            <w:r w:rsidRPr="00715C83">
              <w:rPr>
                <w:rStyle w:val="Hipervnculo"/>
                <w:rFonts w:ascii="Arial" w:hAnsi="Arial" w:cs="Arial"/>
                <w:noProof/>
              </w:rPr>
              <w:t>2.2.3.4</w:t>
            </w:r>
            <w:r w:rsidRPr="00715C83">
              <w:rPr>
                <w:rFonts w:ascii="Arial" w:eastAsiaTheme="minorEastAsia" w:hAnsi="Arial" w:cs="Arial"/>
                <w:noProof/>
                <w:kern w:val="2"/>
                <w:lang w:eastAsia="es-CR"/>
                <w14:ligatures w14:val="standardContextual"/>
              </w:rPr>
              <w:tab/>
            </w:r>
            <w:r w:rsidRPr="00715C83">
              <w:rPr>
                <w:rStyle w:val="Hipervnculo"/>
                <w:rFonts w:ascii="Arial" w:hAnsi="Arial" w:cs="Arial"/>
                <w:noProof/>
              </w:rPr>
              <w:t>Unidad de análisis</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_Toc236232349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35</w:t>
            </w:r>
            <w:r w:rsidRPr="00715C83">
              <w:rPr>
                <w:rFonts w:ascii="Arial" w:hAnsi="Arial" w:cs="Arial"/>
                <w:noProof/>
                <w:webHidden/>
              </w:rPr>
              <w:fldChar w:fldCharType="end"/>
            </w:r>
          </w:hyperlink>
        </w:p>
        <w:p w14:paraId="745FBAFE" w14:textId="75A18AE2" w:rsidR="00580BA9" w:rsidRPr="00715C83" w:rsidRDefault="00580BA9">
          <w:pPr>
            <w:pStyle w:val="TDC3"/>
            <w:tabs>
              <w:tab w:val="left" w:pos="1440"/>
              <w:tab w:val="right" w:leader="dot" w:pos="8494"/>
            </w:tabs>
            <w:rPr>
              <w:rFonts w:ascii="Arial" w:eastAsiaTheme="minorEastAsia" w:hAnsi="Arial" w:cs="Arial"/>
              <w:noProof/>
              <w:kern w:val="2"/>
              <w:lang w:eastAsia="es-CR"/>
              <w14:ligatures w14:val="standardContextual"/>
            </w:rPr>
          </w:pPr>
          <w:hyperlink w:anchor="_Toc236232350" w:history="1">
            <w:r w:rsidRPr="00715C83">
              <w:rPr>
                <w:rStyle w:val="Hipervnculo"/>
                <w:rFonts w:ascii="Arial" w:hAnsi="Arial" w:cs="Arial"/>
                <w:noProof/>
              </w:rPr>
              <w:t>2.2.4</w:t>
            </w:r>
            <w:r w:rsidRPr="00715C83">
              <w:rPr>
                <w:rFonts w:ascii="Arial" w:eastAsiaTheme="minorEastAsia" w:hAnsi="Arial" w:cs="Arial"/>
                <w:noProof/>
                <w:kern w:val="2"/>
                <w:lang w:eastAsia="es-CR"/>
                <w14:ligatures w14:val="standardContextual"/>
              </w:rPr>
              <w:tab/>
            </w:r>
            <w:r w:rsidRPr="00715C83">
              <w:rPr>
                <w:rStyle w:val="Hipervnculo"/>
                <w:rFonts w:ascii="Arial" w:hAnsi="Arial" w:cs="Arial"/>
                <w:noProof/>
              </w:rPr>
              <w:t>Métodos de Investigación</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_Toc236232350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36</w:t>
            </w:r>
            <w:r w:rsidRPr="00715C83">
              <w:rPr>
                <w:rFonts w:ascii="Arial" w:hAnsi="Arial" w:cs="Arial"/>
                <w:noProof/>
                <w:webHidden/>
              </w:rPr>
              <w:fldChar w:fldCharType="end"/>
            </w:r>
          </w:hyperlink>
        </w:p>
        <w:p w14:paraId="179590CC" w14:textId="05575BAD" w:rsidR="00580BA9" w:rsidRPr="00715C83" w:rsidRDefault="00580BA9">
          <w:pPr>
            <w:pStyle w:val="TDC3"/>
            <w:tabs>
              <w:tab w:val="left" w:pos="1440"/>
              <w:tab w:val="right" w:leader="dot" w:pos="8494"/>
            </w:tabs>
            <w:rPr>
              <w:rFonts w:ascii="Arial" w:eastAsiaTheme="minorEastAsia" w:hAnsi="Arial" w:cs="Arial"/>
              <w:noProof/>
              <w:kern w:val="2"/>
              <w:lang w:eastAsia="es-CR"/>
              <w14:ligatures w14:val="standardContextual"/>
            </w:rPr>
          </w:pPr>
          <w:hyperlink w:anchor="_Toc236232351" w:history="1">
            <w:r w:rsidRPr="00715C83">
              <w:rPr>
                <w:rStyle w:val="Hipervnculo"/>
                <w:rFonts w:ascii="Arial" w:hAnsi="Arial" w:cs="Arial"/>
                <w:noProof/>
              </w:rPr>
              <w:t>2.2.5</w:t>
            </w:r>
            <w:r w:rsidRPr="00715C83">
              <w:rPr>
                <w:rFonts w:ascii="Arial" w:eastAsiaTheme="minorEastAsia" w:hAnsi="Arial" w:cs="Arial"/>
                <w:noProof/>
                <w:kern w:val="2"/>
                <w:lang w:eastAsia="es-CR"/>
                <w14:ligatures w14:val="standardContextual"/>
              </w:rPr>
              <w:tab/>
            </w:r>
            <w:r w:rsidRPr="00715C83">
              <w:rPr>
                <w:rStyle w:val="Hipervnculo"/>
                <w:rFonts w:ascii="Arial" w:hAnsi="Arial" w:cs="Arial"/>
                <w:noProof/>
              </w:rPr>
              <w:t>Población, sujetos y selección de participantes</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_Toc236232351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37</w:t>
            </w:r>
            <w:r w:rsidRPr="00715C83">
              <w:rPr>
                <w:rFonts w:ascii="Arial" w:hAnsi="Arial" w:cs="Arial"/>
                <w:noProof/>
                <w:webHidden/>
              </w:rPr>
              <w:fldChar w:fldCharType="end"/>
            </w:r>
          </w:hyperlink>
        </w:p>
        <w:p w14:paraId="5FE09296" w14:textId="4711870F" w:rsidR="00580BA9" w:rsidRPr="00715C83" w:rsidRDefault="00580BA9">
          <w:pPr>
            <w:pStyle w:val="TDC3"/>
            <w:tabs>
              <w:tab w:val="left" w:pos="1440"/>
              <w:tab w:val="right" w:leader="dot" w:pos="8494"/>
            </w:tabs>
            <w:rPr>
              <w:rFonts w:ascii="Arial" w:eastAsiaTheme="minorEastAsia" w:hAnsi="Arial" w:cs="Arial"/>
              <w:noProof/>
              <w:kern w:val="2"/>
              <w:lang w:eastAsia="es-CR"/>
              <w14:ligatures w14:val="standardContextual"/>
            </w:rPr>
          </w:pPr>
          <w:hyperlink w:anchor="_Toc236232352" w:history="1">
            <w:r w:rsidRPr="00715C83">
              <w:rPr>
                <w:rStyle w:val="Hipervnculo"/>
                <w:rFonts w:ascii="Arial" w:hAnsi="Arial" w:cs="Arial"/>
                <w:noProof/>
              </w:rPr>
              <w:t>2.2.5.1</w:t>
            </w:r>
            <w:r w:rsidRPr="00715C83">
              <w:rPr>
                <w:rFonts w:ascii="Arial" w:eastAsiaTheme="minorEastAsia" w:hAnsi="Arial" w:cs="Arial"/>
                <w:noProof/>
                <w:kern w:val="2"/>
                <w:lang w:eastAsia="es-CR"/>
                <w14:ligatures w14:val="standardContextual"/>
              </w:rPr>
              <w:tab/>
            </w:r>
            <w:r w:rsidRPr="00715C83">
              <w:rPr>
                <w:rStyle w:val="Hipervnculo"/>
                <w:rFonts w:ascii="Arial" w:hAnsi="Arial" w:cs="Arial"/>
                <w:noProof/>
              </w:rPr>
              <w:t>Población de Interés</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_Toc236232352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37</w:t>
            </w:r>
            <w:r w:rsidRPr="00715C83">
              <w:rPr>
                <w:rFonts w:ascii="Arial" w:hAnsi="Arial" w:cs="Arial"/>
                <w:noProof/>
                <w:webHidden/>
              </w:rPr>
              <w:fldChar w:fldCharType="end"/>
            </w:r>
          </w:hyperlink>
        </w:p>
        <w:p w14:paraId="45647256" w14:textId="247E53A2" w:rsidR="00580BA9" w:rsidRPr="00715C83" w:rsidRDefault="00580BA9">
          <w:pPr>
            <w:pStyle w:val="TDC1"/>
            <w:tabs>
              <w:tab w:val="right" w:leader="dot" w:pos="8494"/>
            </w:tabs>
            <w:rPr>
              <w:rFonts w:ascii="Arial" w:eastAsiaTheme="minorEastAsia" w:hAnsi="Arial" w:cs="Arial"/>
              <w:noProof/>
              <w:kern w:val="2"/>
              <w:lang w:eastAsia="es-CR"/>
              <w14:ligatures w14:val="standardContextual"/>
            </w:rPr>
          </w:pPr>
          <w:hyperlink w:anchor="_Toc236232353" w:history="1">
            <w:r w:rsidRPr="00715C83">
              <w:rPr>
                <w:rStyle w:val="Hipervnculo"/>
                <w:rFonts w:ascii="Arial" w:hAnsi="Arial" w:cs="Arial"/>
                <w:b/>
                <w:bCs/>
                <w:noProof/>
              </w:rPr>
              <w:t>CAPÍTULO 3. ANALISIS DE RESULTADOS</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_Toc236232353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54</w:t>
            </w:r>
            <w:r w:rsidRPr="00715C83">
              <w:rPr>
                <w:rFonts w:ascii="Arial" w:hAnsi="Arial" w:cs="Arial"/>
                <w:noProof/>
                <w:webHidden/>
              </w:rPr>
              <w:fldChar w:fldCharType="end"/>
            </w:r>
          </w:hyperlink>
        </w:p>
        <w:p w14:paraId="39833205" w14:textId="4F6A5F09" w:rsidR="00580BA9" w:rsidRPr="00715C83" w:rsidRDefault="00580BA9">
          <w:pPr>
            <w:pStyle w:val="TDC2"/>
            <w:tabs>
              <w:tab w:val="left" w:pos="960"/>
              <w:tab w:val="right" w:leader="dot" w:pos="8494"/>
            </w:tabs>
            <w:rPr>
              <w:rFonts w:ascii="Arial" w:eastAsiaTheme="minorEastAsia" w:hAnsi="Arial" w:cs="Arial"/>
              <w:noProof/>
              <w:kern w:val="2"/>
              <w:lang w:eastAsia="es-CR"/>
              <w14:ligatures w14:val="standardContextual"/>
            </w:rPr>
          </w:pPr>
          <w:hyperlink w:anchor="_Toc236232354" w:history="1">
            <w:r w:rsidRPr="00715C83">
              <w:rPr>
                <w:rStyle w:val="Hipervnculo"/>
                <w:rFonts w:ascii="Arial" w:hAnsi="Arial" w:cs="Arial"/>
                <w:noProof/>
              </w:rPr>
              <w:t>3.1</w:t>
            </w:r>
            <w:r w:rsidRPr="00715C83">
              <w:rPr>
                <w:rFonts w:ascii="Arial" w:eastAsiaTheme="minorEastAsia" w:hAnsi="Arial" w:cs="Arial"/>
                <w:noProof/>
                <w:kern w:val="2"/>
                <w:lang w:eastAsia="es-CR"/>
                <w14:ligatures w14:val="standardContextual"/>
              </w:rPr>
              <w:tab/>
            </w:r>
            <w:r w:rsidRPr="00715C83">
              <w:rPr>
                <w:rStyle w:val="Hipervnculo"/>
                <w:rFonts w:ascii="Arial" w:hAnsi="Arial" w:cs="Arial"/>
                <w:noProof/>
              </w:rPr>
              <w:t>Análisis de Resultados</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_Toc236232354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54</w:t>
            </w:r>
            <w:r w:rsidRPr="00715C83">
              <w:rPr>
                <w:rFonts w:ascii="Arial" w:hAnsi="Arial" w:cs="Arial"/>
                <w:noProof/>
                <w:webHidden/>
              </w:rPr>
              <w:fldChar w:fldCharType="end"/>
            </w:r>
          </w:hyperlink>
        </w:p>
        <w:p w14:paraId="7922CF6A" w14:textId="502AEE0E" w:rsidR="00580BA9" w:rsidRPr="00715C83" w:rsidRDefault="00580BA9">
          <w:pPr>
            <w:pStyle w:val="TDC2"/>
            <w:tabs>
              <w:tab w:val="left" w:pos="1200"/>
              <w:tab w:val="right" w:leader="dot" w:pos="8494"/>
            </w:tabs>
            <w:rPr>
              <w:rFonts w:ascii="Arial" w:eastAsiaTheme="minorEastAsia" w:hAnsi="Arial" w:cs="Arial"/>
              <w:noProof/>
              <w:kern w:val="2"/>
              <w:lang w:eastAsia="es-CR"/>
              <w14:ligatures w14:val="standardContextual"/>
            </w:rPr>
          </w:pPr>
          <w:hyperlink w:anchor="_Toc236232355" w:history="1">
            <w:r w:rsidRPr="00715C83">
              <w:rPr>
                <w:rStyle w:val="Hipervnculo"/>
                <w:rFonts w:ascii="Arial" w:hAnsi="Arial" w:cs="Arial"/>
                <w:noProof/>
              </w:rPr>
              <w:t>3.1.1</w:t>
            </w:r>
            <w:r w:rsidRPr="00715C83">
              <w:rPr>
                <w:rFonts w:ascii="Arial" w:eastAsiaTheme="minorEastAsia" w:hAnsi="Arial" w:cs="Arial"/>
                <w:noProof/>
                <w:kern w:val="2"/>
                <w:lang w:eastAsia="es-CR"/>
                <w14:ligatures w14:val="standardContextual"/>
              </w:rPr>
              <w:tab/>
            </w:r>
            <w:r w:rsidRPr="00715C83">
              <w:rPr>
                <w:rStyle w:val="Hipervnculo"/>
                <w:rFonts w:ascii="Arial" w:hAnsi="Arial" w:cs="Arial"/>
                <w:noProof/>
              </w:rPr>
              <w:t>Relaciones Comerciales y de IED entre China y Honduras</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_Toc236232355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54</w:t>
            </w:r>
            <w:r w:rsidRPr="00715C83">
              <w:rPr>
                <w:rFonts w:ascii="Arial" w:hAnsi="Arial" w:cs="Arial"/>
                <w:noProof/>
                <w:webHidden/>
              </w:rPr>
              <w:fldChar w:fldCharType="end"/>
            </w:r>
          </w:hyperlink>
        </w:p>
        <w:p w14:paraId="477C2166" w14:textId="6022992B" w:rsidR="00580BA9" w:rsidRPr="00715C83" w:rsidRDefault="00580BA9">
          <w:pPr>
            <w:pStyle w:val="TDC2"/>
            <w:tabs>
              <w:tab w:val="left" w:pos="1200"/>
              <w:tab w:val="right" w:leader="dot" w:pos="8494"/>
            </w:tabs>
            <w:rPr>
              <w:rFonts w:ascii="Arial" w:eastAsiaTheme="minorEastAsia" w:hAnsi="Arial" w:cs="Arial"/>
              <w:noProof/>
              <w:kern w:val="2"/>
              <w:lang w:eastAsia="es-CR"/>
              <w14:ligatures w14:val="standardContextual"/>
            </w:rPr>
          </w:pPr>
          <w:hyperlink w:anchor="_Toc236232356" w:history="1">
            <w:r w:rsidRPr="00715C83">
              <w:rPr>
                <w:rStyle w:val="Hipervnculo"/>
                <w:rFonts w:ascii="Arial" w:hAnsi="Arial" w:cs="Arial"/>
                <w:noProof/>
              </w:rPr>
              <w:t>3.1.2</w:t>
            </w:r>
            <w:r w:rsidRPr="00715C83">
              <w:rPr>
                <w:rFonts w:ascii="Arial" w:eastAsiaTheme="minorEastAsia" w:hAnsi="Arial" w:cs="Arial"/>
                <w:noProof/>
                <w:kern w:val="2"/>
                <w:lang w:eastAsia="es-CR"/>
                <w14:ligatures w14:val="standardContextual"/>
              </w:rPr>
              <w:tab/>
            </w:r>
            <w:r w:rsidRPr="00715C83">
              <w:rPr>
                <w:rStyle w:val="Hipervnculo"/>
                <w:rFonts w:ascii="Arial" w:hAnsi="Arial" w:cs="Arial"/>
                <w:noProof/>
              </w:rPr>
              <w:t>Análisis Comparativo de experiencias de TLC de Chin con países de América Latina</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_Toc236232356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60</w:t>
            </w:r>
            <w:r w:rsidRPr="00715C83">
              <w:rPr>
                <w:rFonts w:ascii="Arial" w:hAnsi="Arial" w:cs="Arial"/>
                <w:noProof/>
                <w:webHidden/>
              </w:rPr>
              <w:fldChar w:fldCharType="end"/>
            </w:r>
          </w:hyperlink>
        </w:p>
        <w:p w14:paraId="001A24B1" w14:textId="7EC3199C" w:rsidR="00580BA9" w:rsidRPr="00715C83" w:rsidRDefault="00580BA9">
          <w:pPr>
            <w:pStyle w:val="TDC2"/>
            <w:tabs>
              <w:tab w:val="left" w:pos="1200"/>
              <w:tab w:val="right" w:leader="dot" w:pos="8494"/>
            </w:tabs>
            <w:rPr>
              <w:rFonts w:ascii="Arial" w:eastAsiaTheme="minorEastAsia" w:hAnsi="Arial" w:cs="Arial"/>
              <w:noProof/>
              <w:kern w:val="2"/>
              <w:lang w:eastAsia="es-CR"/>
              <w14:ligatures w14:val="standardContextual"/>
            </w:rPr>
          </w:pPr>
          <w:hyperlink w:anchor="_Toc236232357" w:history="1">
            <w:r w:rsidRPr="00715C83">
              <w:rPr>
                <w:rStyle w:val="Hipervnculo"/>
                <w:rFonts w:ascii="Arial" w:hAnsi="Arial" w:cs="Arial"/>
                <w:noProof/>
              </w:rPr>
              <w:t>3.1.3</w:t>
            </w:r>
            <w:r w:rsidRPr="00715C83">
              <w:rPr>
                <w:rFonts w:ascii="Arial" w:eastAsiaTheme="minorEastAsia" w:hAnsi="Arial" w:cs="Arial"/>
                <w:noProof/>
                <w:kern w:val="2"/>
                <w:lang w:eastAsia="es-CR"/>
                <w14:ligatures w14:val="standardContextual"/>
              </w:rPr>
              <w:tab/>
            </w:r>
            <w:r w:rsidRPr="00715C83">
              <w:rPr>
                <w:rStyle w:val="Hipervnculo"/>
                <w:rFonts w:ascii="Arial" w:hAnsi="Arial" w:cs="Arial"/>
                <w:noProof/>
                <w:shd w:val="clear" w:color="auto" w:fill="FFFFFF"/>
              </w:rPr>
              <w:t>Índices Comerciales</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_Toc236232357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84</w:t>
            </w:r>
            <w:r w:rsidRPr="00715C83">
              <w:rPr>
                <w:rFonts w:ascii="Arial" w:hAnsi="Arial" w:cs="Arial"/>
                <w:noProof/>
                <w:webHidden/>
              </w:rPr>
              <w:fldChar w:fldCharType="end"/>
            </w:r>
          </w:hyperlink>
        </w:p>
        <w:p w14:paraId="05FE5D97" w14:textId="134C1B17" w:rsidR="00580BA9" w:rsidRPr="00715C83" w:rsidRDefault="00580BA9">
          <w:pPr>
            <w:pStyle w:val="TDC2"/>
            <w:tabs>
              <w:tab w:val="left" w:pos="1200"/>
              <w:tab w:val="right" w:leader="dot" w:pos="8494"/>
            </w:tabs>
            <w:rPr>
              <w:rFonts w:ascii="Arial" w:eastAsiaTheme="minorEastAsia" w:hAnsi="Arial" w:cs="Arial"/>
              <w:noProof/>
              <w:kern w:val="2"/>
              <w:lang w:eastAsia="es-CR"/>
              <w14:ligatures w14:val="standardContextual"/>
            </w:rPr>
          </w:pPr>
          <w:hyperlink w:anchor="_Toc236232358" w:history="1">
            <w:r w:rsidRPr="00715C83">
              <w:rPr>
                <w:rStyle w:val="Hipervnculo"/>
                <w:rFonts w:ascii="Arial" w:hAnsi="Arial" w:cs="Arial"/>
                <w:noProof/>
              </w:rPr>
              <w:t>3.1.4</w:t>
            </w:r>
            <w:r w:rsidRPr="00715C83">
              <w:rPr>
                <w:rFonts w:ascii="Arial" w:eastAsiaTheme="minorEastAsia" w:hAnsi="Arial" w:cs="Arial"/>
                <w:noProof/>
                <w:kern w:val="2"/>
                <w:lang w:eastAsia="es-CR"/>
                <w14:ligatures w14:val="standardContextual"/>
              </w:rPr>
              <w:tab/>
            </w:r>
            <w:r w:rsidRPr="00715C83">
              <w:rPr>
                <w:rStyle w:val="Hipervnculo"/>
                <w:rFonts w:ascii="Arial" w:hAnsi="Arial" w:cs="Arial"/>
                <w:noProof/>
                <w:shd w:val="clear" w:color="auto" w:fill="FFFFFF"/>
              </w:rPr>
              <w:t>Perspectivas frente a</w:t>
            </w:r>
            <w:r w:rsidRPr="00715C83">
              <w:rPr>
                <w:rStyle w:val="Hipervnculo"/>
                <w:rFonts w:ascii="Arial" w:hAnsi="Arial" w:cs="Arial"/>
                <w:noProof/>
              </w:rPr>
              <w:t xml:space="preserve">l </w:t>
            </w:r>
            <w:r w:rsidRPr="00715C83">
              <w:rPr>
                <w:rStyle w:val="Hipervnculo"/>
                <w:rFonts w:ascii="Arial" w:hAnsi="Arial" w:cs="Arial"/>
                <w:noProof/>
                <w:shd w:val="clear" w:color="auto" w:fill="FFFFFF"/>
              </w:rPr>
              <w:t>del TLC</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_Toc236232358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89</w:t>
            </w:r>
            <w:r w:rsidRPr="00715C83">
              <w:rPr>
                <w:rFonts w:ascii="Arial" w:hAnsi="Arial" w:cs="Arial"/>
                <w:noProof/>
                <w:webHidden/>
              </w:rPr>
              <w:fldChar w:fldCharType="end"/>
            </w:r>
          </w:hyperlink>
        </w:p>
        <w:p w14:paraId="0A5921AF" w14:textId="5351E8DE" w:rsidR="00580BA9" w:rsidRPr="00715C83" w:rsidRDefault="00580BA9">
          <w:pPr>
            <w:pStyle w:val="TDC3"/>
            <w:tabs>
              <w:tab w:val="left" w:pos="1440"/>
              <w:tab w:val="right" w:leader="dot" w:pos="8494"/>
            </w:tabs>
            <w:rPr>
              <w:rFonts w:ascii="Arial" w:eastAsiaTheme="minorEastAsia" w:hAnsi="Arial" w:cs="Arial"/>
              <w:noProof/>
              <w:kern w:val="2"/>
              <w:lang w:eastAsia="es-CR"/>
              <w14:ligatures w14:val="standardContextual"/>
            </w:rPr>
          </w:pPr>
          <w:hyperlink w:anchor="_Toc236232359" w:history="1">
            <w:r w:rsidRPr="00715C83">
              <w:rPr>
                <w:rStyle w:val="Hipervnculo"/>
                <w:rFonts w:ascii="Arial" w:hAnsi="Arial" w:cs="Arial"/>
                <w:noProof/>
              </w:rPr>
              <w:t>3.1.4.4</w:t>
            </w:r>
            <w:r w:rsidRPr="00715C83">
              <w:rPr>
                <w:rFonts w:ascii="Arial" w:eastAsiaTheme="minorEastAsia" w:hAnsi="Arial" w:cs="Arial"/>
                <w:noProof/>
                <w:kern w:val="2"/>
                <w:lang w:eastAsia="es-CR"/>
                <w14:ligatures w14:val="standardContextual"/>
              </w:rPr>
              <w:tab/>
            </w:r>
            <w:r w:rsidRPr="00715C83">
              <w:rPr>
                <w:rStyle w:val="Hipervnculo"/>
                <w:rFonts w:ascii="Arial" w:hAnsi="Arial" w:cs="Arial"/>
                <w:noProof/>
              </w:rPr>
              <w:t>Perspectiva institucional desde la Embajada de Honduras en China</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_Toc236232359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111</w:t>
            </w:r>
            <w:r w:rsidRPr="00715C83">
              <w:rPr>
                <w:rFonts w:ascii="Arial" w:hAnsi="Arial" w:cs="Arial"/>
                <w:noProof/>
                <w:webHidden/>
              </w:rPr>
              <w:fldChar w:fldCharType="end"/>
            </w:r>
          </w:hyperlink>
        </w:p>
        <w:p w14:paraId="186DDE6D" w14:textId="4E5901AD" w:rsidR="00580BA9" w:rsidRPr="00715C83" w:rsidRDefault="00580BA9">
          <w:pPr>
            <w:pStyle w:val="TDC1"/>
            <w:tabs>
              <w:tab w:val="right" w:leader="dot" w:pos="8494"/>
            </w:tabs>
            <w:rPr>
              <w:rFonts w:ascii="Arial" w:eastAsiaTheme="minorEastAsia" w:hAnsi="Arial" w:cs="Arial"/>
              <w:noProof/>
              <w:kern w:val="2"/>
              <w:lang w:eastAsia="es-CR"/>
              <w14:ligatures w14:val="standardContextual"/>
            </w:rPr>
          </w:pPr>
          <w:hyperlink w:anchor="_Toc236232360" w:history="1">
            <w:r w:rsidRPr="00715C83">
              <w:rPr>
                <w:rStyle w:val="Hipervnculo"/>
                <w:rFonts w:ascii="Arial" w:hAnsi="Arial" w:cs="Arial"/>
                <w:b/>
                <w:bCs/>
                <w:noProof/>
              </w:rPr>
              <w:t>CAPÍTULO 4. CONCLUSIONES Y RECOMENDACIONES</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_Toc236232360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114</w:t>
            </w:r>
            <w:r w:rsidRPr="00715C83">
              <w:rPr>
                <w:rFonts w:ascii="Arial" w:hAnsi="Arial" w:cs="Arial"/>
                <w:noProof/>
                <w:webHidden/>
              </w:rPr>
              <w:fldChar w:fldCharType="end"/>
            </w:r>
          </w:hyperlink>
        </w:p>
        <w:p w14:paraId="49FAB076" w14:textId="34EEE9B4" w:rsidR="00580BA9" w:rsidRPr="00715C83" w:rsidRDefault="00580BA9">
          <w:pPr>
            <w:pStyle w:val="TDC2"/>
            <w:tabs>
              <w:tab w:val="right" w:leader="dot" w:pos="8494"/>
            </w:tabs>
            <w:rPr>
              <w:rFonts w:ascii="Arial" w:eastAsiaTheme="minorEastAsia" w:hAnsi="Arial" w:cs="Arial"/>
              <w:noProof/>
              <w:kern w:val="2"/>
              <w:lang w:eastAsia="es-CR"/>
              <w14:ligatures w14:val="standardContextual"/>
            </w:rPr>
          </w:pPr>
          <w:hyperlink w:anchor="_Toc236232361" w:history="1">
            <w:r w:rsidRPr="00715C83">
              <w:rPr>
                <w:rStyle w:val="Hipervnculo"/>
                <w:rFonts w:ascii="Arial" w:eastAsia="Arial" w:hAnsi="Arial" w:cs="Arial"/>
                <w:b/>
                <w:bCs/>
                <w:noProof/>
              </w:rPr>
              <w:t>4.1</w:t>
            </w:r>
            <w:r w:rsidRPr="00715C83">
              <w:rPr>
                <w:rStyle w:val="Hipervnculo"/>
                <w:rFonts w:ascii="Arial" w:hAnsi="Arial" w:cs="Arial"/>
                <w:noProof/>
              </w:rPr>
              <w:t xml:space="preserve"> </w:t>
            </w:r>
            <w:r w:rsidRPr="00715C83">
              <w:rPr>
                <w:rStyle w:val="Hipervnculo"/>
                <w:rFonts w:ascii="Arial" w:eastAsia="Arial" w:hAnsi="Arial" w:cs="Arial"/>
                <w:b/>
                <w:bCs/>
                <w:noProof/>
              </w:rPr>
              <w:t xml:space="preserve">  Conclusiones de la investigación</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_Toc236232361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114</w:t>
            </w:r>
            <w:r w:rsidRPr="00715C83">
              <w:rPr>
                <w:rFonts w:ascii="Arial" w:hAnsi="Arial" w:cs="Arial"/>
                <w:noProof/>
                <w:webHidden/>
              </w:rPr>
              <w:fldChar w:fldCharType="end"/>
            </w:r>
          </w:hyperlink>
        </w:p>
        <w:p w14:paraId="31506B2F" w14:textId="26884E80" w:rsidR="00580BA9" w:rsidRPr="00715C83" w:rsidRDefault="00580BA9">
          <w:pPr>
            <w:pStyle w:val="TDC1"/>
            <w:tabs>
              <w:tab w:val="right" w:leader="dot" w:pos="8494"/>
            </w:tabs>
            <w:rPr>
              <w:rFonts w:ascii="Arial" w:eastAsiaTheme="minorEastAsia" w:hAnsi="Arial" w:cs="Arial"/>
              <w:noProof/>
              <w:kern w:val="2"/>
              <w:lang w:eastAsia="es-CR"/>
              <w14:ligatures w14:val="standardContextual"/>
            </w:rPr>
          </w:pPr>
          <w:hyperlink w:anchor="_Toc236232362" w:history="1">
            <w:r w:rsidRPr="00715C83">
              <w:rPr>
                <w:rStyle w:val="Hipervnculo"/>
                <w:rFonts w:ascii="Arial" w:hAnsi="Arial" w:cs="Arial"/>
                <w:b/>
                <w:bCs/>
                <w:noProof/>
              </w:rPr>
              <w:t>Referencias Bibliográficas</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_Toc236232362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123</w:t>
            </w:r>
            <w:r w:rsidRPr="00715C83">
              <w:rPr>
                <w:rFonts w:ascii="Arial" w:hAnsi="Arial" w:cs="Arial"/>
                <w:noProof/>
                <w:webHidden/>
              </w:rPr>
              <w:fldChar w:fldCharType="end"/>
            </w:r>
          </w:hyperlink>
        </w:p>
        <w:p w14:paraId="752CB0CE" w14:textId="49C4B595" w:rsidR="00580BA9" w:rsidRPr="00715C83" w:rsidRDefault="00580BA9">
          <w:pPr>
            <w:pStyle w:val="TDC1"/>
            <w:tabs>
              <w:tab w:val="right" w:leader="dot" w:pos="8494"/>
            </w:tabs>
            <w:rPr>
              <w:rFonts w:ascii="Arial" w:eastAsiaTheme="minorEastAsia" w:hAnsi="Arial" w:cs="Arial"/>
              <w:noProof/>
              <w:kern w:val="2"/>
              <w:lang w:eastAsia="es-CR"/>
              <w14:ligatures w14:val="standardContextual"/>
            </w:rPr>
          </w:pPr>
          <w:hyperlink w:anchor="_Toc236232363" w:history="1">
            <w:r w:rsidRPr="00715C83">
              <w:rPr>
                <w:rStyle w:val="Hipervnculo"/>
                <w:rFonts w:ascii="Arial" w:hAnsi="Arial" w:cs="Arial"/>
                <w:b/>
                <w:bCs/>
                <w:noProof/>
              </w:rPr>
              <w:t>Anexos</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_Toc236232363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133</w:t>
            </w:r>
            <w:r w:rsidRPr="00715C83">
              <w:rPr>
                <w:rFonts w:ascii="Arial" w:hAnsi="Arial" w:cs="Arial"/>
                <w:noProof/>
                <w:webHidden/>
              </w:rPr>
              <w:fldChar w:fldCharType="end"/>
            </w:r>
          </w:hyperlink>
        </w:p>
        <w:p w14:paraId="4E87BAA8" w14:textId="5EE2DB77" w:rsidR="00580BA9" w:rsidRPr="00715C83" w:rsidRDefault="00580BA9">
          <w:pPr>
            <w:pStyle w:val="TDC2"/>
            <w:tabs>
              <w:tab w:val="right" w:leader="dot" w:pos="8494"/>
            </w:tabs>
            <w:rPr>
              <w:rFonts w:ascii="Arial" w:eastAsiaTheme="minorEastAsia" w:hAnsi="Arial" w:cs="Arial"/>
              <w:noProof/>
              <w:kern w:val="2"/>
              <w:lang w:eastAsia="es-CR"/>
              <w14:ligatures w14:val="standardContextual"/>
            </w:rPr>
          </w:pPr>
          <w:hyperlink w:anchor="_Toc236232364" w:history="1">
            <w:r w:rsidRPr="00715C83">
              <w:rPr>
                <w:rStyle w:val="Hipervnculo"/>
                <w:rFonts w:ascii="Arial" w:hAnsi="Arial" w:cs="Arial"/>
                <w:b/>
                <w:bCs/>
                <w:noProof/>
              </w:rPr>
              <w:t>Anexo I:</w:t>
            </w:r>
            <w:r w:rsidRPr="00715C83">
              <w:rPr>
                <w:rStyle w:val="Hipervnculo"/>
                <w:rFonts w:ascii="Arial" w:hAnsi="Arial" w:cs="Arial"/>
                <w:noProof/>
              </w:rPr>
              <w:t xml:space="preserve"> </w:t>
            </w:r>
            <w:r w:rsidRPr="00715C83">
              <w:rPr>
                <w:rStyle w:val="Hipervnculo"/>
                <w:rFonts w:ascii="Arial" w:hAnsi="Arial" w:cs="Arial"/>
                <w:i/>
                <w:iCs/>
                <w:noProof/>
              </w:rPr>
              <w:t>Entrevista a Productores en Honduras</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_Toc236232364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133</w:t>
            </w:r>
            <w:r w:rsidRPr="00715C83">
              <w:rPr>
                <w:rFonts w:ascii="Arial" w:hAnsi="Arial" w:cs="Arial"/>
                <w:noProof/>
                <w:webHidden/>
              </w:rPr>
              <w:fldChar w:fldCharType="end"/>
            </w:r>
          </w:hyperlink>
        </w:p>
        <w:p w14:paraId="4810A78E" w14:textId="643E273C" w:rsidR="00580BA9" w:rsidRPr="00715C83" w:rsidRDefault="00580BA9">
          <w:pPr>
            <w:pStyle w:val="TDC2"/>
            <w:tabs>
              <w:tab w:val="right" w:leader="dot" w:pos="8494"/>
            </w:tabs>
            <w:rPr>
              <w:rFonts w:ascii="Arial" w:eastAsiaTheme="minorEastAsia" w:hAnsi="Arial" w:cs="Arial"/>
              <w:noProof/>
              <w:kern w:val="2"/>
              <w:lang w:eastAsia="es-CR"/>
              <w14:ligatures w14:val="standardContextual"/>
            </w:rPr>
          </w:pPr>
          <w:hyperlink w:anchor="_Toc236232365" w:history="1">
            <w:r w:rsidRPr="00715C83">
              <w:rPr>
                <w:rStyle w:val="Hipervnculo"/>
                <w:rFonts w:ascii="Arial" w:hAnsi="Arial" w:cs="Arial"/>
                <w:b/>
                <w:bCs/>
                <w:noProof/>
              </w:rPr>
              <w:t>Anexo II:</w:t>
            </w:r>
            <w:r w:rsidRPr="00715C83">
              <w:rPr>
                <w:rStyle w:val="Hipervnculo"/>
                <w:rFonts w:ascii="Arial" w:hAnsi="Arial" w:cs="Arial"/>
                <w:noProof/>
              </w:rPr>
              <w:t xml:space="preserve"> </w:t>
            </w:r>
            <w:r w:rsidRPr="00715C83">
              <w:rPr>
                <w:rStyle w:val="Hipervnculo"/>
                <w:rFonts w:ascii="Arial" w:hAnsi="Arial" w:cs="Arial"/>
                <w:i/>
                <w:iCs/>
                <w:noProof/>
              </w:rPr>
              <w:t>Entrevista a Académicos y Profesionales del área de Comercio Internacional</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_Toc236232365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134</w:t>
            </w:r>
            <w:r w:rsidRPr="00715C83">
              <w:rPr>
                <w:rFonts w:ascii="Arial" w:hAnsi="Arial" w:cs="Arial"/>
                <w:noProof/>
                <w:webHidden/>
              </w:rPr>
              <w:fldChar w:fldCharType="end"/>
            </w:r>
          </w:hyperlink>
        </w:p>
        <w:p w14:paraId="41F8DB56" w14:textId="638FB69D" w:rsidR="00580BA9" w:rsidRPr="00715C83" w:rsidRDefault="00580BA9">
          <w:pPr>
            <w:pStyle w:val="TDC2"/>
            <w:tabs>
              <w:tab w:val="right" w:leader="dot" w:pos="8494"/>
            </w:tabs>
            <w:rPr>
              <w:rFonts w:ascii="Arial" w:eastAsiaTheme="minorEastAsia" w:hAnsi="Arial" w:cs="Arial"/>
              <w:noProof/>
              <w:kern w:val="2"/>
              <w:lang w:eastAsia="es-CR"/>
              <w14:ligatures w14:val="standardContextual"/>
            </w:rPr>
          </w:pPr>
          <w:hyperlink w:anchor="_Toc236232366" w:history="1">
            <w:r w:rsidRPr="00715C83">
              <w:rPr>
                <w:rStyle w:val="Hipervnculo"/>
                <w:rFonts w:ascii="Arial" w:hAnsi="Arial" w:cs="Arial"/>
                <w:b/>
                <w:bCs/>
                <w:noProof/>
              </w:rPr>
              <w:t>Anexo III:</w:t>
            </w:r>
            <w:r w:rsidRPr="00715C83">
              <w:rPr>
                <w:rStyle w:val="Hipervnculo"/>
                <w:rFonts w:ascii="Arial" w:hAnsi="Arial" w:cs="Arial"/>
                <w:noProof/>
              </w:rPr>
              <w:t xml:space="preserve"> </w:t>
            </w:r>
            <w:r w:rsidRPr="00715C83">
              <w:rPr>
                <w:rStyle w:val="Hipervnculo"/>
                <w:rFonts w:ascii="Arial" w:hAnsi="Arial" w:cs="Arial"/>
                <w:i/>
                <w:iCs/>
                <w:noProof/>
              </w:rPr>
              <w:t>Entrevista para los principales actores en la negociación del TLC China – Honduras</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_Toc236232366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135</w:t>
            </w:r>
            <w:r w:rsidRPr="00715C83">
              <w:rPr>
                <w:rFonts w:ascii="Arial" w:hAnsi="Arial" w:cs="Arial"/>
                <w:noProof/>
                <w:webHidden/>
              </w:rPr>
              <w:fldChar w:fldCharType="end"/>
            </w:r>
          </w:hyperlink>
        </w:p>
        <w:p w14:paraId="0303498A" w14:textId="6FD8A684" w:rsidR="00580BA9" w:rsidRPr="00715C83" w:rsidRDefault="00580BA9">
          <w:pPr>
            <w:pStyle w:val="TDC2"/>
            <w:tabs>
              <w:tab w:val="right" w:leader="dot" w:pos="8494"/>
            </w:tabs>
            <w:rPr>
              <w:rFonts w:ascii="Arial" w:eastAsiaTheme="minorEastAsia" w:hAnsi="Arial" w:cs="Arial"/>
              <w:noProof/>
              <w:kern w:val="2"/>
              <w:lang w:eastAsia="es-CR"/>
              <w14:ligatures w14:val="standardContextual"/>
            </w:rPr>
          </w:pPr>
          <w:hyperlink w:anchor="_Toc236232367" w:history="1">
            <w:r w:rsidRPr="00715C83">
              <w:rPr>
                <w:rStyle w:val="Hipervnculo"/>
                <w:rFonts w:ascii="Arial" w:hAnsi="Arial" w:cs="Arial"/>
                <w:b/>
                <w:bCs/>
                <w:noProof/>
              </w:rPr>
              <w:t>Anexo V:</w:t>
            </w:r>
            <w:r w:rsidRPr="00715C83">
              <w:rPr>
                <w:rStyle w:val="Hipervnculo"/>
                <w:rFonts w:ascii="Arial" w:hAnsi="Arial" w:cs="Arial"/>
                <w:noProof/>
              </w:rPr>
              <w:t xml:space="preserve"> </w:t>
            </w:r>
            <w:r w:rsidRPr="00715C83">
              <w:rPr>
                <w:rStyle w:val="Hipervnculo"/>
                <w:rFonts w:ascii="Arial" w:hAnsi="Arial" w:cs="Arial"/>
                <w:i/>
                <w:iCs/>
                <w:noProof/>
              </w:rPr>
              <w:t>Organización de la investigación</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_Toc236232367 \h </w:instrText>
            </w:r>
            <w:r w:rsidRPr="00715C83">
              <w:rPr>
                <w:rFonts w:ascii="Arial" w:hAnsi="Arial" w:cs="Arial"/>
                <w:noProof/>
                <w:webHidden/>
              </w:rPr>
            </w:r>
            <w:r w:rsidRPr="00715C83">
              <w:rPr>
                <w:rFonts w:ascii="Arial" w:hAnsi="Arial" w:cs="Arial"/>
                <w:noProof/>
                <w:webHidden/>
              </w:rPr>
              <w:fldChar w:fldCharType="separate"/>
            </w:r>
            <w:r w:rsidRPr="00715C83">
              <w:rPr>
                <w:rFonts w:ascii="Arial" w:hAnsi="Arial" w:cs="Arial"/>
                <w:noProof/>
                <w:webHidden/>
              </w:rPr>
              <w:t>137</w:t>
            </w:r>
            <w:r w:rsidRPr="00715C83">
              <w:rPr>
                <w:rFonts w:ascii="Arial" w:hAnsi="Arial" w:cs="Arial"/>
                <w:noProof/>
                <w:webHidden/>
              </w:rPr>
              <w:fldChar w:fldCharType="end"/>
            </w:r>
          </w:hyperlink>
        </w:p>
        <w:p w14:paraId="208CCF9B" w14:textId="3028D7B3" w:rsidR="00ED618E" w:rsidRPr="00715C83" w:rsidRDefault="00031B05" w:rsidP="00C36793">
          <w:pPr>
            <w:spacing w:line="276" w:lineRule="auto"/>
            <w:jc w:val="both"/>
            <w:rPr>
              <w:rFonts w:ascii="Arial" w:hAnsi="Arial" w:cs="Arial"/>
            </w:rPr>
          </w:pPr>
          <w:r w:rsidRPr="00715C83">
            <w:rPr>
              <w:rFonts w:ascii="Arial" w:hAnsi="Arial" w:cs="Arial"/>
            </w:rPr>
            <w:fldChar w:fldCharType="end"/>
          </w:r>
        </w:p>
      </w:sdtContent>
    </w:sdt>
    <w:p w14:paraId="40F7565E" w14:textId="593EF47D" w:rsidR="00822279" w:rsidRPr="00715C83" w:rsidRDefault="00ED618E" w:rsidP="00C36793">
      <w:pPr>
        <w:spacing w:line="360" w:lineRule="auto"/>
        <w:jc w:val="both"/>
        <w:rPr>
          <w:rFonts w:ascii="Arial" w:hAnsi="Arial" w:cs="Arial"/>
          <w:b/>
          <w:bCs/>
          <w:color w:val="000000" w:themeColor="text1"/>
          <w:lang w:val="es-ES"/>
        </w:rPr>
      </w:pPr>
      <w:r w:rsidRPr="00715C83">
        <w:rPr>
          <w:rFonts w:ascii="Arial" w:hAnsi="Arial" w:cs="Arial"/>
          <w:b/>
          <w:bCs/>
          <w:color w:val="000000" w:themeColor="text1"/>
          <w:lang w:val="es-ES"/>
        </w:rPr>
        <w:t>Índice de Gráficos</w:t>
      </w:r>
    </w:p>
    <w:p w14:paraId="1C2BDED8" w14:textId="50EE29DF" w:rsidR="0082417D" w:rsidRPr="00715C83" w:rsidRDefault="00ED618E" w:rsidP="0082417D">
      <w:pPr>
        <w:pStyle w:val="Tabladeilustraciones"/>
        <w:tabs>
          <w:tab w:val="right" w:leader="dot" w:pos="8494"/>
        </w:tabs>
        <w:spacing w:line="360" w:lineRule="auto"/>
        <w:rPr>
          <w:rFonts w:ascii="Arial" w:eastAsiaTheme="minorEastAsia" w:hAnsi="Arial" w:cs="Arial"/>
          <w:noProof/>
          <w:kern w:val="2"/>
          <w14:ligatures w14:val="standardContextual"/>
        </w:rPr>
      </w:pPr>
      <w:r w:rsidRPr="00715C83">
        <w:rPr>
          <w:rFonts w:ascii="Arial" w:hAnsi="Arial" w:cs="Arial"/>
          <w:color w:val="000000" w:themeColor="text1"/>
          <w:lang w:val="es-ES"/>
        </w:rPr>
        <w:fldChar w:fldCharType="begin"/>
      </w:r>
      <w:r w:rsidRPr="00715C83">
        <w:rPr>
          <w:rFonts w:ascii="Arial" w:hAnsi="Arial" w:cs="Arial"/>
          <w:color w:val="000000" w:themeColor="text1"/>
          <w:lang w:val="es-ES"/>
        </w:rPr>
        <w:instrText xml:space="preserve"> TOC \h \z \c "Gráfico" </w:instrText>
      </w:r>
      <w:r w:rsidRPr="00715C83">
        <w:rPr>
          <w:rFonts w:ascii="Arial" w:hAnsi="Arial" w:cs="Arial"/>
          <w:color w:val="000000" w:themeColor="text1"/>
          <w:lang w:val="es-ES"/>
        </w:rPr>
        <w:fldChar w:fldCharType="separate"/>
      </w:r>
      <w:hyperlink w:anchor="_Toc215907242" w:history="1">
        <w:r w:rsidR="0082417D" w:rsidRPr="00715C83">
          <w:rPr>
            <w:rStyle w:val="Hipervnculo"/>
            <w:rFonts w:ascii="Arial" w:eastAsiaTheme="majorEastAsia" w:hAnsi="Arial" w:cs="Arial"/>
            <w:b/>
            <w:bCs/>
            <w:noProof/>
          </w:rPr>
          <w:t xml:space="preserve">Gráfico 1 </w:t>
        </w:r>
        <w:r w:rsidR="0082417D" w:rsidRPr="00715C83">
          <w:rPr>
            <w:rStyle w:val="Hipervnculo"/>
            <w:rFonts w:ascii="Arial" w:eastAsiaTheme="majorEastAsia" w:hAnsi="Arial" w:cs="Arial"/>
            <w:noProof/>
            <w:lang w:val="es-HN"/>
          </w:rPr>
          <w:t>Balanza Comercial de Honduras con China</w:t>
        </w:r>
        <w:r w:rsidR="0082417D" w:rsidRPr="00715C83">
          <w:rPr>
            <w:rFonts w:ascii="Arial" w:hAnsi="Arial" w:cs="Arial"/>
            <w:noProof/>
            <w:webHidden/>
          </w:rPr>
          <w:tab/>
        </w:r>
        <w:r w:rsidR="0082417D" w:rsidRPr="00715C83">
          <w:rPr>
            <w:rFonts w:ascii="Arial" w:hAnsi="Arial" w:cs="Arial"/>
            <w:noProof/>
            <w:webHidden/>
          </w:rPr>
          <w:fldChar w:fldCharType="begin"/>
        </w:r>
        <w:r w:rsidR="0082417D" w:rsidRPr="00715C83">
          <w:rPr>
            <w:rFonts w:ascii="Arial" w:hAnsi="Arial" w:cs="Arial"/>
            <w:noProof/>
            <w:webHidden/>
          </w:rPr>
          <w:instrText xml:space="preserve"> PAGEREF _Toc215907242 \h </w:instrText>
        </w:r>
        <w:r w:rsidR="0082417D" w:rsidRPr="00715C83">
          <w:rPr>
            <w:rFonts w:ascii="Arial" w:hAnsi="Arial" w:cs="Arial"/>
            <w:noProof/>
            <w:webHidden/>
          </w:rPr>
        </w:r>
        <w:r w:rsidR="0082417D" w:rsidRPr="00715C83">
          <w:rPr>
            <w:rFonts w:ascii="Arial" w:hAnsi="Arial" w:cs="Arial"/>
            <w:noProof/>
            <w:webHidden/>
          </w:rPr>
          <w:fldChar w:fldCharType="separate"/>
        </w:r>
        <w:r w:rsidR="00BE55AC" w:rsidRPr="00715C83">
          <w:rPr>
            <w:rFonts w:ascii="Arial" w:hAnsi="Arial" w:cs="Arial"/>
            <w:noProof/>
            <w:webHidden/>
          </w:rPr>
          <w:t>9</w:t>
        </w:r>
        <w:r w:rsidR="0082417D" w:rsidRPr="00715C83">
          <w:rPr>
            <w:rFonts w:ascii="Arial" w:hAnsi="Arial" w:cs="Arial"/>
            <w:noProof/>
            <w:webHidden/>
          </w:rPr>
          <w:fldChar w:fldCharType="end"/>
        </w:r>
      </w:hyperlink>
    </w:p>
    <w:p w14:paraId="5A10D0F8" w14:textId="4D7FF713" w:rsidR="0082417D" w:rsidRPr="00715C83" w:rsidRDefault="0082417D" w:rsidP="0082417D">
      <w:pPr>
        <w:pStyle w:val="Tabladeilustraciones"/>
        <w:tabs>
          <w:tab w:val="right" w:leader="dot" w:pos="8494"/>
        </w:tabs>
        <w:spacing w:line="360" w:lineRule="auto"/>
        <w:rPr>
          <w:rFonts w:ascii="Arial" w:eastAsiaTheme="minorEastAsia" w:hAnsi="Arial" w:cs="Arial"/>
          <w:noProof/>
          <w:kern w:val="2"/>
          <w14:ligatures w14:val="standardContextual"/>
        </w:rPr>
      </w:pPr>
      <w:hyperlink w:anchor="_Toc215907243" w:history="1">
        <w:r w:rsidRPr="00715C83">
          <w:rPr>
            <w:rStyle w:val="Hipervnculo"/>
            <w:rFonts w:ascii="Arial" w:eastAsiaTheme="majorEastAsia" w:hAnsi="Arial" w:cs="Arial"/>
            <w:b/>
            <w:bCs/>
            <w:noProof/>
          </w:rPr>
          <w:t xml:space="preserve">Gráfico 2 </w:t>
        </w:r>
        <w:r w:rsidRPr="00715C83">
          <w:rPr>
            <w:rStyle w:val="Hipervnculo"/>
            <w:rFonts w:ascii="Arial" w:eastAsiaTheme="majorEastAsia" w:hAnsi="Arial" w:cs="Arial"/>
            <w:noProof/>
            <w:lang w:val="es-MX"/>
          </w:rPr>
          <w:t xml:space="preserve">  Exportaciones e Importaciones entre Honduras y China</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_Toc215907243 \h </w:instrText>
        </w:r>
        <w:r w:rsidRPr="00715C83">
          <w:rPr>
            <w:rFonts w:ascii="Arial" w:hAnsi="Arial" w:cs="Arial"/>
            <w:noProof/>
            <w:webHidden/>
          </w:rPr>
        </w:r>
        <w:r w:rsidRPr="00715C83">
          <w:rPr>
            <w:rFonts w:ascii="Arial" w:hAnsi="Arial" w:cs="Arial"/>
            <w:noProof/>
            <w:webHidden/>
          </w:rPr>
          <w:fldChar w:fldCharType="separate"/>
        </w:r>
        <w:r w:rsidR="00BE55AC" w:rsidRPr="00715C83">
          <w:rPr>
            <w:rFonts w:ascii="Arial" w:hAnsi="Arial" w:cs="Arial"/>
            <w:noProof/>
            <w:webHidden/>
          </w:rPr>
          <w:t>55</w:t>
        </w:r>
        <w:r w:rsidRPr="00715C83">
          <w:rPr>
            <w:rFonts w:ascii="Arial" w:hAnsi="Arial" w:cs="Arial"/>
            <w:noProof/>
            <w:webHidden/>
          </w:rPr>
          <w:fldChar w:fldCharType="end"/>
        </w:r>
      </w:hyperlink>
    </w:p>
    <w:p w14:paraId="522DA564" w14:textId="6397FB9A" w:rsidR="0082417D" w:rsidRPr="00715C83" w:rsidRDefault="0082417D" w:rsidP="0082417D">
      <w:pPr>
        <w:pStyle w:val="Tabladeilustraciones"/>
        <w:tabs>
          <w:tab w:val="right" w:leader="dot" w:pos="8494"/>
        </w:tabs>
        <w:spacing w:line="360" w:lineRule="auto"/>
        <w:rPr>
          <w:rFonts w:ascii="Arial" w:eastAsiaTheme="minorEastAsia" w:hAnsi="Arial" w:cs="Arial"/>
          <w:noProof/>
          <w:kern w:val="2"/>
          <w14:ligatures w14:val="standardContextual"/>
        </w:rPr>
      </w:pPr>
      <w:hyperlink w:anchor="_Toc215907244" w:history="1">
        <w:r w:rsidRPr="00715C83">
          <w:rPr>
            <w:rStyle w:val="Hipervnculo"/>
            <w:rFonts w:ascii="Arial" w:eastAsiaTheme="majorEastAsia" w:hAnsi="Arial" w:cs="Arial"/>
            <w:b/>
            <w:bCs/>
            <w:noProof/>
          </w:rPr>
          <w:t xml:space="preserve">Gráfico 3 </w:t>
        </w:r>
        <w:r w:rsidRPr="00715C83">
          <w:rPr>
            <w:rStyle w:val="Hipervnculo"/>
            <w:rFonts w:ascii="Arial" w:eastAsiaTheme="majorEastAsia" w:hAnsi="Arial" w:cs="Arial"/>
            <w:noProof/>
            <w:lang w:val="es-MX"/>
          </w:rPr>
          <w:t xml:space="preserve"> Exportaciones de Honduras y China</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_Toc215907244 \h </w:instrText>
        </w:r>
        <w:r w:rsidRPr="00715C83">
          <w:rPr>
            <w:rFonts w:ascii="Arial" w:hAnsi="Arial" w:cs="Arial"/>
            <w:noProof/>
            <w:webHidden/>
          </w:rPr>
        </w:r>
        <w:r w:rsidRPr="00715C83">
          <w:rPr>
            <w:rFonts w:ascii="Arial" w:hAnsi="Arial" w:cs="Arial"/>
            <w:noProof/>
            <w:webHidden/>
          </w:rPr>
          <w:fldChar w:fldCharType="separate"/>
        </w:r>
        <w:r w:rsidR="00BE55AC" w:rsidRPr="00715C83">
          <w:rPr>
            <w:rFonts w:ascii="Arial" w:hAnsi="Arial" w:cs="Arial"/>
            <w:noProof/>
            <w:webHidden/>
          </w:rPr>
          <w:t>56</w:t>
        </w:r>
        <w:r w:rsidRPr="00715C83">
          <w:rPr>
            <w:rFonts w:ascii="Arial" w:hAnsi="Arial" w:cs="Arial"/>
            <w:noProof/>
            <w:webHidden/>
          </w:rPr>
          <w:fldChar w:fldCharType="end"/>
        </w:r>
      </w:hyperlink>
    </w:p>
    <w:p w14:paraId="3C2ECB5D" w14:textId="7BFCEF2A" w:rsidR="0082417D" w:rsidRPr="00715C83" w:rsidRDefault="0082417D" w:rsidP="0082417D">
      <w:pPr>
        <w:pStyle w:val="Tabladeilustraciones"/>
        <w:tabs>
          <w:tab w:val="right" w:leader="dot" w:pos="8494"/>
        </w:tabs>
        <w:spacing w:line="360" w:lineRule="auto"/>
        <w:rPr>
          <w:rFonts w:ascii="Arial" w:eastAsiaTheme="minorEastAsia" w:hAnsi="Arial" w:cs="Arial"/>
          <w:noProof/>
          <w:kern w:val="2"/>
          <w14:ligatures w14:val="standardContextual"/>
        </w:rPr>
      </w:pPr>
      <w:hyperlink w:anchor="_Toc215907245" w:history="1">
        <w:r w:rsidRPr="00715C83">
          <w:rPr>
            <w:rStyle w:val="Hipervnculo"/>
            <w:rFonts w:ascii="Arial" w:eastAsiaTheme="majorEastAsia" w:hAnsi="Arial" w:cs="Arial"/>
            <w:b/>
            <w:bCs/>
            <w:noProof/>
          </w:rPr>
          <w:t xml:space="preserve">Gráfico 4 </w:t>
        </w:r>
        <w:r w:rsidRPr="00715C83">
          <w:rPr>
            <w:rStyle w:val="Hipervnculo"/>
            <w:rFonts w:ascii="Arial" w:eastAsiaTheme="majorEastAsia" w:hAnsi="Arial" w:cs="Arial"/>
            <w:noProof/>
          </w:rPr>
          <w:t>Participación de los principales sectores en las exportaciones hacia China 2000-2024</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_Toc215907245 \h </w:instrText>
        </w:r>
        <w:r w:rsidRPr="00715C83">
          <w:rPr>
            <w:rFonts w:ascii="Arial" w:hAnsi="Arial" w:cs="Arial"/>
            <w:noProof/>
            <w:webHidden/>
          </w:rPr>
        </w:r>
        <w:r w:rsidRPr="00715C83">
          <w:rPr>
            <w:rFonts w:ascii="Arial" w:hAnsi="Arial" w:cs="Arial"/>
            <w:noProof/>
            <w:webHidden/>
          </w:rPr>
          <w:fldChar w:fldCharType="separate"/>
        </w:r>
        <w:r w:rsidR="00BE55AC" w:rsidRPr="00715C83">
          <w:rPr>
            <w:rFonts w:ascii="Arial" w:hAnsi="Arial" w:cs="Arial"/>
            <w:noProof/>
            <w:webHidden/>
          </w:rPr>
          <w:t>57</w:t>
        </w:r>
        <w:r w:rsidRPr="00715C83">
          <w:rPr>
            <w:rFonts w:ascii="Arial" w:hAnsi="Arial" w:cs="Arial"/>
            <w:noProof/>
            <w:webHidden/>
          </w:rPr>
          <w:fldChar w:fldCharType="end"/>
        </w:r>
      </w:hyperlink>
    </w:p>
    <w:p w14:paraId="6A3C870C" w14:textId="36501AFA" w:rsidR="0082417D" w:rsidRPr="00715C83" w:rsidRDefault="0082417D" w:rsidP="0082417D">
      <w:pPr>
        <w:pStyle w:val="Tabladeilustraciones"/>
        <w:tabs>
          <w:tab w:val="right" w:leader="dot" w:pos="8494"/>
        </w:tabs>
        <w:spacing w:line="360" w:lineRule="auto"/>
        <w:rPr>
          <w:rFonts w:ascii="Arial" w:eastAsiaTheme="minorEastAsia" w:hAnsi="Arial" w:cs="Arial"/>
          <w:noProof/>
          <w:kern w:val="2"/>
          <w14:ligatures w14:val="standardContextual"/>
        </w:rPr>
      </w:pPr>
      <w:hyperlink w:anchor="_Toc215907246" w:history="1">
        <w:r w:rsidRPr="00715C83">
          <w:rPr>
            <w:rStyle w:val="Hipervnculo"/>
            <w:rFonts w:ascii="Arial" w:eastAsiaTheme="majorEastAsia" w:hAnsi="Arial" w:cs="Arial"/>
            <w:b/>
            <w:bCs/>
            <w:noProof/>
          </w:rPr>
          <w:t xml:space="preserve">Gráfico 5 </w:t>
        </w:r>
        <w:r w:rsidRPr="00715C83">
          <w:rPr>
            <w:rStyle w:val="Hipervnculo"/>
            <w:rFonts w:ascii="Arial" w:eastAsiaTheme="majorEastAsia" w:hAnsi="Arial" w:cs="Arial"/>
            <w:noProof/>
            <w:lang w:val="es-MX"/>
          </w:rPr>
          <w:t xml:space="preserve">  Exportaciones de Honduras hacia China (Café y Azúcar) 2000-2024</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_Toc215907246 \h </w:instrText>
        </w:r>
        <w:r w:rsidRPr="00715C83">
          <w:rPr>
            <w:rFonts w:ascii="Arial" w:hAnsi="Arial" w:cs="Arial"/>
            <w:noProof/>
            <w:webHidden/>
          </w:rPr>
        </w:r>
        <w:r w:rsidRPr="00715C83">
          <w:rPr>
            <w:rFonts w:ascii="Arial" w:hAnsi="Arial" w:cs="Arial"/>
            <w:noProof/>
            <w:webHidden/>
          </w:rPr>
          <w:fldChar w:fldCharType="separate"/>
        </w:r>
        <w:r w:rsidR="00BE55AC" w:rsidRPr="00715C83">
          <w:rPr>
            <w:rFonts w:ascii="Arial" w:hAnsi="Arial" w:cs="Arial"/>
            <w:noProof/>
            <w:webHidden/>
          </w:rPr>
          <w:t>58</w:t>
        </w:r>
        <w:r w:rsidRPr="00715C83">
          <w:rPr>
            <w:rFonts w:ascii="Arial" w:hAnsi="Arial" w:cs="Arial"/>
            <w:noProof/>
            <w:webHidden/>
          </w:rPr>
          <w:fldChar w:fldCharType="end"/>
        </w:r>
      </w:hyperlink>
    </w:p>
    <w:p w14:paraId="2F15D684" w14:textId="1F86A00C" w:rsidR="0082417D" w:rsidRPr="00715C83" w:rsidRDefault="0082417D" w:rsidP="0082417D">
      <w:pPr>
        <w:pStyle w:val="Tabladeilustraciones"/>
        <w:tabs>
          <w:tab w:val="right" w:leader="dot" w:pos="8494"/>
        </w:tabs>
        <w:spacing w:line="360" w:lineRule="auto"/>
        <w:rPr>
          <w:rFonts w:ascii="Arial" w:eastAsiaTheme="minorEastAsia" w:hAnsi="Arial" w:cs="Arial"/>
          <w:noProof/>
          <w:kern w:val="2"/>
          <w14:ligatures w14:val="standardContextual"/>
        </w:rPr>
      </w:pPr>
      <w:hyperlink w:anchor="_Toc215907247" w:history="1">
        <w:r w:rsidRPr="00715C83">
          <w:rPr>
            <w:rStyle w:val="Hipervnculo"/>
            <w:rFonts w:ascii="Arial" w:eastAsiaTheme="majorEastAsia" w:hAnsi="Arial" w:cs="Arial"/>
            <w:b/>
            <w:bCs/>
            <w:noProof/>
          </w:rPr>
          <w:t xml:space="preserve">Gráfico 6 </w:t>
        </w:r>
        <w:r w:rsidRPr="00715C83">
          <w:rPr>
            <w:rStyle w:val="Hipervnculo"/>
            <w:rFonts w:ascii="Arial" w:eastAsiaTheme="majorEastAsia" w:hAnsi="Arial" w:cs="Arial"/>
            <w:noProof/>
          </w:rPr>
          <w:t>Flujos de Inversión de China hacia Honduras</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_Toc215907247 \h </w:instrText>
        </w:r>
        <w:r w:rsidRPr="00715C83">
          <w:rPr>
            <w:rFonts w:ascii="Arial" w:hAnsi="Arial" w:cs="Arial"/>
            <w:noProof/>
            <w:webHidden/>
          </w:rPr>
        </w:r>
        <w:r w:rsidRPr="00715C83">
          <w:rPr>
            <w:rFonts w:ascii="Arial" w:hAnsi="Arial" w:cs="Arial"/>
            <w:noProof/>
            <w:webHidden/>
          </w:rPr>
          <w:fldChar w:fldCharType="separate"/>
        </w:r>
        <w:r w:rsidR="00BE55AC" w:rsidRPr="00715C83">
          <w:rPr>
            <w:rFonts w:ascii="Arial" w:hAnsi="Arial" w:cs="Arial"/>
            <w:noProof/>
            <w:webHidden/>
          </w:rPr>
          <w:t>59</w:t>
        </w:r>
        <w:r w:rsidRPr="00715C83">
          <w:rPr>
            <w:rFonts w:ascii="Arial" w:hAnsi="Arial" w:cs="Arial"/>
            <w:noProof/>
            <w:webHidden/>
          </w:rPr>
          <w:fldChar w:fldCharType="end"/>
        </w:r>
      </w:hyperlink>
    </w:p>
    <w:p w14:paraId="73D342CB" w14:textId="1D4F2D33" w:rsidR="0082417D" w:rsidRPr="00715C83" w:rsidRDefault="0082417D" w:rsidP="0082417D">
      <w:pPr>
        <w:pStyle w:val="Tabladeilustraciones"/>
        <w:tabs>
          <w:tab w:val="right" w:leader="dot" w:pos="8494"/>
        </w:tabs>
        <w:spacing w:line="360" w:lineRule="auto"/>
        <w:rPr>
          <w:rFonts w:ascii="Arial" w:eastAsiaTheme="minorEastAsia" w:hAnsi="Arial" w:cs="Arial"/>
          <w:noProof/>
          <w:kern w:val="2"/>
          <w14:ligatures w14:val="standardContextual"/>
        </w:rPr>
      </w:pPr>
      <w:hyperlink w:anchor="_Toc215907248" w:history="1">
        <w:r w:rsidRPr="00715C83">
          <w:rPr>
            <w:rStyle w:val="Hipervnculo"/>
            <w:rFonts w:ascii="Arial" w:eastAsiaTheme="majorEastAsia" w:hAnsi="Arial" w:cs="Arial"/>
            <w:b/>
            <w:bCs/>
            <w:noProof/>
          </w:rPr>
          <w:t xml:space="preserve">Gráfico 7  </w:t>
        </w:r>
        <w:r w:rsidRPr="00715C83">
          <w:rPr>
            <w:rStyle w:val="Hipervnculo"/>
            <w:rFonts w:ascii="Arial" w:eastAsiaTheme="majorEastAsia" w:hAnsi="Arial" w:cs="Arial"/>
            <w:noProof/>
          </w:rPr>
          <w:t>Balanza Comercial de Chile y China de 2001 - 2022</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_Toc215907248 \h </w:instrText>
        </w:r>
        <w:r w:rsidRPr="00715C83">
          <w:rPr>
            <w:rFonts w:ascii="Arial" w:hAnsi="Arial" w:cs="Arial"/>
            <w:noProof/>
            <w:webHidden/>
          </w:rPr>
        </w:r>
        <w:r w:rsidRPr="00715C83">
          <w:rPr>
            <w:rFonts w:ascii="Arial" w:hAnsi="Arial" w:cs="Arial"/>
            <w:noProof/>
            <w:webHidden/>
          </w:rPr>
          <w:fldChar w:fldCharType="separate"/>
        </w:r>
        <w:r w:rsidR="00BE55AC" w:rsidRPr="00715C83">
          <w:rPr>
            <w:rFonts w:ascii="Arial" w:hAnsi="Arial" w:cs="Arial"/>
            <w:noProof/>
            <w:webHidden/>
          </w:rPr>
          <w:t>63</w:t>
        </w:r>
        <w:r w:rsidRPr="00715C83">
          <w:rPr>
            <w:rFonts w:ascii="Arial" w:hAnsi="Arial" w:cs="Arial"/>
            <w:noProof/>
            <w:webHidden/>
          </w:rPr>
          <w:fldChar w:fldCharType="end"/>
        </w:r>
      </w:hyperlink>
    </w:p>
    <w:p w14:paraId="0AB65278" w14:textId="0120A253" w:rsidR="0082417D" w:rsidRPr="00715C83" w:rsidRDefault="0082417D" w:rsidP="0082417D">
      <w:pPr>
        <w:pStyle w:val="Tabladeilustraciones"/>
        <w:tabs>
          <w:tab w:val="right" w:leader="dot" w:pos="8494"/>
        </w:tabs>
        <w:spacing w:line="360" w:lineRule="auto"/>
        <w:rPr>
          <w:rFonts w:ascii="Arial" w:eastAsiaTheme="minorEastAsia" w:hAnsi="Arial" w:cs="Arial"/>
          <w:noProof/>
          <w:kern w:val="2"/>
          <w14:ligatures w14:val="standardContextual"/>
        </w:rPr>
      </w:pPr>
      <w:hyperlink w:anchor="_Toc215907249" w:history="1">
        <w:r w:rsidRPr="00715C83">
          <w:rPr>
            <w:rStyle w:val="Hipervnculo"/>
            <w:rFonts w:ascii="Arial" w:eastAsiaTheme="majorEastAsia" w:hAnsi="Arial" w:cs="Arial"/>
            <w:b/>
            <w:bCs/>
            <w:noProof/>
          </w:rPr>
          <w:t xml:space="preserve">Gráfico 8 </w:t>
        </w:r>
        <w:r w:rsidRPr="00715C83">
          <w:rPr>
            <w:rStyle w:val="Hipervnculo"/>
            <w:rFonts w:ascii="Arial" w:eastAsiaTheme="majorEastAsia" w:hAnsi="Arial" w:cs="Arial"/>
            <w:noProof/>
          </w:rPr>
          <w:t>Balanza Comercial de Perú y China de 2001 – 2022</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_Toc215907249 \h </w:instrText>
        </w:r>
        <w:r w:rsidRPr="00715C83">
          <w:rPr>
            <w:rFonts w:ascii="Arial" w:hAnsi="Arial" w:cs="Arial"/>
            <w:noProof/>
            <w:webHidden/>
          </w:rPr>
        </w:r>
        <w:r w:rsidRPr="00715C83">
          <w:rPr>
            <w:rFonts w:ascii="Arial" w:hAnsi="Arial" w:cs="Arial"/>
            <w:noProof/>
            <w:webHidden/>
          </w:rPr>
          <w:fldChar w:fldCharType="separate"/>
        </w:r>
        <w:r w:rsidR="00BE55AC" w:rsidRPr="00715C83">
          <w:rPr>
            <w:rFonts w:ascii="Arial" w:hAnsi="Arial" w:cs="Arial"/>
            <w:noProof/>
            <w:webHidden/>
          </w:rPr>
          <w:t>66</w:t>
        </w:r>
        <w:r w:rsidRPr="00715C83">
          <w:rPr>
            <w:rFonts w:ascii="Arial" w:hAnsi="Arial" w:cs="Arial"/>
            <w:noProof/>
            <w:webHidden/>
          </w:rPr>
          <w:fldChar w:fldCharType="end"/>
        </w:r>
      </w:hyperlink>
    </w:p>
    <w:p w14:paraId="0F868EA7" w14:textId="05281861" w:rsidR="0082417D" w:rsidRPr="00715C83" w:rsidRDefault="0082417D" w:rsidP="0082417D">
      <w:pPr>
        <w:pStyle w:val="Tabladeilustraciones"/>
        <w:tabs>
          <w:tab w:val="right" w:leader="dot" w:pos="8494"/>
        </w:tabs>
        <w:spacing w:line="360" w:lineRule="auto"/>
        <w:rPr>
          <w:rFonts w:ascii="Arial" w:eastAsiaTheme="minorEastAsia" w:hAnsi="Arial" w:cs="Arial"/>
          <w:noProof/>
          <w:kern w:val="2"/>
          <w14:ligatures w14:val="standardContextual"/>
        </w:rPr>
      </w:pPr>
      <w:hyperlink w:anchor="_Toc215907250" w:history="1">
        <w:r w:rsidRPr="00715C83">
          <w:rPr>
            <w:rStyle w:val="Hipervnculo"/>
            <w:rFonts w:ascii="Arial" w:eastAsiaTheme="majorEastAsia" w:hAnsi="Arial" w:cs="Arial"/>
            <w:b/>
            <w:bCs/>
            <w:noProof/>
          </w:rPr>
          <w:t>Gráfico 9</w:t>
        </w:r>
        <w:r w:rsidRPr="00715C83">
          <w:rPr>
            <w:rStyle w:val="Hipervnculo"/>
            <w:rFonts w:ascii="Arial" w:eastAsiaTheme="majorEastAsia" w:hAnsi="Arial" w:cs="Arial"/>
            <w:noProof/>
          </w:rPr>
          <w:t xml:space="preserve"> Inversión Extranjera Directa desde China hacia Perú (1980-2022)  (Millones de dólares)</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_Toc215907250 \h </w:instrText>
        </w:r>
        <w:r w:rsidRPr="00715C83">
          <w:rPr>
            <w:rFonts w:ascii="Arial" w:hAnsi="Arial" w:cs="Arial"/>
            <w:noProof/>
            <w:webHidden/>
          </w:rPr>
        </w:r>
        <w:r w:rsidRPr="00715C83">
          <w:rPr>
            <w:rFonts w:ascii="Arial" w:hAnsi="Arial" w:cs="Arial"/>
            <w:noProof/>
            <w:webHidden/>
          </w:rPr>
          <w:fldChar w:fldCharType="separate"/>
        </w:r>
        <w:r w:rsidR="00BE55AC" w:rsidRPr="00715C83">
          <w:rPr>
            <w:rFonts w:ascii="Arial" w:hAnsi="Arial" w:cs="Arial"/>
            <w:noProof/>
            <w:webHidden/>
          </w:rPr>
          <w:t>67</w:t>
        </w:r>
        <w:r w:rsidRPr="00715C83">
          <w:rPr>
            <w:rFonts w:ascii="Arial" w:hAnsi="Arial" w:cs="Arial"/>
            <w:noProof/>
            <w:webHidden/>
          </w:rPr>
          <w:fldChar w:fldCharType="end"/>
        </w:r>
      </w:hyperlink>
    </w:p>
    <w:p w14:paraId="381B53F7" w14:textId="0FF681D3" w:rsidR="0082417D" w:rsidRPr="00715C83" w:rsidRDefault="0082417D" w:rsidP="0082417D">
      <w:pPr>
        <w:pStyle w:val="Tabladeilustraciones"/>
        <w:tabs>
          <w:tab w:val="right" w:leader="dot" w:pos="8494"/>
        </w:tabs>
        <w:spacing w:line="360" w:lineRule="auto"/>
        <w:rPr>
          <w:rFonts w:ascii="Arial" w:eastAsiaTheme="minorEastAsia" w:hAnsi="Arial" w:cs="Arial"/>
          <w:noProof/>
          <w:kern w:val="2"/>
          <w14:ligatures w14:val="standardContextual"/>
        </w:rPr>
      </w:pPr>
      <w:hyperlink w:anchor="_Toc215907251" w:history="1">
        <w:r w:rsidRPr="00715C83">
          <w:rPr>
            <w:rStyle w:val="Hipervnculo"/>
            <w:rFonts w:ascii="Arial" w:eastAsiaTheme="majorEastAsia" w:hAnsi="Arial" w:cs="Arial"/>
            <w:b/>
            <w:bCs/>
            <w:noProof/>
          </w:rPr>
          <w:t xml:space="preserve">Gráfico 10 </w:t>
        </w:r>
        <w:r w:rsidRPr="00715C83">
          <w:rPr>
            <w:rStyle w:val="Hipervnculo"/>
            <w:rFonts w:ascii="Arial" w:eastAsiaTheme="majorEastAsia" w:hAnsi="Arial" w:cs="Arial"/>
            <w:noProof/>
          </w:rPr>
          <w:t>Balanza Comercial de Costa Rica y China de 2000 - 2023</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_Toc215907251 \h </w:instrText>
        </w:r>
        <w:r w:rsidRPr="00715C83">
          <w:rPr>
            <w:rFonts w:ascii="Arial" w:hAnsi="Arial" w:cs="Arial"/>
            <w:noProof/>
            <w:webHidden/>
          </w:rPr>
        </w:r>
        <w:r w:rsidRPr="00715C83">
          <w:rPr>
            <w:rFonts w:ascii="Arial" w:hAnsi="Arial" w:cs="Arial"/>
            <w:noProof/>
            <w:webHidden/>
          </w:rPr>
          <w:fldChar w:fldCharType="separate"/>
        </w:r>
        <w:r w:rsidR="00BE55AC" w:rsidRPr="00715C83">
          <w:rPr>
            <w:rFonts w:ascii="Arial" w:hAnsi="Arial" w:cs="Arial"/>
            <w:noProof/>
            <w:webHidden/>
          </w:rPr>
          <w:t>72</w:t>
        </w:r>
        <w:r w:rsidRPr="00715C83">
          <w:rPr>
            <w:rFonts w:ascii="Arial" w:hAnsi="Arial" w:cs="Arial"/>
            <w:noProof/>
            <w:webHidden/>
          </w:rPr>
          <w:fldChar w:fldCharType="end"/>
        </w:r>
      </w:hyperlink>
    </w:p>
    <w:p w14:paraId="0B710685" w14:textId="53E34DDD" w:rsidR="0082417D" w:rsidRPr="00715C83" w:rsidRDefault="0082417D" w:rsidP="0082417D">
      <w:pPr>
        <w:pStyle w:val="Tabladeilustraciones"/>
        <w:tabs>
          <w:tab w:val="right" w:leader="dot" w:pos="8494"/>
        </w:tabs>
        <w:spacing w:line="360" w:lineRule="auto"/>
        <w:rPr>
          <w:rFonts w:ascii="Arial" w:eastAsiaTheme="minorEastAsia" w:hAnsi="Arial" w:cs="Arial"/>
          <w:noProof/>
          <w:kern w:val="2"/>
          <w14:ligatures w14:val="standardContextual"/>
        </w:rPr>
      </w:pPr>
      <w:hyperlink w:anchor="_Toc215907252" w:history="1">
        <w:r w:rsidRPr="00715C83">
          <w:rPr>
            <w:rStyle w:val="Hipervnculo"/>
            <w:rFonts w:ascii="Arial" w:eastAsiaTheme="majorEastAsia" w:hAnsi="Arial" w:cs="Arial"/>
            <w:b/>
            <w:bCs/>
            <w:noProof/>
          </w:rPr>
          <w:t>Gráfico 11</w:t>
        </w:r>
        <w:r w:rsidRPr="00715C83">
          <w:rPr>
            <w:rStyle w:val="Hipervnculo"/>
            <w:rFonts w:ascii="Arial" w:eastAsiaTheme="majorEastAsia" w:hAnsi="Arial" w:cs="Arial"/>
            <w:noProof/>
          </w:rPr>
          <w:t xml:space="preserve"> Inversión Extranjera Directa desde China hacia Costa Rica (2008-2022)</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_Toc215907252 \h </w:instrText>
        </w:r>
        <w:r w:rsidRPr="00715C83">
          <w:rPr>
            <w:rFonts w:ascii="Arial" w:hAnsi="Arial" w:cs="Arial"/>
            <w:noProof/>
            <w:webHidden/>
          </w:rPr>
        </w:r>
        <w:r w:rsidRPr="00715C83">
          <w:rPr>
            <w:rFonts w:ascii="Arial" w:hAnsi="Arial" w:cs="Arial"/>
            <w:noProof/>
            <w:webHidden/>
          </w:rPr>
          <w:fldChar w:fldCharType="separate"/>
        </w:r>
        <w:r w:rsidR="00BE55AC" w:rsidRPr="00715C83">
          <w:rPr>
            <w:rFonts w:ascii="Arial" w:hAnsi="Arial" w:cs="Arial"/>
            <w:noProof/>
            <w:webHidden/>
          </w:rPr>
          <w:t>73</w:t>
        </w:r>
        <w:r w:rsidRPr="00715C83">
          <w:rPr>
            <w:rFonts w:ascii="Arial" w:hAnsi="Arial" w:cs="Arial"/>
            <w:noProof/>
            <w:webHidden/>
          </w:rPr>
          <w:fldChar w:fldCharType="end"/>
        </w:r>
      </w:hyperlink>
    </w:p>
    <w:p w14:paraId="0A13E35A" w14:textId="71D8FCC5" w:rsidR="0082417D" w:rsidRPr="00715C83" w:rsidRDefault="0082417D" w:rsidP="0082417D">
      <w:pPr>
        <w:pStyle w:val="Tabladeilustraciones"/>
        <w:tabs>
          <w:tab w:val="right" w:leader="dot" w:pos="8494"/>
        </w:tabs>
        <w:spacing w:line="360" w:lineRule="auto"/>
        <w:rPr>
          <w:rFonts w:ascii="Arial" w:eastAsiaTheme="minorEastAsia" w:hAnsi="Arial" w:cs="Arial"/>
          <w:noProof/>
          <w:kern w:val="2"/>
          <w14:ligatures w14:val="standardContextual"/>
        </w:rPr>
      </w:pPr>
      <w:hyperlink w:anchor="_Toc215907253" w:history="1">
        <w:r w:rsidRPr="00715C83">
          <w:rPr>
            <w:rStyle w:val="Hipervnculo"/>
            <w:rFonts w:ascii="Arial" w:eastAsiaTheme="majorEastAsia" w:hAnsi="Arial" w:cs="Arial"/>
            <w:b/>
            <w:bCs/>
            <w:noProof/>
          </w:rPr>
          <w:t>Gráfico 12</w:t>
        </w:r>
        <w:r w:rsidRPr="00715C83">
          <w:rPr>
            <w:rStyle w:val="Hipervnculo"/>
            <w:rFonts w:ascii="Arial" w:eastAsiaTheme="majorEastAsia" w:hAnsi="Arial" w:cs="Arial"/>
            <w:noProof/>
          </w:rPr>
          <w:t xml:space="preserve"> Balanza Comercial de Nicaragua y China de 2000 - 2023</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_Toc215907253 \h </w:instrText>
        </w:r>
        <w:r w:rsidRPr="00715C83">
          <w:rPr>
            <w:rFonts w:ascii="Arial" w:hAnsi="Arial" w:cs="Arial"/>
            <w:noProof/>
            <w:webHidden/>
          </w:rPr>
        </w:r>
        <w:r w:rsidRPr="00715C83">
          <w:rPr>
            <w:rFonts w:ascii="Arial" w:hAnsi="Arial" w:cs="Arial"/>
            <w:noProof/>
            <w:webHidden/>
          </w:rPr>
          <w:fldChar w:fldCharType="separate"/>
        </w:r>
        <w:r w:rsidR="00BE55AC" w:rsidRPr="00715C83">
          <w:rPr>
            <w:rFonts w:ascii="Arial" w:hAnsi="Arial" w:cs="Arial"/>
            <w:noProof/>
            <w:webHidden/>
          </w:rPr>
          <w:t>76</w:t>
        </w:r>
        <w:r w:rsidRPr="00715C83">
          <w:rPr>
            <w:rFonts w:ascii="Arial" w:hAnsi="Arial" w:cs="Arial"/>
            <w:noProof/>
            <w:webHidden/>
          </w:rPr>
          <w:fldChar w:fldCharType="end"/>
        </w:r>
      </w:hyperlink>
    </w:p>
    <w:p w14:paraId="3805AEAA" w14:textId="63C738AC" w:rsidR="0082417D" w:rsidRPr="00715C83" w:rsidRDefault="0082417D" w:rsidP="0082417D">
      <w:pPr>
        <w:pStyle w:val="Tabladeilustraciones"/>
        <w:tabs>
          <w:tab w:val="right" w:leader="dot" w:pos="8494"/>
        </w:tabs>
        <w:spacing w:line="360" w:lineRule="auto"/>
        <w:rPr>
          <w:rFonts w:ascii="Arial" w:eastAsiaTheme="minorEastAsia" w:hAnsi="Arial" w:cs="Arial"/>
          <w:noProof/>
          <w:kern w:val="2"/>
          <w14:ligatures w14:val="standardContextual"/>
        </w:rPr>
      </w:pPr>
      <w:hyperlink w:anchor="_Toc215907254" w:history="1">
        <w:r w:rsidRPr="00715C83">
          <w:rPr>
            <w:rStyle w:val="Hipervnculo"/>
            <w:rFonts w:ascii="Arial" w:eastAsiaTheme="majorEastAsia" w:hAnsi="Arial" w:cs="Arial"/>
            <w:b/>
            <w:bCs/>
            <w:noProof/>
          </w:rPr>
          <w:t>Gráfico 13</w:t>
        </w:r>
        <w:r w:rsidRPr="00715C83">
          <w:rPr>
            <w:rStyle w:val="Hipervnculo"/>
            <w:rFonts w:ascii="Arial" w:eastAsiaTheme="majorEastAsia" w:hAnsi="Arial" w:cs="Arial"/>
            <w:noProof/>
          </w:rPr>
          <w:t xml:space="preserve"> Inversión Extranjera Directa desde China hacia Nicaragua (2008-2022)</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_Toc215907254 \h </w:instrText>
        </w:r>
        <w:r w:rsidRPr="00715C83">
          <w:rPr>
            <w:rFonts w:ascii="Arial" w:hAnsi="Arial" w:cs="Arial"/>
            <w:noProof/>
            <w:webHidden/>
          </w:rPr>
        </w:r>
        <w:r w:rsidRPr="00715C83">
          <w:rPr>
            <w:rFonts w:ascii="Arial" w:hAnsi="Arial" w:cs="Arial"/>
            <w:noProof/>
            <w:webHidden/>
          </w:rPr>
          <w:fldChar w:fldCharType="separate"/>
        </w:r>
        <w:r w:rsidR="00BE55AC" w:rsidRPr="00715C83">
          <w:rPr>
            <w:rFonts w:ascii="Arial" w:hAnsi="Arial" w:cs="Arial"/>
            <w:noProof/>
            <w:webHidden/>
          </w:rPr>
          <w:t>77</w:t>
        </w:r>
        <w:r w:rsidRPr="00715C83">
          <w:rPr>
            <w:rFonts w:ascii="Arial" w:hAnsi="Arial" w:cs="Arial"/>
            <w:noProof/>
            <w:webHidden/>
          </w:rPr>
          <w:fldChar w:fldCharType="end"/>
        </w:r>
      </w:hyperlink>
    </w:p>
    <w:p w14:paraId="4D0A87B9" w14:textId="6A871896" w:rsidR="0082417D" w:rsidRPr="00715C83" w:rsidRDefault="0082417D" w:rsidP="0082417D">
      <w:pPr>
        <w:pStyle w:val="Tabladeilustraciones"/>
        <w:tabs>
          <w:tab w:val="right" w:leader="dot" w:pos="8494"/>
        </w:tabs>
        <w:spacing w:line="360" w:lineRule="auto"/>
        <w:rPr>
          <w:rFonts w:ascii="Arial" w:eastAsiaTheme="minorEastAsia" w:hAnsi="Arial" w:cs="Arial"/>
          <w:noProof/>
          <w:kern w:val="2"/>
          <w14:ligatures w14:val="standardContextual"/>
        </w:rPr>
      </w:pPr>
      <w:hyperlink w:anchor="_Toc215907255" w:history="1">
        <w:r w:rsidRPr="00715C83">
          <w:rPr>
            <w:rStyle w:val="Hipervnculo"/>
            <w:rFonts w:ascii="Arial" w:eastAsiaTheme="majorEastAsia" w:hAnsi="Arial" w:cs="Arial"/>
            <w:b/>
            <w:bCs/>
            <w:noProof/>
          </w:rPr>
          <w:t>Gráfico 14</w:t>
        </w:r>
        <w:r w:rsidRPr="00715C83">
          <w:rPr>
            <w:rStyle w:val="Hipervnculo"/>
            <w:rFonts w:ascii="Arial" w:eastAsiaTheme="majorEastAsia" w:hAnsi="Arial" w:cs="Arial"/>
            <w:noProof/>
          </w:rPr>
          <w:t xml:space="preserve"> Balanza Comercial de Ecuador y China de 2000 - 2023</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_Toc215907255 \h </w:instrText>
        </w:r>
        <w:r w:rsidRPr="00715C83">
          <w:rPr>
            <w:rFonts w:ascii="Arial" w:hAnsi="Arial" w:cs="Arial"/>
            <w:noProof/>
            <w:webHidden/>
          </w:rPr>
        </w:r>
        <w:r w:rsidRPr="00715C83">
          <w:rPr>
            <w:rFonts w:ascii="Arial" w:hAnsi="Arial" w:cs="Arial"/>
            <w:noProof/>
            <w:webHidden/>
          </w:rPr>
          <w:fldChar w:fldCharType="separate"/>
        </w:r>
        <w:r w:rsidR="00BE55AC" w:rsidRPr="00715C83">
          <w:rPr>
            <w:rFonts w:ascii="Arial" w:hAnsi="Arial" w:cs="Arial"/>
            <w:noProof/>
            <w:webHidden/>
          </w:rPr>
          <w:t>79</w:t>
        </w:r>
        <w:r w:rsidRPr="00715C83">
          <w:rPr>
            <w:rFonts w:ascii="Arial" w:hAnsi="Arial" w:cs="Arial"/>
            <w:noProof/>
            <w:webHidden/>
          </w:rPr>
          <w:fldChar w:fldCharType="end"/>
        </w:r>
      </w:hyperlink>
    </w:p>
    <w:p w14:paraId="2805A77D" w14:textId="00645135" w:rsidR="0082417D" w:rsidRPr="00715C83" w:rsidRDefault="0082417D" w:rsidP="0082417D">
      <w:pPr>
        <w:pStyle w:val="Tabladeilustraciones"/>
        <w:tabs>
          <w:tab w:val="right" w:leader="dot" w:pos="8494"/>
        </w:tabs>
        <w:spacing w:line="360" w:lineRule="auto"/>
        <w:rPr>
          <w:rFonts w:ascii="Arial" w:eastAsiaTheme="minorEastAsia" w:hAnsi="Arial" w:cs="Arial"/>
          <w:noProof/>
          <w:kern w:val="2"/>
          <w14:ligatures w14:val="standardContextual"/>
        </w:rPr>
      </w:pPr>
      <w:hyperlink w:anchor="_Toc215907256" w:history="1">
        <w:r w:rsidRPr="00715C83">
          <w:rPr>
            <w:rStyle w:val="Hipervnculo"/>
            <w:rFonts w:ascii="Arial" w:eastAsiaTheme="majorEastAsia" w:hAnsi="Arial" w:cs="Arial"/>
            <w:b/>
            <w:bCs/>
            <w:noProof/>
          </w:rPr>
          <w:t>Gráfico 15</w:t>
        </w:r>
        <w:r w:rsidRPr="00715C83">
          <w:rPr>
            <w:rStyle w:val="Hipervnculo"/>
            <w:rFonts w:ascii="Arial" w:eastAsiaTheme="majorEastAsia" w:hAnsi="Arial" w:cs="Arial"/>
            <w:noProof/>
          </w:rPr>
          <w:t xml:space="preserve"> Índice de Apertura Comercial de Honduras (2005-20024)</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_Toc215907256 \h </w:instrText>
        </w:r>
        <w:r w:rsidRPr="00715C83">
          <w:rPr>
            <w:rFonts w:ascii="Arial" w:hAnsi="Arial" w:cs="Arial"/>
            <w:noProof/>
            <w:webHidden/>
          </w:rPr>
        </w:r>
        <w:r w:rsidRPr="00715C83">
          <w:rPr>
            <w:rFonts w:ascii="Arial" w:hAnsi="Arial" w:cs="Arial"/>
            <w:noProof/>
            <w:webHidden/>
          </w:rPr>
          <w:fldChar w:fldCharType="separate"/>
        </w:r>
        <w:r w:rsidR="00BE55AC" w:rsidRPr="00715C83">
          <w:rPr>
            <w:rFonts w:ascii="Arial" w:hAnsi="Arial" w:cs="Arial"/>
            <w:noProof/>
            <w:webHidden/>
          </w:rPr>
          <w:t>84</w:t>
        </w:r>
        <w:r w:rsidRPr="00715C83">
          <w:rPr>
            <w:rFonts w:ascii="Arial" w:hAnsi="Arial" w:cs="Arial"/>
            <w:noProof/>
            <w:webHidden/>
          </w:rPr>
          <w:fldChar w:fldCharType="end"/>
        </w:r>
      </w:hyperlink>
    </w:p>
    <w:p w14:paraId="7441B997" w14:textId="7BF733BC" w:rsidR="00ED618E" w:rsidRPr="00715C83" w:rsidRDefault="00ED618E" w:rsidP="00C36793">
      <w:pPr>
        <w:spacing w:line="360" w:lineRule="auto"/>
        <w:jc w:val="both"/>
        <w:rPr>
          <w:rFonts w:ascii="Arial" w:hAnsi="Arial" w:cs="Arial"/>
          <w:color w:val="000000" w:themeColor="text1"/>
          <w:lang w:val="es-ES"/>
        </w:rPr>
      </w:pPr>
      <w:r w:rsidRPr="00715C83">
        <w:rPr>
          <w:rFonts w:ascii="Arial" w:hAnsi="Arial" w:cs="Arial"/>
          <w:color w:val="000000" w:themeColor="text1"/>
          <w:lang w:val="es-ES"/>
        </w:rPr>
        <w:fldChar w:fldCharType="end"/>
      </w:r>
    </w:p>
    <w:p w14:paraId="132A453D" w14:textId="3B092A5E" w:rsidR="00ED618E" w:rsidRPr="00715C83" w:rsidRDefault="00ED618E" w:rsidP="00C36793">
      <w:pPr>
        <w:spacing w:line="360" w:lineRule="auto"/>
        <w:jc w:val="both"/>
        <w:rPr>
          <w:rFonts w:ascii="Arial" w:hAnsi="Arial" w:cs="Arial"/>
          <w:b/>
          <w:bCs/>
          <w:color w:val="000000" w:themeColor="text1"/>
          <w:lang w:val="es-ES"/>
        </w:rPr>
      </w:pPr>
      <w:r w:rsidRPr="00715C83">
        <w:rPr>
          <w:rFonts w:ascii="Arial" w:hAnsi="Arial" w:cs="Arial"/>
          <w:b/>
          <w:bCs/>
          <w:color w:val="000000" w:themeColor="text1"/>
          <w:lang w:val="es-ES"/>
        </w:rPr>
        <w:t>Índice de Figuras</w:t>
      </w:r>
    </w:p>
    <w:p w14:paraId="64CF696E" w14:textId="77777777" w:rsidR="00822279" w:rsidRPr="00715C83" w:rsidRDefault="00822279" w:rsidP="00C36793">
      <w:pPr>
        <w:spacing w:line="360" w:lineRule="auto"/>
        <w:jc w:val="both"/>
        <w:rPr>
          <w:rFonts w:ascii="Arial" w:hAnsi="Arial" w:cs="Arial"/>
          <w:b/>
          <w:bCs/>
          <w:color w:val="000000" w:themeColor="text1"/>
          <w:lang w:val="es-ES"/>
        </w:rPr>
      </w:pPr>
    </w:p>
    <w:p w14:paraId="4E16A0D5" w14:textId="643EBFCF" w:rsidR="00C36793" w:rsidRPr="00715C83" w:rsidRDefault="00ED618E" w:rsidP="00C36793">
      <w:pPr>
        <w:pStyle w:val="Tabladeilustraciones"/>
        <w:tabs>
          <w:tab w:val="right" w:leader="dot" w:pos="8494"/>
        </w:tabs>
        <w:spacing w:line="360" w:lineRule="auto"/>
        <w:jc w:val="both"/>
        <w:rPr>
          <w:rFonts w:ascii="Arial" w:eastAsiaTheme="minorEastAsia" w:hAnsi="Arial" w:cs="Arial"/>
          <w:noProof/>
          <w:kern w:val="2"/>
          <w14:ligatures w14:val="standardContextual"/>
        </w:rPr>
      </w:pPr>
      <w:r w:rsidRPr="00715C83">
        <w:rPr>
          <w:rFonts w:ascii="Arial" w:hAnsi="Arial" w:cs="Arial"/>
          <w:color w:val="000000" w:themeColor="text1"/>
          <w:lang w:val="es-ES"/>
        </w:rPr>
        <w:fldChar w:fldCharType="begin"/>
      </w:r>
      <w:r w:rsidRPr="00715C83">
        <w:rPr>
          <w:rFonts w:ascii="Arial" w:hAnsi="Arial" w:cs="Arial"/>
          <w:color w:val="000000" w:themeColor="text1"/>
          <w:lang w:val="es-ES"/>
        </w:rPr>
        <w:instrText xml:space="preserve"> TOC \h \z \c "Figura" </w:instrText>
      </w:r>
      <w:r w:rsidRPr="00715C83">
        <w:rPr>
          <w:rFonts w:ascii="Arial" w:hAnsi="Arial" w:cs="Arial"/>
          <w:color w:val="000000" w:themeColor="text1"/>
          <w:lang w:val="es-ES"/>
        </w:rPr>
        <w:fldChar w:fldCharType="separate"/>
      </w:r>
      <w:hyperlink w:anchor="_Toc215521929" w:history="1">
        <w:r w:rsidR="00C36793" w:rsidRPr="00715C83">
          <w:rPr>
            <w:rStyle w:val="Hipervnculo"/>
            <w:rFonts w:ascii="Arial" w:eastAsiaTheme="majorEastAsia" w:hAnsi="Arial" w:cs="Arial"/>
            <w:b/>
            <w:bCs/>
            <w:noProof/>
          </w:rPr>
          <w:t xml:space="preserve">Figura 1 </w:t>
        </w:r>
        <w:r w:rsidR="00C36793" w:rsidRPr="00715C83">
          <w:rPr>
            <w:rStyle w:val="Hipervnculo"/>
            <w:rFonts w:ascii="Arial" w:eastAsiaTheme="majorEastAsia" w:hAnsi="Arial" w:cs="Arial"/>
            <w:noProof/>
          </w:rPr>
          <w:t>Índice de Complementariedad Comercial para sectores relevantes del TLC China – Honduras.</w:t>
        </w:r>
        <w:r w:rsidR="00C36793" w:rsidRPr="00715C83">
          <w:rPr>
            <w:rFonts w:ascii="Arial" w:hAnsi="Arial" w:cs="Arial"/>
            <w:noProof/>
            <w:webHidden/>
          </w:rPr>
          <w:tab/>
        </w:r>
        <w:r w:rsidR="00C36793" w:rsidRPr="00715C83">
          <w:rPr>
            <w:rFonts w:ascii="Arial" w:hAnsi="Arial" w:cs="Arial"/>
            <w:noProof/>
            <w:webHidden/>
          </w:rPr>
          <w:fldChar w:fldCharType="begin"/>
        </w:r>
        <w:r w:rsidR="00C36793" w:rsidRPr="00715C83">
          <w:rPr>
            <w:rFonts w:ascii="Arial" w:hAnsi="Arial" w:cs="Arial"/>
            <w:noProof/>
            <w:webHidden/>
          </w:rPr>
          <w:instrText xml:space="preserve"> PAGEREF _Toc215521929 \h </w:instrText>
        </w:r>
        <w:r w:rsidR="00C36793" w:rsidRPr="00715C83">
          <w:rPr>
            <w:rFonts w:ascii="Arial" w:hAnsi="Arial" w:cs="Arial"/>
            <w:noProof/>
            <w:webHidden/>
          </w:rPr>
        </w:r>
        <w:r w:rsidR="00C36793" w:rsidRPr="00715C83">
          <w:rPr>
            <w:rFonts w:ascii="Arial" w:hAnsi="Arial" w:cs="Arial"/>
            <w:noProof/>
            <w:webHidden/>
          </w:rPr>
          <w:fldChar w:fldCharType="separate"/>
        </w:r>
        <w:r w:rsidR="00EE67C7" w:rsidRPr="00715C83">
          <w:rPr>
            <w:rFonts w:ascii="Arial" w:hAnsi="Arial" w:cs="Arial"/>
            <w:noProof/>
            <w:webHidden/>
          </w:rPr>
          <w:t>101</w:t>
        </w:r>
        <w:r w:rsidR="00C36793" w:rsidRPr="00715C83">
          <w:rPr>
            <w:rFonts w:ascii="Arial" w:hAnsi="Arial" w:cs="Arial"/>
            <w:noProof/>
            <w:webHidden/>
          </w:rPr>
          <w:fldChar w:fldCharType="end"/>
        </w:r>
      </w:hyperlink>
    </w:p>
    <w:p w14:paraId="4C836AC1" w14:textId="5524FB19" w:rsidR="00ED618E" w:rsidRPr="00715C83" w:rsidRDefault="00ED618E" w:rsidP="00C36793">
      <w:pPr>
        <w:spacing w:line="360" w:lineRule="auto"/>
        <w:jc w:val="both"/>
        <w:rPr>
          <w:rFonts w:ascii="Arial" w:hAnsi="Arial" w:cs="Arial"/>
          <w:color w:val="000000" w:themeColor="text1"/>
          <w:lang w:val="es-ES"/>
        </w:rPr>
      </w:pPr>
      <w:r w:rsidRPr="00715C83">
        <w:rPr>
          <w:rFonts w:ascii="Arial" w:hAnsi="Arial" w:cs="Arial"/>
          <w:color w:val="000000" w:themeColor="text1"/>
          <w:lang w:val="es-ES"/>
        </w:rPr>
        <w:fldChar w:fldCharType="end"/>
      </w:r>
    </w:p>
    <w:p w14:paraId="72F75D28" w14:textId="77777777" w:rsidR="006034E4" w:rsidRPr="00715C83" w:rsidRDefault="006034E4" w:rsidP="00C36793">
      <w:pPr>
        <w:spacing w:line="360" w:lineRule="auto"/>
        <w:jc w:val="both"/>
        <w:rPr>
          <w:rFonts w:ascii="Arial" w:hAnsi="Arial" w:cs="Arial"/>
          <w:color w:val="000000" w:themeColor="text1"/>
          <w:lang w:val="es-ES"/>
        </w:rPr>
      </w:pPr>
    </w:p>
    <w:p w14:paraId="29326C19" w14:textId="77777777" w:rsidR="006034E4" w:rsidRPr="00715C83" w:rsidRDefault="006034E4" w:rsidP="00C36793">
      <w:pPr>
        <w:spacing w:line="360" w:lineRule="auto"/>
        <w:jc w:val="both"/>
        <w:rPr>
          <w:rFonts w:ascii="Arial" w:hAnsi="Arial" w:cs="Arial"/>
          <w:color w:val="000000" w:themeColor="text1"/>
          <w:lang w:val="es-ES"/>
        </w:rPr>
      </w:pPr>
    </w:p>
    <w:p w14:paraId="49145B3D" w14:textId="4FE3C824" w:rsidR="00ED618E" w:rsidRPr="00715C83" w:rsidRDefault="00ED618E" w:rsidP="00C36793">
      <w:pPr>
        <w:spacing w:line="360" w:lineRule="auto"/>
        <w:jc w:val="both"/>
        <w:rPr>
          <w:rFonts w:ascii="Arial" w:hAnsi="Arial" w:cs="Arial"/>
          <w:b/>
          <w:bCs/>
          <w:color w:val="000000" w:themeColor="text1"/>
          <w:lang w:val="es-ES"/>
        </w:rPr>
      </w:pPr>
      <w:r w:rsidRPr="00715C83">
        <w:rPr>
          <w:rFonts w:ascii="Arial" w:hAnsi="Arial" w:cs="Arial"/>
          <w:b/>
          <w:bCs/>
          <w:color w:val="000000" w:themeColor="text1"/>
          <w:lang w:val="es-ES"/>
        </w:rPr>
        <w:lastRenderedPageBreak/>
        <w:t>Índice de Tablas</w:t>
      </w:r>
    </w:p>
    <w:p w14:paraId="7DD0A599" w14:textId="11577A03" w:rsidR="00051066" w:rsidRPr="00715C83" w:rsidRDefault="00ED618E" w:rsidP="00383ED6">
      <w:pPr>
        <w:pStyle w:val="Tabladeilustraciones"/>
        <w:tabs>
          <w:tab w:val="right" w:leader="dot" w:pos="8494"/>
        </w:tabs>
        <w:spacing w:line="360" w:lineRule="auto"/>
        <w:contextualSpacing/>
        <w:rPr>
          <w:rFonts w:ascii="Arial" w:eastAsiaTheme="minorEastAsia" w:hAnsi="Arial" w:cs="Arial"/>
          <w:noProof/>
          <w:kern w:val="2"/>
          <w:lang w:eastAsia="es-CR"/>
          <w14:ligatures w14:val="standardContextual"/>
        </w:rPr>
      </w:pPr>
      <w:r w:rsidRPr="00715C83">
        <w:rPr>
          <w:rFonts w:ascii="Arial" w:hAnsi="Arial" w:cs="Arial"/>
          <w:color w:val="000000" w:themeColor="text1"/>
          <w:lang w:val="es-ES"/>
        </w:rPr>
        <w:fldChar w:fldCharType="begin"/>
      </w:r>
      <w:r w:rsidRPr="00715C83">
        <w:rPr>
          <w:rFonts w:ascii="Arial" w:hAnsi="Arial" w:cs="Arial"/>
          <w:color w:val="000000" w:themeColor="text1"/>
          <w:lang w:val="es-ES"/>
        </w:rPr>
        <w:instrText xml:space="preserve"> TOC \h \z \c "Tabla" </w:instrText>
      </w:r>
      <w:r w:rsidRPr="00715C83">
        <w:rPr>
          <w:rFonts w:ascii="Arial" w:hAnsi="Arial" w:cs="Arial"/>
          <w:color w:val="000000" w:themeColor="text1"/>
          <w:lang w:val="es-ES"/>
        </w:rPr>
        <w:fldChar w:fldCharType="separate"/>
      </w:r>
      <w:hyperlink w:anchor="_Toc236227181" w:history="1">
        <w:r w:rsidR="00051066" w:rsidRPr="00715C83">
          <w:rPr>
            <w:rStyle w:val="Hipervnculo"/>
            <w:rFonts w:ascii="Arial" w:hAnsi="Arial" w:cs="Arial"/>
            <w:b/>
            <w:bCs/>
            <w:noProof/>
          </w:rPr>
          <w:t xml:space="preserve">Tabla 1 </w:t>
        </w:r>
        <w:r w:rsidR="00051066" w:rsidRPr="00715C83">
          <w:rPr>
            <w:rStyle w:val="Hipervnculo"/>
            <w:rFonts w:ascii="Arial" w:hAnsi="Arial" w:cs="Arial"/>
            <w:noProof/>
          </w:rPr>
          <w:t>Índice de Grubel y Lloyd para sectores relevantes del TLC China – Honduras (2005-2024)</w:t>
        </w:r>
        <w:r w:rsidR="00051066" w:rsidRPr="00715C83">
          <w:rPr>
            <w:rFonts w:ascii="Arial" w:hAnsi="Arial" w:cs="Arial"/>
            <w:noProof/>
            <w:webHidden/>
          </w:rPr>
          <w:tab/>
        </w:r>
        <w:r w:rsidR="00051066" w:rsidRPr="00715C83">
          <w:rPr>
            <w:rFonts w:ascii="Arial" w:hAnsi="Arial" w:cs="Arial"/>
            <w:noProof/>
            <w:webHidden/>
          </w:rPr>
          <w:fldChar w:fldCharType="begin"/>
        </w:r>
        <w:r w:rsidR="00051066" w:rsidRPr="00715C83">
          <w:rPr>
            <w:rFonts w:ascii="Arial" w:hAnsi="Arial" w:cs="Arial"/>
            <w:noProof/>
            <w:webHidden/>
          </w:rPr>
          <w:instrText xml:space="preserve"> PAGEREF _Toc236227181 \h </w:instrText>
        </w:r>
        <w:r w:rsidR="00051066" w:rsidRPr="00715C83">
          <w:rPr>
            <w:rFonts w:ascii="Arial" w:hAnsi="Arial" w:cs="Arial"/>
            <w:noProof/>
            <w:webHidden/>
          </w:rPr>
        </w:r>
        <w:r w:rsidR="00051066" w:rsidRPr="00715C83">
          <w:rPr>
            <w:rFonts w:ascii="Arial" w:hAnsi="Arial" w:cs="Arial"/>
            <w:noProof/>
            <w:webHidden/>
          </w:rPr>
          <w:fldChar w:fldCharType="separate"/>
        </w:r>
        <w:r w:rsidR="00BE55AC" w:rsidRPr="00715C83">
          <w:rPr>
            <w:rFonts w:ascii="Arial" w:hAnsi="Arial" w:cs="Arial"/>
            <w:noProof/>
            <w:webHidden/>
          </w:rPr>
          <w:t>87</w:t>
        </w:r>
        <w:r w:rsidR="00051066" w:rsidRPr="00715C83">
          <w:rPr>
            <w:rFonts w:ascii="Arial" w:hAnsi="Arial" w:cs="Arial"/>
            <w:noProof/>
            <w:webHidden/>
          </w:rPr>
          <w:fldChar w:fldCharType="end"/>
        </w:r>
      </w:hyperlink>
    </w:p>
    <w:p w14:paraId="486DD5F1" w14:textId="1DB268CE" w:rsidR="00051066" w:rsidRPr="00715C83" w:rsidRDefault="00051066" w:rsidP="00383ED6">
      <w:pPr>
        <w:pStyle w:val="Tabladeilustraciones"/>
        <w:tabs>
          <w:tab w:val="right" w:leader="dot" w:pos="8494"/>
        </w:tabs>
        <w:spacing w:line="360" w:lineRule="auto"/>
        <w:contextualSpacing/>
        <w:rPr>
          <w:rFonts w:ascii="Arial" w:eastAsiaTheme="minorEastAsia" w:hAnsi="Arial" w:cs="Arial"/>
          <w:noProof/>
          <w:kern w:val="2"/>
          <w:lang w:eastAsia="es-CR"/>
          <w14:ligatures w14:val="standardContextual"/>
        </w:rPr>
      </w:pPr>
      <w:hyperlink w:anchor="_Toc236227182" w:history="1">
        <w:r w:rsidRPr="00715C83">
          <w:rPr>
            <w:rStyle w:val="Hipervnculo"/>
            <w:rFonts w:ascii="Arial" w:hAnsi="Arial" w:cs="Arial"/>
            <w:b/>
            <w:bCs/>
            <w:noProof/>
          </w:rPr>
          <w:t>Tabla 2</w:t>
        </w:r>
        <w:r w:rsidRPr="00715C83">
          <w:rPr>
            <w:rStyle w:val="Hipervnculo"/>
            <w:rFonts w:ascii="Arial" w:hAnsi="Arial" w:cs="Arial"/>
            <w:noProof/>
          </w:rPr>
          <w:t xml:space="preserve"> </w:t>
        </w:r>
        <w:r w:rsidRPr="00715C83">
          <w:rPr>
            <w:rStyle w:val="Hipervnculo"/>
            <w:rFonts w:ascii="Arial" w:eastAsiaTheme="majorEastAsia" w:hAnsi="Arial" w:cs="Arial"/>
            <w:i/>
            <w:iCs/>
            <w:noProof/>
          </w:rPr>
          <w:t>Caracterización de los entrevistados en el estudio sobre el TLC entre Honduras y China</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_Toc236227182 \h </w:instrText>
        </w:r>
        <w:r w:rsidRPr="00715C83">
          <w:rPr>
            <w:rFonts w:ascii="Arial" w:hAnsi="Arial" w:cs="Arial"/>
            <w:noProof/>
            <w:webHidden/>
          </w:rPr>
        </w:r>
        <w:r w:rsidRPr="00715C83">
          <w:rPr>
            <w:rFonts w:ascii="Arial" w:hAnsi="Arial" w:cs="Arial"/>
            <w:noProof/>
            <w:webHidden/>
          </w:rPr>
          <w:fldChar w:fldCharType="separate"/>
        </w:r>
        <w:r w:rsidR="00BE55AC" w:rsidRPr="00715C83">
          <w:rPr>
            <w:rFonts w:ascii="Arial" w:hAnsi="Arial" w:cs="Arial"/>
            <w:noProof/>
            <w:webHidden/>
          </w:rPr>
          <w:t>89</w:t>
        </w:r>
        <w:r w:rsidRPr="00715C83">
          <w:rPr>
            <w:rFonts w:ascii="Arial" w:hAnsi="Arial" w:cs="Arial"/>
            <w:noProof/>
            <w:webHidden/>
          </w:rPr>
          <w:fldChar w:fldCharType="end"/>
        </w:r>
      </w:hyperlink>
    </w:p>
    <w:p w14:paraId="38B56607" w14:textId="121299A0" w:rsidR="00051066" w:rsidRPr="00715C83" w:rsidRDefault="00051066" w:rsidP="00383ED6">
      <w:pPr>
        <w:pStyle w:val="Tabladeilustraciones"/>
        <w:tabs>
          <w:tab w:val="right" w:leader="dot" w:pos="8494"/>
        </w:tabs>
        <w:spacing w:line="360" w:lineRule="auto"/>
        <w:contextualSpacing/>
        <w:rPr>
          <w:rFonts w:ascii="Arial" w:eastAsiaTheme="minorEastAsia" w:hAnsi="Arial" w:cs="Arial"/>
          <w:noProof/>
          <w:kern w:val="2"/>
          <w:lang w:eastAsia="es-CR"/>
          <w14:ligatures w14:val="standardContextual"/>
        </w:rPr>
      </w:pPr>
      <w:hyperlink w:anchor="_Toc236227183" w:history="1">
        <w:r w:rsidRPr="00715C83">
          <w:rPr>
            <w:rStyle w:val="Hipervnculo"/>
            <w:rFonts w:ascii="Arial" w:hAnsi="Arial" w:cs="Arial"/>
            <w:b/>
            <w:bCs/>
            <w:noProof/>
          </w:rPr>
          <w:t>Tabla 3</w:t>
        </w:r>
        <w:r w:rsidRPr="00715C83">
          <w:rPr>
            <w:rStyle w:val="Hipervnculo"/>
            <w:rFonts w:ascii="Arial" w:hAnsi="Arial" w:cs="Arial"/>
            <w:noProof/>
          </w:rPr>
          <w:t xml:space="preserve"> Tasa arancelaria aplicada por China a productos seleccionados, según país de origen (2025)</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_Toc236227183 \h </w:instrText>
        </w:r>
        <w:r w:rsidRPr="00715C83">
          <w:rPr>
            <w:rFonts w:ascii="Arial" w:hAnsi="Arial" w:cs="Arial"/>
            <w:noProof/>
            <w:webHidden/>
          </w:rPr>
        </w:r>
        <w:r w:rsidRPr="00715C83">
          <w:rPr>
            <w:rFonts w:ascii="Arial" w:hAnsi="Arial" w:cs="Arial"/>
            <w:noProof/>
            <w:webHidden/>
          </w:rPr>
          <w:fldChar w:fldCharType="separate"/>
        </w:r>
        <w:r w:rsidR="00BE55AC" w:rsidRPr="00715C83">
          <w:rPr>
            <w:rFonts w:ascii="Arial" w:hAnsi="Arial" w:cs="Arial"/>
            <w:noProof/>
            <w:webHidden/>
          </w:rPr>
          <w:t>92</w:t>
        </w:r>
        <w:r w:rsidRPr="00715C83">
          <w:rPr>
            <w:rFonts w:ascii="Arial" w:hAnsi="Arial" w:cs="Arial"/>
            <w:noProof/>
            <w:webHidden/>
          </w:rPr>
          <w:fldChar w:fldCharType="end"/>
        </w:r>
      </w:hyperlink>
    </w:p>
    <w:p w14:paraId="2217EE77" w14:textId="7C29BA50" w:rsidR="00051066" w:rsidRPr="00715C83" w:rsidRDefault="00051066" w:rsidP="00383ED6">
      <w:pPr>
        <w:pStyle w:val="Tabladeilustraciones"/>
        <w:tabs>
          <w:tab w:val="right" w:leader="dot" w:pos="8494"/>
        </w:tabs>
        <w:spacing w:line="360" w:lineRule="auto"/>
        <w:contextualSpacing/>
        <w:rPr>
          <w:rFonts w:ascii="Arial" w:eastAsiaTheme="minorEastAsia" w:hAnsi="Arial" w:cs="Arial"/>
          <w:noProof/>
          <w:kern w:val="2"/>
          <w:lang w:eastAsia="es-CR"/>
          <w14:ligatures w14:val="standardContextual"/>
        </w:rPr>
      </w:pPr>
      <w:hyperlink w:anchor="_Toc236227184" w:history="1">
        <w:r w:rsidRPr="00715C83">
          <w:rPr>
            <w:rStyle w:val="Hipervnculo"/>
            <w:rFonts w:ascii="Arial" w:hAnsi="Arial" w:cs="Arial"/>
            <w:b/>
            <w:bCs/>
            <w:noProof/>
          </w:rPr>
          <w:t>Tabla 4</w:t>
        </w:r>
        <w:r w:rsidRPr="00715C83">
          <w:rPr>
            <w:rStyle w:val="Hipervnculo"/>
            <w:rFonts w:ascii="Arial" w:hAnsi="Arial" w:cs="Arial"/>
            <w:noProof/>
          </w:rPr>
          <w:t xml:space="preserve"> </w:t>
        </w:r>
        <w:r w:rsidRPr="00715C83">
          <w:rPr>
            <w:rStyle w:val="Hipervnculo"/>
            <w:rFonts w:ascii="Arial" w:eastAsiaTheme="majorEastAsia" w:hAnsi="Arial" w:cs="Arial"/>
            <w:noProof/>
          </w:rPr>
          <w:t>Caracterización de los entrevistados en el estudio sobre el TLC entre Honduras y China</w:t>
        </w:r>
        <w:r w:rsidRPr="00715C83">
          <w:rPr>
            <w:rFonts w:ascii="Arial" w:hAnsi="Arial" w:cs="Arial"/>
            <w:noProof/>
            <w:webHidden/>
          </w:rPr>
          <w:tab/>
        </w:r>
        <w:r w:rsidRPr="00715C83">
          <w:rPr>
            <w:rFonts w:ascii="Arial" w:hAnsi="Arial" w:cs="Arial"/>
            <w:noProof/>
            <w:webHidden/>
          </w:rPr>
          <w:fldChar w:fldCharType="begin"/>
        </w:r>
        <w:r w:rsidRPr="00715C83">
          <w:rPr>
            <w:rFonts w:ascii="Arial" w:hAnsi="Arial" w:cs="Arial"/>
            <w:noProof/>
            <w:webHidden/>
          </w:rPr>
          <w:instrText xml:space="preserve"> PAGEREF _Toc236227184 \h </w:instrText>
        </w:r>
        <w:r w:rsidRPr="00715C83">
          <w:rPr>
            <w:rFonts w:ascii="Arial" w:hAnsi="Arial" w:cs="Arial"/>
            <w:noProof/>
            <w:webHidden/>
          </w:rPr>
        </w:r>
        <w:r w:rsidRPr="00715C83">
          <w:rPr>
            <w:rFonts w:ascii="Arial" w:hAnsi="Arial" w:cs="Arial"/>
            <w:noProof/>
            <w:webHidden/>
          </w:rPr>
          <w:fldChar w:fldCharType="separate"/>
        </w:r>
        <w:r w:rsidR="00BE55AC" w:rsidRPr="00715C83">
          <w:rPr>
            <w:rFonts w:ascii="Arial" w:hAnsi="Arial" w:cs="Arial"/>
            <w:noProof/>
            <w:webHidden/>
          </w:rPr>
          <w:t>98</w:t>
        </w:r>
        <w:r w:rsidRPr="00715C83">
          <w:rPr>
            <w:rFonts w:ascii="Arial" w:hAnsi="Arial" w:cs="Arial"/>
            <w:noProof/>
            <w:webHidden/>
          </w:rPr>
          <w:fldChar w:fldCharType="end"/>
        </w:r>
      </w:hyperlink>
    </w:p>
    <w:p w14:paraId="29DD81BF" w14:textId="353E9E4C" w:rsidR="006D25CF" w:rsidRPr="00715C83" w:rsidRDefault="006D25CF" w:rsidP="00383ED6">
      <w:pPr>
        <w:pStyle w:val="Tabladeilustraciones"/>
        <w:spacing w:line="360" w:lineRule="auto"/>
        <w:contextualSpacing/>
        <w:jc w:val="both"/>
        <w:rPr>
          <w:rFonts w:ascii="Arial" w:hAnsi="Arial" w:cs="Arial"/>
          <w:b/>
          <w:bCs/>
          <w:noProof/>
          <w:color w:val="000000" w:themeColor="text1"/>
          <w:sz w:val="22"/>
          <w:szCs w:val="22"/>
          <w:highlight w:val="yellow"/>
        </w:rPr>
      </w:pPr>
      <w:hyperlink w:anchor="_Toc215521934" w:history="1">
        <w:r w:rsidRPr="00715C83">
          <w:rPr>
            <w:rStyle w:val="Hipervnculo"/>
            <w:rFonts w:ascii="Arial" w:hAnsi="Arial" w:cs="Arial"/>
            <w:b/>
            <w:bCs/>
            <w:noProof/>
          </w:rPr>
          <w:t>Tabla 5</w:t>
        </w:r>
        <w:r w:rsidRPr="00715C83">
          <w:rPr>
            <w:rStyle w:val="Hipervnculo"/>
            <w:rFonts w:ascii="Arial" w:hAnsi="Arial" w:cs="Arial"/>
            <w:noProof/>
          </w:rPr>
          <w:t xml:space="preserve"> Oportunidades y desafíos identificados por productores y representantes del sector productivo</w:t>
        </w:r>
        <w:r w:rsidRPr="00715C83">
          <w:rPr>
            <w:rStyle w:val="Hipervnculo"/>
            <w:rFonts w:ascii="Arial" w:hAnsi="Arial" w:cs="Arial"/>
            <w:noProof/>
            <w:color w:val="auto"/>
            <w:u w:val="none"/>
          </w:rPr>
          <w:t xml:space="preserve">………………………………………………………………. </w:t>
        </w:r>
        <w:r w:rsidRPr="00715C83">
          <w:rPr>
            <w:rStyle w:val="Hipervnculo"/>
            <w:rFonts w:ascii="Arial" w:hAnsi="Arial" w:cs="Arial"/>
            <w:noProof/>
            <w:color w:val="auto"/>
            <w:sz w:val="20"/>
            <w:szCs w:val="20"/>
            <w:u w:val="none"/>
          </w:rPr>
          <w:t>107</w:t>
        </w:r>
      </w:hyperlink>
    </w:p>
    <w:p w14:paraId="5D9FAA4A" w14:textId="4EC2CCAE" w:rsidR="006D25CF" w:rsidRPr="00715C83" w:rsidRDefault="006D25CF" w:rsidP="00383ED6">
      <w:pPr>
        <w:pStyle w:val="Tabladeilustraciones"/>
        <w:spacing w:line="360" w:lineRule="auto"/>
        <w:contextualSpacing/>
        <w:jc w:val="both"/>
        <w:rPr>
          <w:rFonts w:ascii="Arial" w:hAnsi="Arial" w:cs="Arial"/>
          <w:b/>
          <w:bCs/>
          <w:noProof/>
          <w:color w:val="000000" w:themeColor="text1"/>
          <w:sz w:val="22"/>
          <w:szCs w:val="22"/>
          <w:highlight w:val="yellow"/>
        </w:rPr>
      </w:pPr>
      <w:hyperlink w:anchor="_Toc215521935" w:history="1">
        <w:r w:rsidRPr="00715C83">
          <w:rPr>
            <w:rStyle w:val="Hipervnculo"/>
            <w:rFonts w:ascii="Arial" w:hAnsi="Arial" w:cs="Arial"/>
            <w:b/>
            <w:bCs/>
            <w:noProof/>
          </w:rPr>
          <w:t>Tabla 6</w:t>
        </w:r>
        <w:r w:rsidRPr="00715C83">
          <w:rPr>
            <w:rStyle w:val="Hipervnculo"/>
            <w:rFonts w:ascii="Arial" w:hAnsi="Arial" w:cs="Arial"/>
            <w:noProof/>
          </w:rPr>
          <w:t xml:space="preserve"> Oportunidades y desafíos desde la perspectiva de expertos académicos y profesionales del comercio internacional.……………………………………..</w:t>
        </w:r>
        <w:r w:rsidRPr="00715C83">
          <w:rPr>
            <w:rStyle w:val="Hipervnculo"/>
            <w:rFonts w:ascii="Arial" w:hAnsi="Arial" w:cs="Arial"/>
            <w:noProof/>
            <w:color w:val="auto"/>
            <w:u w:val="none"/>
          </w:rPr>
          <w:t xml:space="preserve"> </w:t>
        </w:r>
        <w:r w:rsidRPr="00715C83">
          <w:rPr>
            <w:rStyle w:val="Hipervnculo"/>
            <w:rFonts w:ascii="Arial" w:hAnsi="Arial" w:cs="Arial"/>
            <w:noProof/>
            <w:color w:val="auto"/>
            <w:sz w:val="20"/>
            <w:szCs w:val="20"/>
            <w:u w:val="none"/>
          </w:rPr>
          <w:t>108</w:t>
        </w:r>
      </w:hyperlink>
    </w:p>
    <w:p w14:paraId="53C6A860" w14:textId="0B240F7E" w:rsidR="00ED618E" w:rsidRPr="00715C83" w:rsidRDefault="00ED618E" w:rsidP="00C36793">
      <w:pPr>
        <w:spacing w:line="360" w:lineRule="auto"/>
        <w:jc w:val="both"/>
        <w:rPr>
          <w:rFonts w:ascii="Arial" w:hAnsi="Arial" w:cs="Arial"/>
          <w:color w:val="000000" w:themeColor="text1"/>
          <w:lang w:val="es-ES"/>
        </w:rPr>
      </w:pPr>
      <w:r w:rsidRPr="00715C83">
        <w:rPr>
          <w:rFonts w:ascii="Arial" w:hAnsi="Arial" w:cs="Arial"/>
          <w:color w:val="000000" w:themeColor="text1"/>
          <w:lang w:val="es-ES"/>
        </w:rPr>
        <w:fldChar w:fldCharType="end"/>
      </w:r>
    </w:p>
    <w:p w14:paraId="0067C843" w14:textId="73A7963C" w:rsidR="00ED618E" w:rsidRPr="00715C83" w:rsidRDefault="00ED618E" w:rsidP="00383ED6">
      <w:pPr>
        <w:pStyle w:val="Tabladeilustraciones"/>
        <w:tabs>
          <w:tab w:val="right" w:leader="dot" w:pos="8494"/>
        </w:tabs>
        <w:spacing w:line="360" w:lineRule="auto"/>
        <w:jc w:val="both"/>
        <w:rPr>
          <w:rFonts w:ascii="Arial" w:hAnsi="Arial" w:cs="Arial"/>
          <w:color w:val="0D78CA" w:themeColor="background2" w:themeShade="80"/>
          <w:lang w:val="es-ES"/>
        </w:rPr>
      </w:pPr>
      <w:r w:rsidRPr="00715C83">
        <w:rPr>
          <w:rFonts w:ascii="Arial" w:hAnsi="Arial" w:cs="Arial"/>
          <w:color w:val="000000" w:themeColor="text1"/>
          <w:lang w:val="es-ES"/>
        </w:rPr>
        <w:fldChar w:fldCharType="begin"/>
      </w:r>
      <w:r w:rsidRPr="00715C83">
        <w:rPr>
          <w:rFonts w:ascii="Arial" w:hAnsi="Arial" w:cs="Arial"/>
          <w:color w:val="000000" w:themeColor="text1"/>
          <w:lang w:val="es-ES"/>
        </w:rPr>
        <w:instrText xml:space="preserve"> TOC \h \z \c "Cuadro" </w:instrText>
      </w:r>
      <w:r w:rsidRPr="00715C83">
        <w:rPr>
          <w:rFonts w:ascii="Arial" w:hAnsi="Arial" w:cs="Arial"/>
          <w:color w:val="000000" w:themeColor="text1"/>
          <w:lang w:val="es-ES"/>
        </w:rPr>
        <w:fldChar w:fldCharType="separate"/>
      </w:r>
      <w:r w:rsidRPr="00715C83">
        <w:rPr>
          <w:rFonts w:ascii="Arial" w:hAnsi="Arial" w:cs="Arial"/>
          <w:color w:val="000000" w:themeColor="text1"/>
          <w:lang w:val="es-ES"/>
        </w:rPr>
        <w:fldChar w:fldCharType="end"/>
      </w:r>
    </w:p>
    <w:p w14:paraId="3E6120F1" w14:textId="77777777" w:rsidR="00ED618E" w:rsidRPr="00715C83" w:rsidRDefault="00ED618E" w:rsidP="00C36793">
      <w:pPr>
        <w:spacing w:line="360" w:lineRule="auto"/>
        <w:jc w:val="both"/>
        <w:rPr>
          <w:rFonts w:ascii="Arial" w:hAnsi="Arial" w:cs="Arial"/>
          <w:color w:val="0D78CA" w:themeColor="background2" w:themeShade="80"/>
          <w:lang w:val="es-ES"/>
        </w:rPr>
      </w:pPr>
    </w:p>
    <w:p w14:paraId="6A70DD8E" w14:textId="41F70463" w:rsidR="004E3B2B" w:rsidRPr="00715C83" w:rsidRDefault="004E3B2B" w:rsidP="00C36793">
      <w:pPr>
        <w:spacing w:after="160" w:line="360" w:lineRule="auto"/>
        <w:jc w:val="both"/>
        <w:rPr>
          <w:rFonts w:ascii="Arial" w:hAnsi="Arial" w:cs="Arial"/>
          <w:b/>
          <w:bCs/>
          <w:color w:val="0D78CA" w:themeColor="background2" w:themeShade="80"/>
          <w:sz w:val="28"/>
          <w:szCs w:val="28"/>
        </w:rPr>
      </w:pPr>
      <w:r w:rsidRPr="00715C83">
        <w:rPr>
          <w:rFonts w:ascii="Arial" w:hAnsi="Arial" w:cs="Arial"/>
          <w:b/>
          <w:bCs/>
          <w:color w:val="0D78CA" w:themeColor="background2" w:themeShade="80"/>
          <w:sz w:val="28"/>
          <w:szCs w:val="28"/>
        </w:rPr>
        <w:br w:type="page"/>
      </w:r>
    </w:p>
    <w:p w14:paraId="7BE92717" w14:textId="1677C5A4" w:rsidR="00D90D97" w:rsidRPr="003021D0" w:rsidRDefault="00FB79B9" w:rsidP="00845C46">
      <w:pPr>
        <w:spacing w:after="160" w:line="259" w:lineRule="auto"/>
        <w:rPr>
          <w:rFonts w:ascii="Arial" w:hAnsi="Arial" w:cs="Arial"/>
          <w:b/>
          <w:bCs/>
          <w:color w:val="000000" w:themeColor="text1"/>
        </w:rPr>
      </w:pPr>
      <w:r w:rsidRPr="003021D0">
        <w:rPr>
          <w:rFonts w:ascii="Arial" w:hAnsi="Arial" w:cs="Arial"/>
          <w:b/>
          <w:bCs/>
          <w:color w:val="000000" w:themeColor="text1"/>
        </w:rPr>
        <w:lastRenderedPageBreak/>
        <w:t>Introducción</w:t>
      </w:r>
    </w:p>
    <w:p w14:paraId="2C97A4A6" w14:textId="51C92261" w:rsidR="008E3C79" w:rsidRPr="003D4289" w:rsidRDefault="008E3C79" w:rsidP="00FE4CFC">
      <w:pPr>
        <w:spacing w:after="160" w:line="360" w:lineRule="auto"/>
        <w:jc w:val="both"/>
        <w:rPr>
          <w:rFonts w:ascii="Arial" w:hAnsi="Arial" w:cs="Arial"/>
          <w:color w:val="0D0D0D" w:themeColor="text1" w:themeTint="F2"/>
        </w:rPr>
      </w:pPr>
      <w:r w:rsidRPr="003D4289">
        <w:rPr>
          <w:rFonts w:ascii="Arial" w:hAnsi="Arial" w:cs="Arial"/>
          <w:color w:val="0D0D0D" w:themeColor="text1" w:themeTint="F2"/>
        </w:rPr>
        <w:t xml:space="preserve">Para </w:t>
      </w:r>
      <w:r w:rsidR="006D1A79" w:rsidRPr="003D4289">
        <w:rPr>
          <w:rFonts w:ascii="Arial" w:hAnsi="Arial" w:cs="Arial"/>
          <w:color w:val="0D0D0D" w:themeColor="text1" w:themeTint="F2"/>
        </w:rPr>
        <w:t xml:space="preserve">inicios del </w:t>
      </w:r>
      <w:r w:rsidRPr="003D4289">
        <w:rPr>
          <w:rFonts w:ascii="Arial" w:hAnsi="Arial" w:cs="Arial"/>
          <w:color w:val="0D0D0D" w:themeColor="text1" w:themeTint="F2"/>
        </w:rPr>
        <w:t>año 202</w:t>
      </w:r>
      <w:r w:rsidR="00780753" w:rsidRPr="003D4289">
        <w:rPr>
          <w:rFonts w:ascii="Arial" w:hAnsi="Arial" w:cs="Arial"/>
          <w:color w:val="0D0D0D" w:themeColor="text1" w:themeTint="F2"/>
        </w:rPr>
        <w:t>6</w:t>
      </w:r>
      <w:r w:rsidRPr="003D4289">
        <w:rPr>
          <w:rFonts w:ascii="Arial" w:hAnsi="Arial" w:cs="Arial"/>
          <w:color w:val="0D0D0D" w:themeColor="text1" w:themeTint="F2"/>
        </w:rPr>
        <w:t xml:space="preserve">, </w:t>
      </w:r>
      <w:r w:rsidR="009F35F7" w:rsidRPr="003D4289">
        <w:rPr>
          <w:rFonts w:ascii="Arial" w:hAnsi="Arial" w:cs="Arial"/>
          <w:color w:val="0D0D0D" w:themeColor="text1" w:themeTint="F2"/>
        </w:rPr>
        <w:t>doce</w:t>
      </w:r>
      <w:r w:rsidRPr="003D4289">
        <w:rPr>
          <w:rFonts w:ascii="Arial" w:hAnsi="Arial" w:cs="Arial"/>
          <w:color w:val="0D0D0D" w:themeColor="text1" w:themeTint="F2"/>
        </w:rPr>
        <w:t xml:space="preserve"> países reconocen la independencia de </w:t>
      </w:r>
      <w:r w:rsidR="00386C68" w:rsidRPr="003D4289">
        <w:rPr>
          <w:rFonts w:ascii="Arial" w:hAnsi="Arial" w:cs="Arial"/>
          <w:color w:val="0D0D0D" w:themeColor="text1" w:themeTint="F2"/>
        </w:rPr>
        <w:t>Taiwán</w:t>
      </w:r>
      <w:r w:rsidRPr="003D4289">
        <w:rPr>
          <w:rFonts w:ascii="Arial" w:hAnsi="Arial" w:cs="Arial"/>
          <w:color w:val="0D0D0D" w:themeColor="text1" w:themeTint="F2"/>
        </w:rPr>
        <w:t xml:space="preserve">, en su mayoría países de </w:t>
      </w:r>
      <w:r w:rsidR="00386C68" w:rsidRPr="003D4289">
        <w:rPr>
          <w:rFonts w:ascii="Arial" w:hAnsi="Arial" w:cs="Arial"/>
          <w:color w:val="0D0D0D" w:themeColor="text1" w:themeTint="F2"/>
        </w:rPr>
        <w:t>Latinoamérica</w:t>
      </w:r>
      <w:r w:rsidRPr="003D4289">
        <w:rPr>
          <w:rFonts w:ascii="Arial" w:hAnsi="Arial" w:cs="Arial"/>
          <w:color w:val="0D0D0D" w:themeColor="text1" w:themeTint="F2"/>
        </w:rPr>
        <w:t xml:space="preserve"> y el </w:t>
      </w:r>
      <w:r w:rsidRPr="003D4289">
        <w:rPr>
          <w:rFonts w:ascii="Arial" w:hAnsi="Arial" w:cs="Arial"/>
          <w:color w:val="0D0D0D" w:themeColor="text1" w:themeTint="F2"/>
          <w:lang w:val="es-MX"/>
        </w:rPr>
        <w:t xml:space="preserve">Caribe  </w:t>
      </w:r>
      <w:r w:rsidRPr="003D4289">
        <w:rPr>
          <w:rFonts w:ascii="Arial" w:hAnsi="Arial" w:cs="Arial"/>
          <w:color w:val="0D0D0D" w:themeColor="text1" w:themeTint="F2"/>
          <w:lang w:val="es-MX"/>
        </w:rPr>
        <w:fldChar w:fldCharType="begin"/>
      </w:r>
      <w:r w:rsidRPr="003D4289">
        <w:rPr>
          <w:rFonts w:ascii="Arial" w:hAnsi="Arial" w:cs="Arial"/>
          <w:color w:val="0D0D0D" w:themeColor="text1" w:themeTint="F2"/>
          <w:lang w:val="es-MX"/>
        </w:rPr>
        <w:instrText xml:space="preserve"> ADDIN ZOTERO_ITEM CSL_CITATION {"citationID":"ReaoUiTD","properties":{"formattedCitation":"(Ministerio de Asuntos Exteriores de Taiw\\uc0\\u225{}n, 2023)","plainCitation":"(Ministerio de Asuntos Exteriores de Taiwán, 2023)","dontUpdate":true,"noteIndex":0},"citationItems":[{"id":34,"uris":["http://zotero.org/users/10063313/items/A5MHAGIJ"],"itemData":{"id":34,"type":"document","language":"pt","note":"publisher-place: Taipei","title":"Aliados Diplomáticos","author":[{"literal":"Ministerio de Asuntos Exteriores de Taiwán"}],"issued":{"date-parts":[["2023"]]}}}],"schema":"https://github.com/citation-style-language/schema/raw/master/csl-citation.json"} </w:instrText>
      </w:r>
      <w:r w:rsidRPr="003D4289">
        <w:rPr>
          <w:rFonts w:ascii="Arial" w:hAnsi="Arial" w:cs="Arial"/>
          <w:color w:val="0D0D0D" w:themeColor="text1" w:themeTint="F2"/>
          <w:lang w:val="es-MX"/>
        </w:rPr>
        <w:fldChar w:fldCharType="separate"/>
      </w:r>
      <w:r w:rsidRPr="003D4289">
        <w:rPr>
          <w:rFonts w:ascii="Arial" w:hAnsi="Arial" w:cs="Arial"/>
          <w:color w:val="0D0D0D" w:themeColor="text1" w:themeTint="F2"/>
        </w:rPr>
        <w:t>(Ministerio de Asuntos Exteriores de Taiwán, 202</w:t>
      </w:r>
      <w:r w:rsidR="00780753" w:rsidRPr="003D4289">
        <w:rPr>
          <w:rFonts w:ascii="Arial" w:hAnsi="Arial" w:cs="Arial"/>
          <w:color w:val="0D0D0D" w:themeColor="text1" w:themeTint="F2"/>
        </w:rPr>
        <w:t>6</w:t>
      </w:r>
      <w:r w:rsidRPr="003D4289">
        <w:rPr>
          <w:rFonts w:ascii="Arial" w:hAnsi="Arial" w:cs="Arial"/>
          <w:color w:val="0D0D0D" w:themeColor="text1" w:themeTint="F2"/>
        </w:rPr>
        <w:t>)</w:t>
      </w:r>
      <w:r w:rsidRPr="003D4289">
        <w:rPr>
          <w:rFonts w:ascii="Arial" w:hAnsi="Arial" w:cs="Arial"/>
          <w:color w:val="0D0D0D" w:themeColor="text1" w:themeTint="F2"/>
          <w:lang w:val="es-MX"/>
        </w:rPr>
        <w:fldChar w:fldCharType="end"/>
      </w:r>
      <w:r w:rsidRPr="003D4289">
        <w:rPr>
          <w:rFonts w:ascii="Arial" w:hAnsi="Arial" w:cs="Arial"/>
          <w:color w:val="0D0D0D" w:themeColor="text1" w:themeTint="F2"/>
          <w:lang w:val="es-MX"/>
        </w:rPr>
        <w:t>, Honduras fue parte de esta lista de países hasta Marzo de 2023</w:t>
      </w:r>
      <w:r w:rsidR="003E2C8D">
        <w:rPr>
          <w:rFonts w:ascii="Arial" w:hAnsi="Arial" w:cs="Arial"/>
          <w:color w:val="0D0D0D" w:themeColor="text1" w:themeTint="F2"/>
          <w:lang w:val="es-MX"/>
        </w:rPr>
        <w:t>,</w:t>
      </w:r>
      <w:r w:rsidRPr="003D4289">
        <w:rPr>
          <w:rFonts w:ascii="Arial" w:hAnsi="Arial" w:cs="Arial"/>
          <w:color w:val="0D0D0D" w:themeColor="text1" w:themeTint="F2"/>
          <w:lang w:val="es-MX"/>
        </w:rPr>
        <w:t xml:space="preserve"> cuando anunció </w:t>
      </w:r>
      <w:r w:rsidRPr="003D4289">
        <w:rPr>
          <w:rFonts w:ascii="Arial" w:hAnsi="Arial" w:cs="Arial"/>
          <w:color w:val="0D0D0D" w:themeColor="text1" w:themeTint="F2"/>
        </w:rPr>
        <w:t>oficialmente la ruptura de relaciones diplomáticas con Taiwán y reconoció el principio de “Una sola China” (</w:t>
      </w:r>
      <w:r w:rsidRPr="003D4289">
        <w:rPr>
          <w:rFonts w:ascii="Arial" w:hAnsi="Arial" w:cs="Arial"/>
          <w:color w:val="0D0D0D" w:themeColor="text1" w:themeTint="F2"/>
          <w:lang w:val="es-MX"/>
        </w:rPr>
        <w:t xml:space="preserve">Secretaría de Relaciones Exteriores y Cooperación Internacional, </w:t>
      </w:r>
      <w:r w:rsidRPr="003D4289">
        <w:rPr>
          <w:rFonts w:ascii="Arial" w:hAnsi="Arial" w:cs="Arial"/>
          <w:color w:val="0D0D0D" w:themeColor="text1" w:themeTint="F2"/>
          <w:lang w:val="es-MX"/>
        </w:rPr>
        <w:fldChar w:fldCharType="begin"/>
      </w:r>
      <w:r w:rsidRPr="003D4289">
        <w:rPr>
          <w:rFonts w:ascii="Arial" w:hAnsi="Arial" w:cs="Arial"/>
          <w:color w:val="0D0D0D" w:themeColor="text1" w:themeTint="F2"/>
          <w:lang w:val="es-MX"/>
        </w:rPr>
        <w:instrText xml:space="preserve"> ADDIN ZOTERO_ITEM CSL_CITATION {"citationID":"kBFYl48O","properties":{"formattedCitation":"(Secretar\\uc0\\u237{}a de Relaciones Exteriores y Cooperaci\\uc0\\u243{}n Internacional, 2023)","plainCitation":"(Secretaría de Relaciones Exteriores y Cooperación Internacional, 2023)","dontUpdate":true,"noteIndex":0},"citationItems":[{"id":29,"uris":["http://zotero.org/users/10063313/items/YSZWRZ7S"],"itemData":{"id":29,"type":"document","language":"es","title":"Comunicado: Honduras Anuncia Ruptura de Relaciones Diplomáticas con Taiwán","author":[{"literal":"Secretaría de Relaciones Exteriores y Cooperación Internacional"}],"issued":{"date-parts":[["2023"]]}}}],"schema":"https://github.com/citation-style-language/schema/raw/master/csl-citation.json"} </w:instrText>
      </w:r>
      <w:r w:rsidRPr="003D4289">
        <w:rPr>
          <w:rFonts w:ascii="Arial" w:hAnsi="Arial" w:cs="Arial"/>
          <w:color w:val="0D0D0D" w:themeColor="text1" w:themeTint="F2"/>
          <w:lang w:val="es-MX"/>
        </w:rPr>
        <w:fldChar w:fldCharType="separate"/>
      </w:r>
      <w:r w:rsidRPr="003D4289">
        <w:rPr>
          <w:rFonts w:ascii="Arial" w:hAnsi="Arial" w:cs="Arial"/>
          <w:color w:val="0D0D0D" w:themeColor="text1" w:themeTint="F2"/>
        </w:rPr>
        <w:t>2023)</w:t>
      </w:r>
      <w:r w:rsidRPr="003D4289">
        <w:rPr>
          <w:rFonts w:ascii="Arial" w:hAnsi="Arial" w:cs="Arial"/>
          <w:color w:val="0D0D0D" w:themeColor="text1" w:themeTint="F2"/>
          <w:lang w:val="es-MX"/>
        </w:rPr>
        <w:fldChar w:fldCharType="end"/>
      </w:r>
      <w:r w:rsidRPr="003D4289">
        <w:rPr>
          <w:rFonts w:ascii="Arial" w:hAnsi="Arial" w:cs="Arial"/>
          <w:color w:val="0D0D0D" w:themeColor="text1" w:themeTint="F2"/>
          <w:lang w:val="es-MX"/>
        </w:rPr>
        <w:t xml:space="preserve">. </w:t>
      </w:r>
    </w:p>
    <w:p w14:paraId="29A609C6" w14:textId="1CC66F24" w:rsidR="00845C46" w:rsidRPr="003D4289" w:rsidRDefault="00845C46" w:rsidP="00FE4CFC">
      <w:pPr>
        <w:pStyle w:val="NormalWeb"/>
        <w:spacing w:line="360" w:lineRule="auto"/>
        <w:jc w:val="both"/>
        <w:rPr>
          <w:rFonts w:ascii="Arial" w:hAnsi="Arial" w:cs="Arial"/>
          <w:color w:val="0D0D0D" w:themeColor="text1" w:themeTint="F2"/>
        </w:rPr>
      </w:pPr>
      <w:r w:rsidRPr="003D4289">
        <w:rPr>
          <w:rFonts w:ascii="Arial" w:hAnsi="Arial" w:cs="Arial"/>
          <w:color w:val="0D0D0D" w:themeColor="text1" w:themeTint="F2"/>
        </w:rPr>
        <w:t xml:space="preserve">Honduras </w:t>
      </w:r>
      <w:r w:rsidR="00780753" w:rsidRPr="003D4289">
        <w:rPr>
          <w:rFonts w:ascii="Arial" w:hAnsi="Arial" w:cs="Arial"/>
          <w:color w:val="0D0D0D" w:themeColor="text1" w:themeTint="F2"/>
        </w:rPr>
        <w:t xml:space="preserve">contaba con </w:t>
      </w:r>
      <w:r w:rsidRPr="003D4289">
        <w:rPr>
          <w:rFonts w:ascii="Arial" w:hAnsi="Arial" w:cs="Arial"/>
          <w:color w:val="0D0D0D" w:themeColor="text1" w:themeTint="F2"/>
        </w:rPr>
        <w:t xml:space="preserve">un Tratado de Libre Comercio con Taiwán </w:t>
      </w:r>
      <w:r w:rsidR="00D42513" w:rsidRPr="003D4289">
        <w:rPr>
          <w:rFonts w:ascii="Arial" w:hAnsi="Arial" w:cs="Arial"/>
          <w:color w:val="0D0D0D" w:themeColor="text1" w:themeTint="F2"/>
        </w:rPr>
        <w:t xml:space="preserve">desde 2008, </w:t>
      </w:r>
      <w:r w:rsidRPr="003D4289">
        <w:rPr>
          <w:rFonts w:ascii="Arial" w:hAnsi="Arial" w:cs="Arial"/>
          <w:color w:val="0D0D0D" w:themeColor="text1" w:themeTint="F2"/>
        </w:rPr>
        <w:t>bajo el cual se exportaban principalmente</w:t>
      </w:r>
      <w:r w:rsidR="003021D0" w:rsidRPr="003D4289">
        <w:rPr>
          <w:rFonts w:ascii="Arial" w:hAnsi="Arial" w:cs="Arial"/>
          <w:color w:val="0D0D0D" w:themeColor="text1" w:themeTint="F2"/>
        </w:rPr>
        <w:t xml:space="preserve"> camarón, langosta, desechos de aluminio y café</w:t>
      </w:r>
      <w:r w:rsidRPr="003D4289">
        <w:rPr>
          <w:rFonts w:ascii="Arial" w:hAnsi="Arial" w:cs="Arial"/>
          <w:color w:val="0D0D0D" w:themeColor="text1" w:themeTint="F2"/>
        </w:rPr>
        <w:t xml:space="preserve"> </w:t>
      </w:r>
      <w:r w:rsidR="00386C68" w:rsidRPr="003D4289">
        <w:rPr>
          <w:rStyle w:val="Fuerte"/>
          <w:rFonts w:ascii="Arial" w:eastAsiaTheme="majorEastAsia" w:hAnsi="Arial" w:cs="Arial"/>
          <w:b w:val="0"/>
          <w:bCs w:val="0"/>
          <w:color w:val="0D0D0D" w:themeColor="text1" w:themeTint="F2"/>
        </w:rPr>
        <w:fldChar w:fldCharType="begin"/>
      </w:r>
      <w:r w:rsidR="00E85E78">
        <w:rPr>
          <w:rStyle w:val="Fuerte"/>
          <w:rFonts w:ascii="Arial" w:eastAsiaTheme="majorEastAsia" w:hAnsi="Arial" w:cs="Arial"/>
          <w:b w:val="0"/>
          <w:bCs w:val="0"/>
          <w:color w:val="0D0D0D" w:themeColor="text1" w:themeTint="F2"/>
        </w:rPr>
        <w:instrText xml:space="preserve"> ADDIN ZOTERO_ITEM CSL_CITATION {"citationID":"MxKFV2pm","properties":{"formattedCitation":"(ITC, 2025)","plainCitation":"(ITC, 2025)","dontUpdate":true,"noteIndex":0},"citationItems":[{"id":1977,"uris":["http://zotero.org/users/10063313/items/DXF98R7I"],"itemData":{"id":1977,"type":"dataset","title":"Comercio actual y potencial entre Honduras y Taipei, Chinese","author":[{"family":"ITC","given":""}],"issued":{"date-parts":[["2025"]]}}}],"schema":"https://github.com/citation-style-language/schema/raw/master/csl-citation.json"} </w:instrText>
      </w:r>
      <w:r w:rsidR="00386C68" w:rsidRPr="003D4289">
        <w:rPr>
          <w:rStyle w:val="Fuerte"/>
          <w:rFonts w:ascii="Arial" w:eastAsiaTheme="majorEastAsia" w:hAnsi="Arial" w:cs="Arial"/>
          <w:b w:val="0"/>
          <w:bCs w:val="0"/>
          <w:color w:val="0D0D0D" w:themeColor="text1" w:themeTint="F2"/>
        </w:rPr>
        <w:fldChar w:fldCharType="separate"/>
      </w:r>
      <w:r w:rsidR="00386C68" w:rsidRPr="003D4289">
        <w:rPr>
          <w:rStyle w:val="Fuerte"/>
          <w:rFonts w:ascii="Arial" w:eastAsiaTheme="majorEastAsia" w:hAnsi="Arial" w:cs="Arial"/>
          <w:b w:val="0"/>
          <w:bCs w:val="0"/>
          <w:noProof/>
          <w:color w:val="0D0D0D" w:themeColor="text1" w:themeTint="F2"/>
        </w:rPr>
        <w:t>(ITC, 2025</w:t>
      </w:r>
      <w:r w:rsidR="00386C68" w:rsidRPr="003D4289">
        <w:rPr>
          <w:rStyle w:val="Fuerte"/>
          <w:rFonts w:ascii="Arial" w:eastAsiaTheme="majorEastAsia" w:hAnsi="Arial" w:cs="Arial"/>
          <w:b w:val="0"/>
          <w:bCs w:val="0"/>
          <w:color w:val="0D0D0D" w:themeColor="text1" w:themeTint="F2"/>
        </w:rPr>
        <w:fldChar w:fldCharType="end"/>
      </w:r>
      <w:r w:rsidR="00780753" w:rsidRPr="003D4289">
        <w:rPr>
          <w:rStyle w:val="Fuerte"/>
          <w:rFonts w:ascii="Arial" w:eastAsiaTheme="majorEastAsia" w:hAnsi="Arial" w:cs="Arial"/>
          <w:b w:val="0"/>
          <w:bCs w:val="0"/>
          <w:color w:val="0D0D0D" w:themeColor="text1" w:themeTint="F2"/>
        </w:rPr>
        <w:t>;</w:t>
      </w:r>
      <w:r w:rsidR="00386C68" w:rsidRPr="003D4289">
        <w:rPr>
          <w:rStyle w:val="Fuerte"/>
          <w:rFonts w:ascii="Arial" w:eastAsiaTheme="majorEastAsia" w:hAnsi="Arial" w:cs="Arial"/>
          <w:b w:val="0"/>
          <w:bCs w:val="0"/>
          <w:color w:val="0D0D0D" w:themeColor="text1" w:themeTint="F2"/>
        </w:rPr>
        <w:t xml:space="preserve"> </w:t>
      </w:r>
      <w:r w:rsidR="00386C68" w:rsidRPr="003D4289">
        <w:rPr>
          <w:rStyle w:val="Fuerte"/>
          <w:rFonts w:ascii="Arial" w:eastAsiaTheme="majorEastAsia" w:hAnsi="Arial" w:cs="Arial"/>
          <w:b w:val="0"/>
          <w:bCs w:val="0"/>
          <w:color w:val="0D0D0D" w:themeColor="text1" w:themeTint="F2"/>
        </w:rPr>
        <w:fldChar w:fldCharType="begin"/>
      </w:r>
      <w:r w:rsidR="001F56D9">
        <w:rPr>
          <w:rStyle w:val="Fuerte"/>
          <w:rFonts w:ascii="Arial" w:eastAsiaTheme="majorEastAsia" w:hAnsi="Arial" w:cs="Arial"/>
          <w:b w:val="0"/>
          <w:bCs w:val="0"/>
          <w:color w:val="0D0D0D" w:themeColor="text1" w:themeTint="F2"/>
        </w:rPr>
        <w:instrText xml:space="preserve"> ADDIN ZOTERO_ITEM CSL_CITATION {"citationID":"CWkSEWFc","properties":{"formattedCitation":"(SICE, 2008)","plainCitation":"(SICE, 2008)","dontUpdate":true,"noteIndex":0},"citationItems":[{"id":1978,"uris":["http://zotero.org/users/10063313/items/I7HCV3UE"],"itemData":{"id":1978,"type":"book","title":"Tratado de Libre Comercio entre la República de China (Taiwán), la República de El Salvador y la República de Honduras","URL":"http://www.sice.oas.org/trade/slv_hnd_twn_fta_s/SLV_HND_TWN_text_s.asp","author":[{"family":"SICE","given":""}],"issued":{"date-parts":[["2008"]]}}}],"schema":"https://github.com/citation-style-language/schema/raw/master/csl-citation.json"} </w:instrText>
      </w:r>
      <w:r w:rsidR="00386C68" w:rsidRPr="003D4289">
        <w:rPr>
          <w:rStyle w:val="Fuerte"/>
          <w:rFonts w:ascii="Arial" w:eastAsiaTheme="majorEastAsia" w:hAnsi="Arial" w:cs="Arial"/>
          <w:b w:val="0"/>
          <w:bCs w:val="0"/>
          <w:color w:val="0D0D0D" w:themeColor="text1" w:themeTint="F2"/>
        </w:rPr>
        <w:fldChar w:fldCharType="separate"/>
      </w:r>
      <w:r w:rsidR="00386C68" w:rsidRPr="003D4289">
        <w:rPr>
          <w:rStyle w:val="Fuerte"/>
          <w:rFonts w:ascii="Arial" w:eastAsiaTheme="majorEastAsia" w:hAnsi="Arial" w:cs="Arial"/>
          <w:b w:val="0"/>
          <w:bCs w:val="0"/>
          <w:noProof/>
          <w:color w:val="0D0D0D" w:themeColor="text1" w:themeTint="F2"/>
        </w:rPr>
        <w:t>Sistema de Información sobre Comercio Exterior (SICE), 2008)</w:t>
      </w:r>
      <w:r w:rsidR="00386C68" w:rsidRPr="003D4289">
        <w:rPr>
          <w:rStyle w:val="Fuerte"/>
          <w:rFonts w:ascii="Arial" w:eastAsiaTheme="majorEastAsia" w:hAnsi="Arial" w:cs="Arial"/>
          <w:b w:val="0"/>
          <w:bCs w:val="0"/>
          <w:color w:val="0D0D0D" w:themeColor="text1" w:themeTint="F2"/>
        </w:rPr>
        <w:fldChar w:fldCharType="end"/>
      </w:r>
      <w:r w:rsidR="003E2C8D">
        <w:rPr>
          <w:rStyle w:val="Fuerte"/>
          <w:rFonts w:ascii="Arial" w:eastAsiaTheme="majorEastAsia" w:hAnsi="Arial" w:cs="Arial"/>
          <w:b w:val="0"/>
          <w:bCs w:val="0"/>
          <w:color w:val="0D0D0D" w:themeColor="text1" w:themeTint="F2"/>
        </w:rPr>
        <w:t>)</w:t>
      </w:r>
      <w:r w:rsidR="00386C68" w:rsidRPr="003D4289">
        <w:rPr>
          <w:rStyle w:val="Fuerte"/>
          <w:rFonts w:ascii="Arial" w:eastAsiaTheme="majorEastAsia" w:hAnsi="Arial" w:cs="Arial"/>
          <w:b w:val="0"/>
          <w:bCs w:val="0"/>
          <w:color w:val="0D0D0D" w:themeColor="text1" w:themeTint="F2"/>
        </w:rPr>
        <w:t>.</w:t>
      </w:r>
    </w:p>
    <w:p w14:paraId="61D1C4EC" w14:textId="04AF67F1" w:rsidR="00845C46" w:rsidRPr="00780753" w:rsidRDefault="00845C46" w:rsidP="001F56D9">
      <w:pPr>
        <w:spacing w:after="240" w:line="360" w:lineRule="auto"/>
        <w:jc w:val="both"/>
        <w:rPr>
          <w:rFonts w:ascii="Arial" w:hAnsi="Arial" w:cs="Arial"/>
          <w:color w:val="11B1EA" w:themeColor="accent2" w:themeShade="BF"/>
          <w:lang w:val="es-HN"/>
        </w:rPr>
      </w:pPr>
      <w:r w:rsidRPr="003D4289">
        <w:rPr>
          <w:rFonts w:ascii="Arial" w:hAnsi="Arial" w:cs="Arial"/>
          <w:color w:val="0D0D0D" w:themeColor="text1" w:themeTint="F2"/>
        </w:rPr>
        <w:t xml:space="preserve">La ruptura </w:t>
      </w:r>
      <w:r w:rsidR="00780753" w:rsidRPr="003D4289">
        <w:rPr>
          <w:rFonts w:ascii="Arial" w:hAnsi="Arial" w:cs="Arial"/>
          <w:color w:val="0D0D0D" w:themeColor="text1" w:themeTint="F2"/>
        </w:rPr>
        <w:t xml:space="preserve">de relaciones diplomáticas con </w:t>
      </w:r>
      <w:r w:rsidRPr="003D4289">
        <w:rPr>
          <w:rFonts w:ascii="Arial" w:hAnsi="Arial" w:cs="Arial"/>
          <w:color w:val="0D0D0D" w:themeColor="text1" w:themeTint="F2"/>
        </w:rPr>
        <w:t>Taiwán marcó un punto de inflexión en la política exterior hondureña</w:t>
      </w:r>
      <w:r w:rsidR="00386C68" w:rsidRPr="003D4289">
        <w:rPr>
          <w:rFonts w:ascii="Arial" w:hAnsi="Arial" w:cs="Arial"/>
          <w:color w:val="0D0D0D" w:themeColor="text1" w:themeTint="F2"/>
        </w:rPr>
        <w:t xml:space="preserve">, </w:t>
      </w:r>
      <w:r w:rsidR="00BB3FFD">
        <w:rPr>
          <w:rFonts w:ascii="Arial" w:hAnsi="Arial" w:cs="Arial"/>
          <w:color w:val="0D0D0D" w:themeColor="text1" w:themeTint="F2"/>
        </w:rPr>
        <w:t xml:space="preserve">dando </w:t>
      </w:r>
      <w:r w:rsidRPr="003021D0">
        <w:rPr>
          <w:rFonts w:ascii="Arial" w:hAnsi="Arial" w:cs="Arial"/>
        </w:rPr>
        <w:t xml:space="preserve">por terminado </w:t>
      </w:r>
      <w:r w:rsidR="00BB3FFD">
        <w:rPr>
          <w:rFonts w:ascii="Arial" w:hAnsi="Arial" w:cs="Arial"/>
        </w:rPr>
        <w:t>el</w:t>
      </w:r>
      <w:r w:rsidRPr="003021D0">
        <w:rPr>
          <w:rFonts w:ascii="Arial" w:hAnsi="Arial" w:cs="Arial"/>
        </w:rPr>
        <w:t xml:space="preserve"> acuerdo comercial vigente</w:t>
      </w:r>
      <w:r w:rsidR="00780753">
        <w:rPr>
          <w:rFonts w:ascii="Arial" w:hAnsi="Arial" w:cs="Arial"/>
        </w:rPr>
        <w:t>.</w:t>
      </w:r>
      <w:r w:rsidRPr="003021D0">
        <w:rPr>
          <w:rFonts w:ascii="Arial" w:hAnsi="Arial" w:cs="Arial"/>
        </w:rPr>
        <w:t xml:space="preserve"> </w:t>
      </w:r>
      <w:r w:rsidR="00BB3FFD" w:rsidRPr="00BB3FFD">
        <w:rPr>
          <w:rFonts w:ascii="Arial" w:hAnsi="Arial" w:cs="Arial"/>
        </w:rPr>
        <w:t>De forma complementaria,</w:t>
      </w:r>
      <w:r w:rsidR="00BB3FFD">
        <w:rPr>
          <w:rFonts w:ascii="Arial" w:hAnsi="Arial" w:cs="Arial"/>
        </w:rPr>
        <w:t xml:space="preserve"> </w:t>
      </w:r>
      <w:r w:rsidRPr="003021D0">
        <w:rPr>
          <w:rFonts w:ascii="Arial" w:hAnsi="Arial" w:cs="Arial"/>
        </w:rPr>
        <w:t xml:space="preserve">Honduras anunció en mayo de 2023 su intención de negociar un Tratado de Libre Comercio </w:t>
      </w:r>
      <w:r w:rsidR="00FE4CFC" w:rsidRPr="003021D0">
        <w:rPr>
          <w:rFonts w:ascii="Arial" w:hAnsi="Arial" w:cs="Arial"/>
        </w:rPr>
        <w:t xml:space="preserve">con </w:t>
      </w:r>
      <w:r w:rsidR="00DF1C05">
        <w:rPr>
          <w:rFonts w:ascii="Arial" w:hAnsi="Arial" w:cs="Arial"/>
        </w:rPr>
        <w:t xml:space="preserve">la República Popular </w:t>
      </w:r>
      <w:r w:rsidR="00FE4CFC" w:rsidRPr="003021D0">
        <w:rPr>
          <w:rFonts w:ascii="Arial" w:hAnsi="Arial" w:cs="Arial"/>
        </w:rPr>
        <w:t>China</w:t>
      </w:r>
      <w:r w:rsidR="00DF1C05">
        <w:rPr>
          <w:rStyle w:val="Refdenotaalpie"/>
          <w:rFonts w:ascii="Arial" w:hAnsi="Arial" w:cs="Arial"/>
        </w:rPr>
        <w:footnoteReference w:id="2"/>
      </w:r>
      <w:r w:rsidR="00FE4CFC" w:rsidRPr="003021D0">
        <w:rPr>
          <w:rFonts w:ascii="Arial" w:hAnsi="Arial" w:cs="Arial"/>
        </w:rPr>
        <w:t xml:space="preserve"> </w:t>
      </w:r>
      <w:r w:rsidR="00FE4CFC" w:rsidRPr="003021D0">
        <w:rPr>
          <w:rFonts w:ascii="Arial" w:hAnsi="Arial" w:cs="Arial"/>
          <w:color w:val="000000" w:themeColor="text1"/>
          <w:lang w:val="es-MX"/>
        </w:rPr>
        <w:fldChar w:fldCharType="begin"/>
      </w:r>
      <w:r w:rsidR="00FE4CFC" w:rsidRPr="003021D0">
        <w:rPr>
          <w:rFonts w:ascii="Arial" w:hAnsi="Arial" w:cs="Arial"/>
          <w:color w:val="000000" w:themeColor="text1"/>
          <w:lang w:val="es-MX"/>
        </w:rPr>
        <w:instrText xml:space="preserve"> ADDIN ZOTERO_ITEM CSL_CITATION {"citationID":"loKcuKv0","properties":{"formattedCitation":"(Yang &amp; Mingyang, 2023)","plainCitation":"(Yang &amp; Mingyang, 2023)","dontUpdate":true,"noteIndex":0},"citationItems":[{"id":27,"uris":["http://zotero.org/users/10063313/items/FY8KDAHF"],"itemData":{"id":27,"type":"article-journal","container-title":"Global Times","title":"Honduras will 'soon' start FTA negotiations with China, with agricultural goods in focus","author":[{"family":"Yang","given":"Liu"},{"family":"Mingyang","given":"Tao"}],"issued":{"date-parts":[["2023",5,14]]}}}],"schema":"https://github.com/citation-style-language/schema/raw/master/csl-citation.json"} </w:instrText>
      </w:r>
      <w:r w:rsidR="00FE4CFC" w:rsidRPr="003021D0">
        <w:rPr>
          <w:rFonts w:ascii="Arial" w:hAnsi="Arial" w:cs="Arial"/>
          <w:color w:val="000000" w:themeColor="text1"/>
          <w:lang w:val="es-MX"/>
        </w:rPr>
        <w:fldChar w:fldCharType="separate"/>
      </w:r>
      <w:r w:rsidR="00FE4CFC" w:rsidRPr="003021D0">
        <w:rPr>
          <w:rFonts w:ascii="Arial" w:hAnsi="Arial" w:cs="Arial"/>
          <w:color w:val="000000" w:themeColor="text1"/>
        </w:rPr>
        <w:t>(Yang et al., 2023)</w:t>
      </w:r>
      <w:r w:rsidR="00FE4CFC" w:rsidRPr="003021D0">
        <w:rPr>
          <w:rFonts w:ascii="Arial" w:hAnsi="Arial" w:cs="Arial"/>
          <w:color w:val="000000" w:themeColor="text1"/>
          <w:lang w:val="es-MX"/>
        </w:rPr>
        <w:fldChar w:fldCharType="end"/>
      </w:r>
      <w:r w:rsidR="00FE4CFC" w:rsidRPr="003021D0">
        <w:rPr>
          <w:rFonts w:ascii="Arial" w:hAnsi="Arial" w:cs="Arial"/>
          <w:color w:val="000000" w:themeColor="text1"/>
          <w:lang w:val="es-MX"/>
        </w:rPr>
        <w:t xml:space="preserve">, </w:t>
      </w:r>
      <w:r w:rsidRPr="003021D0">
        <w:rPr>
          <w:rFonts w:ascii="Arial" w:hAnsi="Arial" w:cs="Arial"/>
        </w:rPr>
        <w:t xml:space="preserve">proceso que durante 2023 y </w:t>
      </w:r>
      <w:r w:rsidR="00BB3FFD">
        <w:rPr>
          <w:rFonts w:ascii="Arial" w:hAnsi="Arial" w:cs="Arial"/>
        </w:rPr>
        <w:t>hasta la fecha</w:t>
      </w:r>
      <w:r w:rsidRPr="003021D0">
        <w:rPr>
          <w:rFonts w:ascii="Arial" w:hAnsi="Arial" w:cs="Arial"/>
        </w:rPr>
        <w:t xml:space="preserve"> </w:t>
      </w:r>
      <w:r w:rsidR="00D345EC">
        <w:rPr>
          <w:rFonts w:ascii="Arial" w:hAnsi="Arial" w:cs="Arial"/>
        </w:rPr>
        <w:t xml:space="preserve">-Julio de 2026- </w:t>
      </w:r>
      <w:r w:rsidR="00FE4CFC" w:rsidRPr="003021D0">
        <w:rPr>
          <w:rFonts w:ascii="Arial" w:hAnsi="Arial" w:cs="Arial"/>
        </w:rPr>
        <w:t>contó con</w:t>
      </w:r>
      <w:r w:rsidRPr="003021D0">
        <w:rPr>
          <w:rFonts w:ascii="Arial" w:hAnsi="Arial" w:cs="Arial"/>
        </w:rPr>
        <w:t xml:space="preserve"> seis rondas de negociación documentadas por la Secretaría de Desarrollo Económico </w:t>
      </w:r>
      <w:r w:rsidR="00FE4CFC" w:rsidRPr="003021D0">
        <w:rPr>
          <w:rFonts w:ascii="Arial" w:hAnsi="Arial" w:cs="Arial"/>
          <w:color w:val="000000"/>
          <w:lang w:val="es-HN"/>
        </w:rPr>
        <w:fldChar w:fldCharType="begin"/>
      </w:r>
      <w:r w:rsidR="00FE4CFC" w:rsidRPr="003021D0">
        <w:rPr>
          <w:rFonts w:ascii="Arial" w:hAnsi="Arial" w:cs="Arial"/>
          <w:color w:val="000000"/>
          <w:lang w:val="es-HN"/>
        </w:rPr>
        <w:instrText xml:space="preserve"> ADDIN ZOTERO_ITEM CSL_CITATION {"citationID":"t0hIc67M","properties":{"formattedCitation":"(Secretar\\uc0\\u237{}a de Desarrollo Econ\\uc0\\u243{}mico (SDE), 2023)","plainCitation":"(Secretaría de Desarrollo Económico (SDE), 2023)","dontUpdate":true,"noteIndex":0},"citationItems":[{"id":177,"uris":["http://zotero.org/users/10063313/items/CACGNJLN"],"itemData":{"id":177,"type":"article-newspaper","title":"Comunicado de Prensa: Segunda Ronda de Negociación del TLC Honduras - China","author":[{"literal":"Secretaría de Desarrollo Económico (SDE)"}],"issued":{"date-parts":[["2023"]]}}}],"schema":"https://github.com/citation-style-language/schema/raw/master/csl-citation.json"} </w:instrText>
      </w:r>
      <w:r w:rsidR="00FE4CFC" w:rsidRPr="003021D0">
        <w:rPr>
          <w:rFonts w:ascii="Arial" w:hAnsi="Arial" w:cs="Arial"/>
          <w:color w:val="000000"/>
          <w:lang w:val="es-HN"/>
        </w:rPr>
        <w:fldChar w:fldCharType="separate"/>
      </w:r>
      <w:r w:rsidR="00FE4CFC" w:rsidRPr="004E28A6">
        <w:rPr>
          <w:rFonts w:ascii="Arial" w:hAnsi="Arial" w:cs="Arial"/>
        </w:rPr>
        <w:t>(SDE, 2023</w:t>
      </w:r>
      <w:r w:rsidR="001F56D9" w:rsidRPr="004E28A6">
        <w:rPr>
          <w:rFonts w:ascii="Arial" w:hAnsi="Arial" w:cs="Arial"/>
        </w:rPr>
        <w:t>,</w:t>
      </w:r>
      <w:r w:rsidR="004E28A6" w:rsidRPr="004E28A6">
        <w:rPr>
          <w:rFonts w:ascii="Arial" w:hAnsi="Arial" w:cs="Arial"/>
          <w:noProof/>
          <w:color w:val="000000"/>
          <w:lang w:val="es-HN"/>
        </w:rPr>
        <w:t xml:space="preserve"> </w:t>
      </w:r>
      <w:r w:rsidR="004E28A6">
        <w:rPr>
          <w:rFonts w:ascii="Arial" w:hAnsi="Arial" w:cs="Arial"/>
          <w:noProof/>
          <w:color w:val="000000"/>
          <w:lang w:val="es-HN"/>
        </w:rPr>
        <w:t>2024</w:t>
      </w:r>
      <w:r w:rsidR="006D12A3">
        <w:rPr>
          <w:rFonts w:ascii="Arial" w:hAnsi="Arial" w:cs="Arial"/>
          <w:noProof/>
          <w:color w:val="000000"/>
          <w:lang w:val="es-HN"/>
        </w:rPr>
        <w:t>b</w:t>
      </w:r>
      <w:r w:rsidR="00FE4CFC" w:rsidRPr="004E28A6">
        <w:rPr>
          <w:rFonts w:ascii="Arial" w:hAnsi="Arial" w:cs="Arial"/>
        </w:rPr>
        <w:t>)</w:t>
      </w:r>
      <w:r w:rsidR="00FE4CFC" w:rsidRPr="003021D0">
        <w:rPr>
          <w:rFonts w:ascii="Arial" w:hAnsi="Arial" w:cs="Arial"/>
          <w:color w:val="000000"/>
          <w:lang w:val="es-HN"/>
        </w:rPr>
        <w:fldChar w:fldCharType="end"/>
      </w:r>
      <w:r w:rsidR="001F56D9">
        <w:rPr>
          <w:rFonts w:ascii="Arial" w:hAnsi="Arial" w:cs="Arial"/>
          <w:color w:val="000000"/>
          <w:lang w:val="es-HN"/>
        </w:rPr>
        <w:t xml:space="preserve">. </w:t>
      </w:r>
    </w:p>
    <w:p w14:paraId="477C8353" w14:textId="6E0F591D" w:rsidR="00845C46" w:rsidRPr="003021D0" w:rsidRDefault="00BB3FFD" w:rsidP="003021D0">
      <w:pPr>
        <w:pStyle w:val="NormalWeb"/>
        <w:spacing w:line="360" w:lineRule="auto"/>
        <w:jc w:val="both"/>
        <w:rPr>
          <w:rFonts w:ascii="Arial" w:hAnsi="Arial" w:cs="Arial"/>
          <w:color w:val="000000" w:themeColor="text1"/>
        </w:rPr>
      </w:pPr>
      <w:r w:rsidRPr="00BB3FFD">
        <w:rPr>
          <w:rFonts w:ascii="Arial" w:hAnsi="Arial" w:cs="Arial"/>
          <w:color w:val="000000" w:themeColor="text1"/>
        </w:rPr>
        <w:t xml:space="preserve">Todo lo anterior, en un contexto en el que </w:t>
      </w:r>
      <w:r w:rsidR="00845C46" w:rsidRPr="003021D0">
        <w:rPr>
          <w:rFonts w:ascii="Arial" w:hAnsi="Arial" w:cs="Arial"/>
          <w:color w:val="000000" w:themeColor="text1"/>
        </w:rPr>
        <w:t>China</w:t>
      </w:r>
      <w:r>
        <w:rPr>
          <w:rFonts w:ascii="Arial" w:hAnsi="Arial" w:cs="Arial"/>
          <w:color w:val="000000" w:themeColor="text1"/>
        </w:rPr>
        <w:t xml:space="preserve"> se</w:t>
      </w:r>
      <w:r w:rsidR="00845C46" w:rsidRPr="003021D0">
        <w:rPr>
          <w:rFonts w:ascii="Arial" w:hAnsi="Arial" w:cs="Arial"/>
          <w:color w:val="000000" w:themeColor="text1"/>
        </w:rPr>
        <w:t xml:space="preserve"> ha consolidado como uno de los actores más influyentes del comercio internacional. Desde su adhesión a la Organización Mundial del Comercio en 2001, el país ha ampliado su presencia económica global</w:t>
      </w:r>
      <w:r w:rsidR="00FE4CFC" w:rsidRPr="003021D0">
        <w:rPr>
          <w:rFonts w:ascii="Arial" w:hAnsi="Arial" w:cs="Arial"/>
          <w:color w:val="000000" w:themeColor="text1"/>
        </w:rPr>
        <w:t xml:space="preserve"> </w:t>
      </w:r>
      <w:r w:rsidR="00FE4CFC" w:rsidRPr="003021D0">
        <w:rPr>
          <w:rFonts w:ascii="Arial" w:hAnsi="Arial" w:cs="Arial"/>
          <w:color w:val="000000" w:themeColor="text1"/>
        </w:rPr>
        <w:fldChar w:fldCharType="begin"/>
      </w:r>
      <w:r w:rsidR="001F56D9">
        <w:rPr>
          <w:rFonts w:ascii="Arial" w:hAnsi="Arial" w:cs="Arial"/>
          <w:color w:val="000000" w:themeColor="text1"/>
        </w:rPr>
        <w:instrText xml:space="preserve"> ADDIN ZOTERO_ITEM CSL_CITATION {"citationID":"WHd0xzRM","properties":{"formattedCitation":"(Adhikari &amp; Yang, 2002)","plainCitation":"(Adhikari &amp; Yang, 2002)","dontUpdate":true,"noteIndex":0},"citationItems":[{"id":23,"uris":["http://zotero.org/users/10063313/items/PE62U6WM"],"itemData":{"id":23,"type":"article-journal","container-title":"Finanzas y Desarrollo","page":"22-25","title":"¿Qué significará el ingreso en la OMC para China y sus socios comerciales?","author":[{"family":"Adhikari","given":"Ramesh"},{"family":"Yang","given":"Yongzheng"}],"issued":{"date-parts":[["2002"]]}}}],"schema":"https://github.com/citation-style-language/schema/raw/master/csl-citation.json"} </w:instrText>
      </w:r>
      <w:r w:rsidR="00FE4CFC" w:rsidRPr="003021D0">
        <w:rPr>
          <w:rFonts w:ascii="Arial" w:hAnsi="Arial" w:cs="Arial"/>
          <w:color w:val="000000" w:themeColor="text1"/>
        </w:rPr>
        <w:fldChar w:fldCharType="separate"/>
      </w:r>
      <w:r w:rsidR="00FE4CFC" w:rsidRPr="003021D0">
        <w:rPr>
          <w:rFonts w:ascii="Arial" w:hAnsi="Arial" w:cs="Arial"/>
          <w:noProof/>
          <w:color w:val="000000" w:themeColor="text1"/>
        </w:rPr>
        <w:t>(Adhikari et al., 2002)</w:t>
      </w:r>
      <w:r w:rsidR="00FE4CFC" w:rsidRPr="003021D0">
        <w:rPr>
          <w:rFonts w:ascii="Arial" w:hAnsi="Arial" w:cs="Arial"/>
          <w:color w:val="000000" w:themeColor="text1"/>
        </w:rPr>
        <w:fldChar w:fldCharType="end"/>
      </w:r>
      <w:r w:rsidR="00FE4CFC" w:rsidRPr="003021D0">
        <w:rPr>
          <w:rFonts w:ascii="Arial" w:hAnsi="Arial" w:cs="Arial"/>
          <w:color w:val="000000" w:themeColor="text1"/>
        </w:rPr>
        <w:t>.</w:t>
      </w:r>
      <w:r w:rsidR="00845C46" w:rsidRPr="003021D0">
        <w:rPr>
          <w:rFonts w:ascii="Arial" w:hAnsi="Arial" w:cs="Arial"/>
          <w:color w:val="000000" w:themeColor="text1"/>
        </w:rPr>
        <w:t xml:space="preserve"> </w:t>
      </w:r>
      <w:r w:rsidR="003021D0" w:rsidRPr="003021D0">
        <w:rPr>
          <w:rFonts w:ascii="Arial" w:hAnsi="Arial" w:cs="Arial"/>
          <w:color w:val="000000" w:themeColor="text1"/>
        </w:rPr>
        <w:t xml:space="preserve">En América Latina, su influencia se ha intensificado en las últimas dos décadas debido a la creciente demanda china de materias primas y energía, posicionándose como el segundo socio comercial más importante de la región </w:t>
      </w:r>
      <w:r w:rsidR="00FE4CFC" w:rsidRPr="003021D0">
        <w:rPr>
          <w:rStyle w:val="Fuerte"/>
          <w:rFonts w:ascii="Arial" w:eastAsiaTheme="majorEastAsia" w:hAnsi="Arial" w:cs="Arial"/>
          <w:color w:val="000000" w:themeColor="text1"/>
        </w:rPr>
        <w:fldChar w:fldCharType="begin"/>
      </w:r>
      <w:r w:rsidR="00C37C85">
        <w:rPr>
          <w:rStyle w:val="Fuerte"/>
          <w:rFonts w:ascii="Arial" w:eastAsiaTheme="majorEastAsia" w:hAnsi="Arial" w:cs="Arial"/>
          <w:color w:val="000000" w:themeColor="text1"/>
        </w:rPr>
        <w:instrText xml:space="preserve"> ADDIN ZOTERO_ITEM CSL_CITATION {"citationID":"E3uN9AKl","properties":{"formattedCitation":"(Comisi\\uc0\\u243{}n Econ\\uc0\\u243{}mica para Am\\uc0\\u233{}rica Latina y el Caribe, 2025)","plainCitation":"(Comisión Económica para América Latina y el Caribe, 2025)","dontUpdate":true,"noteIndex":0},"citationItems":[{"id":1963,"uris":["http://zotero.org/users/10063313/items/STE6C9EM"],"itemData":{"id":1963,"type":"article-journal","title":"Las relaciones entre América Latina y el Caribe y China: áreas de oportunidad para un desarrollo más productivo, inclusivo y sostenible","author":[{"literal":"CEPAL"}],"issued":{"date-parts":[["2025"]]}}}],"schema":"https://github.com/citation-style-language/schema/raw/master/csl-citation.json"} </w:instrText>
      </w:r>
      <w:r w:rsidR="00FE4CFC" w:rsidRPr="003021D0">
        <w:rPr>
          <w:rStyle w:val="Fuerte"/>
          <w:rFonts w:ascii="Arial" w:eastAsiaTheme="majorEastAsia" w:hAnsi="Arial" w:cs="Arial"/>
          <w:color w:val="000000" w:themeColor="text1"/>
        </w:rPr>
        <w:fldChar w:fldCharType="separate"/>
      </w:r>
      <w:r w:rsidR="00FE4CFC" w:rsidRPr="003021D0">
        <w:rPr>
          <w:rFonts w:ascii="Arial" w:eastAsiaTheme="minorHAnsi" w:hAnsi="Arial" w:cs="Arial"/>
          <w:color w:val="000000" w:themeColor="text1"/>
          <w:lang w:val="es-MX" w:eastAsia="en-US"/>
          <w14:ligatures w14:val="standardContextual"/>
        </w:rPr>
        <w:t>(Comisión Económica para América Latina y el Caribe (CEPAL), 2025)</w:t>
      </w:r>
      <w:r w:rsidR="00FE4CFC" w:rsidRPr="003021D0">
        <w:rPr>
          <w:rStyle w:val="Fuerte"/>
          <w:rFonts w:ascii="Arial" w:eastAsiaTheme="majorEastAsia" w:hAnsi="Arial" w:cs="Arial"/>
          <w:color w:val="000000" w:themeColor="text1"/>
        </w:rPr>
        <w:fldChar w:fldCharType="end"/>
      </w:r>
      <w:r w:rsidR="00FE4CFC" w:rsidRPr="003021D0">
        <w:rPr>
          <w:rFonts w:ascii="Arial" w:hAnsi="Arial" w:cs="Arial"/>
          <w:color w:val="000000" w:themeColor="text1"/>
        </w:rPr>
        <w:t>.</w:t>
      </w:r>
    </w:p>
    <w:p w14:paraId="0EC6EF15" w14:textId="23490F3B" w:rsidR="00845C46" w:rsidRPr="003021D0" w:rsidRDefault="003021D0" w:rsidP="003021D0">
      <w:pPr>
        <w:pStyle w:val="NormalWeb"/>
        <w:spacing w:line="360" w:lineRule="auto"/>
        <w:jc w:val="both"/>
        <w:rPr>
          <w:rFonts w:ascii="Arial" w:hAnsi="Arial" w:cs="Arial"/>
          <w:color w:val="000000" w:themeColor="text1"/>
        </w:rPr>
      </w:pPr>
      <w:r w:rsidRPr="004E28A6">
        <w:rPr>
          <w:rFonts w:ascii="Arial" w:hAnsi="Arial" w:cs="Arial"/>
          <w:color w:val="000000" w:themeColor="text1"/>
          <w:lang w:val="es-HN"/>
        </w:rPr>
        <w:t>Honduras busca aprovechar el acceso a este gran mercado, especialmente para productos como café, tabaco, camarón, banano y otros sectores priorizados por la SDE</w:t>
      </w:r>
      <w:r w:rsidR="004E28A6">
        <w:rPr>
          <w:rFonts w:ascii="Arial" w:hAnsi="Arial" w:cs="Arial"/>
          <w:color w:val="000000" w:themeColor="text1"/>
          <w:lang w:val="es-HN"/>
        </w:rPr>
        <w:t xml:space="preserve"> </w:t>
      </w:r>
      <w:r w:rsidR="004E28A6">
        <w:rPr>
          <w:rFonts w:ascii="Arial" w:hAnsi="Arial" w:cs="Arial"/>
          <w:color w:val="000000" w:themeColor="text1"/>
          <w:lang w:val="es-HN"/>
        </w:rPr>
        <w:fldChar w:fldCharType="begin"/>
      </w:r>
      <w:r w:rsidR="00FA3C64">
        <w:rPr>
          <w:rFonts w:ascii="Arial" w:hAnsi="Arial" w:cs="Arial"/>
          <w:color w:val="000000" w:themeColor="text1"/>
          <w:lang w:val="es-HN"/>
        </w:rPr>
        <w:instrText xml:space="preserve"> ADDIN ZOTERO_ITEM CSL_CITATION {"citationID":"p6ejP7JP","properties":{"formattedCitation":"(SDE, 2024)","plainCitation":"(SDE, 2024)","dontUpdate":true,"noteIndex":0},"citationItems":[{"id":1955,"uris":["http://zotero.org/users/10063313/items/I3D9M3QP"],"itemData":{"id":1955,"type":"webpage","title":"Comunicado de Prensa Concluye Quinta Ronda de Negociaciones del TLC entre Honduras y China","URL":"https://sde.gob.hn/wp-content/uploads/2024/09/COMUNICADO-DE-PRENSA_Concluye-V-Ronda-TLC-HN-CN-22.05.24.pdf","author":[{"literal":"SDE"}],"accessed":{"date-parts":[["2024",9,21]]},"issued":{"date-parts":[["2024",5,22]]}}}],"schema":"https://github.com/citation-style-language/schema/raw/master/csl-citation.json"} </w:instrText>
      </w:r>
      <w:r w:rsidR="004E28A6">
        <w:rPr>
          <w:rFonts w:ascii="Arial" w:hAnsi="Arial" w:cs="Arial"/>
          <w:color w:val="000000" w:themeColor="text1"/>
          <w:lang w:val="es-HN"/>
        </w:rPr>
        <w:fldChar w:fldCharType="separate"/>
      </w:r>
      <w:r w:rsidR="004E28A6">
        <w:rPr>
          <w:rFonts w:ascii="Arial" w:hAnsi="Arial" w:cs="Arial"/>
          <w:noProof/>
          <w:color w:val="000000" w:themeColor="text1"/>
          <w:lang w:val="es-HN"/>
        </w:rPr>
        <w:t>(2024a)</w:t>
      </w:r>
      <w:r w:rsidR="004E28A6">
        <w:rPr>
          <w:rFonts w:ascii="Arial" w:hAnsi="Arial" w:cs="Arial"/>
          <w:color w:val="000000" w:themeColor="text1"/>
          <w:lang w:val="es-HN"/>
        </w:rPr>
        <w:fldChar w:fldCharType="end"/>
      </w:r>
      <w:r w:rsidR="00845C46" w:rsidRPr="004E28A6">
        <w:rPr>
          <w:rFonts w:ascii="Arial" w:hAnsi="Arial" w:cs="Arial"/>
          <w:color w:val="000000" w:themeColor="text1"/>
        </w:rPr>
        <w:t xml:space="preserve">. Sin embargo, el cambio </w:t>
      </w:r>
      <w:r w:rsidR="00FE4CFC" w:rsidRPr="004E28A6">
        <w:rPr>
          <w:rFonts w:ascii="Arial" w:hAnsi="Arial" w:cs="Arial"/>
          <w:color w:val="000000" w:themeColor="text1"/>
        </w:rPr>
        <w:t>del</w:t>
      </w:r>
      <w:r w:rsidR="00FE4CFC" w:rsidRPr="003021D0">
        <w:rPr>
          <w:rFonts w:ascii="Arial" w:hAnsi="Arial" w:cs="Arial"/>
          <w:color w:val="000000" w:themeColor="text1"/>
        </w:rPr>
        <w:t xml:space="preserve"> mercado </w:t>
      </w:r>
      <w:r w:rsidR="00A55A85" w:rsidRPr="003021D0">
        <w:rPr>
          <w:rFonts w:ascii="Arial" w:hAnsi="Arial" w:cs="Arial"/>
          <w:color w:val="000000" w:themeColor="text1"/>
        </w:rPr>
        <w:t xml:space="preserve">taiwanés </w:t>
      </w:r>
      <w:r w:rsidR="00FE4CFC" w:rsidRPr="003021D0">
        <w:rPr>
          <w:rFonts w:ascii="Arial" w:hAnsi="Arial" w:cs="Arial"/>
          <w:color w:val="000000" w:themeColor="text1"/>
        </w:rPr>
        <w:t xml:space="preserve">al chino </w:t>
      </w:r>
      <w:r w:rsidR="00845C46" w:rsidRPr="003021D0">
        <w:rPr>
          <w:rFonts w:ascii="Arial" w:hAnsi="Arial" w:cs="Arial"/>
          <w:color w:val="000000" w:themeColor="text1"/>
        </w:rPr>
        <w:t xml:space="preserve">ha </w:t>
      </w:r>
      <w:r w:rsidR="00845C46" w:rsidRPr="003021D0">
        <w:rPr>
          <w:rFonts w:ascii="Arial" w:hAnsi="Arial" w:cs="Arial"/>
          <w:color w:val="000000" w:themeColor="text1"/>
        </w:rPr>
        <w:lastRenderedPageBreak/>
        <w:t xml:space="preserve">generado expectativas entre los productores y exportadores </w:t>
      </w:r>
      <w:r w:rsidR="00845C46" w:rsidRPr="00C37085">
        <w:rPr>
          <w:rFonts w:ascii="Arial" w:hAnsi="Arial" w:cs="Arial"/>
          <w:color w:val="0D0D0D" w:themeColor="text1" w:themeTint="F2"/>
        </w:rPr>
        <w:t xml:space="preserve">nacionales, quienes serían directamente afectados por las nuevas condiciones de comercio una vez </w:t>
      </w:r>
      <w:r w:rsidR="001017A2" w:rsidRPr="00C37085">
        <w:rPr>
          <w:rFonts w:ascii="Arial" w:hAnsi="Arial" w:cs="Arial"/>
          <w:color w:val="0D0D0D" w:themeColor="text1" w:themeTint="F2"/>
        </w:rPr>
        <w:t xml:space="preserve">que </w:t>
      </w:r>
      <w:r w:rsidR="00845C46" w:rsidRPr="00C37085">
        <w:rPr>
          <w:rFonts w:ascii="Arial" w:hAnsi="Arial" w:cs="Arial"/>
          <w:color w:val="0D0D0D" w:themeColor="text1" w:themeTint="F2"/>
        </w:rPr>
        <w:t xml:space="preserve">el acuerdo entre en </w:t>
      </w:r>
      <w:r w:rsidR="00845C46" w:rsidRPr="003021D0">
        <w:rPr>
          <w:rFonts w:ascii="Arial" w:hAnsi="Arial" w:cs="Arial"/>
          <w:color w:val="000000" w:themeColor="text1"/>
        </w:rPr>
        <w:t>vigencia.</w:t>
      </w:r>
    </w:p>
    <w:p w14:paraId="00CEA9A3" w14:textId="06F4F797" w:rsidR="00845C46" w:rsidRPr="001017A2" w:rsidRDefault="003021D0" w:rsidP="003021D0">
      <w:pPr>
        <w:pStyle w:val="NormalWeb"/>
        <w:spacing w:line="360" w:lineRule="auto"/>
        <w:jc w:val="both"/>
        <w:rPr>
          <w:rFonts w:ascii="Arial" w:hAnsi="Arial" w:cs="Arial"/>
          <w:color w:val="11B1EA" w:themeColor="accent2" w:themeShade="BF"/>
        </w:rPr>
      </w:pPr>
      <w:r w:rsidRPr="003D4289">
        <w:rPr>
          <w:rFonts w:ascii="Arial" w:hAnsi="Arial" w:cs="Arial"/>
          <w:color w:val="0D0D0D" w:themeColor="text1" w:themeTint="F2"/>
        </w:rPr>
        <w:t xml:space="preserve">La relación comercial entre Honduras y China ha mostrado una marcada asimetría durante las últimas dos décadas, caracterizada por un déficit comercial persistente </w:t>
      </w:r>
      <w:r w:rsidR="001017A2" w:rsidRPr="003D4289">
        <w:rPr>
          <w:rFonts w:ascii="Arial" w:hAnsi="Arial" w:cs="Arial"/>
          <w:color w:val="0D0D0D" w:themeColor="text1" w:themeTint="F2"/>
        </w:rPr>
        <w:t xml:space="preserve">a favor del país asiático </w:t>
      </w:r>
      <w:r w:rsidRPr="003D4289">
        <w:rPr>
          <w:rFonts w:ascii="Arial" w:hAnsi="Arial" w:cs="Arial"/>
          <w:color w:val="0D0D0D" w:themeColor="text1" w:themeTint="F2"/>
        </w:rPr>
        <w:t xml:space="preserve">y un patrón exportador hondureño centrado en bienes primarios, frente a un flujo </w:t>
      </w:r>
      <w:r w:rsidRPr="003021D0">
        <w:rPr>
          <w:rFonts w:ascii="Arial" w:hAnsi="Arial" w:cs="Arial"/>
          <w:color w:val="000000" w:themeColor="text1"/>
        </w:rPr>
        <w:t xml:space="preserve">de importaciones chinas </w:t>
      </w:r>
      <w:r w:rsidR="00845C46" w:rsidRPr="003021D0">
        <w:rPr>
          <w:rFonts w:ascii="Arial" w:hAnsi="Arial" w:cs="Arial"/>
          <w:color w:val="000000" w:themeColor="text1"/>
        </w:rPr>
        <w:t>dominado por manufacturas y tecnología</w:t>
      </w:r>
      <w:r w:rsidR="00587914" w:rsidRPr="003021D0">
        <w:rPr>
          <w:rFonts w:ascii="Arial" w:hAnsi="Arial" w:cs="Arial"/>
          <w:color w:val="000000" w:themeColor="text1"/>
        </w:rPr>
        <w:t xml:space="preserve"> según datos del Sistema de Integración Económica Centroamericana (SIECA) y </w:t>
      </w:r>
      <w:r w:rsidR="00587914" w:rsidRPr="003021D0">
        <w:rPr>
          <w:rFonts w:ascii="Arial" w:hAnsi="Arial" w:cs="Arial"/>
          <w:color w:val="000000" w:themeColor="text1"/>
          <w:lang w:val="es-MX"/>
        </w:rPr>
        <w:t>del International Trade Centre (ITC)</w:t>
      </w:r>
      <w:r w:rsidR="006E1012">
        <w:rPr>
          <w:rFonts w:ascii="Arial" w:hAnsi="Arial" w:cs="Arial"/>
          <w:color w:val="000000" w:themeColor="text1"/>
          <w:lang w:val="es-MX"/>
        </w:rPr>
        <w:t xml:space="preserve"> consultados en 2025.</w:t>
      </w:r>
    </w:p>
    <w:p w14:paraId="33879018" w14:textId="77777777" w:rsidR="003021D0" w:rsidRPr="003021D0" w:rsidRDefault="003021D0" w:rsidP="003021D0">
      <w:pPr>
        <w:spacing w:after="160" w:line="360" w:lineRule="auto"/>
        <w:jc w:val="both"/>
        <w:rPr>
          <w:rFonts w:ascii="Arial" w:hAnsi="Arial" w:cs="Arial"/>
          <w:color w:val="000000" w:themeColor="text1"/>
        </w:rPr>
      </w:pPr>
      <w:r w:rsidRPr="003021D0">
        <w:rPr>
          <w:rFonts w:ascii="Arial" w:hAnsi="Arial" w:cs="Arial"/>
          <w:color w:val="000000" w:themeColor="text1"/>
        </w:rPr>
        <w:t>En este contexto, se vuelve imperativo analizar cuáles podrían ser las oportunidades reales derivadas de un TLC con China y cuáles desafíos enfrentaría el sector productivo hondureño. Este análisis no solo es crucial para orientar la preparación de los exportadores, sino también para que el gobierno cuente con insumos sólidos que le permitan negociar un acuerdo equilibrado y velar por los intereses nacionales.</w:t>
      </w:r>
    </w:p>
    <w:p w14:paraId="72AFC541" w14:textId="36DAAF08" w:rsidR="003021D0" w:rsidRPr="003021D0" w:rsidRDefault="003021D0" w:rsidP="003021D0">
      <w:pPr>
        <w:spacing w:after="160" w:line="360" w:lineRule="auto"/>
        <w:jc w:val="both"/>
        <w:rPr>
          <w:rFonts w:ascii="Arial" w:hAnsi="Arial" w:cs="Arial"/>
          <w:color w:val="000000" w:themeColor="text1"/>
        </w:rPr>
      </w:pPr>
      <w:r w:rsidRPr="003021D0">
        <w:rPr>
          <w:rFonts w:ascii="Arial" w:hAnsi="Arial" w:cs="Arial"/>
          <w:color w:val="000000" w:themeColor="text1"/>
        </w:rPr>
        <w:t>La ausencia de estudios ex ante sobre las implicaciones de un Tratado de Libre Comercio entre Honduras y China representa un vacío relevante para el país. Mientras existen análisis detallados para economías</w:t>
      </w:r>
      <w:r w:rsidR="00745ECB">
        <w:rPr>
          <w:rFonts w:ascii="Arial" w:hAnsi="Arial" w:cs="Arial"/>
          <w:color w:val="000000" w:themeColor="text1"/>
        </w:rPr>
        <w:t xml:space="preserve"> </w:t>
      </w:r>
      <w:r w:rsidR="00745ECB" w:rsidRPr="00745ECB">
        <w:rPr>
          <w:rFonts w:ascii="Arial" w:hAnsi="Arial" w:cs="Arial"/>
          <w:color w:val="000000" w:themeColor="text1"/>
        </w:rPr>
        <w:t>que han negociado TLC con China,</w:t>
      </w:r>
      <w:r w:rsidRPr="003021D0">
        <w:rPr>
          <w:rFonts w:ascii="Arial" w:hAnsi="Arial" w:cs="Arial"/>
          <w:color w:val="000000" w:themeColor="text1"/>
        </w:rPr>
        <w:t xml:space="preserve"> como Chile, Perú y Costa Rica</w:t>
      </w:r>
      <w:r w:rsidR="00333A6F">
        <w:rPr>
          <w:rFonts w:ascii="Arial" w:hAnsi="Arial" w:cs="Arial"/>
          <w:color w:val="000000" w:themeColor="text1"/>
        </w:rPr>
        <w:t xml:space="preserve"> </w:t>
      </w:r>
      <w:r w:rsidR="00333A6F">
        <w:rPr>
          <w:rFonts w:ascii="Arial" w:hAnsi="Arial" w:cs="Arial"/>
          <w:color w:val="000000" w:themeColor="text1"/>
        </w:rPr>
        <w:fldChar w:fldCharType="begin"/>
      </w:r>
      <w:r w:rsidR="00FA3C64">
        <w:rPr>
          <w:rFonts w:ascii="Arial" w:hAnsi="Arial" w:cs="Arial"/>
          <w:color w:val="000000" w:themeColor="text1"/>
        </w:rPr>
        <w:instrText xml:space="preserve"> ADDIN ZOTERO_ITEM CSL_CITATION {"citationID":"BtS1ylPy","properties":{"formattedCitation":"(Ruiz, 2023; Torres C., 2010)","plainCitation":"(Ruiz, 2023; Torres C., 2010)","dontUpdate":true,"noteIndex":0},"citationItems":[{"id":1909,"uris":["http://zotero.org/users/10063313/items/UGNB9B8U"],"itemData":{"id":1909,"type":"book","abstract":"El presente informe tiene como objetivo efectuar un primer análisis del contenido del acuerdo comercial del TCL entre el Perú y China, e identificar los posibles riesgos que éste podría implicar para determinados sectores sensibles de la industria nacional, y para el desarrollo de largo plazo del país. Para una mejor exposición el informe ha sido elaborado en tres partes, que comprenden situación preliminar existente, el proceso de negociación y la evolución del tratado mismo","collection-number":"5","collection-title":"Cuaderno Globalización con Equidad","edition":"1. ed","ISBN":"978-9972-722-15-8","language":"es","number-of-pages":"109","publisher":"Centro Peruano de Estudios Sociales, CEPES","publisher-place":"Lima, Perú","source":"Library of Congress ISBN","title":"El TLC Perú-China:¿oportunidad o amenaza? posibles implicancias para el Perú","title-short":"El TLC Perú-China","author":[{"family":"Torres C.","given":"Víctor"}],"issued":{"date-parts":[["2010"]]}}},{"id":1916,"uris":["http://zotero.org/users/10063313/items/4PU475T2"],"itemData":{"id":1916,"type":"article-journal","container-title":"Vicerrectoría de Investigación","journalAbbreviation":"Observatorio de Comercio Exterior","title":"TLC con China: geopolítica, comercio y diplomacia","URL":"https://www.uned.ac.cr/ocex/index.php/capsulas/647-abriendo-las-puertas-a-asia-10-anos-del-tlc-con-china","author":[{"family":"Ruiz","given":"Hellen"}],"accessed":{"date-parts":[["2024",4,14]]},"issued":{"date-parts":[["2023"]]}}}],"schema":"https://github.com/citation-style-language/schema/raw/master/csl-citation.json"} </w:instrText>
      </w:r>
      <w:r w:rsidR="00333A6F">
        <w:rPr>
          <w:rFonts w:ascii="Arial" w:hAnsi="Arial" w:cs="Arial"/>
          <w:color w:val="000000" w:themeColor="text1"/>
        </w:rPr>
        <w:fldChar w:fldCharType="separate"/>
      </w:r>
      <w:r w:rsidR="00333A6F">
        <w:rPr>
          <w:rFonts w:ascii="Arial" w:hAnsi="Arial" w:cs="Arial"/>
          <w:noProof/>
          <w:color w:val="000000" w:themeColor="text1"/>
        </w:rPr>
        <w:t>(Ruiz, 2023; Torres, 2010)</w:t>
      </w:r>
      <w:r w:rsidR="00333A6F">
        <w:rPr>
          <w:rFonts w:ascii="Arial" w:hAnsi="Arial" w:cs="Arial"/>
          <w:color w:val="000000" w:themeColor="text1"/>
        </w:rPr>
        <w:fldChar w:fldCharType="end"/>
      </w:r>
      <w:r w:rsidR="00333A6F">
        <w:rPr>
          <w:rFonts w:ascii="Arial" w:hAnsi="Arial" w:cs="Arial"/>
          <w:color w:val="000000" w:themeColor="text1"/>
        </w:rPr>
        <w:t xml:space="preserve">, </w:t>
      </w:r>
      <w:r w:rsidR="00745ECB">
        <w:rPr>
          <w:rFonts w:ascii="Arial" w:hAnsi="Arial" w:cs="Arial"/>
          <w:color w:val="000000" w:themeColor="text1"/>
        </w:rPr>
        <w:t xml:space="preserve">por otro lado </w:t>
      </w:r>
      <w:r w:rsidRPr="003021D0">
        <w:rPr>
          <w:rFonts w:ascii="Arial" w:hAnsi="Arial" w:cs="Arial"/>
          <w:color w:val="000000" w:themeColor="text1"/>
        </w:rPr>
        <w:t>Honduras carece de evaluaciones que permitan anticipar los posibles efectos del acuerdo en su estructura productiva y en su inserción comercial. Este vacío analítico limita la capacidad tanto del sector público como del sector privado para prepararse de manera estratégica ante un eventual cambio en las condiciones de comercio</w:t>
      </w:r>
      <w:r w:rsidR="00745ECB">
        <w:rPr>
          <w:rFonts w:ascii="Arial" w:hAnsi="Arial" w:cs="Arial"/>
          <w:color w:val="000000" w:themeColor="text1"/>
        </w:rPr>
        <w:t xml:space="preserve"> </w:t>
      </w:r>
      <w:r w:rsidR="00745ECB" w:rsidRPr="00745ECB">
        <w:rPr>
          <w:rFonts w:ascii="Arial" w:hAnsi="Arial" w:cs="Arial"/>
          <w:color w:val="000000" w:themeColor="text1"/>
        </w:rPr>
        <w:t>bilateral</w:t>
      </w:r>
      <w:r w:rsidRPr="003021D0">
        <w:rPr>
          <w:rFonts w:ascii="Arial" w:hAnsi="Arial" w:cs="Arial"/>
          <w:color w:val="000000" w:themeColor="text1"/>
        </w:rPr>
        <w:t>.</w:t>
      </w:r>
    </w:p>
    <w:p w14:paraId="5C2F34F7" w14:textId="39979B7F" w:rsidR="003021D0" w:rsidRPr="003021D0" w:rsidRDefault="003021D0" w:rsidP="003021D0">
      <w:pPr>
        <w:spacing w:after="160" w:line="360" w:lineRule="auto"/>
        <w:jc w:val="both"/>
        <w:rPr>
          <w:rFonts w:ascii="Arial" w:hAnsi="Arial" w:cs="Arial"/>
          <w:color w:val="000000" w:themeColor="text1"/>
        </w:rPr>
      </w:pPr>
      <w:r w:rsidRPr="003021D0">
        <w:rPr>
          <w:rFonts w:ascii="Arial" w:hAnsi="Arial" w:cs="Arial"/>
          <w:color w:val="000000" w:themeColor="text1"/>
        </w:rPr>
        <w:t xml:space="preserve">A su vez, la literatura destaca que los acuerdos comerciales pueden generar beneficios asociados a la expansión de mercados, atracción de inversión extranjera directa o mejora en la competitividad; sin embargo, estos efectos no se distribuyen de manera automática ni homogénea </w:t>
      </w:r>
      <w:r w:rsidR="00333A6F">
        <w:rPr>
          <w:rFonts w:ascii="Arial" w:hAnsi="Arial" w:cs="Arial"/>
          <w:color w:val="000000" w:themeColor="text1"/>
        </w:rPr>
        <w:fldChar w:fldCharType="begin"/>
      </w:r>
      <w:r w:rsidR="001F56D9">
        <w:rPr>
          <w:rFonts w:ascii="Arial" w:hAnsi="Arial" w:cs="Arial"/>
          <w:color w:val="000000" w:themeColor="text1"/>
        </w:rPr>
        <w:instrText xml:space="preserve"> ADDIN ZOTERO_ITEM CSL_CITATION {"citationID":"rOBQ5C52","properties":{"formattedCitation":"(Reed et\\uc0\\u160{}al., 2016; Timini &amp; S\\uc0\\u225{}nchez-Albornoz, 2019)","plainCitation":"(Reed et al., 2016; Timini &amp; Sánchez-Albornoz, 2019)","dontUpdate":true,"noteIndex":0},"citationItems":[{"id":9,"uris":["http://zotero.org/users/10063313/items/EFJV29QX"],"itemData":{"id":9,"type":"article-journal","container-title":"Southern Economic Journal","title":"Free Trade Agreements and Foreign Direct Investment: The Role of Endogeneity and Dynamics","author":[{"family":"Reed","given":"Robert"},{"family":"Lira","given":"Christina"},{"family":"Lee","given":"Byung-Ki"},{"family":"Lee","given":"Junsoo"}],"issued":{"date-parts":[["2016"]]}}},{"id":21,"uris":["http://zotero.org/users/10063313/items/N9NWE2A6"],"itemData":{"id":21,"type":"article-journal","container-title":"Banco de España","title":"El impacto de China sobre América Latina: los canales comerciales y de inversión extranjera directa","author":[{"family":"Timini","given":"Jacopo"},{"family":"Sánchez-Albornoz","given":"Ayman El-Dahrawy"}],"issued":{"date-parts":[["2019",5,17]]}}}],"schema":"https://github.com/citation-style-language/schema/raw/master/csl-citation.json"} </w:instrText>
      </w:r>
      <w:r w:rsidR="00333A6F">
        <w:rPr>
          <w:rFonts w:ascii="Arial" w:hAnsi="Arial" w:cs="Arial"/>
          <w:color w:val="000000" w:themeColor="text1"/>
        </w:rPr>
        <w:fldChar w:fldCharType="separate"/>
      </w:r>
      <w:r w:rsidR="00333A6F" w:rsidRPr="00333A6F">
        <w:rPr>
          <w:rFonts w:ascii="Arial" w:eastAsiaTheme="minorHAnsi" w:hAnsi="Arial" w:cs="Arial"/>
          <w:color w:val="000000"/>
          <w:lang w:val="es-MX" w:eastAsia="en-US"/>
          <w14:ligatures w14:val="standardContextual"/>
        </w:rPr>
        <w:t xml:space="preserve">(Reed et al., 2016; Timini </w:t>
      </w:r>
      <w:r w:rsidR="00333A6F">
        <w:rPr>
          <w:rFonts w:ascii="Arial" w:eastAsiaTheme="minorHAnsi" w:hAnsi="Arial" w:cs="Arial"/>
          <w:color w:val="000000"/>
          <w:lang w:val="es-MX" w:eastAsia="en-US"/>
          <w14:ligatures w14:val="standardContextual"/>
        </w:rPr>
        <w:t>et al.</w:t>
      </w:r>
      <w:r w:rsidR="00333A6F" w:rsidRPr="00333A6F">
        <w:rPr>
          <w:rFonts w:ascii="Arial" w:eastAsiaTheme="minorHAnsi" w:hAnsi="Arial" w:cs="Arial"/>
          <w:color w:val="000000"/>
          <w:lang w:val="es-MX" w:eastAsia="en-US"/>
          <w14:ligatures w14:val="standardContextual"/>
        </w:rPr>
        <w:t>, 2019)</w:t>
      </w:r>
      <w:r w:rsidR="00333A6F">
        <w:rPr>
          <w:rFonts w:ascii="Arial" w:hAnsi="Arial" w:cs="Arial"/>
          <w:color w:val="000000" w:themeColor="text1"/>
        </w:rPr>
        <w:fldChar w:fldCharType="end"/>
      </w:r>
      <w:r w:rsidR="00333A6F">
        <w:rPr>
          <w:rFonts w:ascii="Arial" w:hAnsi="Arial" w:cs="Arial"/>
          <w:color w:val="000000" w:themeColor="text1"/>
        </w:rPr>
        <w:t>.</w:t>
      </w:r>
      <w:r w:rsidRPr="003021D0">
        <w:rPr>
          <w:rFonts w:ascii="Arial" w:hAnsi="Arial" w:cs="Arial"/>
          <w:color w:val="000000" w:themeColor="text1"/>
        </w:rPr>
        <w:t xml:space="preserve"> En economías pequeñas como la hondureña, donde persisten brechas productivas, tecnológicas y logísticas, los riesgos asociados a una </w:t>
      </w:r>
      <w:r w:rsidRPr="003021D0">
        <w:rPr>
          <w:rFonts w:ascii="Arial" w:hAnsi="Arial" w:cs="Arial"/>
          <w:color w:val="000000" w:themeColor="text1"/>
        </w:rPr>
        <w:lastRenderedPageBreak/>
        <w:t xml:space="preserve">apertura comercial acelerada requieren un análisis cuidadoso que considere tanto el potencial aprovechamiento del acuerdo como sus posibles desafíos. </w:t>
      </w:r>
    </w:p>
    <w:p w14:paraId="1A0FC638" w14:textId="2A7AD9B0" w:rsidR="003021D0" w:rsidRPr="003021D0" w:rsidRDefault="003021D0" w:rsidP="003021D0">
      <w:pPr>
        <w:spacing w:after="160" w:line="360" w:lineRule="auto"/>
        <w:jc w:val="both"/>
        <w:rPr>
          <w:rFonts w:ascii="Arial" w:hAnsi="Arial" w:cs="Arial"/>
          <w:color w:val="000000" w:themeColor="text1"/>
        </w:rPr>
      </w:pPr>
      <w:r w:rsidRPr="003021D0">
        <w:rPr>
          <w:rFonts w:ascii="Arial" w:hAnsi="Arial" w:cs="Arial"/>
          <w:color w:val="000000" w:themeColor="text1"/>
        </w:rPr>
        <w:t>En este marco, la presente investigación tiene</w:t>
      </w:r>
      <w:r w:rsidR="00D345EC">
        <w:rPr>
          <w:rFonts w:ascii="Arial" w:hAnsi="Arial" w:cs="Arial"/>
          <w:color w:val="000000" w:themeColor="text1"/>
        </w:rPr>
        <w:t xml:space="preserve"> el</w:t>
      </w:r>
      <w:r w:rsidRPr="003021D0">
        <w:rPr>
          <w:rFonts w:ascii="Arial" w:hAnsi="Arial" w:cs="Arial"/>
          <w:color w:val="000000" w:themeColor="text1"/>
        </w:rPr>
        <w:t xml:space="preserve"> propósito </w:t>
      </w:r>
      <w:r w:rsidR="00D345EC">
        <w:rPr>
          <w:rFonts w:ascii="Arial" w:hAnsi="Arial" w:cs="Arial"/>
          <w:color w:val="000000" w:themeColor="text1"/>
        </w:rPr>
        <w:t xml:space="preserve">de </w:t>
      </w:r>
      <w:r w:rsidRPr="003021D0">
        <w:rPr>
          <w:rFonts w:ascii="Arial" w:hAnsi="Arial" w:cs="Arial"/>
          <w:color w:val="000000" w:themeColor="text1"/>
        </w:rPr>
        <w:t xml:space="preserve">identificar las principales expectativas de los sectores estratégicos hondureños frente a la negociación del TLC con China, así como analizar las oportunidades y desafíos que podrían derivarse de su implementación. Para ello, se desarrolla un enfoque mixto que integra el análisis de dos décadas de comercio bilateral entre Honduras y China y la comparación con países latinoamericanos que ya cuentan con un TLC con China; el uso de indicadores </w:t>
      </w:r>
      <w:r w:rsidR="00745ECB">
        <w:rPr>
          <w:rFonts w:ascii="Arial" w:hAnsi="Arial" w:cs="Arial"/>
          <w:color w:val="000000" w:themeColor="text1"/>
        </w:rPr>
        <w:t>comercial</w:t>
      </w:r>
      <w:r w:rsidRPr="003021D0">
        <w:rPr>
          <w:rFonts w:ascii="Arial" w:hAnsi="Arial" w:cs="Arial"/>
          <w:color w:val="000000" w:themeColor="text1"/>
        </w:rPr>
        <w:t xml:space="preserve"> y un </w:t>
      </w:r>
      <w:r w:rsidR="00DF1C05" w:rsidRPr="003D4289">
        <w:rPr>
          <w:rFonts w:ascii="Arial" w:hAnsi="Arial" w:cs="Arial"/>
          <w:color w:val="0D0D0D" w:themeColor="text1" w:themeTint="F2"/>
        </w:rPr>
        <w:t>análisis</w:t>
      </w:r>
      <w:r w:rsidRPr="003D4289">
        <w:rPr>
          <w:rFonts w:ascii="Arial" w:hAnsi="Arial" w:cs="Arial"/>
          <w:color w:val="0D0D0D" w:themeColor="text1" w:themeTint="F2"/>
        </w:rPr>
        <w:t xml:space="preserve"> </w:t>
      </w:r>
      <w:r w:rsidRPr="003021D0">
        <w:rPr>
          <w:rFonts w:ascii="Arial" w:hAnsi="Arial" w:cs="Arial"/>
          <w:color w:val="000000" w:themeColor="text1"/>
        </w:rPr>
        <w:t>cualitativo basado en entrevistas a productores, académicos y funcionarios vinculados al proceso de negociación.</w:t>
      </w:r>
    </w:p>
    <w:p w14:paraId="6A3407B1" w14:textId="21AFF154" w:rsidR="003021D0" w:rsidRPr="003021D0" w:rsidRDefault="003021D0" w:rsidP="003021D0">
      <w:pPr>
        <w:spacing w:after="160" w:line="360" w:lineRule="auto"/>
        <w:jc w:val="both"/>
        <w:rPr>
          <w:rFonts w:ascii="Arial" w:hAnsi="Arial" w:cs="Arial"/>
          <w:color w:val="000000" w:themeColor="text1"/>
        </w:rPr>
      </w:pPr>
      <w:r w:rsidRPr="003021D0">
        <w:rPr>
          <w:rFonts w:ascii="Arial" w:hAnsi="Arial" w:cs="Arial"/>
          <w:color w:val="000000" w:themeColor="text1"/>
        </w:rPr>
        <w:t>El ofrece una visión integral que combina evidencia empírica y análisis sectorial con percepciones de actores clave, permitiendo anticipar áreas prioritarias para el fortalecimiento institucional y productivo. De igual forma, proporciona insumos para la formulación de políticas públicas que contribuyan a reducir posibles impactos adversos y a orientar la preparación del país ante una eventual entrada en vigor del acuerdo.</w:t>
      </w:r>
    </w:p>
    <w:p w14:paraId="58E0E4C2" w14:textId="6917F7BA" w:rsidR="00E76D2C" w:rsidRPr="003021D0" w:rsidRDefault="003021D0" w:rsidP="003021D0">
      <w:pPr>
        <w:spacing w:after="160" w:line="360" w:lineRule="auto"/>
        <w:jc w:val="both"/>
        <w:rPr>
          <w:rFonts w:ascii="Arial" w:hAnsi="Arial" w:cs="Arial"/>
          <w:color w:val="000000" w:themeColor="text1"/>
        </w:rPr>
      </w:pPr>
      <w:r w:rsidRPr="003021D0">
        <w:rPr>
          <w:rFonts w:ascii="Arial" w:hAnsi="Arial" w:cs="Arial"/>
          <w:color w:val="000000" w:themeColor="text1"/>
        </w:rPr>
        <w:t>Finalmente, la tesis se estructura de la siguiente manera: el Capítulo 1 presenta el contexto general, antecedentes y justificación del estudio; el Capítulo 2 expone el marco teórico y la metodología utilizada; el Capítulo 3 desarrolla el análisis cuantitativo y cualitativo de los resultados; y el Capítulo 4 resume las conclusiones y recomendaciones orientadas a la preparación del país frente al posible Tratado de Libre Comercio con China.</w:t>
      </w:r>
    </w:p>
    <w:p w14:paraId="229B4E90" w14:textId="77777777" w:rsidR="00E76D2C" w:rsidRPr="00845C46" w:rsidRDefault="00E76D2C" w:rsidP="00845C46">
      <w:pPr>
        <w:spacing w:after="160" w:line="276" w:lineRule="auto"/>
        <w:jc w:val="both"/>
        <w:rPr>
          <w:rFonts w:ascii="Arial" w:hAnsi="Arial" w:cs="Arial"/>
          <w:b/>
          <w:bCs/>
          <w:color w:val="0D78CA" w:themeColor="background2" w:themeShade="80"/>
          <w:sz w:val="28"/>
          <w:szCs w:val="28"/>
        </w:rPr>
      </w:pPr>
    </w:p>
    <w:p w14:paraId="15B46B9A" w14:textId="77777777" w:rsidR="0047539B" w:rsidRDefault="0047539B">
      <w:pPr>
        <w:spacing w:after="160" w:line="259" w:lineRule="auto"/>
        <w:rPr>
          <w:rFonts w:ascii="Arial" w:hAnsi="Arial" w:cs="Arial"/>
          <w:b/>
          <w:bCs/>
          <w:color w:val="0D78CA" w:themeColor="background2" w:themeShade="80"/>
          <w:sz w:val="28"/>
          <w:szCs w:val="28"/>
        </w:rPr>
      </w:pPr>
    </w:p>
    <w:p w14:paraId="77636E96" w14:textId="77777777" w:rsidR="003021D0" w:rsidRDefault="003021D0">
      <w:pPr>
        <w:spacing w:after="160" w:line="259" w:lineRule="auto"/>
        <w:rPr>
          <w:rFonts w:ascii="Arial" w:hAnsi="Arial" w:cs="Arial"/>
          <w:b/>
          <w:bCs/>
          <w:color w:val="0D78CA" w:themeColor="background2" w:themeShade="80"/>
          <w:sz w:val="28"/>
          <w:szCs w:val="28"/>
        </w:rPr>
      </w:pPr>
    </w:p>
    <w:p w14:paraId="734B8460" w14:textId="77777777" w:rsidR="003021D0" w:rsidRDefault="003021D0">
      <w:pPr>
        <w:spacing w:after="160" w:line="259" w:lineRule="auto"/>
        <w:rPr>
          <w:rFonts w:ascii="Arial" w:hAnsi="Arial" w:cs="Arial"/>
          <w:b/>
          <w:bCs/>
          <w:color w:val="0D78CA" w:themeColor="background2" w:themeShade="80"/>
          <w:sz w:val="28"/>
          <w:szCs w:val="28"/>
        </w:rPr>
      </w:pPr>
    </w:p>
    <w:p w14:paraId="20A4A61D" w14:textId="77777777" w:rsidR="003021D0" w:rsidRDefault="003021D0">
      <w:pPr>
        <w:spacing w:after="160" w:line="259" w:lineRule="auto"/>
        <w:rPr>
          <w:rFonts w:ascii="Arial" w:hAnsi="Arial" w:cs="Arial"/>
          <w:b/>
          <w:bCs/>
          <w:color w:val="0D78CA" w:themeColor="background2" w:themeShade="80"/>
          <w:sz w:val="28"/>
          <w:szCs w:val="28"/>
        </w:rPr>
      </w:pPr>
    </w:p>
    <w:p w14:paraId="4F6AEF78" w14:textId="77777777" w:rsidR="003021D0" w:rsidRDefault="003021D0">
      <w:pPr>
        <w:spacing w:after="160" w:line="259" w:lineRule="auto"/>
        <w:rPr>
          <w:rFonts w:ascii="Arial" w:hAnsi="Arial" w:cs="Arial"/>
          <w:b/>
          <w:bCs/>
          <w:color w:val="0D78CA" w:themeColor="background2" w:themeShade="80"/>
          <w:sz w:val="28"/>
          <w:szCs w:val="28"/>
        </w:rPr>
      </w:pPr>
    </w:p>
    <w:p w14:paraId="300AA930" w14:textId="77777777" w:rsidR="001D3531" w:rsidRDefault="001D3531">
      <w:pPr>
        <w:spacing w:after="160" w:line="259" w:lineRule="auto"/>
        <w:rPr>
          <w:rFonts w:ascii="Arial" w:hAnsi="Arial" w:cs="Arial"/>
          <w:b/>
          <w:bCs/>
          <w:color w:val="0D78CA" w:themeColor="background2" w:themeShade="80"/>
          <w:sz w:val="28"/>
          <w:szCs w:val="28"/>
        </w:rPr>
        <w:sectPr w:rsidR="001D3531" w:rsidSect="00BE55AC">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pgNumType w:fmt="lowerRoman"/>
          <w:cols w:space="708"/>
          <w:titlePg/>
          <w:docGrid w:linePitch="360"/>
        </w:sectPr>
      </w:pPr>
    </w:p>
    <w:p w14:paraId="274A12BB" w14:textId="2A3BB16F" w:rsidR="002168C8" w:rsidRPr="003E0592" w:rsidRDefault="00031B05" w:rsidP="00A5602E">
      <w:pPr>
        <w:pStyle w:val="Ttulo1"/>
        <w:numPr>
          <w:ilvl w:val="0"/>
          <w:numId w:val="0"/>
        </w:numPr>
        <w:rPr>
          <w:rFonts w:ascii="Arial" w:hAnsi="Arial" w:cs="Arial"/>
          <w:b/>
          <w:bCs/>
          <w:color w:val="auto"/>
          <w:sz w:val="28"/>
          <w:szCs w:val="28"/>
        </w:rPr>
      </w:pPr>
      <w:bookmarkStart w:id="1" w:name="_Toc236232331"/>
      <w:r w:rsidRPr="003E0592">
        <w:rPr>
          <w:rFonts w:ascii="Arial" w:hAnsi="Arial" w:cs="Arial"/>
          <w:b/>
          <w:bCs/>
          <w:color w:val="auto"/>
          <w:sz w:val="28"/>
          <w:szCs w:val="28"/>
        </w:rPr>
        <w:lastRenderedPageBreak/>
        <w:t>CAP</w:t>
      </w:r>
      <w:r w:rsidR="00FD712C" w:rsidRPr="003E0592">
        <w:rPr>
          <w:rFonts w:ascii="Arial" w:hAnsi="Arial" w:cs="Arial"/>
          <w:b/>
          <w:bCs/>
          <w:color w:val="auto"/>
          <w:sz w:val="28"/>
          <w:szCs w:val="28"/>
        </w:rPr>
        <w:t>Í</w:t>
      </w:r>
      <w:r w:rsidRPr="003E0592">
        <w:rPr>
          <w:rFonts w:ascii="Arial" w:hAnsi="Arial" w:cs="Arial"/>
          <w:b/>
          <w:bCs/>
          <w:color w:val="auto"/>
          <w:sz w:val="28"/>
          <w:szCs w:val="28"/>
        </w:rPr>
        <w:t>TULO 1</w:t>
      </w:r>
      <w:r w:rsidR="00A5602E">
        <w:rPr>
          <w:rFonts w:ascii="Arial" w:hAnsi="Arial" w:cs="Arial"/>
          <w:b/>
          <w:bCs/>
          <w:color w:val="auto"/>
          <w:sz w:val="28"/>
          <w:szCs w:val="28"/>
        </w:rPr>
        <w:t>: CONTEXTO GENERAL DE LA INVESTIGACIÓN Y PROBLEMATIZACIÓN</w:t>
      </w:r>
      <w:bookmarkEnd w:id="1"/>
      <w:r w:rsidR="00A5602E">
        <w:rPr>
          <w:rFonts w:ascii="Arial" w:hAnsi="Arial" w:cs="Arial"/>
          <w:b/>
          <w:bCs/>
          <w:color w:val="auto"/>
          <w:sz w:val="28"/>
          <w:szCs w:val="28"/>
        </w:rPr>
        <w:t xml:space="preserve"> </w:t>
      </w:r>
    </w:p>
    <w:p w14:paraId="5FBD692C" w14:textId="77777777" w:rsidR="002168C8" w:rsidRPr="003E0592" w:rsidRDefault="002168C8" w:rsidP="002168C8">
      <w:pPr>
        <w:spacing w:line="360" w:lineRule="auto"/>
        <w:rPr>
          <w:rFonts w:ascii="Arial" w:hAnsi="Arial" w:cs="Arial"/>
        </w:rPr>
      </w:pPr>
    </w:p>
    <w:p w14:paraId="0078A3A4" w14:textId="494C8449" w:rsidR="002168C8" w:rsidRPr="00DE25FA" w:rsidRDefault="002168C8">
      <w:pPr>
        <w:pStyle w:val="Ttulo2"/>
        <w:numPr>
          <w:ilvl w:val="1"/>
          <w:numId w:val="19"/>
        </w:numPr>
        <w:spacing w:line="360" w:lineRule="auto"/>
        <w:rPr>
          <w:rFonts w:ascii="Arial" w:hAnsi="Arial" w:cs="Arial"/>
          <w:color w:val="auto"/>
          <w:sz w:val="28"/>
          <w:szCs w:val="28"/>
        </w:rPr>
      </w:pPr>
      <w:bookmarkStart w:id="2" w:name="_Toc145385801"/>
      <w:bookmarkStart w:id="3" w:name="_Toc236232332"/>
      <w:r w:rsidRPr="00DE25FA">
        <w:rPr>
          <w:rFonts w:ascii="Arial" w:hAnsi="Arial" w:cs="Arial"/>
          <w:color w:val="auto"/>
          <w:sz w:val="28"/>
          <w:szCs w:val="28"/>
        </w:rPr>
        <w:t>Antecedentes</w:t>
      </w:r>
      <w:bookmarkEnd w:id="2"/>
      <w:bookmarkEnd w:id="3"/>
    </w:p>
    <w:p w14:paraId="2F2A7836" w14:textId="77777777" w:rsidR="002168C8" w:rsidRPr="003E0592" w:rsidRDefault="002168C8" w:rsidP="002168C8">
      <w:pPr>
        <w:spacing w:line="360" w:lineRule="auto"/>
        <w:rPr>
          <w:rFonts w:ascii="Arial" w:hAnsi="Arial" w:cs="Arial"/>
        </w:rPr>
      </w:pPr>
    </w:p>
    <w:p w14:paraId="0B527ADA" w14:textId="7702FA41" w:rsidR="002168C8" w:rsidRPr="00952455" w:rsidRDefault="002168C8" w:rsidP="002168C8">
      <w:pPr>
        <w:spacing w:after="240" w:line="360" w:lineRule="auto"/>
        <w:jc w:val="both"/>
        <w:rPr>
          <w:rFonts w:ascii="Arial" w:hAnsi="Arial" w:cs="Arial"/>
          <w:color w:val="0D0D0D" w:themeColor="text1" w:themeTint="F2"/>
          <w:lang w:val="es-MX"/>
        </w:rPr>
      </w:pPr>
      <w:r w:rsidRPr="00CA61A6">
        <w:rPr>
          <w:rFonts w:ascii="Arial" w:hAnsi="Arial" w:cs="Arial"/>
          <w:color w:val="000000" w:themeColor="text1"/>
          <w:lang w:val="es-MX"/>
        </w:rPr>
        <w:t>Los acuerdos comerciales son parte sustancial del libre comercio</w:t>
      </w:r>
      <w:r w:rsidR="00B81E57" w:rsidRPr="00CA61A6">
        <w:rPr>
          <w:rFonts w:ascii="Arial" w:hAnsi="Arial" w:cs="Arial"/>
          <w:color w:val="000000" w:themeColor="text1"/>
          <w:lang w:val="es-MX"/>
        </w:rPr>
        <w:t xml:space="preserve"> </w:t>
      </w:r>
      <w:r w:rsidR="00B81E57" w:rsidRPr="00CA61A6">
        <w:rPr>
          <w:rFonts w:ascii="Arial" w:hAnsi="Arial" w:cs="Arial"/>
          <w:color w:val="000000" w:themeColor="text1"/>
          <w:lang w:val="es-MX"/>
        </w:rPr>
        <w:fldChar w:fldCharType="begin"/>
      </w:r>
      <w:r w:rsidR="00A42206" w:rsidRPr="00CA61A6">
        <w:rPr>
          <w:rFonts w:ascii="Arial" w:hAnsi="Arial" w:cs="Arial"/>
          <w:color w:val="000000" w:themeColor="text1"/>
          <w:lang w:val="es-MX"/>
        </w:rPr>
        <w:instrText xml:space="preserve"> ADDIN ZOTERO_ITEM CSL_CITATION {"citationID":"JN0OUfGH","properties":{"formattedCitation":"(Trejos, 2009)","plainCitation":"(Trejos, 2009)","noteIndex":0},"citationItems":[{"id":53,"uris":["http://zotero.org/users/10063313/items/M22TC7J5"],"itemData":{"id":53,"type":"chapter","container-title":"Comisión Económica para América Latina y el Caribe (CEPAL","language":"es","title":"Instrumentos para la evaluación del impacto de acuerdos comerciales internacionales: aplicaciones para países pequeños en América Latina","author":[{"family":"Trejos","given":"A"}],"editor":[{"family":"México","given":"D F"}],"issued":{"date-parts":[["2009"]]}}}],"schema":"https://github.com/citation-style-language/schema/raw/master/csl-citation.json"} </w:instrText>
      </w:r>
      <w:r w:rsidR="00B81E57" w:rsidRPr="00CA61A6">
        <w:rPr>
          <w:rFonts w:ascii="Arial" w:hAnsi="Arial" w:cs="Arial"/>
          <w:color w:val="000000" w:themeColor="text1"/>
          <w:lang w:val="es-MX"/>
        </w:rPr>
        <w:fldChar w:fldCharType="separate"/>
      </w:r>
      <w:r w:rsidR="00B81E57" w:rsidRPr="00CA61A6">
        <w:rPr>
          <w:rFonts w:ascii="Arial" w:hAnsi="Arial" w:cs="Arial"/>
          <w:color w:val="000000" w:themeColor="text1"/>
        </w:rPr>
        <w:t>(Trejos, 2009)</w:t>
      </w:r>
      <w:r w:rsidR="00B81E57" w:rsidRPr="00CA61A6">
        <w:rPr>
          <w:rFonts w:ascii="Arial" w:hAnsi="Arial" w:cs="Arial"/>
          <w:color w:val="000000" w:themeColor="text1"/>
          <w:lang w:val="es-MX"/>
        </w:rPr>
        <w:fldChar w:fldCharType="end"/>
      </w:r>
      <w:r w:rsidRPr="00CA61A6">
        <w:rPr>
          <w:rFonts w:ascii="Arial" w:hAnsi="Arial" w:cs="Arial"/>
          <w:color w:val="000000" w:themeColor="text1"/>
          <w:lang w:val="es-MX"/>
        </w:rPr>
        <w:t xml:space="preserve">, </w:t>
      </w:r>
      <w:r w:rsidR="0098364E" w:rsidRPr="00CA61A6">
        <w:rPr>
          <w:rFonts w:ascii="Arial" w:hAnsi="Arial" w:cs="Arial"/>
          <w:color w:val="000000" w:themeColor="text1"/>
          <w:lang w:val="es-MX"/>
        </w:rPr>
        <w:t xml:space="preserve">ya que </w:t>
      </w:r>
      <w:r w:rsidRPr="00CA61A6">
        <w:rPr>
          <w:rFonts w:ascii="Arial" w:hAnsi="Arial" w:cs="Arial"/>
          <w:color w:val="000000" w:themeColor="text1"/>
          <w:lang w:val="es-MX"/>
        </w:rPr>
        <w:t>mediante estas herramientas los países pertenecientes al acuerdo son capaces de facilitar el comercio entre ellos, no solo en bienes y servicios, sino también</w:t>
      </w:r>
      <w:r w:rsidR="00131F1E" w:rsidRPr="00CA61A6">
        <w:rPr>
          <w:rFonts w:ascii="Arial" w:hAnsi="Arial" w:cs="Arial"/>
          <w:color w:val="000000" w:themeColor="text1"/>
          <w:lang w:val="es-MX"/>
        </w:rPr>
        <w:t xml:space="preserve"> </w:t>
      </w:r>
      <w:r w:rsidR="00822279">
        <w:rPr>
          <w:rFonts w:ascii="Arial" w:hAnsi="Arial" w:cs="Arial"/>
          <w:color w:val="000000" w:themeColor="text1"/>
          <w:lang w:val="es-MX"/>
        </w:rPr>
        <w:t xml:space="preserve">en </w:t>
      </w:r>
      <w:r w:rsidRPr="00CA61A6">
        <w:rPr>
          <w:rFonts w:ascii="Arial" w:hAnsi="Arial" w:cs="Arial"/>
          <w:color w:val="000000" w:themeColor="text1"/>
          <w:lang w:val="es-MX"/>
        </w:rPr>
        <w:t xml:space="preserve">elementos </w:t>
      </w:r>
      <w:r w:rsidR="00822279">
        <w:rPr>
          <w:rFonts w:ascii="Arial" w:hAnsi="Arial" w:cs="Arial"/>
          <w:color w:val="000000" w:themeColor="text1"/>
          <w:lang w:val="es-MX"/>
        </w:rPr>
        <w:t>como el</w:t>
      </w:r>
      <w:r w:rsidRPr="00CA61A6">
        <w:rPr>
          <w:rFonts w:ascii="Arial" w:hAnsi="Arial" w:cs="Arial"/>
          <w:color w:val="000000" w:themeColor="text1"/>
          <w:lang w:val="es-MX"/>
        </w:rPr>
        <w:t xml:space="preserve"> llamado know-how</w:t>
      </w:r>
      <w:r w:rsidR="00CA61A6" w:rsidRPr="00754B8E">
        <w:rPr>
          <w:rStyle w:val="Refdenotaalpie"/>
        </w:rPr>
        <w:footnoteReference w:id="3"/>
      </w:r>
      <w:r w:rsidR="001241C5">
        <w:rPr>
          <w:rFonts w:ascii="Arial" w:hAnsi="Arial" w:cs="Arial"/>
          <w:color w:val="000000" w:themeColor="text1"/>
          <w:lang w:val="es-MX"/>
        </w:rPr>
        <w:t xml:space="preserve">, </w:t>
      </w:r>
      <w:r w:rsidR="00D345EC">
        <w:rPr>
          <w:rFonts w:ascii="Arial" w:hAnsi="Arial" w:cs="Arial"/>
          <w:color w:val="000000" w:themeColor="text1"/>
          <w:lang w:val="es-MX"/>
        </w:rPr>
        <w:t>A</w:t>
      </w:r>
      <w:r w:rsidR="00D345EC">
        <w:rPr>
          <w:rFonts w:ascii="Arial" w:hAnsi="Arial" w:cs="Arial"/>
          <w:lang w:val="es-MX"/>
        </w:rPr>
        <w:t>simismo</w:t>
      </w:r>
      <w:r w:rsidR="00822279">
        <w:rPr>
          <w:rFonts w:ascii="Arial" w:hAnsi="Arial" w:cs="Arial"/>
          <w:lang w:val="es-MX"/>
        </w:rPr>
        <w:t>, estos</w:t>
      </w:r>
      <w:r w:rsidRPr="003E0592">
        <w:rPr>
          <w:rFonts w:ascii="Arial" w:hAnsi="Arial" w:cs="Arial"/>
          <w:lang w:val="es-MX"/>
        </w:rPr>
        <w:t xml:space="preserve"> acuerdos también </w:t>
      </w:r>
      <w:r w:rsidR="00745ECB">
        <w:rPr>
          <w:rFonts w:ascii="Arial" w:hAnsi="Arial" w:cs="Arial"/>
          <w:lang w:val="es-MX"/>
        </w:rPr>
        <w:t xml:space="preserve">propician </w:t>
      </w:r>
      <w:r w:rsidRPr="003E0592">
        <w:rPr>
          <w:rFonts w:ascii="Arial" w:hAnsi="Arial" w:cs="Arial"/>
          <w:lang w:val="es-MX"/>
        </w:rPr>
        <w:t xml:space="preserve">las condiciones para propiciar </w:t>
      </w:r>
      <w:r w:rsidRPr="00952455">
        <w:rPr>
          <w:rFonts w:ascii="Arial" w:hAnsi="Arial" w:cs="Arial"/>
          <w:color w:val="0D0D0D" w:themeColor="text1" w:themeTint="F2"/>
          <w:lang w:val="es-MX"/>
        </w:rPr>
        <w:t xml:space="preserve">la </w:t>
      </w:r>
      <w:r w:rsidR="00DF1C05" w:rsidRPr="00952455">
        <w:rPr>
          <w:rFonts w:ascii="Arial" w:hAnsi="Arial" w:cs="Arial"/>
          <w:color w:val="0D0D0D" w:themeColor="text1" w:themeTint="F2"/>
          <w:lang w:val="es-MX"/>
        </w:rPr>
        <w:t xml:space="preserve">atracción de </w:t>
      </w:r>
      <w:r w:rsidRPr="00952455">
        <w:rPr>
          <w:rFonts w:ascii="Arial" w:hAnsi="Arial" w:cs="Arial"/>
          <w:color w:val="0D0D0D" w:themeColor="text1" w:themeTint="F2"/>
          <w:lang w:val="es-MX"/>
        </w:rPr>
        <w:t>Inversión Extranjera Directa (IED)</w:t>
      </w:r>
      <w:r w:rsidR="00822279" w:rsidRPr="00952455">
        <w:rPr>
          <w:rFonts w:ascii="Arial" w:hAnsi="Arial" w:cs="Arial"/>
          <w:color w:val="0D0D0D" w:themeColor="text1" w:themeTint="F2"/>
          <w:lang w:val="es-MX"/>
        </w:rPr>
        <w:t xml:space="preserve">. </w:t>
      </w:r>
      <w:r w:rsidR="0089019E" w:rsidRPr="00952455">
        <w:rPr>
          <w:rFonts w:ascii="Arial" w:hAnsi="Arial" w:cs="Arial"/>
          <w:color w:val="0D0D0D" w:themeColor="text1" w:themeTint="F2"/>
          <w:lang w:val="es-MX"/>
        </w:rPr>
        <w:t xml:space="preserve"> </w:t>
      </w:r>
    </w:p>
    <w:p w14:paraId="763FA3E5" w14:textId="59E0FAF7" w:rsidR="00B81E57" w:rsidRPr="001241C5" w:rsidRDefault="00DF1C05" w:rsidP="002168C8">
      <w:pPr>
        <w:spacing w:after="240" w:line="360" w:lineRule="auto"/>
        <w:jc w:val="both"/>
        <w:rPr>
          <w:rFonts w:ascii="Arial" w:hAnsi="Arial" w:cs="Arial"/>
          <w:color w:val="000000" w:themeColor="text1"/>
          <w:lang w:val="es-MX"/>
        </w:rPr>
      </w:pPr>
      <w:r w:rsidRPr="00745ECB">
        <w:rPr>
          <w:rFonts w:ascii="Arial" w:hAnsi="Arial" w:cs="Arial"/>
          <w:color w:val="0D0D0D" w:themeColor="text1" w:themeTint="F2"/>
          <w:lang w:val="es-MX"/>
        </w:rPr>
        <w:t xml:space="preserve">Los </w:t>
      </w:r>
      <w:r w:rsidR="0098364E" w:rsidRPr="00745ECB">
        <w:rPr>
          <w:rFonts w:ascii="Arial" w:hAnsi="Arial" w:cs="Arial"/>
          <w:color w:val="0D0D0D" w:themeColor="text1" w:themeTint="F2"/>
          <w:lang w:val="es-MX"/>
        </w:rPr>
        <w:t xml:space="preserve">tratados </w:t>
      </w:r>
      <w:r w:rsidR="002168C8" w:rsidRPr="00745ECB">
        <w:rPr>
          <w:rFonts w:ascii="Arial" w:hAnsi="Arial" w:cs="Arial"/>
          <w:color w:val="0D0D0D" w:themeColor="text1" w:themeTint="F2"/>
          <w:lang w:val="es-MX"/>
        </w:rPr>
        <w:t>pueden incluir distint</w:t>
      </w:r>
      <w:r w:rsidR="0098364E" w:rsidRPr="00745ECB">
        <w:rPr>
          <w:rFonts w:ascii="Arial" w:hAnsi="Arial" w:cs="Arial"/>
          <w:color w:val="0D0D0D" w:themeColor="text1" w:themeTint="F2"/>
          <w:lang w:val="es-MX"/>
        </w:rPr>
        <w:t>o</w:t>
      </w:r>
      <w:r w:rsidR="002168C8" w:rsidRPr="00745ECB">
        <w:rPr>
          <w:rFonts w:ascii="Arial" w:hAnsi="Arial" w:cs="Arial"/>
          <w:color w:val="0D0D0D" w:themeColor="text1" w:themeTint="F2"/>
          <w:lang w:val="es-MX"/>
        </w:rPr>
        <w:t xml:space="preserve">s </w:t>
      </w:r>
      <w:r w:rsidR="0098364E" w:rsidRPr="00745ECB">
        <w:rPr>
          <w:rFonts w:ascii="Arial" w:hAnsi="Arial" w:cs="Arial"/>
          <w:color w:val="0D0D0D" w:themeColor="text1" w:themeTint="F2"/>
          <w:lang w:val="es-MX"/>
        </w:rPr>
        <w:t>componentes</w:t>
      </w:r>
      <w:r w:rsidR="002168C8" w:rsidRPr="00745ECB">
        <w:rPr>
          <w:rFonts w:ascii="Arial" w:hAnsi="Arial" w:cs="Arial"/>
          <w:color w:val="0D0D0D" w:themeColor="text1" w:themeTint="F2"/>
          <w:lang w:val="es-MX"/>
        </w:rPr>
        <w:t>, entre los más comunes están la eliminación de aranceles</w:t>
      </w:r>
      <w:r w:rsidR="00745ECB" w:rsidRPr="00745ECB">
        <w:rPr>
          <w:rFonts w:ascii="Arial" w:hAnsi="Arial" w:cs="Arial"/>
          <w:color w:val="0D0D0D" w:themeColor="text1" w:themeTint="F2"/>
        </w:rPr>
        <w:t>, medidas no arancelarias, normas técnicas al comercio</w:t>
      </w:r>
      <w:r w:rsidR="00D345EC">
        <w:rPr>
          <w:rFonts w:ascii="Arial" w:hAnsi="Arial" w:cs="Arial"/>
          <w:color w:val="0D0D0D" w:themeColor="text1" w:themeTint="F2"/>
        </w:rPr>
        <w:t>,</w:t>
      </w:r>
      <w:r w:rsidR="00745ECB" w:rsidRPr="00745ECB">
        <w:rPr>
          <w:rFonts w:ascii="Arial" w:hAnsi="Arial" w:cs="Arial"/>
          <w:color w:val="0D0D0D" w:themeColor="text1" w:themeTint="F2"/>
        </w:rPr>
        <w:t xml:space="preserve"> acuerdos sobre la propiedad intelectual e inversión, entre otros, siendo el principal objetivo</w:t>
      </w:r>
      <w:r w:rsidR="00745ECB" w:rsidRPr="00745ECB">
        <w:rPr>
          <w:rFonts w:ascii="Arial" w:hAnsi="Arial" w:cs="Arial"/>
          <w:color w:val="0D0D0D" w:themeColor="text1" w:themeTint="F2"/>
          <w:lang w:val="es-MX"/>
        </w:rPr>
        <w:t xml:space="preserve"> </w:t>
      </w:r>
      <w:r w:rsidR="002168C8" w:rsidRPr="00745ECB">
        <w:rPr>
          <w:rFonts w:ascii="Arial" w:hAnsi="Arial" w:cs="Arial"/>
          <w:color w:val="0D0D0D" w:themeColor="text1" w:themeTint="F2"/>
          <w:lang w:val="es-MX"/>
        </w:rPr>
        <w:t xml:space="preserve">“establecer reglas comunes para normar la relación comercian entre ellos (los </w:t>
      </w:r>
      <w:r w:rsidR="002168C8" w:rsidRPr="001241C5">
        <w:rPr>
          <w:rFonts w:ascii="Arial" w:hAnsi="Arial" w:cs="Arial"/>
          <w:color w:val="000000" w:themeColor="text1"/>
          <w:lang w:val="es-MX"/>
        </w:rPr>
        <w:t xml:space="preserve">países involucrados)” </w:t>
      </w:r>
      <w:r w:rsidR="00B81E57" w:rsidRPr="001241C5">
        <w:rPr>
          <w:rFonts w:ascii="Arial" w:hAnsi="Arial" w:cs="Arial"/>
          <w:color w:val="000000" w:themeColor="text1"/>
          <w:lang w:val="es-MX"/>
        </w:rPr>
        <w:fldChar w:fldCharType="begin"/>
      </w:r>
      <w:r w:rsidR="00A42206" w:rsidRPr="001241C5">
        <w:rPr>
          <w:rFonts w:ascii="Arial" w:hAnsi="Arial" w:cs="Arial"/>
          <w:color w:val="000000" w:themeColor="text1"/>
          <w:lang w:val="es-MX"/>
        </w:rPr>
        <w:instrText xml:space="preserve"> ADDIN ZOTERO_ITEM CSL_CITATION {"citationID":"s7xQ8rgE","properties":{"formattedCitation":"(Ministerio de Comercio Exterior de Costa Rica (COMEX), 2003)","plainCitation":"(Ministerio de Comercio Exterior de Costa Rica (COMEX), 2003)","noteIndex":0},"citationItems":[{"id":32,"uris":["http://zotero.org/users/10063313/items/RW5HL6G5"],"itemData":{"id":32,"type":"document","language":"es","note":"publisher-place: San José, Costa Rica","title":"Tratado de Libre Comercio entre Centroamérica y Estados","author":[{"literal":"Ministerio de Comercio Exterior de Costa Rica (COMEX)"}],"issued":{"date-parts":[["2003"]]}}}],"schema":"https://github.com/citation-style-language/schema/raw/master/csl-citation.json"} </w:instrText>
      </w:r>
      <w:r w:rsidR="00B81E57" w:rsidRPr="001241C5">
        <w:rPr>
          <w:rFonts w:ascii="Arial" w:hAnsi="Arial" w:cs="Arial"/>
          <w:color w:val="000000" w:themeColor="text1"/>
          <w:lang w:val="es-MX"/>
        </w:rPr>
        <w:fldChar w:fldCharType="separate"/>
      </w:r>
      <w:r w:rsidR="00B81E57" w:rsidRPr="001241C5">
        <w:rPr>
          <w:rFonts w:ascii="Arial" w:hAnsi="Arial" w:cs="Arial"/>
          <w:color w:val="000000" w:themeColor="text1"/>
        </w:rPr>
        <w:t>(Ministerio de Comercio Exterior de Costa Rica (COMEX), 2003)</w:t>
      </w:r>
      <w:r w:rsidR="00B81E57" w:rsidRPr="001241C5">
        <w:rPr>
          <w:rFonts w:ascii="Arial" w:hAnsi="Arial" w:cs="Arial"/>
          <w:color w:val="000000" w:themeColor="text1"/>
          <w:lang w:val="es-MX"/>
        </w:rPr>
        <w:fldChar w:fldCharType="end"/>
      </w:r>
      <w:r w:rsidR="00B81E57" w:rsidRPr="001241C5">
        <w:rPr>
          <w:rFonts w:ascii="Arial" w:hAnsi="Arial" w:cs="Arial"/>
          <w:color w:val="000000" w:themeColor="text1"/>
          <w:lang w:val="es-MX"/>
        </w:rPr>
        <w:t xml:space="preserve">. </w:t>
      </w:r>
    </w:p>
    <w:p w14:paraId="212F2A1A" w14:textId="6598522E" w:rsidR="0022519B" w:rsidRDefault="001705E9" w:rsidP="00D345EC">
      <w:pPr>
        <w:spacing w:after="240" w:line="360" w:lineRule="auto"/>
        <w:jc w:val="both"/>
        <w:rPr>
          <w:rFonts w:ascii="Arial" w:hAnsi="Arial" w:cs="Arial"/>
          <w:color w:val="568D11" w:themeColor="accent3" w:themeShade="80"/>
          <w:lang w:val="es-MX"/>
        </w:rPr>
      </w:pPr>
      <w:r w:rsidRPr="003E0592">
        <w:rPr>
          <w:rFonts w:ascii="Arial" w:hAnsi="Arial" w:cs="Arial"/>
          <w:lang w:val="es-MX"/>
        </w:rPr>
        <w:t xml:space="preserve">El comercio internacional se ha dinamizado exponencialmente durante las últimas décadas y con ello, cada vez más países se </w:t>
      </w:r>
      <w:r w:rsidR="0089019E">
        <w:rPr>
          <w:rFonts w:ascii="Arial" w:hAnsi="Arial" w:cs="Arial"/>
          <w:lang w:val="es-MX"/>
        </w:rPr>
        <w:t>adhieren</w:t>
      </w:r>
      <w:r w:rsidRPr="003E0592">
        <w:rPr>
          <w:rFonts w:ascii="Arial" w:hAnsi="Arial" w:cs="Arial"/>
          <w:lang w:val="es-MX"/>
        </w:rPr>
        <w:t xml:space="preserve"> a organizaciones y acuerdos que faciliten estas transacciones. Para Trejos </w:t>
      </w:r>
      <w:r w:rsidRPr="003E0592">
        <w:rPr>
          <w:rFonts w:ascii="Arial" w:hAnsi="Arial" w:cs="Arial"/>
          <w:lang w:val="es-MX"/>
        </w:rPr>
        <w:fldChar w:fldCharType="begin"/>
      </w:r>
      <w:r w:rsidR="00A42206">
        <w:rPr>
          <w:rFonts w:ascii="Arial" w:hAnsi="Arial" w:cs="Arial"/>
          <w:lang w:val="es-MX"/>
        </w:rPr>
        <w:instrText xml:space="preserve"> ADDIN ZOTERO_ITEM CSL_CITATION {"citationID":"2ilas9Ym","properties":{"formattedCitation":"(Trejos, 2009)","plainCitation":"(Trejos, 2009)","dontUpdate":true,"noteIndex":0},"citationItems":[{"id":53,"uris":["http://zotero.org/users/10063313/items/M22TC7J5"],"itemData":{"id":53,"type":"chapter","container-title":"Comisión Económica para América Latina y el Caribe (CEPAL","language":"es","title":"Instrumentos para la evaluación del impacto de acuerdos comerciales internacionales: aplicaciones para países pequeños en América Latina","author":[{"family":"Trejos","given":"A"}],"editor":[{"family":"México","given":"D F"}],"issued":{"date-parts":[["2009"]]}}}],"schema":"https://github.com/citation-style-language/schema/raw/master/csl-citation.json"} </w:instrText>
      </w:r>
      <w:r w:rsidRPr="003E0592">
        <w:rPr>
          <w:rFonts w:ascii="Arial" w:hAnsi="Arial" w:cs="Arial"/>
          <w:lang w:val="es-MX"/>
        </w:rPr>
        <w:fldChar w:fldCharType="separate"/>
      </w:r>
      <w:r w:rsidRPr="003E0592">
        <w:rPr>
          <w:rFonts w:ascii="Arial" w:hAnsi="Arial" w:cs="Arial"/>
        </w:rPr>
        <w:t>(2009)</w:t>
      </w:r>
      <w:r w:rsidRPr="003E0592">
        <w:rPr>
          <w:rFonts w:ascii="Arial" w:hAnsi="Arial" w:cs="Arial"/>
          <w:lang w:val="es-MX"/>
        </w:rPr>
        <w:fldChar w:fldCharType="end"/>
      </w:r>
      <w:r w:rsidRPr="003E0592">
        <w:rPr>
          <w:rFonts w:ascii="Arial" w:hAnsi="Arial" w:cs="Arial"/>
          <w:lang w:val="es-MX"/>
        </w:rPr>
        <w:t>, el comercio internacional es vital para la expansión económica de los países en desarrollo, lo cual mejora la calidad de vida de sus habitantes</w:t>
      </w:r>
      <w:r w:rsidR="00D345EC">
        <w:rPr>
          <w:rFonts w:ascii="Arial" w:hAnsi="Arial" w:cs="Arial"/>
          <w:lang w:val="es-MX"/>
        </w:rPr>
        <w:t>. E</w:t>
      </w:r>
      <w:r w:rsidRPr="003E0592">
        <w:rPr>
          <w:rFonts w:ascii="Arial" w:hAnsi="Arial" w:cs="Arial"/>
          <w:lang w:val="es-MX"/>
        </w:rPr>
        <w:t xml:space="preserve">s por ello que los países en desarrollo no pueden perder la oportunidad que el comercio exterior ofrece para </w:t>
      </w:r>
      <w:r w:rsidR="0089019E" w:rsidRPr="0089019E">
        <w:rPr>
          <w:rFonts w:ascii="Arial" w:hAnsi="Arial" w:cs="Arial"/>
          <w:lang w:val="es-MX"/>
        </w:rPr>
        <w:t xml:space="preserve">potenciar </w:t>
      </w:r>
      <w:r w:rsidRPr="003E0592">
        <w:rPr>
          <w:rFonts w:ascii="Arial" w:hAnsi="Arial" w:cs="Arial"/>
          <w:lang w:val="es-MX"/>
        </w:rPr>
        <w:t>su crecimiento económico.</w:t>
      </w:r>
      <w:r w:rsidR="00D345EC">
        <w:rPr>
          <w:rFonts w:ascii="Arial" w:hAnsi="Arial" w:cs="Arial"/>
          <w:lang w:val="es-MX"/>
        </w:rPr>
        <w:t xml:space="preserve"> De igual manera, aunque la </w:t>
      </w:r>
      <w:r w:rsidRPr="003E0592">
        <w:rPr>
          <w:rFonts w:ascii="Arial" w:hAnsi="Arial" w:cs="Arial"/>
          <w:lang w:val="es-MX"/>
        </w:rPr>
        <w:t xml:space="preserve">IED puede </w:t>
      </w:r>
      <w:r w:rsidR="00D345EC">
        <w:rPr>
          <w:rFonts w:ascii="Arial" w:hAnsi="Arial" w:cs="Arial"/>
          <w:lang w:val="es-MX"/>
        </w:rPr>
        <w:t xml:space="preserve">derivarse de los TLC y </w:t>
      </w:r>
      <w:r w:rsidRPr="003E0592">
        <w:rPr>
          <w:rFonts w:ascii="Arial" w:hAnsi="Arial" w:cs="Arial"/>
          <w:lang w:val="es-MX"/>
        </w:rPr>
        <w:t xml:space="preserve">brindar ciertos beneficios, su contribución al desarrollo y al derrame tecnológico es mínima </w:t>
      </w:r>
      <w:r w:rsidRPr="003E0592">
        <w:rPr>
          <w:rFonts w:ascii="Arial" w:hAnsi="Arial" w:cs="Arial"/>
          <w:lang w:val="es-MX"/>
        </w:rPr>
        <w:fldChar w:fldCharType="begin"/>
      </w:r>
      <w:r w:rsidR="00A42206">
        <w:rPr>
          <w:rFonts w:ascii="Arial" w:hAnsi="Arial" w:cs="Arial"/>
          <w:lang w:val="es-MX"/>
        </w:rPr>
        <w:instrText xml:space="preserve"> ADDIN ZOTERO_ITEM CSL_CITATION {"citationID":"LxG8bdAb","properties":{"formattedCitation":"(Ba\\uc0\\u241{}os, 2015)","plainCitation":"(Baños, 2015)","noteIndex":0},"citationItems":[{"id":16,"uris":["http://zotero.org/users/10063313/items/ATGMEB27"],"itemData":{"id":16,"type":"article-journal","container-title":"Mundo Siglo XXI","issue":"37","page":"51-61","title":"La falacia de la transferencia tecnológica vía Inversión Extranjera Directa: explorando las oportunidades de desarrollo para América Latina","volume":"XI","author":[{"family":"Baños","given":"Mara Rosas"}],"issued":{"date-parts":[["2015"]]}}}],"schema":"https://github.com/citation-style-language/schema/raw/master/csl-citation.json"} </w:instrText>
      </w:r>
      <w:r w:rsidRPr="003E0592">
        <w:rPr>
          <w:rFonts w:ascii="Arial" w:hAnsi="Arial" w:cs="Arial"/>
          <w:lang w:val="es-MX"/>
        </w:rPr>
        <w:fldChar w:fldCharType="separate"/>
      </w:r>
      <w:r w:rsidRPr="003E0592">
        <w:rPr>
          <w:rFonts w:ascii="Arial" w:hAnsi="Arial" w:cs="Arial"/>
        </w:rPr>
        <w:t>(Baños, 2015)</w:t>
      </w:r>
      <w:r w:rsidRPr="003E0592">
        <w:rPr>
          <w:rFonts w:ascii="Arial" w:hAnsi="Arial" w:cs="Arial"/>
          <w:lang w:val="es-MX"/>
        </w:rPr>
        <w:fldChar w:fldCharType="end"/>
      </w:r>
      <w:r w:rsidRPr="003E0592">
        <w:rPr>
          <w:rFonts w:ascii="Arial" w:hAnsi="Arial" w:cs="Arial"/>
          <w:color w:val="000000"/>
          <w:lang w:val="es-MX"/>
        </w:rPr>
        <w:t xml:space="preserve"> </w:t>
      </w:r>
      <w:r w:rsidRPr="003E0592">
        <w:rPr>
          <w:rFonts w:ascii="Arial" w:hAnsi="Arial" w:cs="Arial"/>
          <w:lang w:val="es-MX"/>
        </w:rPr>
        <w:t>en comparación con el impacto significativo que el comercio puede lograr.</w:t>
      </w:r>
      <w:r w:rsidR="00834AC7">
        <w:rPr>
          <w:rFonts w:ascii="Arial" w:hAnsi="Arial" w:cs="Arial"/>
          <w:lang w:val="es-MX"/>
        </w:rPr>
        <w:t xml:space="preserve"> </w:t>
      </w:r>
      <w:r w:rsidR="0022519B">
        <w:rPr>
          <w:rFonts w:ascii="Arial" w:hAnsi="Arial" w:cs="Arial"/>
          <w:color w:val="568D11" w:themeColor="accent3" w:themeShade="80"/>
          <w:lang w:val="es-MX"/>
        </w:rPr>
        <w:t xml:space="preserve"> </w:t>
      </w:r>
      <w:r w:rsidR="00834AC7">
        <w:rPr>
          <w:rFonts w:ascii="Arial" w:hAnsi="Arial" w:cs="Arial"/>
          <w:color w:val="568D11" w:themeColor="accent3" w:themeShade="80"/>
          <w:lang w:val="es-MX"/>
        </w:rPr>
        <w:t xml:space="preserve"> </w:t>
      </w:r>
    </w:p>
    <w:p w14:paraId="3DA5D94B" w14:textId="56B8B45B" w:rsidR="0098364E" w:rsidRPr="0022519B" w:rsidRDefault="002168C8" w:rsidP="00A91C46">
      <w:pPr>
        <w:spacing w:after="240" w:line="360" w:lineRule="auto"/>
        <w:jc w:val="both"/>
        <w:rPr>
          <w:rFonts w:ascii="Arial" w:hAnsi="Arial" w:cs="Arial"/>
          <w:color w:val="568D11" w:themeColor="accent3" w:themeShade="80"/>
          <w:lang w:val="es-MX"/>
        </w:rPr>
      </w:pPr>
      <w:r w:rsidRPr="003E0592">
        <w:rPr>
          <w:rFonts w:ascii="Arial" w:hAnsi="Arial" w:cs="Arial"/>
          <w:lang w:val="es-MX"/>
        </w:rPr>
        <w:t>La relación comercial de la región latinoamericana con otros países ha crecido en los últimos 20 años</w:t>
      </w:r>
      <w:r w:rsidR="00B81E57" w:rsidRPr="003E0592">
        <w:rPr>
          <w:rFonts w:ascii="Arial" w:hAnsi="Arial" w:cs="Arial"/>
          <w:lang w:val="es-MX"/>
        </w:rPr>
        <w:t xml:space="preserve"> </w:t>
      </w:r>
      <w:r w:rsidR="00B81E57" w:rsidRPr="003E0592">
        <w:rPr>
          <w:rFonts w:ascii="Arial" w:hAnsi="Arial" w:cs="Arial"/>
          <w:lang w:val="es-MX"/>
        </w:rPr>
        <w:fldChar w:fldCharType="begin"/>
      </w:r>
      <w:r w:rsidR="00F21B5B">
        <w:rPr>
          <w:rFonts w:ascii="Arial" w:hAnsi="Arial" w:cs="Arial"/>
          <w:lang w:val="es-MX"/>
        </w:rPr>
        <w:instrText xml:space="preserve"> ADDIN ZOTERO_ITEM CSL_CITATION {"citationID":"hn4g9QI7","properties":{"formattedCitation":"(OMC, 2024)","plainCitation":"(OMC, 2024)","noteIndex":0},"citationItems":[{"id":20,"uris":["http://zotero.org/users/10063313/items/MSRRIBIH"],"itemData":{"id":20,"type":"report","title":"Regional Trade Agreements Database","author":[{"literal":"OMC"}],"issued":{"date-parts":[["2024"]]}}}],"schema":"https://github.com/citation-style-language/schema/raw/master/csl-citation.json"} </w:instrText>
      </w:r>
      <w:r w:rsidR="00B81E57" w:rsidRPr="003E0592">
        <w:rPr>
          <w:rFonts w:ascii="Arial" w:hAnsi="Arial" w:cs="Arial"/>
          <w:lang w:val="es-MX"/>
        </w:rPr>
        <w:fldChar w:fldCharType="separate"/>
      </w:r>
      <w:r w:rsidR="00F21B5B">
        <w:rPr>
          <w:rFonts w:ascii="Arial" w:hAnsi="Arial" w:cs="Arial"/>
        </w:rPr>
        <w:t>(OMC, 2024)</w:t>
      </w:r>
      <w:r w:rsidR="00B81E57" w:rsidRPr="003E0592">
        <w:rPr>
          <w:rFonts w:ascii="Arial" w:hAnsi="Arial" w:cs="Arial"/>
          <w:lang w:val="es-MX"/>
        </w:rPr>
        <w:fldChar w:fldCharType="end"/>
      </w:r>
      <w:r w:rsidR="00B81E57" w:rsidRPr="003E0592">
        <w:rPr>
          <w:rFonts w:ascii="Arial" w:hAnsi="Arial" w:cs="Arial"/>
          <w:lang w:val="es-MX"/>
        </w:rPr>
        <w:t>.</w:t>
      </w:r>
      <w:r w:rsidRPr="003E0592">
        <w:rPr>
          <w:rFonts w:ascii="Arial" w:hAnsi="Arial" w:cs="Arial"/>
          <w:color w:val="000000"/>
          <w:lang w:val="es-MX"/>
        </w:rPr>
        <w:t xml:space="preserve"> </w:t>
      </w:r>
      <w:r w:rsidRPr="00745ECB">
        <w:rPr>
          <w:rFonts w:ascii="Arial" w:hAnsi="Arial" w:cs="Arial"/>
          <w:color w:val="0D0D0D" w:themeColor="text1" w:themeTint="F2"/>
          <w:lang w:val="es-MX"/>
        </w:rPr>
        <w:t>Sin embargo, es hasta la</w:t>
      </w:r>
      <w:r w:rsidR="00DF1C05" w:rsidRPr="00745ECB">
        <w:rPr>
          <w:rFonts w:ascii="Arial" w:hAnsi="Arial" w:cs="Arial"/>
          <w:color w:val="0D0D0D" w:themeColor="text1" w:themeTint="F2"/>
          <w:lang w:val="es-MX"/>
        </w:rPr>
        <w:t>s</w:t>
      </w:r>
      <w:r w:rsidRPr="00745ECB">
        <w:rPr>
          <w:rFonts w:ascii="Arial" w:hAnsi="Arial" w:cs="Arial"/>
          <w:color w:val="0D0D0D" w:themeColor="text1" w:themeTint="F2"/>
          <w:lang w:val="es-MX"/>
        </w:rPr>
        <w:t xml:space="preserve"> última</w:t>
      </w:r>
      <w:r w:rsidR="00DF1C05" w:rsidRPr="00745ECB">
        <w:rPr>
          <w:rFonts w:ascii="Arial" w:hAnsi="Arial" w:cs="Arial"/>
          <w:color w:val="0D0D0D" w:themeColor="text1" w:themeTint="F2"/>
          <w:lang w:val="es-MX"/>
        </w:rPr>
        <w:t>s dos</w:t>
      </w:r>
      <w:r w:rsidRPr="00745ECB">
        <w:rPr>
          <w:rFonts w:ascii="Arial" w:hAnsi="Arial" w:cs="Arial"/>
          <w:color w:val="0D0D0D" w:themeColor="text1" w:themeTint="F2"/>
          <w:lang w:val="es-MX"/>
        </w:rPr>
        <w:t xml:space="preserve"> </w:t>
      </w:r>
      <w:r w:rsidR="001705E9" w:rsidRPr="00745ECB">
        <w:rPr>
          <w:rFonts w:ascii="Arial" w:hAnsi="Arial" w:cs="Arial"/>
          <w:color w:val="0D0D0D" w:themeColor="text1" w:themeTint="F2"/>
          <w:lang w:val="es-MX"/>
        </w:rPr>
        <w:lastRenderedPageBreak/>
        <w:t>década</w:t>
      </w:r>
      <w:r w:rsidR="00DF1C05" w:rsidRPr="00745ECB">
        <w:rPr>
          <w:rFonts w:ascii="Arial" w:hAnsi="Arial" w:cs="Arial"/>
          <w:color w:val="0D0D0D" w:themeColor="text1" w:themeTint="F2"/>
          <w:lang w:val="es-MX"/>
        </w:rPr>
        <w:t>s</w:t>
      </w:r>
      <w:r w:rsidR="001705E9" w:rsidRPr="00745ECB">
        <w:rPr>
          <w:rFonts w:ascii="Arial" w:hAnsi="Arial" w:cs="Arial"/>
          <w:color w:val="0D0D0D" w:themeColor="text1" w:themeTint="F2"/>
          <w:lang w:val="es-MX"/>
        </w:rPr>
        <w:t xml:space="preserve"> </w:t>
      </w:r>
      <w:r w:rsidRPr="00745ECB">
        <w:rPr>
          <w:rFonts w:ascii="Arial" w:hAnsi="Arial" w:cs="Arial"/>
          <w:color w:val="0D0D0D" w:themeColor="text1" w:themeTint="F2"/>
          <w:lang w:val="es-MX"/>
        </w:rPr>
        <w:t>qu</w:t>
      </w:r>
      <w:r w:rsidRPr="003E0592">
        <w:rPr>
          <w:rFonts w:ascii="Arial" w:hAnsi="Arial" w:cs="Arial"/>
          <w:color w:val="000000"/>
          <w:lang w:val="es-MX"/>
        </w:rPr>
        <w:t xml:space="preserve">e </w:t>
      </w:r>
      <w:r w:rsidRPr="001241C5">
        <w:rPr>
          <w:rFonts w:ascii="Arial" w:hAnsi="Arial" w:cs="Arial"/>
          <w:color w:val="000000" w:themeColor="text1"/>
          <w:lang w:val="es-MX"/>
        </w:rPr>
        <w:t xml:space="preserve">la República Popular de China ha puesto la mirada en la región y </w:t>
      </w:r>
      <w:r w:rsidRPr="00B06E77">
        <w:rPr>
          <w:rFonts w:ascii="Arial" w:hAnsi="Arial" w:cs="Arial"/>
          <w:color w:val="0D0D0D" w:themeColor="text1" w:themeTint="F2"/>
          <w:lang w:val="es-MX"/>
        </w:rPr>
        <w:t>ya ha concentrado sus esfuerzos en fortalecer la relación económica con varios países latinoamericanos</w:t>
      </w:r>
      <w:r w:rsidR="0098364E" w:rsidRPr="00B06E77">
        <w:rPr>
          <w:rFonts w:ascii="Arial" w:hAnsi="Arial" w:cs="Arial"/>
          <w:color w:val="0D0D0D" w:themeColor="text1" w:themeTint="F2"/>
          <w:lang w:val="es-MX"/>
        </w:rPr>
        <w:t xml:space="preserve">, lo cual es explicado por </w:t>
      </w:r>
      <w:r w:rsidR="0089019E" w:rsidRPr="00B06E77">
        <w:rPr>
          <w:rFonts w:ascii="Arial" w:hAnsi="Arial" w:cs="Arial"/>
          <w:color w:val="0D0D0D" w:themeColor="text1" w:themeTint="F2"/>
          <w:lang w:val="es-MX"/>
        </w:rPr>
        <w:t>diversas</w:t>
      </w:r>
      <w:r w:rsidR="0098364E" w:rsidRPr="00B06E77">
        <w:rPr>
          <w:rFonts w:ascii="Arial" w:hAnsi="Arial" w:cs="Arial"/>
          <w:color w:val="0D0D0D" w:themeColor="text1" w:themeTint="F2"/>
          <w:lang w:val="es-MX"/>
        </w:rPr>
        <w:t xml:space="preserve"> razones</w:t>
      </w:r>
      <w:r w:rsidR="00DF1C05" w:rsidRPr="00B06E77">
        <w:rPr>
          <w:rFonts w:ascii="Arial" w:hAnsi="Arial" w:cs="Arial"/>
          <w:color w:val="0D0D0D" w:themeColor="text1" w:themeTint="F2"/>
          <w:lang w:val="es-MX"/>
        </w:rPr>
        <w:t xml:space="preserve">, que requieren dimensionar primero </w:t>
      </w:r>
      <w:r w:rsidR="001705E9" w:rsidRPr="00B06E77">
        <w:rPr>
          <w:rFonts w:ascii="Arial" w:hAnsi="Arial" w:cs="Arial"/>
          <w:color w:val="0D0D0D" w:themeColor="text1" w:themeTint="F2"/>
          <w:lang w:val="es-MX"/>
        </w:rPr>
        <w:t xml:space="preserve">la situación aún existente </w:t>
      </w:r>
      <w:r w:rsidR="001705E9" w:rsidRPr="001241C5">
        <w:rPr>
          <w:rFonts w:ascii="Arial" w:hAnsi="Arial" w:cs="Arial"/>
          <w:color w:val="000000" w:themeColor="text1"/>
          <w:lang w:val="es-MX"/>
        </w:rPr>
        <w:t xml:space="preserve">entre China y Taiwán. </w:t>
      </w:r>
      <w:r w:rsidR="0098364E" w:rsidRPr="001241C5">
        <w:rPr>
          <w:rFonts w:ascii="Arial" w:hAnsi="Arial" w:cs="Arial"/>
          <w:color w:val="000000" w:themeColor="text1"/>
          <w:lang w:val="es-MX"/>
        </w:rPr>
        <w:t xml:space="preserve"> </w:t>
      </w:r>
    </w:p>
    <w:p w14:paraId="3C7364A4" w14:textId="3692DFFD" w:rsidR="00A91C46" w:rsidRPr="00B06E77" w:rsidRDefault="00A91C46" w:rsidP="00A91C46">
      <w:pPr>
        <w:spacing w:after="240" w:line="360" w:lineRule="auto"/>
        <w:jc w:val="both"/>
        <w:rPr>
          <w:rFonts w:ascii="Arial" w:hAnsi="Arial" w:cs="Arial"/>
          <w:color w:val="0D0D0D" w:themeColor="text1" w:themeTint="F2"/>
          <w:lang w:val="es-MX"/>
        </w:rPr>
      </w:pPr>
      <w:r w:rsidRPr="00B06E77">
        <w:rPr>
          <w:rFonts w:ascii="Arial" w:hAnsi="Arial" w:cs="Arial"/>
          <w:color w:val="0D0D0D" w:themeColor="text1" w:themeTint="F2"/>
          <w:lang w:val="es-MX"/>
        </w:rPr>
        <w:t xml:space="preserve">La separación de las dos chinas sucedió debido a diferencias ideológicas entre Chiang Kai-shek y Mao Tse Tung </w:t>
      </w:r>
      <w:r w:rsidRPr="00B06E77">
        <w:rPr>
          <w:rFonts w:ascii="Arial" w:hAnsi="Arial" w:cs="Arial"/>
          <w:color w:val="0D0D0D" w:themeColor="text1" w:themeTint="F2"/>
          <w:lang w:val="es-MX"/>
        </w:rPr>
        <w:fldChar w:fldCharType="begin"/>
      </w:r>
      <w:r w:rsidR="00A42206" w:rsidRPr="00B06E77">
        <w:rPr>
          <w:rFonts w:ascii="Arial" w:hAnsi="Arial" w:cs="Arial"/>
          <w:color w:val="0D0D0D" w:themeColor="text1" w:themeTint="F2"/>
          <w:lang w:val="es-MX"/>
        </w:rPr>
        <w:instrText xml:space="preserve"> ADDIN ZOTERO_ITEM CSL_CITATION {"citationID":"WFq8APgq","properties":{"formattedCitation":"(Pereira &amp; Ortega, 2021)","plainCitation":"(Pereira &amp; Ortega, 2021)","dontUpdate":true,"noteIndex":0},"citationItems":[{"id":30,"uris":["http://zotero.org/users/10063313/items/ID8S2DUJ"],"itemData":{"id":30,"type":"article-journal","container-title":"Saber, Ciencia Y Libertad En Germinación","page":"99-102","title":"El Origen del conflicto entre las dos chinas: China en Taiwan y Republica Popular China","author":[{"family":"Pereira","given":"Julian"},{"family":"Ortega","given":"Ana Carolina"}],"issued":{"date-parts":[["2021"]]}}}],"schema":"https://github.com/citation-style-language/schema/raw/master/csl-citation.json"} </w:instrText>
      </w:r>
      <w:r w:rsidRPr="00B06E77">
        <w:rPr>
          <w:rFonts w:ascii="Arial" w:hAnsi="Arial" w:cs="Arial"/>
          <w:color w:val="0D0D0D" w:themeColor="text1" w:themeTint="F2"/>
          <w:lang w:val="es-MX"/>
        </w:rPr>
        <w:fldChar w:fldCharType="separate"/>
      </w:r>
      <w:r w:rsidRPr="00B06E77">
        <w:rPr>
          <w:rFonts w:ascii="Arial" w:hAnsi="Arial" w:cs="Arial"/>
          <w:color w:val="0D0D0D" w:themeColor="text1" w:themeTint="F2"/>
        </w:rPr>
        <w:t>(Pereira et al., 2021)</w:t>
      </w:r>
      <w:r w:rsidRPr="00B06E77">
        <w:rPr>
          <w:rFonts w:ascii="Arial" w:hAnsi="Arial" w:cs="Arial"/>
          <w:color w:val="0D0D0D" w:themeColor="text1" w:themeTint="F2"/>
          <w:lang w:val="es-MX"/>
        </w:rPr>
        <w:fldChar w:fldCharType="end"/>
      </w:r>
      <w:r w:rsidRPr="00B06E77">
        <w:rPr>
          <w:rFonts w:ascii="Arial" w:hAnsi="Arial" w:cs="Arial"/>
          <w:color w:val="0D0D0D" w:themeColor="text1" w:themeTint="F2"/>
          <w:lang w:val="es-MX"/>
        </w:rPr>
        <w:t>,</w:t>
      </w:r>
      <w:r w:rsidR="0098364E" w:rsidRPr="00B06E77">
        <w:rPr>
          <w:rFonts w:ascii="Arial" w:hAnsi="Arial" w:cs="Arial"/>
          <w:color w:val="0D0D0D" w:themeColor="text1" w:themeTint="F2"/>
          <w:lang w:val="es-MX"/>
        </w:rPr>
        <w:t xml:space="preserve"> </w:t>
      </w:r>
      <w:r w:rsidR="00D345EC">
        <w:rPr>
          <w:rFonts w:ascii="Arial" w:hAnsi="Arial" w:cs="Arial"/>
          <w:color w:val="0D0D0D" w:themeColor="text1" w:themeTint="F2"/>
          <w:lang w:val="es-MX"/>
        </w:rPr>
        <w:t>división</w:t>
      </w:r>
      <w:r w:rsidRPr="00B06E77">
        <w:rPr>
          <w:rFonts w:ascii="Arial" w:hAnsi="Arial" w:cs="Arial"/>
          <w:color w:val="0D0D0D" w:themeColor="text1" w:themeTint="F2"/>
          <w:lang w:val="es-MX"/>
        </w:rPr>
        <w:t xml:space="preserve"> que se mantiene hasta el día de hoy.  A lo largo de los años, China ha obtenido reconocimiento internacional, el país </w:t>
      </w:r>
      <w:r w:rsidR="0098364E" w:rsidRPr="00B06E77">
        <w:rPr>
          <w:rFonts w:ascii="Arial" w:hAnsi="Arial" w:cs="Arial"/>
          <w:color w:val="0D0D0D" w:themeColor="text1" w:themeTint="F2"/>
          <w:lang w:val="es-MX"/>
        </w:rPr>
        <w:t xml:space="preserve">fue </w:t>
      </w:r>
      <w:r w:rsidRPr="00B06E77">
        <w:rPr>
          <w:rFonts w:ascii="Arial" w:hAnsi="Arial" w:cs="Arial"/>
          <w:color w:val="0D0D0D" w:themeColor="text1" w:themeTint="F2"/>
          <w:lang w:val="es-MX"/>
        </w:rPr>
        <w:t xml:space="preserve">aceptado en 1971 como representante del pueblo chino por la Organización de las Naciones Unidas (ONU) </w:t>
      </w:r>
      <w:r w:rsidRPr="00B06E77">
        <w:rPr>
          <w:rFonts w:ascii="Arial" w:hAnsi="Arial" w:cs="Arial"/>
          <w:color w:val="0D0D0D" w:themeColor="text1" w:themeTint="F2"/>
          <w:lang w:val="es-MX"/>
        </w:rPr>
        <w:fldChar w:fldCharType="begin"/>
      </w:r>
      <w:r w:rsidR="00A42206" w:rsidRPr="00B06E77">
        <w:rPr>
          <w:rFonts w:ascii="Arial" w:hAnsi="Arial" w:cs="Arial"/>
          <w:color w:val="0D0D0D" w:themeColor="text1" w:themeTint="F2"/>
          <w:lang w:val="es-MX"/>
        </w:rPr>
        <w:instrText xml:space="preserve"> ADDIN ZOTERO_ITEM CSL_CITATION {"citationID":"mQooL085","properties":{"formattedCitation":"(De Los Reyes, 1996)","plainCitation":"(De Los Reyes, 1996)","noteIndex":0},"citationItems":[{"id":40,"uris":["http://zotero.org/users/10063313/items/H6VH54YV"],"itemData":{"id":40,"type":"article-journal","container-title":"Revista de Relaciones Internacionales Nro","language":"es","title":"China y Taiwan. Hacia la Resolución del Conflicto","volume":"10","author":[{"family":"De Los Reyes","given":"M"}],"issued":{"date-parts":[["1996"]]}}}],"schema":"https://github.com/citation-style-language/schema/raw/master/csl-citation.json"} </w:instrText>
      </w:r>
      <w:r w:rsidRPr="00B06E77">
        <w:rPr>
          <w:rFonts w:ascii="Arial" w:hAnsi="Arial" w:cs="Arial"/>
          <w:color w:val="0D0D0D" w:themeColor="text1" w:themeTint="F2"/>
          <w:lang w:val="es-MX"/>
        </w:rPr>
        <w:fldChar w:fldCharType="separate"/>
      </w:r>
      <w:r w:rsidRPr="00B06E77">
        <w:rPr>
          <w:rFonts w:ascii="Arial" w:hAnsi="Arial" w:cs="Arial"/>
          <w:color w:val="0D0D0D" w:themeColor="text1" w:themeTint="F2"/>
        </w:rPr>
        <w:t>(De Los Reyes, 1996)</w:t>
      </w:r>
      <w:r w:rsidRPr="00B06E77">
        <w:rPr>
          <w:rFonts w:ascii="Arial" w:hAnsi="Arial" w:cs="Arial"/>
          <w:color w:val="0D0D0D" w:themeColor="text1" w:themeTint="F2"/>
          <w:lang w:val="es-MX"/>
        </w:rPr>
        <w:fldChar w:fldCharType="end"/>
      </w:r>
      <w:r w:rsidRPr="00B06E77">
        <w:rPr>
          <w:rFonts w:ascii="Arial" w:hAnsi="Arial" w:cs="Arial"/>
          <w:color w:val="0D0D0D" w:themeColor="text1" w:themeTint="F2"/>
          <w:lang w:val="es-MX"/>
        </w:rPr>
        <w:t>, lo que tuvo un impacto significativo en Taiwán. Con el tiempo, Taiwán ha perdido apoyo diplomático</w:t>
      </w:r>
      <w:r w:rsidR="00644117" w:rsidRPr="00B06E77">
        <w:rPr>
          <w:rFonts w:ascii="Arial" w:hAnsi="Arial" w:cs="Arial"/>
          <w:color w:val="0D0D0D" w:themeColor="text1" w:themeTint="F2"/>
          <w:lang w:val="es-MX"/>
        </w:rPr>
        <w:t xml:space="preserve">, en donde </w:t>
      </w:r>
      <w:r w:rsidR="00DF1C05" w:rsidRPr="00B06E77">
        <w:rPr>
          <w:rFonts w:ascii="Arial" w:hAnsi="Arial" w:cs="Arial"/>
          <w:color w:val="0D0D0D" w:themeColor="text1" w:themeTint="F2"/>
          <w:lang w:val="es-MX"/>
        </w:rPr>
        <w:t xml:space="preserve">destaca </w:t>
      </w:r>
      <w:r w:rsidR="00644117" w:rsidRPr="00B06E77">
        <w:rPr>
          <w:rFonts w:ascii="Arial" w:hAnsi="Arial" w:cs="Arial"/>
          <w:color w:val="0D0D0D" w:themeColor="text1" w:themeTint="F2"/>
          <w:lang w:val="es-MX"/>
        </w:rPr>
        <w:t>el reconocimiento de varios países latinoamericanos</w:t>
      </w:r>
      <w:r w:rsidR="00DF1C05" w:rsidRPr="00B06E77">
        <w:rPr>
          <w:rFonts w:ascii="Arial" w:hAnsi="Arial" w:cs="Arial"/>
          <w:color w:val="0D0D0D" w:themeColor="text1" w:themeTint="F2"/>
          <w:lang w:val="es-MX"/>
        </w:rPr>
        <w:t xml:space="preserve"> al principio de una sola China</w:t>
      </w:r>
      <w:r w:rsidR="00644117" w:rsidRPr="00B06E77">
        <w:rPr>
          <w:rFonts w:ascii="Arial" w:hAnsi="Arial" w:cs="Arial"/>
          <w:color w:val="0D0D0D" w:themeColor="text1" w:themeTint="F2"/>
          <w:lang w:val="es-MX"/>
        </w:rPr>
        <w:t>,</w:t>
      </w:r>
      <w:r w:rsidRPr="00B06E77">
        <w:rPr>
          <w:rFonts w:ascii="Arial" w:hAnsi="Arial" w:cs="Arial"/>
          <w:color w:val="0D0D0D" w:themeColor="text1" w:themeTint="F2"/>
          <w:lang w:val="es-MX"/>
        </w:rPr>
        <w:t xml:space="preserve"> </w:t>
      </w:r>
      <w:r w:rsidR="00DF1C05" w:rsidRPr="00B06E77">
        <w:rPr>
          <w:rFonts w:ascii="Arial" w:hAnsi="Arial" w:cs="Arial"/>
          <w:color w:val="0D0D0D" w:themeColor="text1" w:themeTint="F2"/>
          <w:lang w:val="es-MX"/>
        </w:rPr>
        <w:t xml:space="preserve">lo que ha debilitado </w:t>
      </w:r>
      <w:r w:rsidRPr="00B06E77">
        <w:rPr>
          <w:rFonts w:ascii="Arial" w:hAnsi="Arial" w:cs="Arial"/>
          <w:color w:val="0D0D0D" w:themeColor="text1" w:themeTint="F2"/>
          <w:lang w:val="es-MX"/>
        </w:rPr>
        <w:t>su búsqueda de ser reconocida como una entidad independiente, en lugar de ser considerada como parte del territorio chino occidental.</w:t>
      </w:r>
    </w:p>
    <w:p w14:paraId="330E4A6F" w14:textId="0B6FBDEC" w:rsidR="00745ECB" w:rsidRDefault="00257A24" w:rsidP="00A91C46">
      <w:pPr>
        <w:spacing w:after="240" w:line="360" w:lineRule="auto"/>
        <w:jc w:val="both"/>
        <w:rPr>
          <w:rFonts w:ascii="Arial" w:hAnsi="Arial" w:cs="Arial"/>
          <w:color w:val="0D0D0D"/>
        </w:rPr>
      </w:pPr>
      <w:r w:rsidRPr="00B06E77">
        <w:rPr>
          <w:rFonts w:ascii="Arial" w:hAnsi="Arial" w:cs="Arial"/>
          <w:color w:val="0D0D0D" w:themeColor="text1" w:themeTint="F2"/>
          <w:lang w:val="es-MX"/>
        </w:rPr>
        <w:t xml:space="preserve">Otro paso importante que da China es su adhesión en 2001 a la Organización Mundial del Comercio (OMC), luego de 15 años de negociaciones, China, finalmente, se convierte en miembro de la OMC </w:t>
      </w:r>
      <w:r w:rsidRPr="00B06E77">
        <w:rPr>
          <w:rFonts w:ascii="Arial" w:hAnsi="Arial" w:cs="Arial"/>
          <w:color w:val="0D0D0D" w:themeColor="text1" w:themeTint="F2"/>
          <w:lang w:val="es-MX"/>
        </w:rPr>
        <w:fldChar w:fldCharType="begin"/>
      </w:r>
      <w:r w:rsidRPr="00B06E77">
        <w:rPr>
          <w:rFonts w:ascii="Arial" w:hAnsi="Arial" w:cs="Arial"/>
          <w:color w:val="0D0D0D" w:themeColor="text1" w:themeTint="F2"/>
          <w:lang w:val="es-MX"/>
        </w:rPr>
        <w:instrText xml:space="preserve"> ADDIN ZOTERO_ITEM CSL_CITATION {"citationID":"gXLlL2F4","properties":{"formattedCitation":"(Adhikari &amp; Yang, 2002)","plainCitation":"(Adhikari &amp; Yang, 2002)","dontUpdate":true,"noteIndex":0},"citationItems":[{"id":23,"uris":["http://zotero.org/users/10063313/items/PE62U6WM"],"itemData":{"id":23,"type":"article-journal","container-title":"Finanzas y Desarrollo","page":"22-25","title":"¿Qué significará el ingreso en la OMC para China y sus socios comerciales?","author":[{"family":"Adhikari","given":"Ramesh"},{"family":"Yang","given":"Yongzheng"}],"issued":{"date-parts":[["2002"]]}}}],"schema":"https://github.com/citation-style-language/schema/raw/master/csl-citation.json"} </w:instrText>
      </w:r>
      <w:r w:rsidRPr="00B06E77">
        <w:rPr>
          <w:rFonts w:ascii="Arial" w:hAnsi="Arial" w:cs="Arial"/>
          <w:color w:val="0D0D0D" w:themeColor="text1" w:themeTint="F2"/>
          <w:lang w:val="es-MX"/>
        </w:rPr>
        <w:fldChar w:fldCharType="separate"/>
      </w:r>
      <w:r w:rsidRPr="00B06E77">
        <w:rPr>
          <w:rFonts w:ascii="Arial" w:hAnsi="Arial" w:cs="Arial"/>
          <w:color w:val="0D0D0D" w:themeColor="text1" w:themeTint="F2"/>
        </w:rPr>
        <w:t>(Adhikari et al., 2002)</w:t>
      </w:r>
      <w:r w:rsidRPr="00B06E77">
        <w:rPr>
          <w:rFonts w:ascii="Arial" w:hAnsi="Arial" w:cs="Arial"/>
          <w:color w:val="0D0D0D" w:themeColor="text1" w:themeTint="F2"/>
          <w:lang w:val="es-MX"/>
        </w:rPr>
        <w:fldChar w:fldCharType="end"/>
      </w:r>
      <w:r w:rsidRPr="00B06E77">
        <w:rPr>
          <w:rFonts w:ascii="Arial" w:hAnsi="Arial" w:cs="Arial"/>
          <w:color w:val="0D0D0D" w:themeColor="text1" w:themeTint="F2"/>
          <w:lang w:val="es-HN"/>
        </w:rPr>
        <w:t xml:space="preserve"> </w:t>
      </w:r>
      <w:r w:rsidRPr="00B06E77">
        <w:rPr>
          <w:rFonts w:ascii="Arial" w:hAnsi="Arial" w:cs="Arial"/>
          <w:color w:val="0D0D0D" w:themeColor="text1" w:themeTint="F2"/>
          <w:lang w:val="es-MX"/>
        </w:rPr>
        <w:t xml:space="preserve">como parte su programa para modernizar su economía e integrarse al mercado mundial según lo indicado por Sevares </w:t>
      </w:r>
      <w:r w:rsidRPr="00B06E77">
        <w:rPr>
          <w:rFonts w:ascii="Arial" w:hAnsi="Arial" w:cs="Arial"/>
          <w:color w:val="0D0D0D" w:themeColor="text1" w:themeTint="F2"/>
          <w:lang w:val="es-MX"/>
        </w:rPr>
        <w:fldChar w:fldCharType="begin"/>
      </w:r>
      <w:r w:rsidRPr="00B06E77">
        <w:rPr>
          <w:rFonts w:ascii="Arial" w:hAnsi="Arial" w:cs="Arial"/>
          <w:color w:val="0D0D0D" w:themeColor="text1" w:themeTint="F2"/>
          <w:lang w:val="es-MX"/>
        </w:rPr>
        <w:instrText xml:space="preserve"> ADDIN ZOTERO_ITEM CSL_CITATION {"citationID":"MhoPMzlK","properties":{"formattedCitation":"(Sevares, 2016)","plainCitation":"(Sevares, 2016)","dontUpdate":true,"noteIndex":0},"citationItems":[{"id":52,"uris":["http://zotero.org/users/10063313/items/C6YR7QBG"],"itemData":{"id":52,"type":"book","language":"es","publisher":"Consejo Argentino para las Relaciones Internacionales","title":"Por qué y cómo China ingresó en la OMC. Contexto, condiciones y consecuencias","author":[{"family":"Sevares","given":"j"}],"issued":{"date-parts":[["2016"]]}}}],"schema":"https://github.com/citation-style-language/schema/raw/master/csl-citation.json"} </w:instrText>
      </w:r>
      <w:r w:rsidRPr="00B06E77">
        <w:rPr>
          <w:rFonts w:ascii="Arial" w:hAnsi="Arial" w:cs="Arial"/>
          <w:color w:val="0D0D0D" w:themeColor="text1" w:themeTint="F2"/>
          <w:lang w:val="es-MX"/>
        </w:rPr>
        <w:fldChar w:fldCharType="separate"/>
      </w:r>
      <w:r w:rsidRPr="00B06E77">
        <w:rPr>
          <w:rFonts w:ascii="Arial" w:hAnsi="Arial" w:cs="Arial"/>
          <w:color w:val="0D0D0D" w:themeColor="text1" w:themeTint="F2"/>
        </w:rPr>
        <w:t>(2016)</w:t>
      </w:r>
      <w:r w:rsidRPr="00B06E77">
        <w:rPr>
          <w:rFonts w:ascii="Arial" w:hAnsi="Arial" w:cs="Arial"/>
          <w:color w:val="0D0D0D" w:themeColor="text1" w:themeTint="F2"/>
          <w:lang w:val="es-MX"/>
        </w:rPr>
        <w:fldChar w:fldCharType="end"/>
      </w:r>
      <w:r w:rsidRPr="00B06E77">
        <w:rPr>
          <w:rFonts w:ascii="Arial" w:hAnsi="Arial" w:cs="Arial"/>
          <w:color w:val="0D0D0D" w:themeColor="text1" w:themeTint="F2"/>
          <w:lang w:val="es-MX"/>
        </w:rPr>
        <w:t>. De acuerdo con el autor, China poseía antes de su ingreso a la OMC altos aranceles, varias restricciones en el ingreso de bienes agrícolas y un control estatal en el comercio interior y exterior y con si ingreso a la OMC</w:t>
      </w:r>
      <w:r w:rsidR="00745ECB">
        <w:rPr>
          <w:rFonts w:ascii="Arial" w:hAnsi="Arial" w:cs="Arial"/>
          <w:color w:val="0D0D0D" w:themeColor="text1" w:themeTint="F2"/>
          <w:lang w:val="es-MX"/>
        </w:rPr>
        <w:t xml:space="preserve">, </w:t>
      </w:r>
      <w:r w:rsidR="00745ECB" w:rsidRPr="00745ECB">
        <w:rPr>
          <w:rFonts w:ascii="Arial" w:hAnsi="Arial" w:cs="Arial"/>
          <w:color w:val="0D0D0D" w:themeColor="text1" w:themeTint="F2"/>
        </w:rPr>
        <w:t>fue exigido por los países miembros del ente multilateral a no imponer restricciones a las importaciones y no discriminar a las empresas privadas frente a las públicas.</w:t>
      </w:r>
    </w:p>
    <w:p w14:paraId="313C2959" w14:textId="150FB722" w:rsidR="00257A24" w:rsidRPr="00B06E77" w:rsidRDefault="00257A24" w:rsidP="00A91C46">
      <w:pPr>
        <w:spacing w:after="240" w:line="360" w:lineRule="auto"/>
        <w:jc w:val="both"/>
        <w:rPr>
          <w:rFonts w:ascii="Arial" w:hAnsi="Arial" w:cs="Arial"/>
          <w:color w:val="0D0D0D" w:themeColor="text1" w:themeTint="F2"/>
          <w:lang w:val="es-HN"/>
        </w:rPr>
      </w:pPr>
      <w:r w:rsidRPr="00B06E77">
        <w:rPr>
          <w:rFonts w:ascii="Arial" w:hAnsi="Arial" w:cs="Arial"/>
          <w:color w:val="0D0D0D" w:themeColor="text1" w:themeTint="F2"/>
          <w:lang w:val="es-MX"/>
        </w:rPr>
        <w:t xml:space="preserve">En consecuencia, China se comprometió a reducir los aranceles medios, reducir medidas no arancelarias, firmar el Acuerdo sobre Tecnología de la Información, eliminar los aranceles sobre los productos de tecnología de la información como computadoras y semiconductores y a abrir </w:t>
      </w:r>
      <w:r w:rsidR="00745ECB">
        <w:rPr>
          <w:rFonts w:ascii="Arial" w:hAnsi="Arial" w:cs="Arial"/>
          <w:color w:val="0D0D0D" w:themeColor="text1" w:themeTint="F2"/>
          <w:lang w:val="es-MX"/>
        </w:rPr>
        <w:t xml:space="preserve">el sector de servicios de </w:t>
      </w:r>
      <w:r w:rsidRPr="00B06E77">
        <w:rPr>
          <w:rFonts w:ascii="Arial" w:hAnsi="Arial" w:cs="Arial"/>
          <w:color w:val="0D0D0D" w:themeColor="text1" w:themeTint="F2"/>
          <w:lang w:val="es-MX"/>
        </w:rPr>
        <w:t xml:space="preserve">su economía </w:t>
      </w:r>
      <w:r w:rsidRPr="00B06E77">
        <w:rPr>
          <w:rFonts w:ascii="Arial" w:hAnsi="Arial" w:cs="Arial"/>
          <w:color w:val="0D0D0D" w:themeColor="text1" w:themeTint="F2"/>
          <w:lang w:val="es-MX"/>
        </w:rPr>
        <w:fldChar w:fldCharType="begin"/>
      </w:r>
      <w:r w:rsidRPr="00B06E77">
        <w:rPr>
          <w:rFonts w:ascii="Arial" w:hAnsi="Arial" w:cs="Arial"/>
          <w:color w:val="0D0D0D" w:themeColor="text1" w:themeTint="F2"/>
          <w:lang w:val="es-MX"/>
        </w:rPr>
        <w:instrText xml:space="preserve"> ADDIN ZOTERO_ITEM CSL_CITATION {"citationID":"ShqKUuAq","properties":{"formattedCitation":"(Adhikari &amp; Yang, 2002; Arce &amp; Gitli, 2001)","plainCitation":"(Adhikari &amp; Yang, 2002; Arce &amp; Gitli, 2001)","dontUpdate":true,"noteIndex":0},"citationItems":[{"id":23,"uris":["http://zotero.org/users/10063313/items/PE62U6WM"],"itemData":{"id":23,"type":"article-journal","container-title":"Finanzas y Desarrollo","page":"22-25","title":"¿Qué significará el ingreso en la OMC para China y sus socios comerciales?","author":[{"family":"Adhikari","given":"Ramesh"},{"family":"Yang","given":"Yongzheng"}],"issued":{"date-parts":[["2002"]]}}},{"id":22,"uris":["http://zotero.org/users/10063313/items/DKEYVJIG"],"itemData":{"id":22,"type":"article-journal","container-title":"Revista de la CEPAL","page":"87-107","title":"El ingreso de China a la OMC y su impacto sobre los países de la cuenca del Caribe","author":[{"family":"Arce","given":"Randall"},{"family":"Gitli","given":"Eduardo"}],"issued":{"date-parts":[["2001"]]}}}],"schema":"https://github.com/citation-style-language/schema/raw/master/csl-citation.json"} </w:instrText>
      </w:r>
      <w:r w:rsidRPr="00B06E77">
        <w:rPr>
          <w:rFonts w:ascii="Arial" w:hAnsi="Arial" w:cs="Arial"/>
          <w:color w:val="0D0D0D" w:themeColor="text1" w:themeTint="F2"/>
          <w:lang w:val="es-MX"/>
        </w:rPr>
        <w:fldChar w:fldCharType="separate"/>
      </w:r>
      <w:r w:rsidRPr="00B06E77">
        <w:rPr>
          <w:rFonts w:ascii="Arial" w:hAnsi="Arial" w:cs="Arial"/>
          <w:color w:val="0D0D0D" w:themeColor="text1" w:themeTint="F2"/>
        </w:rPr>
        <w:t xml:space="preserve">(Adhikari at al., 2002; </w:t>
      </w:r>
      <w:r w:rsidR="00D345EC">
        <w:rPr>
          <w:rFonts w:ascii="Arial" w:hAnsi="Arial" w:cs="Arial"/>
          <w:color w:val="0D0D0D" w:themeColor="text1" w:themeTint="F2"/>
        </w:rPr>
        <w:t>Gitli</w:t>
      </w:r>
      <w:r w:rsidRPr="00B06E77">
        <w:rPr>
          <w:rFonts w:ascii="Arial" w:hAnsi="Arial" w:cs="Arial"/>
          <w:color w:val="0D0D0D" w:themeColor="text1" w:themeTint="F2"/>
        </w:rPr>
        <w:t xml:space="preserve"> y </w:t>
      </w:r>
      <w:r w:rsidR="00D345EC">
        <w:rPr>
          <w:rFonts w:ascii="Arial" w:hAnsi="Arial" w:cs="Arial"/>
          <w:color w:val="0D0D0D" w:themeColor="text1" w:themeTint="F2"/>
        </w:rPr>
        <w:t>Arce</w:t>
      </w:r>
      <w:r w:rsidRPr="00B06E77">
        <w:rPr>
          <w:rFonts w:ascii="Arial" w:hAnsi="Arial" w:cs="Arial"/>
          <w:color w:val="0D0D0D" w:themeColor="text1" w:themeTint="F2"/>
        </w:rPr>
        <w:t>., 2001)</w:t>
      </w:r>
      <w:r w:rsidRPr="00B06E77">
        <w:rPr>
          <w:rFonts w:ascii="Arial" w:hAnsi="Arial" w:cs="Arial"/>
          <w:color w:val="0D0D0D" w:themeColor="text1" w:themeTint="F2"/>
          <w:lang w:val="es-MX"/>
        </w:rPr>
        <w:fldChar w:fldCharType="end"/>
      </w:r>
      <w:r w:rsidRPr="00B06E77">
        <w:rPr>
          <w:rFonts w:ascii="Arial" w:hAnsi="Arial" w:cs="Arial"/>
          <w:color w:val="0D0D0D" w:themeColor="text1" w:themeTint="F2"/>
          <w:lang w:val="es-MX"/>
        </w:rPr>
        <w:t xml:space="preserve">. </w:t>
      </w:r>
    </w:p>
    <w:p w14:paraId="45612E8F" w14:textId="2ACFEDD6" w:rsidR="00332776" w:rsidRDefault="00332776" w:rsidP="00332776">
      <w:pPr>
        <w:spacing w:after="240" w:line="360" w:lineRule="auto"/>
        <w:jc w:val="both"/>
        <w:rPr>
          <w:rFonts w:ascii="Arial" w:hAnsi="Arial" w:cs="Arial"/>
          <w:color w:val="568D11" w:themeColor="accent3" w:themeShade="80"/>
          <w:lang w:val="es-MX"/>
        </w:rPr>
      </w:pPr>
      <w:r w:rsidRPr="00B06E77">
        <w:rPr>
          <w:rFonts w:ascii="Arial" w:hAnsi="Arial" w:cs="Arial"/>
          <w:color w:val="0D0D0D" w:themeColor="text1" w:themeTint="F2"/>
          <w:lang w:val="es-MX"/>
        </w:rPr>
        <w:t xml:space="preserve">China ha cobrado protagonismo en </w:t>
      </w:r>
      <w:r w:rsidR="00FB21CF" w:rsidRPr="00B06E77">
        <w:rPr>
          <w:rFonts w:ascii="Arial" w:hAnsi="Arial" w:cs="Arial"/>
          <w:color w:val="0D0D0D" w:themeColor="text1" w:themeTint="F2"/>
          <w:lang w:val="es-MX"/>
        </w:rPr>
        <w:t xml:space="preserve">varias </w:t>
      </w:r>
      <w:r w:rsidRPr="00B06E77">
        <w:rPr>
          <w:rFonts w:ascii="Arial" w:hAnsi="Arial" w:cs="Arial"/>
          <w:color w:val="0D0D0D" w:themeColor="text1" w:themeTint="F2"/>
          <w:lang w:val="es-MX"/>
        </w:rPr>
        <w:t>economías en desarrollo a través de</w:t>
      </w:r>
      <w:r w:rsidR="00FB21CF" w:rsidRPr="00B06E77">
        <w:rPr>
          <w:rFonts w:ascii="Arial" w:hAnsi="Arial" w:cs="Arial"/>
          <w:color w:val="0D0D0D" w:themeColor="text1" w:themeTint="F2"/>
          <w:lang w:val="es-MX"/>
        </w:rPr>
        <w:t xml:space="preserve"> su impacto en</w:t>
      </w:r>
      <w:r w:rsidRPr="00B06E77">
        <w:rPr>
          <w:rFonts w:ascii="Arial" w:hAnsi="Arial" w:cs="Arial"/>
          <w:color w:val="0D0D0D" w:themeColor="text1" w:themeTint="F2"/>
          <w:lang w:val="es-MX"/>
        </w:rPr>
        <w:t xml:space="preserve"> la inversión </w:t>
      </w:r>
      <w:r w:rsidR="00FB21CF" w:rsidRPr="00B06E77">
        <w:rPr>
          <w:rFonts w:ascii="Arial" w:hAnsi="Arial" w:cs="Arial"/>
          <w:color w:val="0D0D0D" w:themeColor="text1" w:themeTint="F2"/>
          <w:lang w:val="es-MX"/>
        </w:rPr>
        <w:t xml:space="preserve">extranjera </w:t>
      </w:r>
      <w:r w:rsidRPr="00B06E77">
        <w:rPr>
          <w:rFonts w:ascii="Arial" w:hAnsi="Arial" w:cs="Arial"/>
          <w:color w:val="0D0D0D" w:themeColor="text1" w:themeTint="F2"/>
          <w:lang w:val="es-MX"/>
        </w:rPr>
        <w:t>y el comercio</w:t>
      </w:r>
      <w:r w:rsidR="00B06E77" w:rsidRPr="00B06E77">
        <w:rPr>
          <w:rFonts w:ascii="Arial" w:hAnsi="Arial" w:cs="Arial"/>
          <w:color w:val="0D0D0D" w:themeColor="text1" w:themeTint="F2"/>
          <w:lang w:val="es-MX"/>
        </w:rPr>
        <w:t>.</w:t>
      </w:r>
      <w:r w:rsidR="00E85E78" w:rsidRPr="00E85E78">
        <w:t xml:space="preserve"> </w:t>
      </w:r>
      <w:r w:rsidR="00E85E78" w:rsidRPr="00E85E78">
        <w:rPr>
          <w:rFonts w:ascii="Arial" w:hAnsi="Arial" w:cs="Arial"/>
          <w:color w:val="0D0D0D" w:themeColor="text1" w:themeTint="F2"/>
          <w:lang w:val="es-MX"/>
        </w:rPr>
        <w:t xml:space="preserve">A pesar de la crisis </w:t>
      </w:r>
      <w:r w:rsidR="00E85E78" w:rsidRPr="00E85E78">
        <w:rPr>
          <w:rFonts w:ascii="Arial" w:hAnsi="Arial" w:cs="Arial"/>
          <w:color w:val="0D0D0D" w:themeColor="text1" w:themeTint="F2"/>
          <w:lang w:val="es-MX"/>
        </w:rPr>
        <w:lastRenderedPageBreak/>
        <w:t xml:space="preserve">ocasionada por la pandemia del Covid-19 en 2020, la economía asiática se ha recuperado y se proyecta que en 2026 el Producto Interno Bruto (PIB) crezca un 4.4%, según el informe más reciente del Fondo Monetario Internacional </w:t>
      </w:r>
      <w:r w:rsidR="00E85E78">
        <w:rPr>
          <w:rFonts w:ascii="Arial" w:hAnsi="Arial" w:cs="Arial"/>
          <w:color w:val="0D0D0D" w:themeColor="text1" w:themeTint="F2"/>
          <w:lang w:val="es-MX"/>
        </w:rPr>
        <w:fldChar w:fldCharType="begin"/>
      </w:r>
      <w:r w:rsidR="00E85E78">
        <w:rPr>
          <w:rFonts w:ascii="Arial" w:hAnsi="Arial" w:cs="Arial"/>
          <w:color w:val="0D0D0D" w:themeColor="text1" w:themeTint="F2"/>
          <w:lang w:val="es-MX"/>
        </w:rPr>
        <w:instrText xml:space="preserve"> ADDIN ZOTERO_ITEM CSL_CITATION {"citationID":"NnF06gig","properties":{"unsorted":false,"formattedCitation":"(FMI, 2026)","plainCitation":"(FMI, 2026)","noteIndex":0},"citationItems":[{"id":1982,"uris":["http://zotero.org/users/10063313/items/3EMP33FW"],"itemData":{"id":1982,"type":"report","title":"World Economic Outlook: Global Economy in the Shadow of War.","URL":"https://www.imf.org/en/publications/weo/issues/2026/04/14/world-economic-outlook-april-2026","author":[{"family":"FMI","given":""}],"issued":{"date-parts":[["2026"]]}}}],"schema":"https://github.com/citation-style-language/schema/raw/master/csl-citation.json"} </w:instrText>
      </w:r>
      <w:r w:rsidR="00E85E78">
        <w:rPr>
          <w:rFonts w:ascii="Arial" w:hAnsi="Arial" w:cs="Arial"/>
          <w:color w:val="0D0D0D" w:themeColor="text1" w:themeTint="F2"/>
          <w:lang w:val="es-MX"/>
        </w:rPr>
        <w:fldChar w:fldCharType="separate"/>
      </w:r>
      <w:r w:rsidR="00E85E78">
        <w:rPr>
          <w:rFonts w:ascii="Arial" w:hAnsi="Arial" w:cs="Arial"/>
          <w:noProof/>
          <w:color w:val="0D0D0D" w:themeColor="text1" w:themeTint="F2"/>
          <w:lang w:val="es-MX"/>
        </w:rPr>
        <w:t>(FMI, 2026)</w:t>
      </w:r>
      <w:r w:rsidR="00E85E78">
        <w:rPr>
          <w:rFonts w:ascii="Arial" w:hAnsi="Arial" w:cs="Arial"/>
          <w:color w:val="0D0D0D" w:themeColor="text1" w:themeTint="F2"/>
          <w:lang w:val="es-MX"/>
        </w:rPr>
        <w:fldChar w:fldCharType="end"/>
      </w:r>
      <w:r w:rsidRPr="00FB46EA">
        <w:rPr>
          <w:rFonts w:ascii="Arial" w:hAnsi="Arial" w:cs="Arial"/>
          <w:lang w:val="es-MX"/>
        </w:rPr>
        <w:t>. En la</w:t>
      </w:r>
      <w:r w:rsidRPr="003E0592">
        <w:rPr>
          <w:rFonts w:ascii="Arial" w:hAnsi="Arial" w:cs="Arial"/>
          <w:lang w:val="es-MX"/>
        </w:rPr>
        <w:t xml:space="preserve"> región latinoamericana es uno de los principales socios comerciales de países como Chile, Perú, Argentina, Brasil y Costa Rica. </w:t>
      </w:r>
    </w:p>
    <w:p w14:paraId="6909E54B" w14:textId="4E92A764" w:rsidR="00E85E78" w:rsidRDefault="00E85E78" w:rsidP="00332776">
      <w:pPr>
        <w:spacing w:after="240" w:line="360" w:lineRule="auto"/>
        <w:jc w:val="both"/>
        <w:rPr>
          <w:rFonts w:ascii="Arial" w:hAnsi="Arial" w:cs="Arial"/>
          <w:color w:val="0D0D0D" w:themeColor="text1" w:themeTint="F2"/>
        </w:rPr>
      </w:pPr>
      <w:r w:rsidRPr="00E85E78">
        <w:rPr>
          <w:rFonts w:ascii="Arial" w:hAnsi="Arial" w:cs="Arial"/>
          <w:color w:val="0D0D0D" w:themeColor="text1" w:themeTint="F2"/>
        </w:rPr>
        <w:t>En el área de inversiones, la participación de China en América Latina y el Caribe, aunque creciente, ha sido relativamente limitada en comparación con otros actores globales. De acuerdo con el Monitor de la OFDI china en América Latina y el Caribe, la participación de la IED china en la IED total regional fue del 9% entre 2015 y 2019, disminuyó al 7% durante 2020-2024 y alcanzó en 2024 el 4,9%, su nivel más bajo desde 2012, tras haber registrado un máximo del 14% en 2010</w:t>
      </w:r>
      <w:r>
        <w:rPr>
          <w:rFonts w:ascii="Arial" w:hAnsi="Arial" w:cs="Arial"/>
          <w:color w:val="0D0D0D" w:themeColor="text1" w:themeTint="F2"/>
        </w:rPr>
        <w:t xml:space="preserve"> </w:t>
      </w:r>
      <w:r>
        <w:rPr>
          <w:rFonts w:ascii="Arial" w:hAnsi="Arial" w:cs="Arial"/>
          <w:color w:val="0D0D0D" w:themeColor="text1" w:themeTint="F2"/>
        </w:rPr>
        <w:fldChar w:fldCharType="begin"/>
      </w:r>
      <w:r>
        <w:rPr>
          <w:rFonts w:ascii="Arial" w:hAnsi="Arial" w:cs="Arial"/>
          <w:color w:val="0D0D0D" w:themeColor="text1" w:themeTint="F2"/>
        </w:rPr>
        <w:instrText xml:space="preserve"> ADDIN ZOTERO_ITEM CSL_CITATION {"citationID":"jU8m7rmM","properties":{"unsorted":false,"formattedCitation":"(Dussel Peters, 2025)","plainCitation":"(Dussel Peters, 2025)","noteIndex":0},"citationItems":[{"id":1965,"uris":["http://zotero.org/users/10063313/items/GPPQDGY7"],"itemData":{"id":1965,"type":"article-journal","note":"Red Académica de\nAmérica Latina y el Caribe sobre China","title":"Monitor de la OFDI china en América Latina y el Caribe 2025","author":[{"literal":"Dussel Peters"}],"issued":{"date-parts":[["2025"]]}}}],"schema":"https://github.com/citation-style-language/schema/raw/master/csl-citation.json"} </w:instrText>
      </w:r>
      <w:r>
        <w:rPr>
          <w:rFonts w:ascii="Arial" w:hAnsi="Arial" w:cs="Arial"/>
          <w:color w:val="0D0D0D" w:themeColor="text1" w:themeTint="F2"/>
        </w:rPr>
        <w:fldChar w:fldCharType="separate"/>
      </w:r>
      <w:r>
        <w:rPr>
          <w:rFonts w:ascii="Arial" w:hAnsi="Arial" w:cs="Arial"/>
          <w:noProof/>
          <w:color w:val="0D0D0D" w:themeColor="text1" w:themeTint="F2"/>
        </w:rPr>
        <w:t>(Dussel Peters, 2025)</w:t>
      </w:r>
      <w:r>
        <w:rPr>
          <w:rFonts w:ascii="Arial" w:hAnsi="Arial" w:cs="Arial"/>
          <w:color w:val="0D0D0D" w:themeColor="text1" w:themeTint="F2"/>
        </w:rPr>
        <w:fldChar w:fldCharType="end"/>
      </w:r>
      <w:r>
        <w:rPr>
          <w:rFonts w:ascii="Arial" w:hAnsi="Arial" w:cs="Arial"/>
          <w:color w:val="0D0D0D" w:themeColor="text1" w:themeTint="F2"/>
        </w:rPr>
        <w:t xml:space="preserve">. </w:t>
      </w:r>
      <w:r w:rsidRPr="00E85E78">
        <w:rPr>
          <w:rFonts w:ascii="Arial" w:hAnsi="Arial" w:cs="Arial"/>
          <w:color w:val="0D0D0D" w:themeColor="text1" w:themeTint="F2"/>
        </w:rPr>
        <w:t xml:space="preserve">Además, estas inversiones mantienen una elevada concentración geográfica en Brasil, Argentina y México, aunque han comenzado a diversificarse sectorialmente hacia las manufacturas, los servicios y las energías renovables </w:t>
      </w:r>
      <w:r>
        <w:rPr>
          <w:rFonts w:ascii="Arial" w:hAnsi="Arial" w:cs="Arial"/>
          <w:color w:val="0D0D0D" w:themeColor="text1" w:themeTint="F2"/>
        </w:rPr>
        <w:fldChar w:fldCharType="begin"/>
      </w:r>
      <w:r>
        <w:rPr>
          <w:rFonts w:ascii="Arial" w:hAnsi="Arial" w:cs="Arial"/>
          <w:color w:val="0D0D0D" w:themeColor="text1" w:themeTint="F2"/>
        </w:rPr>
        <w:instrText xml:space="preserve"> ADDIN ZOTERO_ITEM CSL_CITATION {"citationID":"NhkIyu29","properties":{"unsorted":false,"formattedCitation":"(CEPAL, 2025)","plainCitation":"(CEPAL, 2025)","noteIndex":0},"citationItems":[{"id":1963,"uris":["http://zotero.org/users/10063313/items/STE6C9EM"],"itemData":{"id":1963,"type":"article-journal","title":"Las relaciones entre América Latina y el Caribe y China: áreas de oportunidad para un desarrollo más productivo, inclusivo y sostenible","author":[{"literal":"CEPAL"}],"issued":{"date-parts":[["2025"]]}}}],"schema":"https://github.com/citation-style-language/schema/raw/master/csl-citation.json"} </w:instrText>
      </w:r>
      <w:r>
        <w:rPr>
          <w:rFonts w:ascii="Arial" w:hAnsi="Arial" w:cs="Arial"/>
          <w:color w:val="0D0D0D" w:themeColor="text1" w:themeTint="F2"/>
        </w:rPr>
        <w:fldChar w:fldCharType="separate"/>
      </w:r>
      <w:r>
        <w:rPr>
          <w:rFonts w:ascii="Arial" w:hAnsi="Arial" w:cs="Arial"/>
          <w:noProof/>
          <w:color w:val="0D0D0D" w:themeColor="text1" w:themeTint="F2"/>
        </w:rPr>
        <w:t>(CEPAL, 2025)</w:t>
      </w:r>
      <w:r>
        <w:rPr>
          <w:rFonts w:ascii="Arial" w:hAnsi="Arial" w:cs="Arial"/>
          <w:color w:val="0D0D0D" w:themeColor="text1" w:themeTint="F2"/>
        </w:rPr>
        <w:fldChar w:fldCharType="end"/>
      </w:r>
      <w:r w:rsidR="00F978EC">
        <w:rPr>
          <w:rFonts w:ascii="Arial" w:hAnsi="Arial" w:cs="Arial"/>
          <w:color w:val="0D0D0D" w:themeColor="text1" w:themeTint="F2"/>
        </w:rPr>
        <w:t>.</w:t>
      </w:r>
    </w:p>
    <w:p w14:paraId="466F3C04" w14:textId="172B0921" w:rsidR="005D45C6" w:rsidRPr="005D45C6" w:rsidRDefault="005D45C6" w:rsidP="00332776">
      <w:pPr>
        <w:spacing w:after="240" w:line="360" w:lineRule="auto"/>
        <w:jc w:val="both"/>
        <w:rPr>
          <w:rFonts w:ascii="Arial" w:hAnsi="Arial" w:cs="Arial"/>
          <w:color w:val="000000" w:themeColor="text1"/>
        </w:rPr>
      </w:pPr>
      <w:r w:rsidRPr="00B06E77">
        <w:rPr>
          <w:rFonts w:ascii="Arial" w:hAnsi="Arial" w:cs="Arial"/>
          <w:color w:val="0D0D0D" w:themeColor="text1" w:themeTint="F2"/>
        </w:rPr>
        <w:t xml:space="preserve">La dimensión comercial, en cambio, ha sido más dinámica en la relación sino-latinoamericana durante el siglo XXI. Entre 2000 y 2023, el comercio total de bienes entre América Latina y China creció casi 38 veces, en contraste con un crecimiento de solo 3,8 veces del comercio total de la región con el mundo. En ese lapso, la participación de China en las exportaciones regionales pasó del 1% en 2000 al 14% en 2023, consolidándose como el segundo socio comercial de la región desde 2019 </w:t>
      </w:r>
      <w:r w:rsidR="003B0F56" w:rsidRPr="00B06E77">
        <w:rPr>
          <w:rFonts w:ascii="Arial" w:hAnsi="Arial" w:cs="Arial"/>
          <w:color w:val="0D0D0D" w:themeColor="text1" w:themeTint="F2"/>
        </w:rPr>
        <w:fldChar w:fldCharType="begin"/>
      </w:r>
      <w:r w:rsidR="00C37C85">
        <w:rPr>
          <w:rFonts w:ascii="Arial" w:hAnsi="Arial" w:cs="Arial"/>
          <w:color w:val="0D0D0D" w:themeColor="text1" w:themeTint="F2"/>
        </w:rPr>
        <w:instrText xml:space="preserve"> ADDIN ZOTERO_ITEM CSL_CITATION {"citationID":"vPytKhWj","properties":{"formattedCitation":"(Comisi\\uc0\\u243{}n Econ\\uc0\\u243{}mica para Am\\uc0\\u233{}rica Latina y el Caribe, 2025)","plainCitation":"(Comisión Económica para América Latina y el Caribe, 2025)","dontUpdate":true,"noteIndex":0},"citationItems":[{"id":1963,"uris":["http://zotero.org/users/10063313/items/STE6C9EM"],"itemData":{"id":1963,"type":"article-journal","title":"Las relaciones entre América Latina y el Caribe y China: áreas de oportunidad para un desarrollo más productivo, inclusivo y sostenible","author":[{"literal":"CEPAL"}],"issued":{"date-parts":[["2025"]]}}}],"schema":"https://github.com/citation-style-language/schema/raw/master/csl-citation.json"} </w:instrText>
      </w:r>
      <w:r w:rsidR="003B0F56" w:rsidRPr="00B06E77">
        <w:rPr>
          <w:rFonts w:ascii="Arial" w:hAnsi="Arial" w:cs="Arial"/>
          <w:color w:val="0D0D0D" w:themeColor="text1" w:themeTint="F2"/>
        </w:rPr>
        <w:fldChar w:fldCharType="separate"/>
      </w:r>
      <w:r w:rsidR="003B0F56" w:rsidRPr="00B06E77">
        <w:rPr>
          <w:rFonts w:ascii="Arial" w:hAnsi="Arial" w:cs="Arial"/>
          <w:color w:val="0D0D0D" w:themeColor="text1" w:themeTint="F2"/>
          <w:lang w:val="es-MX"/>
        </w:rPr>
        <w:t>(CEPAL, 2025)</w:t>
      </w:r>
      <w:r w:rsidR="003B0F56" w:rsidRPr="00B06E77">
        <w:rPr>
          <w:rFonts w:ascii="Arial" w:hAnsi="Arial" w:cs="Arial"/>
          <w:color w:val="0D0D0D" w:themeColor="text1" w:themeTint="F2"/>
        </w:rPr>
        <w:fldChar w:fldCharType="end"/>
      </w:r>
      <w:r w:rsidR="003B0F56" w:rsidRPr="00B06E77">
        <w:rPr>
          <w:rFonts w:ascii="Arial" w:hAnsi="Arial" w:cs="Arial"/>
          <w:color w:val="0D0D0D" w:themeColor="text1" w:themeTint="F2"/>
        </w:rPr>
        <w:t xml:space="preserve">. </w:t>
      </w:r>
      <w:r w:rsidRPr="00B06E77">
        <w:rPr>
          <w:rFonts w:ascii="Arial" w:hAnsi="Arial" w:cs="Arial"/>
          <w:color w:val="0D0D0D" w:themeColor="text1" w:themeTint="F2"/>
        </w:rPr>
        <w:t>No obstante, este crecimiento ha estado acompañado por un déficit comercial creciente</w:t>
      </w:r>
      <w:r w:rsidR="00FB21CF" w:rsidRPr="00B06E77">
        <w:rPr>
          <w:rFonts w:ascii="Arial" w:hAnsi="Arial" w:cs="Arial"/>
          <w:color w:val="0D0D0D" w:themeColor="text1" w:themeTint="F2"/>
        </w:rPr>
        <w:t xml:space="preserve"> para los países latinoamericanos</w:t>
      </w:r>
      <w:r w:rsidRPr="00B06E77">
        <w:rPr>
          <w:rFonts w:ascii="Arial" w:hAnsi="Arial" w:cs="Arial"/>
          <w:color w:val="0D0D0D" w:themeColor="text1" w:themeTint="F2"/>
        </w:rPr>
        <w:t xml:space="preserve"> (el mayor registrado con cualquier socio comercial</w:t>
      </w:r>
      <w:r>
        <w:rPr>
          <w:rFonts w:ascii="Arial" w:hAnsi="Arial" w:cs="Arial"/>
          <w:color w:val="000000" w:themeColor="text1"/>
        </w:rPr>
        <w:t>)</w:t>
      </w:r>
      <w:r w:rsidRPr="005D45C6">
        <w:rPr>
          <w:rFonts w:ascii="Arial" w:hAnsi="Arial" w:cs="Arial"/>
          <w:color w:val="000000" w:themeColor="text1"/>
        </w:rPr>
        <w:t xml:space="preserve"> y por una marcada asimetría tecnológica: mientras que el 74% de las exportaciones latinoamericanas a China entre 2000 y 2023 correspondieron a bienes primarios, más del 60% de las importaciones provenientes de China fueron manufacturas de media y alta tecnología</w:t>
      </w:r>
      <w:r w:rsidR="003B0F56">
        <w:rPr>
          <w:rFonts w:ascii="Arial" w:hAnsi="Arial" w:cs="Arial"/>
          <w:color w:val="000000" w:themeColor="text1"/>
        </w:rPr>
        <w:t xml:space="preserve"> </w:t>
      </w:r>
      <w:r w:rsidR="003B0F56">
        <w:rPr>
          <w:rFonts w:ascii="Arial" w:hAnsi="Arial" w:cs="Arial"/>
          <w:color w:val="000000" w:themeColor="text1"/>
        </w:rPr>
        <w:fldChar w:fldCharType="begin"/>
      </w:r>
      <w:r w:rsidR="00C37C85">
        <w:rPr>
          <w:rFonts w:ascii="Arial" w:hAnsi="Arial" w:cs="Arial"/>
          <w:color w:val="000000" w:themeColor="text1"/>
        </w:rPr>
        <w:instrText xml:space="preserve"> ADDIN ZOTERO_ITEM CSL_CITATION {"citationID":"MCbxqTMA","properties":{"formattedCitation":"(Comisi\\uc0\\u243{}n Econ\\uc0\\u243{}mica para Am\\uc0\\u233{}rica Latina y el Caribe, 2025)","plainCitation":"(Comisión Económica para América Latina y el Caribe, 2025)","dontUpdate":true,"noteIndex":0},"citationItems":[{"id":1963,"uris":["http://zotero.org/users/10063313/items/STE6C9EM"],"itemData":{"id":1963,"type":"article-journal","title":"Las relaciones entre América Latina y el Caribe y China: áreas de oportunidad para un desarrollo más productivo, inclusivo y sostenible","author":[{"literal":"CEPAL"}],"issued":{"date-parts":[["2025"]]}}}],"schema":"https://github.com/citation-style-language/schema/raw/master/csl-citation.json"} </w:instrText>
      </w:r>
      <w:r w:rsidR="003B0F56">
        <w:rPr>
          <w:rFonts w:ascii="Arial" w:hAnsi="Arial" w:cs="Arial"/>
          <w:color w:val="000000" w:themeColor="text1"/>
        </w:rPr>
        <w:fldChar w:fldCharType="separate"/>
      </w:r>
      <w:r w:rsidR="003B0F56" w:rsidRPr="003B0F56">
        <w:rPr>
          <w:rFonts w:ascii="Arial" w:hAnsi="Arial" w:cs="Arial"/>
          <w:color w:val="000000"/>
          <w:lang w:val="es-MX"/>
        </w:rPr>
        <w:t>(CEPAL, 2025</w:t>
      </w:r>
      <w:r w:rsidR="003B0F56">
        <w:rPr>
          <w:rFonts w:ascii="Arial" w:hAnsi="Arial" w:cs="Arial"/>
          <w:color w:val="000000"/>
          <w:lang w:val="es-MX"/>
        </w:rPr>
        <w:t xml:space="preserve"> </w:t>
      </w:r>
      <w:r w:rsidR="003B0F56">
        <w:rPr>
          <w:rFonts w:ascii="Arial" w:hAnsi="Arial" w:cs="Arial"/>
          <w:color w:val="000000" w:themeColor="text1"/>
        </w:rPr>
        <w:fldChar w:fldCharType="end"/>
      </w:r>
      <w:r w:rsidRPr="005D45C6">
        <w:rPr>
          <w:rFonts w:ascii="Arial" w:hAnsi="Arial" w:cs="Arial"/>
          <w:color w:val="000000" w:themeColor="text1"/>
        </w:rPr>
        <w:t>p. 30).</w:t>
      </w:r>
    </w:p>
    <w:p w14:paraId="6DB3B999" w14:textId="4CA6C7CF" w:rsidR="002168C8" w:rsidRPr="003E0592" w:rsidRDefault="002168C8" w:rsidP="002168C8">
      <w:pPr>
        <w:spacing w:after="240" w:line="360" w:lineRule="auto"/>
        <w:jc w:val="both"/>
        <w:rPr>
          <w:rFonts w:ascii="Arial" w:hAnsi="Arial" w:cs="Arial"/>
          <w:lang w:val="es-MX"/>
        </w:rPr>
      </w:pPr>
      <w:r w:rsidRPr="003E0592">
        <w:rPr>
          <w:rFonts w:ascii="Arial" w:hAnsi="Arial" w:cs="Arial"/>
          <w:lang w:val="es-MX"/>
        </w:rPr>
        <w:t>Para el experto Zhou Zhiwei,</w:t>
      </w:r>
      <w:r w:rsidR="00B81E57" w:rsidRPr="003E0592">
        <w:rPr>
          <w:rFonts w:ascii="Arial" w:hAnsi="Arial" w:cs="Arial"/>
          <w:lang w:val="es-MX"/>
        </w:rPr>
        <w:t xml:space="preserve"> </w:t>
      </w:r>
      <w:r w:rsidR="00B81E57" w:rsidRPr="003E0592">
        <w:rPr>
          <w:rFonts w:ascii="Arial" w:hAnsi="Arial" w:cs="Arial"/>
          <w:lang w:val="es-MX"/>
        </w:rPr>
        <w:fldChar w:fldCharType="begin"/>
      </w:r>
      <w:r w:rsidR="00A42206">
        <w:rPr>
          <w:rFonts w:ascii="Arial" w:hAnsi="Arial" w:cs="Arial"/>
          <w:lang w:val="es-MX"/>
        </w:rPr>
        <w:instrText xml:space="preserve"> ADDIN ZOTERO_ITEM CSL_CITATION {"citationID":"llvqMNh6","properties":{"formattedCitation":"(Zhou &amp; Yue, 2019)","plainCitation":"(Zhou &amp; Yue, 2019)","dontUpdate":true,"noteIndex":0},"citationItems":[{"id":55,"uris":["http://zotero.org/users/10063313/items/4CH4IIJZ"],"itemData":{"id":55,"type":"book","language":"en","publisher":"Sino-Latin American Economic and Trade Relations","title":"Sino-Latin American Comprehensive Cooperation: Development Logic, Driving Forces, and Prospects","author":[{"family":"Zhou","given":"Z"},{"family":"Yue","given":"Y"}],"editor":[{"family":"Chai","given":"En Y"},{"family":"Yue","given":"Y"}],"issued":{"date-parts":[["2019"]]}}}],"schema":"https://github.com/citation-style-language/schema/raw/master/csl-citation.json"} </w:instrText>
      </w:r>
      <w:r w:rsidR="00B81E57" w:rsidRPr="003E0592">
        <w:rPr>
          <w:rFonts w:ascii="Arial" w:hAnsi="Arial" w:cs="Arial"/>
          <w:lang w:val="es-MX"/>
        </w:rPr>
        <w:fldChar w:fldCharType="separate"/>
      </w:r>
      <w:r w:rsidR="00B81E57" w:rsidRPr="003E0592">
        <w:rPr>
          <w:rFonts w:ascii="Arial" w:hAnsi="Arial" w:cs="Arial"/>
        </w:rPr>
        <w:t>(2019)</w:t>
      </w:r>
      <w:r w:rsidR="00B81E57" w:rsidRPr="003E0592">
        <w:rPr>
          <w:rFonts w:ascii="Arial" w:hAnsi="Arial" w:cs="Arial"/>
          <w:lang w:val="es-MX"/>
        </w:rPr>
        <w:fldChar w:fldCharType="end"/>
      </w:r>
      <w:r w:rsidRPr="003E0592">
        <w:rPr>
          <w:rFonts w:ascii="Arial" w:hAnsi="Arial" w:cs="Arial"/>
          <w:lang w:val="es-MX"/>
        </w:rPr>
        <w:t xml:space="preserve"> el comercio entre Latinoamérica y China es complementario entre sí, esto principalmente debido a que las exportaciones de la región latinoamericana a China consisten en productos básicos a granel y solo una pequeña parte son productos tecnológicos, mientras China exporta a</w:t>
      </w:r>
      <w:r w:rsidR="001705E9">
        <w:rPr>
          <w:rFonts w:ascii="Arial" w:hAnsi="Arial" w:cs="Arial"/>
          <w:lang w:val="es-MX"/>
        </w:rPr>
        <w:t xml:space="preserve"> </w:t>
      </w:r>
      <w:r w:rsidR="001705E9">
        <w:rPr>
          <w:rFonts w:ascii="Arial" w:hAnsi="Arial" w:cs="Arial"/>
          <w:lang w:val="es-MX"/>
        </w:rPr>
        <w:lastRenderedPageBreak/>
        <w:t>América Latina</w:t>
      </w:r>
      <w:r w:rsidRPr="003E0592">
        <w:rPr>
          <w:rFonts w:ascii="Arial" w:hAnsi="Arial" w:cs="Arial"/>
          <w:lang w:val="es-MX"/>
        </w:rPr>
        <w:t>, una gran cantidad de productos tecnológicos, más de lo que lo hace a nivel mundial</w:t>
      </w:r>
      <w:r w:rsidR="00B81E57" w:rsidRPr="003E0592">
        <w:rPr>
          <w:rFonts w:ascii="Arial" w:hAnsi="Arial" w:cs="Arial"/>
          <w:lang w:val="es-MX"/>
        </w:rPr>
        <w:t xml:space="preserve">. </w:t>
      </w:r>
    </w:p>
    <w:p w14:paraId="22EC9ABB" w14:textId="2A0D8386" w:rsidR="002168C8" w:rsidRPr="003E0592" w:rsidRDefault="0084748E" w:rsidP="00131F1E">
      <w:pPr>
        <w:spacing w:after="240" w:line="360" w:lineRule="auto"/>
        <w:jc w:val="both"/>
        <w:rPr>
          <w:rFonts w:ascii="Arial" w:hAnsi="Arial" w:cs="Arial"/>
          <w:lang w:val="es-HN"/>
        </w:rPr>
      </w:pPr>
      <w:r>
        <w:rPr>
          <w:rFonts w:ascii="Arial" w:hAnsi="Arial" w:cs="Arial"/>
          <w:lang w:val="es-MX"/>
        </w:rPr>
        <w:t>Lo anterior, también es</w:t>
      </w:r>
      <w:r w:rsidR="002168C8" w:rsidRPr="003E0592">
        <w:rPr>
          <w:rFonts w:ascii="Arial" w:hAnsi="Arial" w:cs="Arial"/>
          <w:lang w:val="es-MX"/>
        </w:rPr>
        <w:t xml:space="preserve"> estudiad</w:t>
      </w:r>
      <w:r>
        <w:rPr>
          <w:rFonts w:ascii="Arial" w:hAnsi="Arial" w:cs="Arial"/>
          <w:lang w:val="es-MX"/>
        </w:rPr>
        <w:t>o</w:t>
      </w:r>
      <w:r w:rsidR="002168C8" w:rsidRPr="003E0592">
        <w:rPr>
          <w:rFonts w:ascii="Arial" w:hAnsi="Arial" w:cs="Arial"/>
          <w:lang w:val="es-MX"/>
        </w:rPr>
        <w:t xml:space="preserve"> desde la perspectiva latinoamericana, conscientes de la importación en productos altos en tecnología y la exportación en su mayoría de productos </w:t>
      </w:r>
      <w:r w:rsidR="00131F1E">
        <w:rPr>
          <w:rFonts w:ascii="Arial" w:hAnsi="Arial" w:cs="Arial"/>
          <w:lang w:val="es-MX"/>
        </w:rPr>
        <w:t>intensivos en mano de obra</w:t>
      </w:r>
      <w:r w:rsidR="002168C8" w:rsidRPr="003E0592">
        <w:rPr>
          <w:rFonts w:ascii="Arial" w:hAnsi="Arial" w:cs="Arial"/>
          <w:lang w:val="es-MX"/>
        </w:rPr>
        <w:t xml:space="preserve"> y tierra, los autores</w:t>
      </w:r>
      <w:r w:rsidR="00B81E57" w:rsidRPr="003E0592">
        <w:rPr>
          <w:rFonts w:ascii="Arial" w:hAnsi="Arial" w:cs="Arial"/>
          <w:lang w:val="es-MX"/>
        </w:rPr>
        <w:t xml:space="preserve"> Lopes et al. </w:t>
      </w:r>
      <w:r w:rsidR="00B81E57" w:rsidRPr="003E0592">
        <w:rPr>
          <w:rFonts w:ascii="Arial" w:hAnsi="Arial" w:cs="Arial"/>
          <w:lang w:val="es-MX"/>
        </w:rPr>
        <w:fldChar w:fldCharType="begin"/>
      </w:r>
      <w:r w:rsidR="00A42206">
        <w:rPr>
          <w:rFonts w:ascii="Arial" w:hAnsi="Arial" w:cs="Arial"/>
          <w:lang w:val="es-MX"/>
        </w:rPr>
        <w:instrText xml:space="preserve"> ADDIN ZOTERO_ITEM CSL_CITATION {"citationID":"CquC93JD","properties":{"formattedCitation":"(Lopes et\\uc0\\u160{}al., 2021)","plainCitation":"(Lopes et al., 2021)","dontUpdate":true,"noteIndex":0},"citationItems":[{"id":47,"uris":["http://zotero.org/users/10063313/items/XV25A7HI"],"itemData":{"id":47,"type":"document","language":"pt","title":"Latin America and China: mutual benefit or dependency? CEPAL","author":[{"family":"Lopes","given":"D A"},{"family":"Andrade Bastos","given":"S"},{"family":"Perobilli","given":"F"}],"issued":{"date-parts":[["2021"]]}}}],"schema":"https://github.com/citation-style-language/schema/raw/master/csl-citation.json"} </w:instrText>
      </w:r>
      <w:r w:rsidR="00B81E57" w:rsidRPr="003E0592">
        <w:rPr>
          <w:rFonts w:ascii="Arial" w:hAnsi="Arial" w:cs="Arial"/>
          <w:lang w:val="es-MX"/>
        </w:rPr>
        <w:fldChar w:fldCharType="separate"/>
      </w:r>
      <w:r w:rsidR="00B81E57" w:rsidRPr="003E0592">
        <w:rPr>
          <w:rFonts w:ascii="Arial" w:hAnsi="Arial" w:cs="Arial"/>
        </w:rPr>
        <w:t>(2021)</w:t>
      </w:r>
      <w:r w:rsidR="00B81E57" w:rsidRPr="003E0592">
        <w:rPr>
          <w:rFonts w:ascii="Arial" w:hAnsi="Arial" w:cs="Arial"/>
          <w:lang w:val="es-MX"/>
        </w:rPr>
        <w:fldChar w:fldCharType="end"/>
      </w:r>
      <w:r w:rsidR="002168C8" w:rsidRPr="003E0592">
        <w:rPr>
          <w:rFonts w:ascii="Arial" w:hAnsi="Arial" w:cs="Arial"/>
          <w:lang w:val="es-MX"/>
        </w:rPr>
        <w:t xml:space="preserve"> se cuestionan si existe un beneficio mutuo o una dependencia del gigante asiático. </w:t>
      </w:r>
      <w:r w:rsidR="002168C8" w:rsidRPr="003E0592">
        <w:rPr>
          <w:rFonts w:ascii="Arial" w:hAnsi="Arial" w:cs="Arial"/>
          <w:lang w:val="es-HN"/>
        </w:rPr>
        <w:t>En su informe</w:t>
      </w:r>
      <w:r w:rsidR="00FB21CF">
        <w:rPr>
          <w:rFonts w:ascii="Arial" w:hAnsi="Arial" w:cs="Arial"/>
          <w:lang w:val="es-HN"/>
        </w:rPr>
        <w:t>,</w:t>
      </w:r>
      <w:r w:rsidR="002168C8" w:rsidRPr="003E0592">
        <w:rPr>
          <w:rFonts w:ascii="Arial" w:hAnsi="Arial" w:cs="Arial"/>
          <w:lang w:val="es-HN"/>
        </w:rPr>
        <w:t xml:space="preserve"> concluyen </w:t>
      </w:r>
      <w:r w:rsidR="00131F1E">
        <w:rPr>
          <w:rFonts w:ascii="Arial" w:hAnsi="Arial" w:cs="Arial"/>
          <w:lang w:val="es-HN"/>
        </w:rPr>
        <w:t>que</w:t>
      </w:r>
      <w:r w:rsidR="00FB21CF">
        <w:rPr>
          <w:rFonts w:ascii="Arial" w:hAnsi="Arial" w:cs="Arial"/>
          <w:lang w:val="es-HN"/>
        </w:rPr>
        <w:t>,</w:t>
      </w:r>
      <w:r w:rsidR="00131F1E">
        <w:rPr>
          <w:rFonts w:ascii="Arial" w:hAnsi="Arial" w:cs="Arial"/>
          <w:lang w:val="es-HN"/>
        </w:rPr>
        <w:t xml:space="preserve"> </w:t>
      </w:r>
      <w:r w:rsidR="00131F1E" w:rsidRPr="00131F1E">
        <w:rPr>
          <w:rFonts w:ascii="Arial" w:hAnsi="Arial" w:cs="Arial"/>
          <w:lang w:val="es-HN"/>
        </w:rPr>
        <w:t>en América Latina, la situación es preocupante</w:t>
      </w:r>
      <w:r w:rsidR="003E2C8D">
        <w:rPr>
          <w:rFonts w:ascii="Arial" w:hAnsi="Arial" w:cs="Arial"/>
          <w:lang w:val="es-HN"/>
        </w:rPr>
        <w:t>: a</w:t>
      </w:r>
      <w:r w:rsidR="00131F1E" w:rsidRPr="00131F1E">
        <w:rPr>
          <w:rFonts w:ascii="Arial" w:hAnsi="Arial" w:cs="Arial"/>
          <w:lang w:val="es-HN"/>
        </w:rPr>
        <w:t xml:space="preserve"> pesar de que la colaboración entre China y la región generó un aumento en el bienestar económico general durante la década de 2000, principalmente debido al auge en los precios de las materias primas, se percib</w:t>
      </w:r>
      <w:r w:rsidR="003E2C8D">
        <w:rPr>
          <w:rFonts w:ascii="Arial" w:hAnsi="Arial" w:cs="Arial"/>
          <w:lang w:val="es-HN"/>
        </w:rPr>
        <w:t>en</w:t>
      </w:r>
      <w:r w:rsidR="00131F1E" w:rsidRPr="00131F1E">
        <w:rPr>
          <w:rFonts w:ascii="Arial" w:hAnsi="Arial" w:cs="Arial"/>
          <w:lang w:val="es-HN"/>
        </w:rPr>
        <w:t xml:space="preserve"> indicios de un proceso de desindustrialización en los países latinoamericanos</w:t>
      </w:r>
      <w:r w:rsidR="002168C8" w:rsidRPr="003E0592">
        <w:rPr>
          <w:rFonts w:ascii="Arial" w:hAnsi="Arial" w:cs="Arial"/>
          <w:lang w:val="es-HN"/>
        </w:rPr>
        <w:t>.</w:t>
      </w:r>
    </w:p>
    <w:p w14:paraId="69F8C4F5" w14:textId="66C00657" w:rsidR="002168C8" w:rsidRPr="003E0592" w:rsidRDefault="002168C8" w:rsidP="002168C8">
      <w:pPr>
        <w:spacing w:after="240" w:line="360" w:lineRule="auto"/>
        <w:jc w:val="both"/>
        <w:rPr>
          <w:rFonts w:ascii="Arial" w:hAnsi="Arial" w:cs="Arial"/>
          <w:lang w:val="es-MX"/>
        </w:rPr>
      </w:pPr>
      <w:r w:rsidRPr="003E0592">
        <w:rPr>
          <w:rFonts w:ascii="Arial" w:hAnsi="Arial" w:cs="Arial"/>
          <w:lang w:val="es-MX"/>
        </w:rPr>
        <w:t>Esta afirmación es congruente con lo encontrado por Jenkins et al.</w:t>
      </w:r>
      <w:r w:rsidR="00B81E57" w:rsidRPr="003E0592">
        <w:rPr>
          <w:rFonts w:ascii="Arial" w:hAnsi="Arial" w:cs="Arial"/>
          <w:lang w:val="es-MX"/>
        </w:rPr>
        <w:t xml:space="preserve"> </w:t>
      </w:r>
      <w:r w:rsidR="00B81E57" w:rsidRPr="003E0592">
        <w:rPr>
          <w:rFonts w:ascii="Arial" w:hAnsi="Arial" w:cs="Arial"/>
          <w:lang w:val="es-MX"/>
        </w:rPr>
        <w:fldChar w:fldCharType="begin"/>
      </w:r>
      <w:r w:rsidR="00A42206">
        <w:rPr>
          <w:rFonts w:ascii="Arial" w:hAnsi="Arial" w:cs="Arial"/>
          <w:lang w:val="es-MX"/>
        </w:rPr>
        <w:instrText xml:space="preserve"> ADDIN ZOTERO_ITEM CSL_CITATION {"citationID":"fNAu5myJ","properties":{"formattedCitation":"(Jenkins &amp; Dussel, 2008)","plainCitation":"(Jenkins &amp; Dussel, 2008)","dontUpdate":true,"noteIndex":0},"citationItems":[{"id":3,"uris":["http://zotero.org/users/10063313/items/7M7IMYAG"],"itemData":{"id":3,"type":"article-journal","title":"The Impact of China on Latin America and the Caribbean","author":[{"family":"Jenkins","given":"Rhys"},{"family":"Dussel","given":"Enrique"}],"issued":{"date-parts":[["2008"]]}}}],"schema":"https://github.com/citation-style-language/schema/raw/master/csl-citation.json"} </w:instrText>
      </w:r>
      <w:r w:rsidR="00B81E57" w:rsidRPr="003E0592">
        <w:rPr>
          <w:rFonts w:ascii="Arial" w:hAnsi="Arial" w:cs="Arial"/>
          <w:lang w:val="es-MX"/>
        </w:rPr>
        <w:fldChar w:fldCharType="separate"/>
      </w:r>
      <w:r w:rsidR="00B81E57" w:rsidRPr="003E0592">
        <w:rPr>
          <w:rFonts w:ascii="Arial" w:hAnsi="Arial" w:cs="Arial"/>
        </w:rPr>
        <w:t>(2008)</w:t>
      </w:r>
      <w:r w:rsidR="00B81E57" w:rsidRPr="003E0592">
        <w:rPr>
          <w:rFonts w:ascii="Arial" w:hAnsi="Arial" w:cs="Arial"/>
          <w:lang w:val="es-MX"/>
        </w:rPr>
        <w:fldChar w:fldCharType="end"/>
      </w:r>
      <w:r w:rsidRPr="003E0592">
        <w:rPr>
          <w:rFonts w:ascii="Arial" w:hAnsi="Arial" w:cs="Arial"/>
          <w:lang w:val="es-MX"/>
        </w:rPr>
        <w:t xml:space="preserve"> quienes explicaron la existencia de ganadores y perdedores en el comercio bilateral entre América Latina y China. En este contexto, se destaca que México y los países centroamericanos se encuentran entre los principales perdedores, principalmente debido a la escasa diversificación en los productos exportados. </w:t>
      </w:r>
    </w:p>
    <w:p w14:paraId="07A8E0B8" w14:textId="2B48D5EA" w:rsidR="002168C8" w:rsidRPr="004241CA" w:rsidRDefault="002168C8" w:rsidP="002168C8">
      <w:pPr>
        <w:spacing w:after="240" w:line="360" w:lineRule="auto"/>
        <w:jc w:val="both"/>
        <w:rPr>
          <w:rFonts w:ascii="Arial" w:hAnsi="Arial" w:cs="Arial"/>
          <w:lang w:val="es-MX"/>
        </w:rPr>
      </w:pPr>
      <w:r w:rsidRPr="003E0592">
        <w:rPr>
          <w:rFonts w:ascii="Arial" w:hAnsi="Arial" w:cs="Arial"/>
          <w:lang w:val="es-MX"/>
        </w:rPr>
        <w:t>Como lo mencionan también</w:t>
      </w:r>
      <w:r w:rsidRPr="003E0592">
        <w:rPr>
          <w:rFonts w:ascii="Arial" w:hAnsi="Arial" w:cs="Arial"/>
        </w:rPr>
        <w:t xml:space="preserve"> Durán </w:t>
      </w:r>
      <w:r w:rsidRPr="00FB21CF">
        <w:rPr>
          <w:rFonts w:ascii="Arial" w:hAnsi="Arial" w:cs="Arial"/>
          <w:i/>
          <w:iCs/>
        </w:rPr>
        <w:t>et al.</w:t>
      </w:r>
      <w:r w:rsidR="00B81E57" w:rsidRPr="003E0592">
        <w:rPr>
          <w:rFonts w:ascii="Arial" w:hAnsi="Arial" w:cs="Arial"/>
        </w:rPr>
        <w:t xml:space="preserve"> </w:t>
      </w:r>
      <w:r w:rsidR="00B81E57" w:rsidRPr="003E0592">
        <w:rPr>
          <w:rFonts w:ascii="Arial" w:hAnsi="Arial" w:cs="Arial"/>
        </w:rPr>
        <w:fldChar w:fldCharType="begin"/>
      </w:r>
      <w:r w:rsidR="00FA3C64">
        <w:rPr>
          <w:rFonts w:ascii="Arial" w:hAnsi="Arial" w:cs="Arial"/>
        </w:rPr>
        <w:instrText xml:space="preserve"> ADDIN ZOTERO_ITEM CSL_CITATION {"citationID":"wL9enQK1","properties":{"formattedCitation":"(Dur\\uc0\\u225{}n &amp; Pellandra, 2017)","plainCitation":"(Durán &amp; Pellandra, 2017)","dontUpdate":true,"noteIndex":0},"citationItems":[{"id":5,"uris":["http://zotero.org/users/10063313/items/CW94AJIV"],"itemData":{"id":5,"type":"report","publisher":"Naciones Unidas","publisher-place":"Santiago","title":"La irrupción de China y su impacto sobre la estructura productiva y comercial en América Latina y el Caribe","author":[{"family":"Durán","given":"José"},{"family":"Pellandra","given":"Andrea"}],"issued":{"date-parts":[["2017"]]}}}],"schema":"https://github.com/citation-style-language/schema/raw/master/csl-citation.json"} </w:instrText>
      </w:r>
      <w:r w:rsidR="00B81E57" w:rsidRPr="003E0592">
        <w:rPr>
          <w:rFonts w:ascii="Arial" w:hAnsi="Arial" w:cs="Arial"/>
        </w:rPr>
        <w:fldChar w:fldCharType="separate"/>
      </w:r>
      <w:r w:rsidR="00B81E57" w:rsidRPr="003E0592">
        <w:rPr>
          <w:rFonts w:ascii="Arial" w:hAnsi="Arial" w:cs="Arial"/>
        </w:rPr>
        <w:t>(2017)</w:t>
      </w:r>
      <w:r w:rsidR="00B81E57" w:rsidRPr="003E0592">
        <w:rPr>
          <w:rFonts w:ascii="Arial" w:hAnsi="Arial" w:cs="Arial"/>
        </w:rPr>
        <w:fldChar w:fldCharType="end"/>
      </w:r>
      <w:r w:rsidR="0084748E">
        <w:rPr>
          <w:rFonts w:ascii="Arial" w:hAnsi="Arial" w:cs="Arial"/>
        </w:rPr>
        <w:t>,</w:t>
      </w:r>
      <w:r w:rsidRPr="003E0592">
        <w:rPr>
          <w:rFonts w:ascii="Arial" w:hAnsi="Arial" w:cs="Arial"/>
          <w:lang w:val="es-MX"/>
        </w:rPr>
        <w:t xml:space="preserve"> la región de América Latina experimenta un auge en las exportaciones de recursos naturales, esto gracias al fuerte crecimiento económico de China, considerándolo un beneficio de la relación comercial, sin embargo, hay desafíos significativos, como lo es la concentración excesiva en productos básicos en las exportaciones, para el autor, una preocupación, ya que esto puede ocasionar una desindustrialización, al desestimular la producción de bienes manufacturados y por supuesto la </w:t>
      </w:r>
      <w:r w:rsidRPr="004241CA">
        <w:rPr>
          <w:rFonts w:ascii="Arial" w:hAnsi="Arial" w:cs="Arial"/>
          <w:lang w:val="es-MX"/>
        </w:rPr>
        <w:t xml:space="preserve">afectación a productores locales en sus propios mercados y terceros. </w:t>
      </w:r>
    </w:p>
    <w:p w14:paraId="2AD87410" w14:textId="32A699CE" w:rsidR="002168C8" w:rsidRPr="003E0592" w:rsidRDefault="00257A24" w:rsidP="002168C8">
      <w:pPr>
        <w:spacing w:after="240" w:line="360" w:lineRule="auto"/>
        <w:jc w:val="both"/>
        <w:rPr>
          <w:rFonts w:ascii="Arial" w:hAnsi="Arial" w:cs="Arial"/>
          <w:lang w:val="es-MX"/>
        </w:rPr>
      </w:pPr>
      <w:r w:rsidRPr="00B06E77">
        <w:rPr>
          <w:rFonts w:ascii="Arial" w:hAnsi="Arial" w:cs="Arial"/>
          <w:color w:val="0D0D0D" w:themeColor="text1" w:themeTint="F2"/>
          <w:lang w:val="es-MX"/>
        </w:rPr>
        <w:t>Todo lo anterior evidencia que, c</w:t>
      </w:r>
      <w:r w:rsidR="002168C8" w:rsidRPr="00B06E77">
        <w:rPr>
          <w:rFonts w:ascii="Arial" w:hAnsi="Arial" w:cs="Arial"/>
          <w:color w:val="0D0D0D" w:themeColor="text1" w:themeTint="F2"/>
          <w:lang w:val="es-MX"/>
        </w:rPr>
        <w:t>on el paso del tiempo, la presencia de China en el mundo ha aumentado y en</w:t>
      </w:r>
      <w:r w:rsidR="001033C0" w:rsidRPr="00B06E77">
        <w:rPr>
          <w:rFonts w:ascii="Arial" w:hAnsi="Arial" w:cs="Arial"/>
          <w:color w:val="0D0D0D" w:themeColor="text1" w:themeTint="F2"/>
          <w:lang w:val="es-MX"/>
        </w:rPr>
        <w:t xml:space="preserve"> </w:t>
      </w:r>
      <w:r w:rsidR="002168C8" w:rsidRPr="00B06E77">
        <w:rPr>
          <w:rFonts w:ascii="Arial" w:hAnsi="Arial" w:cs="Arial"/>
          <w:color w:val="0D0D0D" w:themeColor="text1" w:themeTint="F2"/>
          <w:lang w:val="es-MX"/>
        </w:rPr>
        <w:t xml:space="preserve">el caso de América Latina y el Caribe con mayor impulso las últimas dos décadas, sobre todo por el interés chino en una significativa demanda </w:t>
      </w:r>
      <w:r w:rsidR="002168C8" w:rsidRPr="003E0592">
        <w:rPr>
          <w:rFonts w:ascii="Arial" w:hAnsi="Arial" w:cs="Arial"/>
          <w:lang w:val="es-MX"/>
        </w:rPr>
        <w:t>de materias primas, como ser el cobre, soya y la industria de energía</w:t>
      </w:r>
      <w:r w:rsidR="00334645" w:rsidRPr="00334645">
        <w:rPr>
          <w:rFonts w:ascii="Arial" w:hAnsi="Arial" w:cs="Arial"/>
          <w:lang w:val="es-MX"/>
        </w:rPr>
        <w:t xml:space="preserve">. Actualmente, China se posiciona como uno de los principales destinos de exportación para países como Brasil, Chile, Perú, Argentina y </w:t>
      </w:r>
      <w:r w:rsidR="00334645" w:rsidRPr="00334645">
        <w:rPr>
          <w:rFonts w:ascii="Arial" w:hAnsi="Arial" w:cs="Arial"/>
          <w:lang w:val="es-MX"/>
        </w:rPr>
        <w:lastRenderedPageBreak/>
        <w:t>México, y</w:t>
      </w:r>
      <w:r w:rsidR="0084748E">
        <w:rPr>
          <w:rFonts w:ascii="Arial" w:hAnsi="Arial" w:cs="Arial"/>
          <w:lang w:val="es-MX"/>
        </w:rPr>
        <w:t>,</w:t>
      </w:r>
      <w:r w:rsidR="00334645" w:rsidRPr="00334645">
        <w:rPr>
          <w:rFonts w:ascii="Arial" w:hAnsi="Arial" w:cs="Arial"/>
          <w:lang w:val="es-MX"/>
        </w:rPr>
        <w:t xml:space="preserve"> desde 2019 se ha consolidado como el segundo socio comercial más importante de la región, superando a la Unión Europea y a la propia América Latina en volumen de comercio </w:t>
      </w:r>
      <w:r w:rsidR="00334645">
        <w:rPr>
          <w:rFonts w:ascii="Arial" w:hAnsi="Arial" w:cs="Arial"/>
          <w:lang w:val="es-MX"/>
        </w:rPr>
        <w:fldChar w:fldCharType="begin"/>
      </w:r>
      <w:r w:rsidR="00C37C85">
        <w:rPr>
          <w:rFonts w:ascii="Arial" w:hAnsi="Arial" w:cs="Arial"/>
          <w:lang w:val="es-MX"/>
        </w:rPr>
        <w:instrText xml:space="preserve"> ADDIN ZOTERO_ITEM CSL_CITATION {"citationID":"IAkeS0MI","properties":{"formattedCitation":"(Comisi\\uc0\\u243{}n Econ\\uc0\\u243{}mica para Am\\uc0\\u233{}rica Latina y el Caribe, 2025)","plainCitation":"(Comisión Económica para América Latina y el Caribe, 2025)","dontUpdate":true,"noteIndex":0},"citationItems":[{"id":1963,"uris":["http://zotero.org/users/10063313/items/STE6C9EM"],"itemData":{"id":1963,"type":"article-journal","title":"Las relaciones entre América Latina y el Caribe y China: áreas de oportunidad para un desarrollo más productivo, inclusivo y sostenible","author":[{"literal":"CEPAL"}],"issued":{"date-parts":[["2025"]]}}}],"schema":"https://github.com/citation-style-language/schema/raw/master/csl-citation.json"} </w:instrText>
      </w:r>
      <w:r w:rsidR="00334645">
        <w:rPr>
          <w:rFonts w:ascii="Arial" w:hAnsi="Arial" w:cs="Arial"/>
          <w:lang w:val="es-MX"/>
        </w:rPr>
        <w:fldChar w:fldCharType="separate"/>
      </w:r>
      <w:r w:rsidR="00334645" w:rsidRPr="00334645">
        <w:rPr>
          <w:rFonts w:ascii="Arial" w:hAnsi="Arial" w:cs="Arial"/>
          <w:lang w:val="es-MX"/>
        </w:rPr>
        <w:t>(C</w:t>
      </w:r>
      <w:r w:rsidR="00334645">
        <w:rPr>
          <w:rFonts w:ascii="Arial" w:hAnsi="Arial" w:cs="Arial"/>
          <w:lang w:val="es-MX"/>
        </w:rPr>
        <w:t>EPAL</w:t>
      </w:r>
      <w:r w:rsidR="00334645" w:rsidRPr="00334645">
        <w:rPr>
          <w:rFonts w:ascii="Arial" w:hAnsi="Arial" w:cs="Arial"/>
          <w:lang w:val="es-MX"/>
        </w:rPr>
        <w:t>, 2025)</w:t>
      </w:r>
      <w:r w:rsidR="00334645">
        <w:rPr>
          <w:rFonts w:ascii="Arial" w:hAnsi="Arial" w:cs="Arial"/>
          <w:lang w:val="es-MX"/>
        </w:rPr>
        <w:fldChar w:fldCharType="end"/>
      </w:r>
      <w:r w:rsidR="00971B51" w:rsidRPr="00971B51">
        <w:rPr>
          <w:rFonts w:ascii="Arial" w:hAnsi="Arial" w:cs="Arial"/>
          <w:color w:val="568D11" w:themeColor="accent3" w:themeShade="80"/>
          <w:lang w:val="es-MX"/>
        </w:rPr>
        <w:t xml:space="preserve"> </w:t>
      </w:r>
    </w:p>
    <w:p w14:paraId="4CE94B00" w14:textId="39656B7C" w:rsidR="002168C8" w:rsidRPr="003E0592" w:rsidRDefault="00FB21CF" w:rsidP="002168C8">
      <w:pPr>
        <w:spacing w:after="240" w:line="360" w:lineRule="auto"/>
        <w:jc w:val="both"/>
        <w:rPr>
          <w:rFonts w:ascii="Arial" w:hAnsi="Arial" w:cs="Arial"/>
          <w:lang w:val="es-MX"/>
        </w:rPr>
      </w:pPr>
      <w:r w:rsidRPr="00B06E77">
        <w:rPr>
          <w:rFonts w:ascii="Arial" w:hAnsi="Arial" w:cs="Arial"/>
          <w:color w:val="0D0D0D" w:themeColor="text1" w:themeTint="F2"/>
          <w:lang w:val="es-MX"/>
        </w:rPr>
        <w:t>Como parte del contexto descrito anteriormente, a</w:t>
      </w:r>
      <w:r w:rsidR="002168C8" w:rsidRPr="00B06E77">
        <w:rPr>
          <w:rFonts w:ascii="Arial" w:hAnsi="Arial" w:cs="Arial"/>
          <w:color w:val="0D0D0D" w:themeColor="text1" w:themeTint="F2"/>
          <w:lang w:val="es-MX"/>
        </w:rPr>
        <w:t xml:space="preserve"> medida que China ha ganado reconocimiento internacional </w:t>
      </w:r>
      <w:r w:rsidR="002168C8" w:rsidRPr="003E0592">
        <w:rPr>
          <w:rFonts w:ascii="Arial" w:hAnsi="Arial" w:cs="Arial"/>
          <w:lang w:val="es-MX"/>
        </w:rPr>
        <w:t>por parte de organismos y gobiernos, Taiwán experimenta una disminución en sus relaciones diplomáticas con otros países.</w:t>
      </w:r>
    </w:p>
    <w:p w14:paraId="2CEF19E4" w14:textId="0E0573B2" w:rsidR="002168C8" w:rsidRPr="00971B51" w:rsidRDefault="00257A24" w:rsidP="002168C8">
      <w:pPr>
        <w:spacing w:after="240" w:line="360" w:lineRule="auto"/>
        <w:jc w:val="both"/>
        <w:rPr>
          <w:rFonts w:ascii="Arial" w:hAnsi="Arial" w:cs="Arial"/>
          <w:color w:val="568D11" w:themeColor="accent3" w:themeShade="80"/>
          <w:lang w:val="es-MX"/>
        </w:rPr>
      </w:pPr>
      <w:r w:rsidRPr="00B06E77">
        <w:rPr>
          <w:rFonts w:ascii="Arial" w:hAnsi="Arial" w:cs="Arial"/>
          <w:color w:val="0D0D0D" w:themeColor="text1" w:themeTint="F2"/>
          <w:lang w:val="es-MX"/>
        </w:rPr>
        <w:t xml:space="preserve">Precisamente, la </w:t>
      </w:r>
      <w:r w:rsidR="002168C8" w:rsidRPr="00B06E77">
        <w:rPr>
          <w:rFonts w:ascii="Arial" w:hAnsi="Arial" w:cs="Arial"/>
          <w:color w:val="0D0D0D" w:themeColor="text1" w:themeTint="F2"/>
          <w:lang w:val="es-MX"/>
        </w:rPr>
        <w:t>Republica de Honduras era parte</w:t>
      </w:r>
      <w:r w:rsidRPr="00B06E77">
        <w:rPr>
          <w:rFonts w:ascii="Arial" w:hAnsi="Arial" w:cs="Arial"/>
          <w:color w:val="0D0D0D" w:themeColor="text1" w:themeTint="F2"/>
          <w:lang w:val="es-MX"/>
        </w:rPr>
        <w:t xml:space="preserve"> hasta el 25 de marzo de 2023,</w:t>
      </w:r>
      <w:r w:rsidR="002168C8" w:rsidRPr="00B06E77">
        <w:rPr>
          <w:rFonts w:ascii="Arial" w:hAnsi="Arial" w:cs="Arial"/>
          <w:color w:val="0D0D0D" w:themeColor="text1" w:themeTint="F2"/>
          <w:lang w:val="es-MX"/>
        </w:rPr>
        <w:t xml:space="preserve"> de</w:t>
      </w:r>
      <w:r w:rsidRPr="00B06E77">
        <w:rPr>
          <w:rFonts w:ascii="Arial" w:hAnsi="Arial" w:cs="Arial"/>
          <w:color w:val="0D0D0D" w:themeColor="text1" w:themeTint="F2"/>
          <w:lang w:val="es-MX"/>
        </w:rPr>
        <w:t>l</w:t>
      </w:r>
      <w:r w:rsidR="002168C8" w:rsidRPr="00B06E77">
        <w:rPr>
          <w:rFonts w:ascii="Arial" w:hAnsi="Arial" w:cs="Arial"/>
          <w:color w:val="0D0D0D" w:themeColor="text1" w:themeTint="F2"/>
          <w:lang w:val="es-MX"/>
        </w:rPr>
        <w:t xml:space="preserve"> grupo de naciones</w:t>
      </w:r>
      <w:r w:rsidRPr="00B06E77">
        <w:rPr>
          <w:rFonts w:ascii="Arial" w:hAnsi="Arial" w:cs="Arial"/>
          <w:color w:val="0D0D0D" w:themeColor="text1" w:themeTint="F2"/>
          <w:lang w:val="es-MX"/>
        </w:rPr>
        <w:t xml:space="preserve"> que reconocían a Taiwán</w:t>
      </w:r>
      <w:r w:rsidR="002168C8" w:rsidRPr="00B06E77">
        <w:rPr>
          <w:rFonts w:ascii="Arial" w:hAnsi="Arial" w:cs="Arial"/>
          <w:color w:val="0D0D0D" w:themeColor="text1" w:themeTint="F2"/>
          <w:lang w:val="es-MX"/>
        </w:rPr>
        <w:t xml:space="preserve">, </w:t>
      </w:r>
      <w:r w:rsidRPr="00B06E77">
        <w:rPr>
          <w:rFonts w:ascii="Arial" w:hAnsi="Arial" w:cs="Arial"/>
          <w:color w:val="0D0D0D" w:themeColor="text1" w:themeTint="F2"/>
          <w:lang w:val="es-MX"/>
        </w:rPr>
        <w:t xml:space="preserve">fecha en que </w:t>
      </w:r>
      <w:r w:rsidR="002168C8" w:rsidRPr="00B06E77">
        <w:rPr>
          <w:rFonts w:ascii="Arial" w:hAnsi="Arial" w:cs="Arial"/>
          <w:color w:val="0D0D0D" w:themeColor="text1" w:themeTint="F2"/>
          <w:lang w:val="es-MX"/>
        </w:rPr>
        <w:t xml:space="preserve">el país centroamericano hace oficial su ruptura de relaciones diplomáticas con Taiwán, mediante un comunicado oficial de la Secretaría de Relaciones Exteriores y </w:t>
      </w:r>
      <w:r w:rsidR="002168C8" w:rsidRPr="003E0592">
        <w:rPr>
          <w:rFonts w:ascii="Arial" w:hAnsi="Arial" w:cs="Arial"/>
          <w:lang w:val="es-MX"/>
        </w:rPr>
        <w:t xml:space="preserve">Cooperación Internacional </w:t>
      </w:r>
      <w:r w:rsidR="001033C0" w:rsidRPr="003E0592">
        <w:rPr>
          <w:rFonts w:ascii="Arial" w:hAnsi="Arial" w:cs="Arial"/>
          <w:lang w:val="es-MX"/>
        </w:rPr>
        <w:fldChar w:fldCharType="begin"/>
      </w:r>
      <w:r w:rsidR="00386C68">
        <w:rPr>
          <w:rFonts w:ascii="Arial" w:hAnsi="Arial" w:cs="Arial"/>
          <w:lang w:val="es-MX"/>
        </w:rPr>
        <w:instrText xml:space="preserve"> ADDIN ZOTERO_ITEM CSL_CITATION {"citationID":"9Iqitl7f","properties":{"formattedCitation":"(Secretar\\uc0\\u237{}a de Relaciones Exteriores y Cooperaci\\uc0\\u243{}n Internacional, 2023)","plainCitation":"(Secretaría de Relaciones Exteriores y Cooperación Internacional, 2023)","dontUpdate":true,"noteIndex":0},"citationItems":[{"id":29,"uris":["http://zotero.org/users/10063313/items/YSZWRZ7S"],"itemData":{"id":29,"type":"document","language":"es","title":"Comunicado: Honduras Anuncia Ruptura de Relaciones Diplomáticas con Taiwán","author":[{"literal":"Secretaría de Relaciones Exteriores y Cooperación Internacional"}],"issued":{"date-parts":[["2023"]]}}}],"schema":"https://github.com/citation-style-language/schema/raw/master/csl-citation.json"} </w:instrText>
      </w:r>
      <w:r w:rsidR="001033C0" w:rsidRPr="003E0592">
        <w:rPr>
          <w:rFonts w:ascii="Arial" w:hAnsi="Arial" w:cs="Arial"/>
          <w:lang w:val="es-MX"/>
        </w:rPr>
        <w:fldChar w:fldCharType="separate"/>
      </w:r>
      <w:r w:rsidR="001033C0" w:rsidRPr="003E0592">
        <w:rPr>
          <w:rFonts w:ascii="Arial" w:hAnsi="Arial" w:cs="Arial"/>
        </w:rPr>
        <w:t>(2023)</w:t>
      </w:r>
      <w:r w:rsidR="001033C0" w:rsidRPr="003E0592">
        <w:rPr>
          <w:rFonts w:ascii="Arial" w:hAnsi="Arial" w:cs="Arial"/>
          <w:lang w:val="es-MX"/>
        </w:rPr>
        <w:fldChar w:fldCharType="end"/>
      </w:r>
      <w:r w:rsidR="001033C0" w:rsidRPr="003E0592">
        <w:rPr>
          <w:rFonts w:ascii="Arial" w:hAnsi="Arial" w:cs="Arial"/>
          <w:lang w:val="es-MX"/>
        </w:rPr>
        <w:t xml:space="preserve">, </w:t>
      </w:r>
      <w:r w:rsidR="002168C8" w:rsidRPr="003E0592">
        <w:rPr>
          <w:rFonts w:ascii="Arial" w:hAnsi="Arial" w:cs="Arial"/>
          <w:lang w:val="es-MX"/>
        </w:rPr>
        <w:t>en él se reconoce la existencia del principio de “una sola China”, una política que condiciona sus relaciones diplomáticas a romper vínculos con Taiwán y a reconocer los derechos de China sobre este</w:t>
      </w:r>
      <w:r w:rsidR="001033C0" w:rsidRPr="003E0592">
        <w:rPr>
          <w:rFonts w:ascii="Arial" w:hAnsi="Arial" w:cs="Arial"/>
          <w:lang w:val="es-MX"/>
        </w:rPr>
        <w:t xml:space="preserve"> </w:t>
      </w:r>
      <w:r w:rsidR="001033C0" w:rsidRPr="003E0592">
        <w:rPr>
          <w:rFonts w:ascii="Arial" w:hAnsi="Arial" w:cs="Arial"/>
          <w:lang w:val="es-MX"/>
        </w:rPr>
        <w:fldChar w:fldCharType="begin"/>
      </w:r>
      <w:r w:rsidR="00A42206">
        <w:rPr>
          <w:rFonts w:ascii="Arial" w:hAnsi="Arial" w:cs="Arial"/>
          <w:lang w:val="es-MX"/>
        </w:rPr>
        <w:instrText xml:space="preserve"> ADDIN ZOTERO_ITEM CSL_CITATION {"citationID":"jyWDQbPc","properties":{"formattedCitation":"(Secretar\\uc0\\u237{}a de Integraci\\uc0\\u243{}n Econ\\uc0\\u243{}mica Centroamericana (SIECA), 2012)","plainCitation":"(Secretaría de Integración Económica Centroamericana (SIECA), 2012)","noteIndex":0},"citationItems":[{"id":28,"uris":["http://zotero.org/users/10063313/items/E45KK6CP"],"itemData":{"id":28,"type":"document","language":"pt","title":"Relaciones Comerciales entre Centroamérica y la República Popular China","author":[{"literal":"Secretaría de Integración Económica Centroamericana (SIECA)"}],"issued":{"date-parts":[["2012"]]}}}],"schema":"https://github.com/citation-style-language/schema/raw/master/csl-citation.json"} </w:instrText>
      </w:r>
      <w:r w:rsidR="001033C0" w:rsidRPr="003E0592">
        <w:rPr>
          <w:rFonts w:ascii="Arial" w:hAnsi="Arial" w:cs="Arial"/>
          <w:lang w:val="es-MX"/>
        </w:rPr>
        <w:fldChar w:fldCharType="separate"/>
      </w:r>
      <w:r w:rsidR="001033C0" w:rsidRPr="003E0592">
        <w:rPr>
          <w:rFonts w:ascii="Arial" w:hAnsi="Arial" w:cs="Arial"/>
        </w:rPr>
        <w:t>(Secretaría de Integración Económica Centroamericana (SIECA),</w:t>
      </w:r>
      <w:r w:rsidR="005F13CB">
        <w:rPr>
          <w:rFonts w:ascii="Arial" w:hAnsi="Arial" w:cs="Arial"/>
        </w:rPr>
        <w:t xml:space="preserve"> </w:t>
      </w:r>
      <w:r w:rsidR="001033C0" w:rsidRPr="003E0592">
        <w:rPr>
          <w:rFonts w:ascii="Arial" w:hAnsi="Arial" w:cs="Arial"/>
        </w:rPr>
        <w:t>2012)</w:t>
      </w:r>
      <w:r w:rsidR="001033C0" w:rsidRPr="003E0592">
        <w:rPr>
          <w:rFonts w:ascii="Arial" w:hAnsi="Arial" w:cs="Arial"/>
          <w:lang w:val="es-MX"/>
        </w:rPr>
        <w:fldChar w:fldCharType="end"/>
      </w:r>
      <w:r w:rsidR="001033C0" w:rsidRPr="003E0592">
        <w:rPr>
          <w:rFonts w:ascii="Arial" w:hAnsi="Arial" w:cs="Arial"/>
          <w:lang w:val="es-MX"/>
        </w:rPr>
        <w:t xml:space="preserve">. </w:t>
      </w:r>
      <w:r w:rsidR="002168C8" w:rsidRPr="003E0592">
        <w:rPr>
          <w:rFonts w:ascii="Arial" w:hAnsi="Arial" w:cs="Arial"/>
          <w:lang w:val="es-MX"/>
        </w:rPr>
        <w:t xml:space="preserve">Se confirma que Honduras a partir de ese momento inicia lazos diplomáticos con la República Popular de China, lo cual se confirma también en una declaración conjunta de Honduras y China el mismo día. </w:t>
      </w:r>
      <w:r w:rsidR="00971B51">
        <w:rPr>
          <w:rFonts w:ascii="Arial" w:hAnsi="Arial" w:cs="Arial"/>
          <w:lang w:val="es-MX"/>
        </w:rPr>
        <w:t xml:space="preserve"> </w:t>
      </w:r>
    </w:p>
    <w:p w14:paraId="6BC0FFF7" w14:textId="05628968" w:rsidR="002168C8" w:rsidRPr="001241C5" w:rsidRDefault="002168C8" w:rsidP="002168C8">
      <w:pPr>
        <w:spacing w:after="240" w:line="360" w:lineRule="auto"/>
        <w:jc w:val="both"/>
        <w:rPr>
          <w:rFonts w:ascii="Arial" w:hAnsi="Arial" w:cs="Arial"/>
          <w:color w:val="000000" w:themeColor="text1"/>
          <w:lang w:val="es-MX"/>
        </w:rPr>
      </w:pPr>
      <w:r w:rsidRPr="001241C5">
        <w:rPr>
          <w:rFonts w:ascii="Arial" w:hAnsi="Arial" w:cs="Arial"/>
          <w:color w:val="000000" w:themeColor="text1"/>
          <w:lang w:val="es-MX"/>
        </w:rPr>
        <w:t xml:space="preserve">Este acontecimiento </w:t>
      </w:r>
      <w:r w:rsidR="00834AC7" w:rsidRPr="001241C5">
        <w:rPr>
          <w:rFonts w:ascii="Arial" w:hAnsi="Arial" w:cs="Arial"/>
          <w:color w:val="000000" w:themeColor="text1"/>
          <w:lang w:val="es-MX"/>
        </w:rPr>
        <w:t>gener</w:t>
      </w:r>
      <w:r w:rsidR="001241C5" w:rsidRPr="001241C5">
        <w:rPr>
          <w:rFonts w:ascii="Arial" w:hAnsi="Arial" w:cs="Arial"/>
          <w:color w:val="000000" w:themeColor="text1"/>
          <w:lang w:val="es-MX"/>
        </w:rPr>
        <w:t>ó</w:t>
      </w:r>
      <w:r w:rsidR="00834AC7" w:rsidRPr="001241C5">
        <w:rPr>
          <w:rFonts w:ascii="Arial" w:hAnsi="Arial" w:cs="Arial"/>
          <w:color w:val="000000" w:themeColor="text1"/>
          <w:lang w:val="es-MX"/>
        </w:rPr>
        <w:t xml:space="preserve"> </w:t>
      </w:r>
      <w:r w:rsidRPr="001241C5">
        <w:rPr>
          <w:rFonts w:ascii="Arial" w:hAnsi="Arial" w:cs="Arial"/>
          <w:color w:val="000000" w:themeColor="text1"/>
          <w:lang w:val="es-MX"/>
        </w:rPr>
        <w:t xml:space="preserve">una serie de eventos relevantes desde su publicación, entre los cuales se destacan la discusión en medios internacionales, ruedas de empresa, la inauguración de la embajada China en la capital hondureña, Tegucigalpa, y la visita de la presidenta de Honduras, Xiomara Castro a China. Estos acontecimientos </w:t>
      </w:r>
      <w:r w:rsidR="00834AC7" w:rsidRPr="001241C5">
        <w:rPr>
          <w:rFonts w:ascii="Arial" w:hAnsi="Arial" w:cs="Arial"/>
          <w:color w:val="000000" w:themeColor="text1"/>
          <w:lang w:val="es-MX"/>
        </w:rPr>
        <w:t xml:space="preserve">tuvieron </w:t>
      </w:r>
      <w:r w:rsidRPr="001241C5">
        <w:rPr>
          <w:rFonts w:ascii="Arial" w:hAnsi="Arial" w:cs="Arial"/>
          <w:color w:val="000000" w:themeColor="text1"/>
          <w:lang w:val="es-MX"/>
        </w:rPr>
        <w:t xml:space="preserve">lugar en los primeros 3 meses desde el anuncio en marzo de 2023, demostrando la rapidez con la que se está llevando a cabo el cambio. </w:t>
      </w:r>
    </w:p>
    <w:p w14:paraId="66289326" w14:textId="1BAB258B" w:rsidR="002168C8" w:rsidRPr="001241C5" w:rsidRDefault="002168C8" w:rsidP="002168C8">
      <w:pPr>
        <w:spacing w:after="240" w:line="360" w:lineRule="auto"/>
        <w:jc w:val="both"/>
        <w:rPr>
          <w:rFonts w:ascii="Arial" w:hAnsi="Arial" w:cs="Arial"/>
          <w:color w:val="000000" w:themeColor="text1"/>
          <w:lang w:val="es-MX"/>
        </w:rPr>
      </w:pPr>
      <w:r w:rsidRPr="001241C5">
        <w:rPr>
          <w:rFonts w:ascii="Arial" w:hAnsi="Arial" w:cs="Arial"/>
          <w:color w:val="000000" w:themeColor="text1"/>
          <w:lang w:val="es-MX"/>
        </w:rPr>
        <w:t>Sumado a estos eventos, el canciller hondureño, Eduardo Enrique Reina anunció en una de las ruedas de prensa en mayo que Honduras pronto</w:t>
      </w:r>
      <w:r w:rsidR="001241C5" w:rsidRPr="001241C5">
        <w:rPr>
          <w:rFonts w:ascii="Arial" w:hAnsi="Arial" w:cs="Arial"/>
          <w:color w:val="000000" w:themeColor="text1"/>
          <w:lang w:val="es-MX"/>
        </w:rPr>
        <w:t xml:space="preserve"> </w:t>
      </w:r>
      <w:r w:rsidR="00834AC7" w:rsidRPr="001241C5">
        <w:rPr>
          <w:rFonts w:ascii="Arial" w:hAnsi="Arial" w:cs="Arial"/>
          <w:color w:val="000000" w:themeColor="text1"/>
          <w:lang w:val="es-MX"/>
        </w:rPr>
        <w:t xml:space="preserve">iniciaría </w:t>
      </w:r>
      <w:r w:rsidRPr="001241C5">
        <w:rPr>
          <w:rFonts w:ascii="Arial" w:hAnsi="Arial" w:cs="Arial"/>
          <w:color w:val="000000" w:themeColor="text1"/>
          <w:lang w:val="es-MX"/>
        </w:rPr>
        <w:t>las negociaciones para un TLC con China</w:t>
      </w:r>
      <w:r w:rsidR="001033C0" w:rsidRPr="001241C5">
        <w:rPr>
          <w:rFonts w:ascii="Arial" w:hAnsi="Arial" w:cs="Arial"/>
          <w:color w:val="000000" w:themeColor="text1"/>
          <w:lang w:val="es-MX"/>
        </w:rPr>
        <w:t xml:space="preserve"> </w:t>
      </w:r>
      <w:r w:rsidR="001033C0" w:rsidRPr="001241C5">
        <w:rPr>
          <w:rFonts w:ascii="Arial" w:hAnsi="Arial" w:cs="Arial"/>
          <w:color w:val="000000" w:themeColor="text1"/>
          <w:lang w:val="es-MX"/>
        </w:rPr>
        <w:fldChar w:fldCharType="begin"/>
      </w:r>
      <w:r w:rsidR="00FE4CFC">
        <w:rPr>
          <w:rFonts w:ascii="Arial" w:hAnsi="Arial" w:cs="Arial"/>
          <w:color w:val="000000" w:themeColor="text1"/>
          <w:lang w:val="es-MX"/>
        </w:rPr>
        <w:instrText xml:space="preserve"> ADDIN ZOTERO_ITEM CSL_CITATION {"citationID":"N0bNPwyv","properties":{"formattedCitation":"(Yang &amp; Mingyang, 2023)","plainCitation":"(Yang &amp; Mingyang, 2023)","dontUpdate":true,"noteIndex":0},"citationItems":[{"id":27,"uris":["http://zotero.org/users/10063313/items/FY8KDAHF"],"itemData":{"id":27,"type":"article-journal","container-title":"Global Times","title":"Honduras will 'soon' start FTA negotiations with China, with agricultural goods in focus","author":[{"family":"Yang","given":"Liu"},{"family":"Mingyang","given":"Tao"}],"issued":{"date-parts":[["2023",5,14]]}}}],"schema":"https://github.com/citation-style-language/schema/raw/master/csl-citation.json"} </w:instrText>
      </w:r>
      <w:r w:rsidR="001033C0" w:rsidRPr="001241C5">
        <w:rPr>
          <w:rFonts w:ascii="Arial" w:hAnsi="Arial" w:cs="Arial"/>
          <w:color w:val="000000" w:themeColor="text1"/>
          <w:lang w:val="es-MX"/>
        </w:rPr>
        <w:fldChar w:fldCharType="separate"/>
      </w:r>
      <w:r w:rsidR="001033C0" w:rsidRPr="001241C5">
        <w:rPr>
          <w:rFonts w:ascii="Arial" w:hAnsi="Arial" w:cs="Arial"/>
          <w:color w:val="000000" w:themeColor="text1"/>
        </w:rPr>
        <w:t>(Yang et al., 2023)</w:t>
      </w:r>
      <w:r w:rsidR="001033C0" w:rsidRPr="001241C5">
        <w:rPr>
          <w:rFonts w:ascii="Arial" w:hAnsi="Arial" w:cs="Arial"/>
          <w:color w:val="000000" w:themeColor="text1"/>
          <w:lang w:val="es-MX"/>
        </w:rPr>
        <w:fldChar w:fldCharType="end"/>
      </w:r>
      <w:r w:rsidRPr="001241C5">
        <w:rPr>
          <w:rFonts w:ascii="Arial" w:hAnsi="Arial" w:cs="Arial"/>
          <w:color w:val="000000" w:themeColor="text1"/>
          <w:lang w:val="es-MX"/>
        </w:rPr>
        <w:t xml:space="preserve"> el canciller expuso que esto beneficiará los principales sectores productivos del país.</w:t>
      </w:r>
    </w:p>
    <w:p w14:paraId="3DA212B7" w14:textId="5D932FD7" w:rsidR="002168C8" w:rsidRPr="00123143" w:rsidRDefault="00123143" w:rsidP="002168C8">
      <w:pPr>
        <w:spacing w:after="240" w:line="360" w:lineRule="auto"/>
        <w:jc w:val="both"/>
        <w:rPr>
          <w:rFonts w:ascii="Arial" w:hAnsi="Arial" w:cs="Arial"/>
          <w:lang w:val="es-HN"/>
        </w:rPr>
      </w:pPr>
      <w:r w:rsidRPr="00123143">
        <w:rPr>
          <w:rFonts w:ascii="Arial" w:hAnsi="Arial" w:cs="Arial"/>
        </w:rPr>
        <w:t xml:space="preserve">El 4 de julio de 2023, se comunicó oficialmente el inicio de las negociaciones entre la República de Honduras y la República Popular China. Del 4 al 7 de septiembre del mismo año se celebró la segunda ronda de negociaciones en </w:t>
      </w:r>
      <w:r w:rsidRPr="00123143">
        <w:rPr>
          <w:rFonts w:ascii="Arial" w:hAnsi="Arial" w:cs="Arial"/>
        </w:rPr>
        <w:lastRenderedPageBreak/>
        <w:t>Beijing, durante la cual se discutieron las bases sobre las que se estructurará el tratado. Posteriormente, los días 11 y 12 de diciembre de 2023 tuvo lugar la tercera ronda en Tegucigalpa, donde se alcanzó consenso en doce capítulos del acuerdo, incluyendo temas como comercio de mercancías, servicios, inversión y cooperación. La cuarta ronda se desarrolló en Beijing entre el 19 y el 21 de marzo de 2024, con un enfoque particular en el acceso a mercados y las reglas de origen. La quinta ronda se llevó a cabo en Tegucigalpa del 20 al 22 de mayo de 2024, centrándose en medidas sanitarias y fitosanitarias, procedimientos aduaneros y facilitación del comercio. Finalmente, la sexta ronda se efectuó en Beijing del 29 al 31 de julio de 2024, logrando avances significativos en el proceso de negociació</w:t>
      </w:r>
      <w:r w:rsidR="00C52658">
        <w:rPr>
          <w:rFonts w:ascii="Arial" w:hAnsi="Arial" w:cs="Arial"/>
        </w:rPr>
        <w:t xml:space="preserve">n </w:t>
      </w:r>
      <w:r w:rsidR="00C52658">
        <w:rPr>
          <w:rFonts w:ascii="Arial" w:hAnsi="Arial" w:cs="Arial"/>
        </w:rPr>
        <w:fldChar w:fldCharType="begin"/>
      </w:r>
      <w:r w:rsidR="00FA3C64">
        <w:rPr>
          <w:rFonts w:ascii="Arial" w:hAnsi="Arial" w:cs="Arial"/>
        </w:rPr>
        <w:instrText xml:space="preserve"> ADDIN ZOTERO_ITEM CSL_CITATION {"citationID":"adUwOTl2","properties":{"formattedCitation":"(SDE, 2024)","plainCitation":"(SDE, 2024)","dontUpdate":true,"noteIndex":0},"citationItems":[{"id":1973,"uris":["http://zotero.org/users/10063313/items/GM746J65"],"itemData":{"id":1973,"type":"webpage","title":"Comunicado de Prensa Finaliza Sexta Ronda de Negociaciones del TLC entre Honduras y China","author":[{"family":"SDE","given":""}],"issued":{"date-parts":[["2024",8,2]]}}}],"schema":"https://github.com/citation-style-language/schema/raw/master/csl-citation.json"} </w:instrText>
      </w:r>
      <w:r w:rsidR="00C52658">
        <w:rPr>
          <w:rFonts w:ascii="Arial" w:hAnsi="Arial" w:cs="Arial"/>
        </w:rPr>
        <w:fldChar w:fldCharType="separate"/>
      </w:r>
      <w:r w:rsidR="00C52658">
        <w:rPr>
          <w:rFonts w:ascii="Arial" w:hAnsi="Arial" w:cs="Arial"/>
          <w:noProof/>
        </w:rPr>
        <w:t>(SDE, 2024b)</w:t>
      </w:r>
      <w:r w:rsidR="00C52658">
        <w:rPr>
          <w:rFonts w:ascii="Arial" w:hAnsi="Arial" w:cs="Arial"/>
        </w:rPr>
        <w:fldChar w:fldCharType="end"/>
      </w:r>
      <w:r w:rsidR="002168C8" w:rsidRPr="003E0592">
        <w:rPr>
          <w:rFonts w:ascii="Arial" w:hAnsi="Arial" w:cs="Arial"/>
          <w:lang w:val="es-HN"/>
        </w:rPr>
        <w:t>.</w:t>
      </w:r>
      <w:r w:rsidR="00834AC7">
        <w:rPr>
          <w:rFonts w:ascii="Arial" w:hAnsi="Arial" w:cs="Arial"/>
          <w:lang w:val="es-HN"/>
        </w:rPr>
        <w:t xml:space="preserve"> </w:t>
      </w:r>
    </w:p>
    <w:p w14:paraId="0DB4BE44" w14:textId="3EECFC5C" w:rsidR="002168C8" w:rsidRPr="00236A10" w:rsidRDefault="00834AC7" w:rsidP="002168C8">
      <w:pPr>
        <w:spacing w:after="240" w:line="360" w:lineRule="auto"/>
        <w:jc w:val="both"/>
        <w:rPr>
          <w:rFonts w:ascii="Arial" w:hAnsi="Arial" w:cs="Arial"/>
          <w:color w:val="000000" w:themeColor="text1"/>
          <w:lang w:val="es-MX"/>
        </w:rPr>
      </w:pPr>
      <w:r w:rsidRPr="00236A10">
        <w:rPr>
          <w:rFonts w:ascii="Arial" w:hAnsi="Arial" w:cs="Arial"/>
          <w:color w:val="000000" w:themeColor="text1"/>
          <w:lang w:val="es-MX"/>
        </w:rPr>
        <w:t xml:space="preserve">En este contexto, es conveniente señalar que para </w:t>
      </w:r>
      <w:r w:rsidR="002168C8" w:rsidRPr="00236A10">
        <w:rPr>
          <w:rFonts w:ascii="Arial" w:hAnsi="Arial" w:cs="Arial"/>
          <w:color w:val="000000" w:themeColor="text1"/>
          <w:lang w:val="es-MX"/>
        </w:rPr>
        <w:t xml:space="preserve">el año 2021, los principales productos exportados de Honduras hacia China consisten en café, interruptores, gomas y resinas, cables, mariscos, entre otros productos de origen animal, y existe un amplio potencial exportador de camarón y langostino, café, minerales de zinc, plátanos, plomo y langosta congelada, según datos del ITC </w:t>
      </w:r>
      <w:r w:rsidR="001033C0" w:rsidRPr="00236A10">
        <w:rPr>
          <w:rFonts w:ascii="Arial" w:hAnsi="Arial" w:cs="Arial"/>
          <w:color w:val="000000" w:themeColor="text1"/>
          <w:lang w:val="es-MX"/>
        </w:rPr>
        <w:fldChar w:fldCharType="begin"/>
      </w:r>
      <w:r w:rsidR="00A42206" w:rsidRPr="00236A10">
        <w:rPr>
          <w:rFonts w:ascii="Arial" w:hAnsi="Arial" w:cs="Arial"/>
          <w:color w:val="000000" w:themeColor="text1"/>
          <w:lang w:val="es-MX"/>
        </w:rPr>
        <w:instrText xml:space="preserve"> ADDIN ZOTERO_ITEM CSL_CITATION {"citationID":"FcjgY4eC","properties":{"formattedCitation":"(International Trade Center (ITC), 2023)","plainCitation":"(International Trade Center (ITC), 2023)","dontUpdate":true,"noteIndex":0},"citationItems":[{"id":33,"uris":["http://zotero.org/users/10063313/items/D82IGMAY"],"itemData":{"id":33,"type":"webpage","title":"Trade Map","URL":"https://www.trademap.org/","author":[{"literal":"International Trade Center (ITC)"}],"accessed":{"date-parts":[["2023",7,26]]},"issued":{"date-parts":[["2023"]]}}}],"schema":"https://github.com/citation-style-language/schema/raw/master/csl-citation.json"} </w:instrText>
      </w:r>
      <w:r w:rsidR="001033C0" w:rsidRPr="00236A10">
        <w:rPr>
          <w:rFonts w:ascii="Arial" w:hAnsi="Arial" w:cs="Arial"/>
          <w:color w:val="000000" w:themeColor="text1"/>
          <w:lang w:val="es-MX"/>
        </w:rPr>
        <w:fldChar w:fldCharType="separate"/>
      </w:r>
      <w:r w:rsidR="001033C0" w:rsidRPr="00236A10">
        <w:rPr>
          <w:rFonts w:ascii="Arial" w:hAnsi="Arial" w:cs="Arial"/>
          <w:color w:val="000000" w:themeColor="text1"/>
        </w:rPr>
        <w:t>(2023)</w:t>
      </w:r>
      <w:r w:rsidR="001033C0" w:rsidRPr="00236A10">
        <w:rPr>
          <w:rFonts w:ascii="Arial" w:hAnsi="Arial" w:cs="Arial"/>
          <w:color w:val="000000" w:themeColor="text1"/>
          <w:lang w:val="es-MX"/>
        </w:rPr>
        <w:fldChar w:fldCharType="end"/>
      </w:r>
      <w:r w:rsidR="001033C0" w:rsidRPr="00236A10">
        <w:rPr>
          <w:rFonts w:ascii="Arial" w:hAnsi="Arial" w:cs="Arial"/>
          <w:color w:val="000000" w:themeColor="text1"/>
          <w:lang w:val="es-MX"/>
        </w:rPr>
        <w:t>.</w:t>
      </w:r>
    </w:p>
    <w:p w14:paraId="69F3EAA0" w14:textId="2B87DAF4" w:rsidR="002168C8" w:rsidRPr="00236A10" w:rsidRDefault="002168C8" w:rsidP="002168C8">
      <w:pPr>
        <w:spacing w:after="240" w:line="360" w:lineRule="auto"/>
        <w:jc w:val="both"/>
        <w:rPr>
          <w:rFonts w:ascii="Arial" w:hAnsi="Arial" w:cs="Arial"/>
          <w:strike/>
          <w:color w:val="000000" w:themeColor="text1"/>
          <w:lang w:val="es-MX"/>
        </w:rPr>
      </w:pPr>
      <w:r w:rsidRPr="00236A10">
        <w:rPr>
          <w:rFonts w:ascii="Arial" w:hAnsi="Arial" w:cs="Arial"/>
          <w:color w:val="000000" w:themeColor="text1"/>
          <w:lang w:val="es-MX"/>
        </w:rPr>
        <w:t>Indudablemente, China es un socio comercial</w:t>
      </w:r>
      <w:r w:rsidR="00297A1E" w:rsidRPr="00236A10">
        <w:rPr>
          <w:rFonts w:ascii="Arial" w:hAnsi="Arial" w:cs="Arial"/>
          <w:color w:val="000000" w:themeColor="text1"/>
          <w:lang w:val="es-MX"/>
        </w:rPr>
        <w:t xml:space="preserve"> que ha demostrado beneficiarse ampliamente de los acuerdos con economías más pequeñas en contraste con estos países</w:t>
      </w:r>
      <w:r w:rsidRPr="00236A10">
        <w:rPr>
          <w:rFonts w:ascii="Arial" w:hAnsi="Arial" w:cs="Arial"/>
          <w:color w:val="000000" w:themeColor="text1"/>
          <w:lang w:val="es-MX"/>
        </w:rPr>
        <w:t xml:space="preserve">, por lo que el propósito de esta tesis es profundizar en las implicaciones comerciales (específicamente en exportaciones) y de inversión a las que </w:t>
      </w:r>
      <w:r w:rsidR="00834AC7" w:rsidRPr="00236A10">
        <w:rPr>
          <w:rFonts w:ascii="Arial" w:hAnsi="Arial" w:cs="Arial"/>
          <w:color w:val="000000" w:themeColor="text1"/>
          <w:lang w:val="es-MX"/>
        </w:rPr>
        <w:t xml:space="preserve">podría enfrentarse </w:t>
      </w:r>
      <w:r w:rsidRPr="00236A10">
        <w:rPr>
          <w:rFonts w:ascii="Arial" w:hAnsi="Arial" w:cs="Arial"/>
          <w:color w:val="000000" w:themeColor="text1"/>
          <w:lang w:val="es-MX"/>
        </w:rPr>
        <w:t xml:space="preserve">Honduras con </w:t>
      </w:r>
      <w:r w:rsidR="00834AC7" w:rsidRPr="00236A10">
        <w:rPr>
          <w:rFonts w:ascii="Arial" w:hAnsi="Arial" w:cs="Arial"/>
          <w:color w:val="000000" w:themeColor="text1"/>
          <w:lang w:val="es-MX"/>
        </w:rPr>
        <w:t>la consolidación de las relaciones comerciales con China.</w:t>
      </w:r>
      <w:r w:rsidRPr="00236A10">
        <w:rPr>
          <w:rFonts w:ascii="Arial" w:hAnsi="Arial" w:cs="Arial"/>
          <w:strike/>
          <w:color w:val="000000" w:themeColor="text1"/>
          <w:lang w:val="es-MX"/>
        </w:rPr>
        <w:t xml:space="preserve"> </w:t>
      </w:r>
    </w:p>
    <w:p w14:paraId="4D7CF79B" w14:textId="25C63B5D" w:rsidR="002168C8" w:rsidRPr="00DE25FA" w:rsidRDefault="002168C8">
      <w:pPr>
        <w:pStyle w:val="Ttulo2"/>
        <w:numPr>
          <w:ilvl w:val="1"/>
          <w:numId w:val="19"/>
        </w:numPr>
        <w:rPr>
          <w:rFonts w:ascii="Arial" w:hAnsi="Arial" w:cs="Arial"/>
          <w:color w:val="auto"/>
          <w:sz w:val="28"/>
          <w:szCs w:val="28"/>
        </w:rPr>
      </w:pPr>
      <w:bookmarkStart w:id="4" w:name="_Toc145385802"/>
      <w:bookmarkStart w:id="5" w:name="_Toc236232333"/>
      <w:r w:rsidRPr="00DE25FA">
        <w:rPr>
          <w:rFonts w:ascii="Arial" w:hAnsi="Arial" w:cs="Arial"/>
          <w:color w:val="auto"/>
          <w:sz w:val="28"/>
          <w:szCs w:val="28"/>
        </w:rPr>
        <w:t>Justificación</w:t>
      </w:r>
      <w:bookmarkEnd w:id="4"/>
      <w:bookmarkEnd w:id="5"/>
    </w:p>
    <w:p w14:paraId="4E33DC56" w14:textId="77777777" w:rsidR="002168C8" w:rsidRPr="003E0592" w:rsidRDefault="002168C8" w:rsidP="002168C8">
      <w:pPr>
        <w:spacing w:line="360" w:lineRule="auto"/>
        <w:rPr>
          <w:rFonts w:ascii="Arial" w:hAnsi="Arial" w:cs="Arial"/>
        </w:rPr>
      </w:pPr>
    </w:p>
    <w:p w14:paraId="36989FB7" w14:textId="77777777" w:rsidR="002168C8" w:rsidRPr="003E0592" w:rsidRDefault="002168C8" w:rsidP="002168C8">
      <w:pPr>
        <w:spacing w:after="240" w:line="360" w:lineRule="auto"/>
        <w:jc w:val="both"/>
        <w:rPr>
          <w:rFonts w:ascii="Arial" w:hAnsi="Arial" w:cs="Arial"/>
          <w:lang w:val="es-MX"/>
        </w:rPr>
      </w:pPr>
      <w:r w:rsidRPr="003E0592">
        <w:rPr>
          <w:rFonts w:ascii="Arial" w:hAnsi="Arial" w:cs="Arial"/>
          <w:lang w:val="es-MX"/>
        </w:rPr>
        <w:t>Este estudio se enfoca en determinar las oportunidades y posibles efectos comerciales derivadas de un inminente tratado de libre comercio (TLC) entre Honduras y China, proporcionando evidencia para la toma de decisiones político-económicas y empresariales.</w:t>
      </w:r>
    </w:p>
    <w:p w14:paraId="18340C78" w14:textId="17CE2003" w:rsidR="002168C8" w:rsidRPr="003E0592" w:rsidRDefault="002168C8" w:rsidP="002168C8">
      <w:pPr>
        <w:spacing w:after="240" w:line="360" w:lineRule="auto"/>
        <w:jc w:val="both"/>
        <w:rPr>
          <w:rFonts w:ascii="Arial" w:hAnsi="Arial" w:cs="Arial"/>
          <w:lang w:val="es-MX"/>
        </w:rPr>
      </w:pPr>
      <w:r w:rsidRPr="003E0592">
        <w:rPr>
          <w:rFonts w:ascii="Arial" w:hAnsi="Arial" w:cs="Arial"/>
          <w:lang w:val="es-MX"/>
        </w:rPr>
        <w:t>Considerando que China es una de las economías más grandes a nivel mundial por tamaño del Producto Interno Bruto (PIB)</w:t>
      </w:r>
      <w:r w:rsidR="00BE0F7E" w:rsidRPr="003E0592">
        <w:rPr>
          <w:rFonts w:ascii="Arial" w:hAnsi="Arial" w:cs="Arial"/>
          <w:lang w:val="es-MX"/>
        </w:rPr>
        <w:t xml:space="preserve"> </w:t>
      </w:r>
      <w:r w:rsidR="00BE0F7E" w:rsidRPr="003E0592">
        <w:rPr>
          <w:rFonts w:ascii="Arial" w:hAnsi="Arial" w:cs="Arial"/>
          <w:lang w:val="es-MX"/>
        </w:rPr>
        <w:fldChar w:fldCharType="begin"/>
      </w:r>
      <w:r w:rsidR="00A42206">
        <w:rPr>
          <w:rFonts w:ascii="Arial" w:hAnsi="Arial" w:cs="Arial"/>
          <w:lang w:val="es-MX"/>
        </w:rPr>
        <w:instrText xml:space="preserve"> ADDIN ZOTERO_ITEM CSL_CITATION {"citationID":"8V2xNX7L","properties":{"formattedCitation":"(Timini &amp; S\\uc0\\u225{}nchez-Albornoz, 2019)","plainCitation":"(Timini &amp; Sánchez-Albornoz, 2019)","dontUpdate":true,"noteIndex":0},"citationItems":[{"id":21,"uris":["http://zotero.org/users/10063313/items/N9NWE2A6"],"itemData":{"id":21,"type":"article-journal","container-title":"Banco de España","title":"El impacto de China sobre América Latina: los canales comerciales y de inversión extranjera directa","author":[{"family":"Timini","given":"Jacopo"},{"family":"Sánchez-Albornoz","given":"Ayman El-Dahrawy"}],"issued":{"date-parts":[["2019",5,17]]}}}],"schema":"https://github.com/citation-style-language/schema/raw/master/csl-citation.json"} </w:instrText>
      </w:r>
      <w:r w:rsidR="00BE0F7E" w:rsidRPr="003E0592">
        <w:rPr>
          <w:rFonts w:ascii="Arial" w:hAnsi="Arial" w:cs="Arial"/>
          <w:lang w:val="es-MX"/>
        </w:rPr>
        <w:fldChar w:fldCharType="separate"/>
      </w:r>
      <w:r w:rsidR="00BE0F7E" w:rsidRPr="003E0592">
        <w:rPr>
          <w:rFonts w:ascii="Arial" w:hAnsi="Arial" w:cs="Arial"/>
        </w:rPr>
        <w:t>(Timini et al., 2019)</w:t>
      </w:r>
      <w:r w:rsidR="00BE0F7E" w:rsidRPr="003E0592">
        <w:rPr>
          <w:rFonts w:ascii="Arial" w:hAnsi="Arial" w:cs="Arial"/>
          <w:lang w:val="es-MX"/>
        </w:rPr>
        <w:fldChar w:fldCharType="end"/>
      </w:r>
      <w:r w:rsidRPr="003E0592">
        <w:rPr>
          <w:rFonts w:ascii="Arial" w:hAnsi="Arial" w:cs="Arial"/>
          <w:color w:val="000000"/>
          <w:lang w:val="es-MX"/>
        </w:rPr>
        <w:t xml:space="preserve"> </w:t>
      </w:r>
      <w:r w:rsidRPr="003E0592">
        <w:rPr>
          <w:rFonts w:ascii="Arial" w:hAnsi="Arial" w:cs="Arial"/>
          <w:lang w:val="es-MX"/>
        </w:rPr>
        <w:t>y cuenta con pocos acuerdos comerciales en América Latina (</w:t>
      </w:r>
      <w:r w:rsidR="00F21B5B" w:rsidRPr="00F21B5B">
        <w:rPr>
          <w:rFonts w:ascii="Arial" w:hAnsi="Arial" w:cs="Arial"/>
          <w:lang w:val="es-MX"/>
        </w:rPr>
        <w:t>Chile, Perú, Costa Rica, Ecuador y Nicaragua</w:t>
      </w:r>
      <w:r w:rsidRPr="003E0592">
        <w:rPr>
          <w:rFonts w:ascii="Arial" w:hAnsi="Arial" w:cs="Arial"/>
          <w:lang w:val="es-MX"/>
        </w:rPr>
        <w:t>)</w:t>
      </w:r>
      <w:r w:rsidR="00BE0F7E" w:rsidRPr="003E0592">
        <w:rPr>
          <w:rFonts w:ascii="Arial" w:hAnsi="Arial" w:cs="Arial"/>
          <w:lang w:val="es-MX"/>
        </w:rPr>
        <w:t xml:space="preserve"> </w:t>
      </w:r>
      <w:r w:rsidR="00F21B5B">
        <w:rPr>
          <w:rFonts w:ascii="Arial" w:hAnsi="Arial" w:cs="Arial"/>
          <w:lang w:val="es-MX"/>
        </w:rPr>
        <w:fldChar w:fldCharType="begin"/>
      </w:r>
      <w:r w:rsidR="00F21B5B">
        <w:rPr>
          <w:rFonts w:ascii="Arial" w:hAnsi="Arial" w:cs="Arial"/>
          <w:lang w:val="es-MX"/>
        </w:rPr>
        <w:instrText xml:space="preserve"> ADDIN ZOTERO_ITEM CSL_CITATION {"citationID":"YQq8AHXl","properties":{"formattedCitation":"(OMC, 2024)","plainCitation":"(OMC, 2024)","noteIndex":0},"citationItems":[{"id":20,"uris":["http://zotero.org/users/10063313/items/MSRRIBIH"],"itemData":{"id":20,"type":"report","title":"Regional Trade Agreements Database","author":[{"literal":"OMC"}],"issued":{"date-parts":[["2024"]]}}}],"schema":"https://github.com/citation-style-language/schema/raw/master/csl-citation.json"} </w:instrText>
      </w:r>
      <w:r w:rsidR="00F21B5B">
        <w:rPr>
          <w:rFonts w:ascii="Arial" w:hAnsi="Arial" w:cs="Arial"/>
          <w:lang w:val="es-MX"/>
        </w:rPr>
        <w:fldChar w:fldCharType="separate"/>
      </w:r>
      <w:r w:rsidR="00F21B5B">
        <w:rPr>
          <w:rFonts w:ascii="Arial" w:hAnsi="Arial" w:cs="Arial"/>
          <w:noProof/>
          <w:lang w:val="es-MX"/>
        </w:rPr>
        <w:t>(OMC, 2024)</w:t>
      </w:r>
      <w:r w:rsidR="00F21B5B">
        <w:rPr>
          <w:rFonts w:ascii="Arial" w:hAnsi="Arial" w:cs="Arial"/>
          <w:lang w:val="es-MX"/>
        </w:rPr>
        <w:fldChar w:fldCharType="end"/>
      </w:r>
      <w:r w:rsidR="00F21B5B">
        <w:rPr>
          <w:rFonts w:ascii="Arial" w:hAnsi="Arial" w:cs="Arial"/>
          <w:lang w:val="es-MX"/>
        </w:rPr>
        <w:t xml:space="preserve">, </w:t>
      </w:r>
      <w:r w:rsidRPr="00CE516D">
        <w:rPr>
          <w:rFonts w:ascii="Arial" w:hAnsi="Arial" w:cs="Arial"/>
          <w:color w:val="000000" w:themeColor="text1"/>
          <w:lang w:val="es-MX"/>
        </w:rPr>
        <w:t xml:space="preserve">resulta coherente analizar, previo a la firma, </w:t>
      </w:r>
      <w:r w:rsidRPr="00CE516D">
        <w:rPr>
          <w:rFonts w:ascii="Arial" w:hAnsi="Arial" w:cs="Arial"/>
          <w:color w:val="000000" w:themeColor="text1"/>
          <w:lang w:val="es-MX"/>
        </w:rPr>
        <w:lastRenderedPageBreak/>
        <w:t xml:space="preserve">el </w:t>
      </w:r>
      <w:r w:rsidR="00834AC7" w:rsidRPr="00CE516D">
        <w:rPr>
          <w:rFonts w:ascii="Arial" w:hAnsi="Arial" w:cs="Arial"/>
          <w:color w:val="000000" w:themeColor="text1"/>
          <w:lang w:val="es-MX"/>
        </w:rPr>
        <w:t xml:space="preserve">posible </w:t>
      </w:r>
      <w:r w:rsidRPr="00CE516D">
        <w:rPr>
          <w:rFonts w:ascii="Arial" w:hAnsi="Arial" w:cs="Arial"/>
          <w:color w:val="000000" w:themeColor="text1"/>
          <w:lang w:val="es-MX"/>
        </w:rPr>
        <w:t xml:space="preserve">impacto que esto tendrá en el comercio de Honduras, </w:t>
      </w:r>
      <w:r w:rsidR="00834AC7" w:rsidRPr="00CE516D">
        <w:rPr>
          <w:rFonts w:ascii="Arial" w:hAnsi="Arial" w:cs="Arial"/>
          <w:color w:val="000000" w:themeColor="text1"/>
          <w:lang w:val="es-MX"/>
        </w:rPr>
        <w:t xml:space="preserve">tal como fue realizado </w:t>
      </w:r>
      <w:r w:rsidRPr="00CE516D">
        <w:rPr>
          <w:rFonts w:ascii="Arial" w:hAnsi="Arial" w:cs="Arial"/>
          <w:color w:val="000000" w:themeColor="text1"/>
          <w:lang w:val="es-MX"/>
        </w:rPr>
        <w:t>por los demás países, como Costa Rica en 2008, con el Estudio de Factibilidad para un TLC entre Costa Rica y China, elaborado por las autoridades competentes en China y Costa Rica</w:t>
      </w:r>
      <w:r w:rsidR="00BE0F7E" w:rsidRPr="00CE516D">
        <w:rPr>
          <w:rFonts w:ascii="Arial" w:hAnsi="Arial" w:cs="Arial"/>
          <w:color w:val="000000" w:themeColor="text1"/>
          <w:lang w:val="es-MX"/>
        </w:rPr>
        <w:t xml:space="preserve"> </w:t>
      </w:r>
      <w:r w:rsidR="00BE0F7E" w:rsidRPr="00CE516D">
        <w:rPr>
          <w:rFonts w:ascii="Arial" w:hAnsi="Arial" w:cs="Arial"/>
          <w:color w:val="000000" w:themeColor="text1"/>
          <w:lang w:val="es-MX"/>
        </w:rPr>
        <w:fldChar w:fldCharType="begin"/>
      </w:r>
      <w:r w:rsidR="00FA3C64">
        <w:rPr>
          <w:rFonts w:ascii="Arial" w:hAnsi="Arial" w:cs="Arial"/>
          <w:color w:val="000000" w:themeColor="text1"/>
          <w:lang w:val="es-MX"/>
        </w:rPr>
        <w:instrText xml:space="preserve"> ADDIN ZOTERO_ITEM CSL_CITATION {"citationID":"fU3JfXLC","properties":{"formattedCitation":"(COMEX, 2008)","plainCitation":"(COMEX, 2008)","noteIndex":0},"citationItems":[{"id":19,"uris":["http://zotero.org/users/10063313/items/I4VDLGIV"],"itemData":{"id":19,"type":"report","publisher-place":"San José, Costa Rica","title":"Estudio de Factibilidad para un TLC entre Costa Rica y China","author":[{"literal":"COMEX"}],"issued":{"date-parts":[["2008",8,13]]}}}],"schema":"https://github.com/citation-style-language/schema/raw/master/csl-citation.json"} </w:instrText>
      </w:r>
      <w:r w:rsidR="00BE0F7E" w:rsidRPr="00CE516D">
        <w:rPr>
          <w:rFonts w:ascii="Arial" w:hAnsi="Arial" w:cs="Arial"/>
          <w:color w:val="000000" w:themeColor="text1"/>
          <w:lang w:val="es-MX"/>
        </w:rPr>
        <w:fldChar w:fldCharType="separate"/>
      </w:r>
      <w:r w:rsidR="00BE0F7E" w:rsidRPr="00CE516D">
        <w:rPr>
          <w:rFonts w:ascii="Arial" w:hAnsi="Arial" w:cs="Arial"/>
          <w:color w:val="000000" w:themeColor="text1"/>
        </w:rPr>
        <w:t>(COMEX, 2008)</w:t>
      </w:r>
      <w:r w:rsidR="00BE0F7E" w:rsidRPr="00CE516D">
        <w:rPr>
          <w:rFonts w:ascii="Arial" w:hAnsi="Arial" w:cs="Arial"/>
          <w:color w:val="000000" w:themeColor="text1"/>
          <w:lang w:val="es-MX"/>
        </w:rPr>
        <w:fldChar w:fldCharType="end"/>
      </w:r>
      <w:r w:rsidRPr="00CE516D">
        <w:rPr>
          <w:rFonts w:ascii="Arial" w:hAnsi="Arial" w:cs="Arial"/>
          <w:color w:val="000000" w:themeColor="text1"/>
          <w:lang w:val="es-MX"/>
        </w:rPr>
        <w:t xml:space="preserve">. </w:t>
      </w:r>
      <w:r w:rsidRPr="00A85578">
        <w:rPr>
          <w:rFonts w:ascii="Arial" w:hAnsi="Arial" w:cs="Arial"/>
          <w:color w:val="0D0D0D" w:themeColor="text1" w:themeTint="F2"/>
          <w:lang w:val="es-MX"/>
        </w:rPr>
        <w:t xml:space="preserve">Asimismo, </w:t>
      </w:r>
      <w:r w:rsidR="00257A24" w:rsidRPr="00A85578">
        <w:rPr>
          <w:rFonts w:ascii="Arial" w:hAnsi="Arial" w:cs="Arial"/>
          <w:color w:val="0D0D0D" w:themeColor="text1" w:themeTint="F2"/>
          <w:lang w:val="es-MX"/>
        </w:rPr>
        <w:t xml:space="preserve">el </w:t>
      </w:r>
      <w:r w:rsidRPr="00A85578">
        <w:rPr>
          <w:rFonts w:ascii="Arial" w:hAnsi="Arial" w:cs="Arial"/>
          <w:color w:val="0D0D0D" w:themeColor="text1" w:themeTint="F2"/>
          <w:lang w:val="es-MX"/>
        </w:rPr>
        <w:t xml:space="preserve">realizado por la República del Perú en 2007, el Tratado de Libre Comercio entre Perú y China: Estudio Conjunto de Factibilidad, en este caso, fue realizado por el Ministerio </w:t>
      </w:r>
      <w:r w:rsidRPr="00CE516D">
        <w:rPr>
          <w:rFonts w:ascii="Arial" w:hAnsi="Arial" w:cs="Arial"/>
          <w:color w:val="000000" w:themeColor="text1"/>
          <w:lang w:val="es-MX"/>
        </w:rPr>
        <w:t>de Comercio Exterior y Turismo de Perú (MINCETUR) y el Ministerio de Comercio de la República Popular de China</w:t>
      </w:r>
      <w:r w:rsidR="00BE0F7E" w:rsidRPr="00CE516D">
        <w:rPr>
          <w:rFonts w:ascii="Arial" w:hAnsi="Arial" w:cs="Arial"/>
          <w:color w:val="000000" w:themeColor="text1"/>
          <w:lang w:val="es-MX"/>
        </w:rPr>
        <w:t xml:space="preserve"> </w:t>
      </w:r>
      <w:r w:rsidR="00BE0F7E" w:rsidRPr="00CE516D">
        <w:rPr>
          <w:rFonts w:ascii="Arial" w:hAnsi="Arial" w:cs="Arial"/>
          <w:color w:val="000000" w:themeColor="text1"/>
          <w:lang w:val="es-MX"/>
        </w:rPr>
        <w:fldChar w:fldCharType="begin"/>
      </w:r>
      <w:r w:rsidR="00A42206" w:rsidRPr="00CE516D">
        <w:rPr>
          <w:rFonts w:ascii="Arial" w:hAnsi="Arial" w:cs="Arial"/>
          <w:color w:val="000000" w:themeColor="text1"/>
          <w:lang w:val="es-MX"/>
        </w:rPr>
        <w:instrText xml:space="preserve"> ADDIN ZOTERO_ITEM CSL_CITATION {"citationID":"SFUWzOTg","properties":{"formattedCitation":"(MINCETUR, 2007)","plainCitation":"(MINCETUR, 2007)","noteIndex":0},"citationItems":[{"id":18,"uris":["http://zotero.org/users/10063313/items/37I7XLGJ"],"itemData":{"id":18,"type":"article-journal","title":"Tratado de Libre Comercio entre Perú y China: Estudio Conjunto de Factibilidad","author":[{"literal":"MINCETUR"}],"issued":{"date-parts":[["2007"]]}}}],"schema":"https://github.com/citation-style-language/schema/raw/master/csl-citation.json"} </w:instrText>
      </w:r>
      <w:r w:rsidR="00BE0F7E" w:rsidRPr="00CE516D">
        <w:rPr>
          <w:rFonts w:ascii="Arial" w:hAnsi="Arial" w:cs="Arial"/>
          <w:color w:val="000000" w:themeColor="text1"/>
          <w:lang w:val="es-MX"/>
        </w:rPr>
        <w:fldChar w:fldCharType="separate"/>
      </w:r>
      <w:r w:rsidR="00BE0F7E" w:rsidRPr="00CE516D">
        <w:rPr>
          <w:rFonts w:ascii="Arial" w:hAnsi="Arial" w:cs="Arial"/>
          <w:color w:val="000000" w:themeColor="text1"/>
        </w:rPr>
        <w:t>(MINCETUR, 2007)</w:t>
      </w:r>
      <w:r w:rsidR="00BE0F7E" w:rsidRPr="00CE516D">
        <w:rPr>
          <w:rFonts w:ascii="Arial" w:hAnsi="Arial" w:cs="Arial"/>
          <w:color w:val="000000" w:themeColor="text1"/>
          <w:lang w:val="es-MX"/>
        </w:rPr>
        <w:fldChar w:fldCharType="end"/>
      </w:r>
      <w:r w:rsidRPr="00CE516D">
        <w:rPr>
          <w:rFonts w:ascii="Arial" w:hAnsi="Arial" w:cs="Arial"/>
          <w:color w:val="000000" w:themeColor="text1"/>
          <w:lang w:val="es-MX"/>
        </w:rPr>
        <w:t xml:space="preserve">, en ambos estudios se encontraron complementariedades significativas que impulsaron la firma de los respectivos TLC. </w:t>
      </w:r>
    </w:p>
    <w:p w14:paraId="1FCF1B08" w14:textId="316EBED4" w:rsidR="002168C8" w:rsidRPr="00CE516D" w:rsidRDefault="00834AC7" w:rsidP="002168C8">
      <w:pPr>
        <w:spacing w:after="240" w:line="360" w:lineRule="auto"/>
        <w:jc w:val="both"/>
        <w:rPr>
          <w:rFonts w:ascii="Arial" w:hAnsi="Arial" w:cs="Arial"/>
          <w:color w:val="000000" w:themeColor="text1"/>
          <w:lang w:val="es-MX"/>
        </w:rPr>
      </w:pPr>
      <w:r w:rsidRPr="00CE516D">
        <w:rPr>
          <w:rFonts w:ascii="Arial" w:hAnsi="Arial" w:cs="Arial"/>
          <w:color w:val="000000" w:themeColor="text1"/>
          <w:lang w:val="es-MX"/>
        </w:rPr>
        <w:t xml:space="preserve">En el caso de Honduras, </w:t>
      </w:r>
      <w:r w:rsidR="00257A24" w:rsidRPr="00A85578">
        <w:rPr>
          <w:rFonts w:ascii="Arial" w:hAnsi="Arial" w:cs="Arial"/>
          <w:color w:val="0D0D0D" w:themeColor="text1" w:themeTint="F2"/>
          <w:lang w:val="es-MX"/>
        </w:rPr>
        <w:t xml:space="preserve">la </w:t>
      </w:r>
      <w:r w:rsidR="002168C8" w:rsidRPr="00A85578">
        <w:rPr>
          <w:rFonts w:ascii="Arial" w:hAnsi="Arial" w:cs="Arial"/>
          <w:color w:val="0D0D0D" w:themeColor="text1" w:themeTint="F2"/>
          <w:lang w:val="es-MX"/>
        </w:rPr>
        <w:t>Secretaría de Desarrollo Económico (SDE</w:t>
      </w:r>
      <w:r w:rsidR="00CE516D" w:rsidRPr="00A85578">
        <w:rPr>
          <w:rFonts w:ascii="Arial" w:hAnsi="Arial" w:cs="Arial"/>
          <w:color w:val="0D0D0D" w:themeColor="text1" w:themeTint="F2"/>
          <w:lang w:val="es-MX"/>
        </w:rPr>
        <w:t>)</w:t>
      </w:r>
      <w:r w:rsidR="002168C8" w:rsidRPr="00A85578">
        <w:rPr>
          <w:rFonts w:ascii="Arial" w:hAnsi="Arial" w:cs="Arial"/>
          <w:color w:val="0D0D0D" w:themeColor="text1" w:themeTint="F2"/>
          <w:lang w:val="es-MX"/>
        </w:rPr>
        <w:t xml:space="preserve"> es la encargada del seguimiento, ejecución y evaluación de las políticas relacionadas con el comercio nacional e internacional </w:t>
      </w:r>
      <w:r w:rsidR="002168C8" w:rsidRPr="00CE516D">
        <w:rPr>
          <w:rFonts w:ascii="Arial" w:hAnsi="Arial" w:cs="Arial"/>
          <w:color w:val="000000" w:themeColor="text1"/>
          <w:lang w:val="es-MX"/>
        </w:rPr>
        <w:t>de bienes y servicios, así como de la integración económica, entre otras funciones</w:t>
      </w:r>
      <w:r w:rsidR="00BE0F7E" w:rsidRPr="00CE516D">
        <w:rPr>
          <w:rFonts w:ascii="Arial" w:hAnsi="Arial" w:cs="Arial"/>
          <w:color w:val="000000" w:themeColor="text1"/>
          <w:lang w:val="es-MX"/>
        </w:rPr>
        <w:t xml:space="preserve"> </w:t>
      </w:r>
      <w:r w:rsidR="00BE0F7E" w:rsidRPr="00CE516D">
        <w:rPr>
          <w:rFonts w:ascii="Arial" w:hAnsi="Arial" w:cs="Arial"/>
          <w:color w:val="000000" w:themeColor="text1"/>
          <w:lang w:val="es-MX"/>
        </w:rPr>
        <w:fldChar w:fldCharType="begin"/>
      </w:r>
      <w:r w:rsidR="00A42206" w:rsidRPr="00CE516D">
        <w:rPr>
          <w:rFonts w:ascii="Arial" w:hAnsi="Arial" w:cs="Arial"/>
          <w:color w:val="000000" w:themeColor="text1"/>
          <w:lang w:val="es-MX"/>
        </w:rPr>
        <w:instrText xml:space="preserve"> ADDIN ZOTERO_ITEM CSL_CITATION {"citationID":"0160HQqE","properties":{"formattedCitation":"(Ley General de la Administraci\\uc0\\u243{}n P\\uc0\\u250{}blica, 1996)","plainCitation":"(Ley General de la Administración Pública, 1996)","noteIndex":0},"citationItems":[{"id":17,"uris":["http://zotero.org/users/10063313/items/6URBWY94"],"itemData":{"id":17,"type":"legislation","note":"container-title: Diario Oficial La Gaceta No. 28","title":"Ley General de la Administración Pública","issued":{"date-parts":[["1996"]]}}}],"schema":"https://github.com/citation-style-language/schema/raw/master/csl-citation.json"} </w:instrText>
      </w:r>
      <w:r w:rsidR="00BE0F7E" w:rsidRPr="00CE516D">
        <w:rPr>
          <w:rFonts w:ascii="Arial" w:hAnsi="Arial" w:cs="Arial"/>
          <w:color w:val="000000" w:themeColor="text1"/>
          <w:lang w:val="es-MX"/>
        </w:rPr>
        <w:fldChar w:fldCharType="separate"/>
      </w:r>
      <w:r w:rsidR="00BE0F7E" w:rsidRPr="00CE516D">
        <w:rPr>
          <w:rFonts w:ascii="Arial" w:hAnsi="Arial" w:cs="Arial"/>
          <w:color w:val="000000" w:themeColor="text1"/>
        </w:rPr>
        <w:t>(Ley General de la Administración Pública, 1996)</w:t>
      </w:r>
      <w:r w:rsidR="00BE0F7E" w:rsidRPr="00CE516D">
        <w:rPr>
          <w:rFonts w:ascii="Arial" w:hAnsi="Arial" w:cs="Arial"/>
          <w:color w:val="000000" w:themeColor="text1"/>
          <w:lang w:val="es-MX"/>
        </w:rPr>
        <w:fldChar w:fldCharType="end"/>
      </w:r>
      <w:r w:rsidR="00BE0F7E" w:rsidRPr="00CE516D">
        <w:rPr>
          <w:rFonts w:ascii="Arial" w:hAnsi="Arial" w:cs="Arial"/>
          <w:color w:val="000000" w:themeColor="text1"/>
          <w:lang w:val="es-MX"/>
        </w:rPr>
        <w:t xml:space="preserve"> </w:t>
      </w:r>
      <w:r w:rsidR="002168C8" w:rsidRPr="00CE516D">
        <w:rPr>
          <w:rFonts w:ascii="Arial" w:hAnsi="Arial" w:cs="Arial"/>
          <w:color w:val="000000" w:themeColor="text1"/>
          <w:lang w:val="es-MX"/>
        </w:rPr>
        <w:t xml:space="preserve">sin embargo el organismo, no cuenta con estudios de evaluación </w:t>
      </w:r>
      <w:r w:rsidR="002168C8" w:rsidRPr="00D665F9">
        <w:rPr>
          <w:rFonts w:ascii="Arial" w:hAnsi="Arial" w:cs="Arial"/>
          <w:i/>
          <w:iCs/>
          <w:color w:val="000000" w:themeColor="text1"/>
          <w:lang w:val="es-MX"/>
        </w:rPr>
        <w:t>ex ante</w:t>
      </w:r>
      <w:r w:rsidR="002168C8" w:rsidRPr="00CE516D">
        <w:rPr>
          <w:rFonts w:ascii="Arial" w:hAnsi="Arial" w:cs="Arial"/>
          <w:color w:val="000000" w:themeColor="text1"/>
          <w:lang w:val="es-MX"/>
        </w:rPr>
        <w:t xml:space="preserve"> de todos o algunos de los acuerdos comerciales vigentes para Honduras, o con un departamento en su institución que trabaje directamente realizando investigaciones del impacto de los TLC de los cuales Honduras es miembro. Por lo que, para identificarlos, el país debe utilizar los estudios realizados por otras instituciones regionales e internacionales.</w:t>
      </w:r>
    </w:p>
    <w:p w14:paraId="674CC7AA" w14:textId="26F1A49A" w:rsidR="002168C8" w:rsidRPr="00A85578" w:rsidRDefault="002168C8" w:rsidP="002168C8">
      <w:pPr>
        <w:spacing w:after="240" w:line="360" w:lineRule="auto"/>
        <w:jc w:val="both"/>
        <w:rPr>
          <w:rFonts w:ascii="Arial" w:hAnsi="Arial" w:cs="Arial"/>
          <w:color w:val="0D0D0D" w:themeColor="text1" w:themeTint="F2"/>
          <w:lang w:val="es-MX"/>
        </w:rPr>
      </w:pPr>
      <w:r w:rsidRPr="00CE516D">
        <w:rPr>
          <w:rFonts w:ascii="Arial" w:hAnsi="Arial" w:cs="Arial"/>
          <w:color w:val="000000" w:themeColor="text1"/>
          <w:lang w:val="es-MX"/>
        </w:rPr>
        <w:t xml:space="preserve">Esta investigación </w:t>
      </w:r>
      <w:r w:rsidR="00834AC7" w:rsidRPr="00CE516D">
        <w:rPr>
          <w:rFonts w:ascii="Arial" w:hAnsi="Arial" w:cs="Arial"/>
          <w:color w:val="000000" w:themeColor="text1"/>
          <w:lang w:val="es-MX"/>
        </w:rPr>
        <w:t xml:space="preserve">contribuye </w:t>
      </w:r>
      <w:r w:rsidRPr="00CE516D">
        <w:rPr>
          <w:rFonts w:ascii="Arial" w:hAnsi="Arial" w:cs="Arial"/>
          <w:color w:val="000000" w:themeColor="text1"/>
          <w:lang w:val="es-MX"/>
        </w:rPr>
        <w:t>a un mayor entendimiento de la relación comercial entre Honduras y China, en el contexto de un acuerdo que marca uno de los primeros acercamientos entre ambos países desde el establecimiento de relaciones diplomáticas</w:t>
      </w:r>
      <w:r w:rsidR="00834AC7" w:rsidRPr="00A85578">
        <w:rPr>
          <w:rFonts w:ascii="Arial" w:hAnsi="Arial" w:cs="Arial"/>
          <w:color w:val="0D0D0D" w:themeColor="text1" w:themeTint="F2"/>
          <w:lang w:val="es-MX"/>
        </w:rPr>
        <w:t>.</w:t>
      </w:r>
      <w:r w:rsidRPr="00A85578">
        <w:rPr>
          <w:rFonts w:ascii="Arial" w:hAnsi="Arial" w:cs="Arial"/>
          <w:color w:val="0D0D0D" w:themeColor="text1" w:themeTint="F2"/>
          <w:lang w:val="es-MX"/>
        </w:rPr>
        <w:t xml:space="preserve"> </w:t>
      </w:r>
      <w:r w:rsidR="00084189" w:rsidRPr="00A85578">
        <w:rPr>
          <w:rFonts w:ascii="Arial" w:hAnsi="Arial" w:cs="Arial"/>
          <w:color w:val="0D0D0D" w:themeColor="text1" w:themeTint="F2"/>
          <w:lang w:val="es-MX"/>
        </w:rPr>
        <w:t xml:space="preserve">También, permite dimensionar la experiencia previa otros países latinoamericanos en su proceso de negociación con China, y los impactos derivados de dichas negociaciones. </w:t>
      </w:r>
      <w:r w:rsidRPr="00A85578">
        <w:rPr>
          <w:rFonts w:ascii="Arial" w:hAnsi="Arial" w:cs="Arial"/>
          <w:color w:val="0D0D0D" w:themeColor="text1" w:themeTint="F2"/>
          <w:lang w:val="es-MX"/>
        </w:rPr>
        <w:t>Los resultados presentes en este estudio</w:t>
      </w:r>
      <w:r w:rsidR="00CE516D" w:rsidRPr="00A85578">
        <w:rPr>
          <w:rFonts w:ascii="Arial" w:hAnsi="Arial" w:cs="Arial"/>
          <w:color w:val="0D0D0D" w:themeColor="text1" w:themeTint="F2"/>
          <w:lang w:val="es-MX"/>
        </w:rPr>
        <w:t xml:space="preserve"> </w:t>
      </w:r>
      <w:r w:rsidR="00834AC7" w:rsidRPr="00A85578">
        <w:rPr>
          <w:rFonts w:ascii="Arial" w:hAnsi="Arial" w:cs="Arial"/>
          <w:color w:val="0D0D0D" w:themeColor="text1" w:themeTint="F2"/>
          <w:lang w:val="es-MX"/>
        </w:rPr>
        <w:t xml:space="preserve">permiten </w:t>
      </w:r>
      <w:r w:rsidRPr="00A85578">
        <w:rPr>
          <w:rFonts w:ascii="Arial" w:hAnsi="Arial" w:cs="Arial"/>
          <w:color w:val="0D0D0D" w:themeColor="text1" w:themeTint="F2"/>
          <w:lang w:val="es-MX"/>
        </w:rPr>
        <w:t xml:space="preserve">identificar las posibles oportunidades </w:t>
      </w:r>
      <w:r w:rsidRPr="00CE516D">
        <w:rPr>
          <w:rFonts w:ascii="Arial" w:hAnsi="Arial" w:cs="Arial"/>
          <w:color w:val="000000" w:themeColor="text1"/>
          <w:lang w:val="es-MX"/>
        </w:rPr>
        <w:t xml:space="preserve">y desafíos que surgirán del TLC, lo cual constituye un recurso valioso tanto para académicos, empresas y organismos involucrados en este </w:t>
      </w:r>
      <w:r w:rsidRPr="00A85578">
        <w:rPr>
          <w:rFonts w:ascii="Arial" w:hAnsi="Arial" w:cs="Arial"/>
          <w:color w:val="0D0D0D" w:themeColor="text1" w:themeTint="F2"/>
          <w:lang w:val="es-MX"/>
        </w:rPr>
        <w:t>proceso.</w:t>
      </w:r>
    </w:p>
    <w:p w14:paraId="0794A2B9" w14:textId="14C8FA63" w:rsidR="002168C8" w:rsidRPr="00D04AC2" w:rsidRDefault="002168C8" w:rsidP="002168C8">
      <w:pPr>
        <w:spacing w:after="240" w:line="360" w:lineRule="auto"/>
        <w:jc w:val="both"/>
        <w:rPr>
          <w:rFonts w:ascii="Arial" w:hAnsi="Arial" w:cs="Arial"/>
          <w:color w:val="000000" w:themeColor="text1"/>
          <w:lang w:val="es-MX"/>
        </w:rPr>
      </w:pPr>
      <w:r w:rsidRPr="00A85578">
        <w:rPr>
          <w:rFonts w:ascii="Arial" w:hAnsi="Arial" w:cs="Arial"/>
          <w:color w:val="0D0D0D" w:themeColor="text1" w:themeTint="F2"/>
          <w:lang w:val="es-MX"/>
        </w:rPr>
        <w:t xml:space="preserve">Se considera pertinente el análisis, puesto que se </w:t>
      </w:r>
      <w:r w:rsidR="00084189" w:rsidRPr="00A85578">
        <w:rPr>
          <w:rFonts w:ascii="Arial" w:hAnsi="Arial" w:cs="Arial"/>
          <w:color w:val="0D0D0D" w:themeColor="text1" w:themeTint="F2"/>
          <w:lang w:val="es-MX"/>
        </w:rPr>
        <w:t xml:space="preserve">aplica </w:t>
      </w:r>
      <w:r w:rsidRPr="00A85578">
        <w:rPr>
          <w:rFonts w:ascii="Arial" w:hAnsi="Arial" w:cs="Arial"/>
          <w:color w:val="0D0D0D" w:themeColor="text1" w:themeTint="F2"/>
          <w:lang w:val="es-MX"/>
        </w:rPr>
        <w:t xml:space="preserve">un enfoque en los sectores productivos más importantes en Honduras y que </w:t>
      </w:r>
      <w:r w:rsidRPr="003E0592">
        <w:rPr>
          <w:rFonts w:ascii="Arial" w:hAnsi="Arial" w:cs="Arial"/>
          <w:lang w:val="es-MX"/>
        </w:rPr>
        <w:t xml:space="preserve">tienen mayor potencial </w:t>
      </w:r>
      <w:r w:rsidRPr="003E0592">
        <w:rPr>
          <w:rFonts w:ascii="Arial" w:hAnsi="Arial" w:cs="Arial"/>
          <w:lang w:val="es-MX"/>
        </w:rPr>
        <w:lastRenderedPageBreak/>
        <w:t>exportador hacia China (camarón, café, cinc y plátanos</w:t>
      </w:r>
      <w:r w:rsidRPr="003E0592">
        <w:rPr>
          <w:rFonts w:ascii="Arial" w:hAnsi="Arial" w:cs="Arial"/>
          <w:color w:val="000000"/>
          <w:lang w:val="es-MX"/>
        </w:rPr>
        <w:t>)</w:t>
      </w:r>
      <w:r w:rsidR="00BE0F7E" w:rsidRPr="003E0592">
        <w:rPr>
          <w:rFonts w:ascii="Arial" w:hAnsi="Arial" w:cs="Arial"/>
          <w:color w:val="000000"/>
          <w:lang w:val="es-MX"/>
        </w:rPr>
        <w:t xml:space="preserve"> </w:t>
      </w:r>
      <w:r w:rsidR="00BE0F7E" w:rsidRPr="003E0592">
        <w:rPr>
          <w:rFonts w:ascii="Arial" w:hAnsi="Arial" w:cs="Arial"/>
          <w:color w:val="000000"/>
          <w:lang w:val="es-MX"/>
        </w:rPr>
        <w:fldChar w:fldCharType="begin"/>
      </w:r>
      <w:r w:rsidR="00A42206">
        <w:rPr>
          <w:rFonts w:ascii="Arial" w:hAnsi="Arial" w:cs="Arial"/>
          <w:color w:val="000000"/>
          <w:lang w:val="es-MX"/>
        </w:rPr>
        <w:instrText xml:space="preserve"> ADDIN ZOTERO_ITEM CSL_CITATION {"citationID":"AePkAYP6","properties":{"formattedCitation":"(International Trade Center (ITC), 2023)","plainCitation":"(International Trade Center (ITC), 2023)","dontUpdate":true,"noteIndex":0},"citationItems":[{"id":33,"uris":["http://zotero.org/users/10063313/items/D82IGMAY"],"itemData":{"id":33,"type":"webpage","title":"Trade Map","URL":"https://www.trademap.org/","author":[{"literal":"International Trade Center (ITC)"}],"accessed":{"date-parts":[["2023",7,26]]},"issued":{"date-parts":[["2023"]]}}}],"schema":"https://github.com/citation-style-language/schema/raw/master/csl-citation.json"} </w:instrText>
      </w:r>
      <w:r w:rsidR="00BE0F7E" w:rsidRPr="003E0592">
        <w:rPr>
          <w:rFonts w:ascii="Arial" w:hAnsi="Arial" w:cs="Arial"/>
          <w:color w:val="000000"/>
          <w:lang w:val="es-MX"/>
        </w:rPr>
        <w:fldChar w:fldCharType="separate"/>
      </w:r>
      <w:r w:rsidR="00BE0F7E" w:rsidRPr="003E0592">
        <w:rPr>
          <w:rFonts w:ascii="Arial" w:hAnsi="Arial" w:cs="Arial"/>
        </w:rPr>
        <w:t>(ITC, 2023)</w:t>
      </w:r>
      <w:r w:rsidR="00BE0F7E" w:rsidRPr="003E0592">
        <w:rPr>
          <w:rFonts w:ascii="Arial" w:hAnsi="Arial" w:cs="Arial"/>
          <w:color w:val="000000"/>
          <w:lang w:val="es-MX"/>
        </w:rPr>
        <w:fldChar w:fldCharType="end"/>
      </w:r>
      <w:r w:rsidRPr="003E0592">
        <w:rPr>
          <w:rFonts w:ascii="Arial" w:hAnsi="Arial" w:cs="Arial"/>
          <w:lang w:val="es-MX"/>
        </w:rPr>
        <w:t xml:space="preserve">; y en la </w:t>
      </w:r>
      <w:r w:rsidRPr="00D04AC2">
        <w:rPr>
          <w:rFonts w:ascii="Arial" w:hAnsi="Arial" w:cs="Arial"/>
          <w:color w:val="000000" w:themeColor="text1"/>
          <w:lang w:val="es-MX"/>
        </w:rPr>
        <w:t xml:space="preserve">inversión que </w:t>
      </w:r>
      <w:r w:rsidR="00834AC7" w:rsidRPr="00D04AC2">
        <w:rPr>
          <w:rFonts w:ascii="Arial" w:hAnsi="Arial" w:cs="Arial"/>
          <w:color w:val="000000" w:themeColor="text1"/>
          <w:lang w:val="es-MX"/>
        </w:rPr>
        <w:t xml:space="preserve">podría </w:t>
      </w:r>
      <w:r w:rsidR="00F978EC">
        <w:rPr>
          <w:rFonts w:ascii="Arial" w:hAnsi="Arial" w:cs="Arial"/>
          <w:color w:val="000000" w:themeColor="text1"/>
          <w:lang w:val="es-MX"/>
        </w:rPr>
        <w:t xml:space="preserve">recibir </w:t>
      </w:r>
      <w:r w:rsidRPr="00D04AC2">
        <w:rPr>
          <w:rFonts w:ascii="Arial" w:hAnsi="Arial" w:cs="Arial"/>
          <w:color w:val="000000" w:themeColor="text1"/>
          <w:lang w:val="es-MX"/>
        </w:rPr>
        <w:t xml:space="preserve">el país en diferentes sectores. </w:t>
      </w:r>
    </w:p>
    <w:p w14:paraId="6C333E23" w14:textId="0C0F25EC" w:rsidR="002168C8" w:rsidRPr="00084189" w:rsidRDefault="00834AC7" w:rsidP="002168C8">
      <w:pPr>
        <w:spacing w:after="240" w:line="360" w:lineRule="auto"/>
        <w:jc w:val="both"/>
        <w:rPr>
          <w:rFonts w:ascii="Arial" w:hAnsi="Arial" w:cs="Arial"/>
          <w:color w:val="5DCEAF" w:themeColor="accent4"/>
          <w:lang w:val="es-MX"/>
        </w:rPr>
      </w:pPr>
      <w:r w:rsidRPr="00D04AC2">
        <w:rPr>
          <w:rFonts w:ascii="Arial" w:hAnsi="Arial" w:cs="Arial"/>
          <w:color w:val="000000" w:themeColor="text1"/>
          <w:lang w:val="es-MX"/>
        </w:rPr>
        <w:t xml:space="preserve">Por tanto, la importancia </w:t>
      </w:r>
      <w:r w:rsidR="002168C8" w:rsidRPr="00D04AC2">
        <w:rPr>
          <w:rFonts w:ascii="Arial" w:hAnsi="Arial" w:cs="Arial"/>
          <w:color w:val="000000" w:themeColor="text1"/>
          <w:lang w:val="es-MX"/>
        </w:rPr>
        <w:t xml:space="preserve">de esta investigación radica en su aporte al estudio de incipiente relación comercial de Honduras y China, centrándose específicamente en la relación comercial entre ambos países, evidenciando los posibles </w:t>
      </w:r>
      <w:r w:rsidR="002168C8" w:rsidRPr="00A85578">
        <w:rPr>
          <w:rFonts w:ascii="Arial" w:hAnsi="Arial" w:cs="Arial"/>
          <w:color w:val="0D0D0D" w:themeColor="text1" w:themeTint="F2"/>
          <w:lang w:val="es-MX"/>
        </w:rPr>
        <w:t xml:space="preserve">beneficios y desventajas que este acuerdo podría provocar en </w:t>
      </w:r>
      <w:r w:rsidRPr="00A85578">
        <w:rPr>
          <w:rFonts w:ascii="Arial" w:hAnsi="Arial" w:cs="Arial"/>
          <w:color w:val="0D0D0D" w:themeColor="text1" w:themeTint="F2"/>
          <w:lang w:val="es-MX"/>
        </w:rPr>
        <w:t>el país centroamerican</w:t>
      </w:r>
      <w:r w:rsidR="00A85578" w:rsidRPr="00A85578">
        <w:rPr>
          <w:rFonts w:ascii="Arial" w:hAnsi="Arial" w:cs="Arial"/>
          <w:color w:val="0D0D0D" w:themeColor="text1" w:themeTint="F2"/>
          <w:lang w:val="es-MX"/>
        </w:rPr>
        <w:t xml:space="preserve">o </w:t>
      </w:r>
      <w:r w:rsidR="00084189" w:rsidRPr="00A85578">
        <w:rPr>
          <w:rFonts w:ascii="Arial" w:hAnsi="Arial" w:cs="Arial"/>
          <w:color w:val="0D0D0D" w:themeColor="text1" w:themeTint="F2"/>
          <w:lang w:val="es-MX"/>
        </w:rPr>
        <w:t xml:space="preserve">y los espacios de acción complementarios para el diseño de políticas públicas. </w:t>
      </w:r>
    </w:p>
    <w:p w14:paraId="317C17BE" w14:textId="3D84EBA4" w:rsidR="002168C8" w:rsidRPr="00DE25FA" w:rsidRDefault="002168C8">
      <w:pPr>
        <w:pStyle w:val="Ttulo2"/>
        <w:numPr>
          <w:ilvl w:val="1"/>
          <w:numId w:val="19"/>
        </w:numPr>
        <w:spacing w:line="360" w:lineRule="auto"/>
        <w:rPr>
          <w:rFonts w:ascii="Arial" w:hAnsi="Arial" w:cs="Arial"/>
          <w:color w:val="auto"/>
          <w:sz w:val="28"/>
          <w:szCs w:val="28"/>
        </w:rPr>
      </w:pPr>
      <w:bookmarkStart w:id="6" w:name="_Toc145385803"/>
      <w:bookmarkStart w:id="7" w:name="_Toc236232334"/>
      <w:r w:rsidRPr="00DE25FA">
        <w:rPr>
          <w:rFonts w:ascii="Arial" w:hAnsi="Arial" w:cs="Arial"/>
          <w:color w:val="auto"/>
          <w:sz w:val="28"/>
          <w:szCs w:val="28"/>
        </w:rPr>
        <w:t>Planteamiento del Problema</w:t>
      </w:r>
      <w:bookmarkEnd w:id="6"/>
      <w:bookmarkEnd w:id="7"/>
    </w:p>
    <w:p w14:paraId="1726A7CA" w14:textId="61547DE0" w:rsidR="000B3614" w:rsidRPr="00332776" w:rsidRDefault="000B3614" w:rsidP="00332776">
      <w:pPr>
        <w:rPr>
          <w:highlight w:val="yellow"/>
        </w:rPr>
      </w:pPr>
    </w:p>
    <w:p w14:paraId="43F09931" w14:textId="503E154A" w:rsidR="002168C8" w:rsidRPr="00834AC7" w:rsidRDefault="00A47DC7" w:rsidP="002168C8">
      <w:pPr>
        <w:spacing w:after="240" w:line="360" w:lineRule="auto"/>
        <w:jc w:val="both"/>
        <w:rPr>
          <w:rFonts w:ascii="Arial" w:hAnsi="Arial" w:cs="Arial"/>
          <w:color w:val="568D11" w:themeColor="accent3" w:themeShade="80"/>
          <w:lang w:val="es-MX"/>
        </w:rPr>
      </w:pPr>
      <w:r w:rsidRPr="00A47DC7">
        <w:rPr>
          <w:rFonts w:ascii="Arial" w:hAnsi="Arial" w:cs="Arial"/>
          <w:lang w:val="es-MX"/>
        </w:rPr>
        <w:t>El comercio internacional representa un motor clave para el crecimiento económico de los países en desarrollo, siendo uno de los mecanismos más eficaces para dinamizar sus economías. Si bien la inversión extranjera directa (IED) puede generar ciertos beneficios, su impacto en el desarrollo estructural y en la transferencia de tecnología suele ser limitado</w:t>
      </w:r>
      <w:r>
        <w:rPr>
          <w:rFonts w:ascii="Arial" w:hAnsi="Arial" w:cs="Arial"/>
          <w:lang w:val="es-MX"/>
        </w:rPr>
        <w:t xml:space="preserve"> </w:t>
      </w:r>
      <w:r w:rsidR="00BE0F7E" w:rsidRPr="003E0592">
        <w:rPr>
          <w:rFonts w:ascii="Arial" w:hAnsi="Arial" w:cs="Arial"/>
          <w:lang w:val="es-MX"/>
        </w:rPr>
        <w:fldChar w:fldCharType="begin"/>
      </w:r>
      <w:r w:rsidR="00A42206">
        <w:rPr>
          <w:rFonts w:ascii="Arial" w:hAnsi="Arial" w:cs="Arial"/>
          <w:lang w:val="es-MX"/>
        </w:rPr>
        <w:instrText xml:space="preserve"> ADDIN ZOTERO_ITEM CSL_CITATION {"citationID":"ilRrt7Tg","properties":{"formattedCitation":"(Ba\\uc0\\u241{}os, 2015)","plainCitation":"(Baños, 2015)","noteIndex":0},"citationItems":[{"id":16,"uris":["http://zotero.org/users/10063313/items/ATGMEB27"],"itemData":{"id":16,"type":"article-journal","container-title":"Mundo Siglo XXI","issue":"37","page":"51-61","title":"La falacia de la transferencia tecnológica vía Inversión Extranjera Directa: explorando las oportunidades de desarrollo para América Latina","volume":"XI","author":[{"family":"Baños","given":"Mara Rosas"}],"issued":{"date-parts":[["2015"]]}}}],"schema":"https://github.com/citation-style-language/schema/raw/master/csl-citation.json"} </w:instrText>
      </w:r>
      <w:r w:rsidR="00BE0F7E" w:rsidRPr="003E0592">
        <w:rPr>
          <w:rFonts w:ascii="Arial" w:hAnsi="Arial" w:cs="Arial"/>
          <w:lang w:val="es-MX"/>
        </w:rPr>
        <w:fldChar w:fldCharType="separate"/>
      </w:r>
      <w:r w:rsidR="00BE0F7E" w:rsidRPr="003E0592">
        <w:rPr>
          <w:rFonts w:ascii="Arial" w:hAnsi="Arial" w:cs="Arial"/>
        </w:rPr>
        <w:t>(Baños, 2015)</w:t>
      </w:r>
      <w:r w:rsidR="00BE0F7E" w:rsidRPr="003E0592">
        <w:rPr>
          <w:rFonts w:ascii="Arial" w:hAnsi="Arial" w:cs="Arial"/>
          <w:lang w:val="es-MX"/>
        </w:rPr>
        <w:fldChar w:fldCharType="end"/>
      </w:r>
      <w:r w:rsidR="00BE0F7E" w:rsidRPr="003E0592">
        <w:rPr>
          <w:rFonts w:ascii="Arial" w:hAnsi="Arial" w:cs="Arial"/>
          <w:color w:val="000000"/>
          <w:lang w:val="es-MX"/>
        </w:rPr>
        <w:t xml:space="preserve"> </w:t>
      </w:r>
      <w:r w:rsidRPr="00A47DC7">
        <w:rPr>
          <w:rFonts w:ascii="Arial" w:hAnsi="Arial" w:cs="Arial"/>
          <w:lang w:val="es-MX"/>
        </w:rPr>
        <w:t>especialmente cuando se compara con el potencial transformador que posee el comercio en términos de productividad y generación de capacidades locales.</w:t>
      </w:r>
      <w:r w:rsidR="00834AC7">
        <w:rPr>
          <w:rFonts w:ascii="Arial" w:hAnsi="Arial" w:cs="Arial"/>
          <w:lang w:val="es-MX"/>
        </w:rPr>
        <w:t xml:space="preserve"> </w:t>
      </w:r>
    </w:p>
    <w:p w14:paraId="0031C5BF" w14:textId="0D361302" w:rsidR="002168C8" w:rsidRPr="00D04AC2" w:rsidRDefault="002168C8" w:rsidP="002168C8">
      <w:pPr>
        <w:spacing w:after="240" w:line="360" w:lineRule="auto"/>
        <w:jc w:val="both"/>
        <w:rPr>
          <w:rFonts w:ascii="Arial" w:hAnsi="Arial" w:cs="Arial"/>
          <w:color w:val="000000" w:themeColor="text1"/>
          <w:lang w:val="es-MX"/>
        </w:rPr>
      </w:pPr>
      <w:r w:rsidRPr="003E0592">
        <w:rPr>
          <w:rFonts w:ascii="Arial" w:hAnsi="Arial" w:cs="Arial"/>
          <w:lang w:val="es-MX"/>
        </w:rPr>
        <w:t xml:space="preserve">Cuando los países de pequeñas economías están en proceso de negociación para ser parte de un acuerdo comercial, se debe también comenzar una serie de evaluaciones, como los estudios de factibilidad, ya que el acuerdo por sí solo no impulsará el crecimiento o mejorará el sector exportador de un determinado país. </w:t>
      </w:r>
      <w:r w:rsidR="00BE0F7E" w:rsidRPr="003E0592">
        <w:rPr>
          <w:rFonts w:ascii="Arial" w:hAnsi="Arial" w:cs="Arial"/>
          <w:lang w:val="es-MX"/>
        </w:rPr>
        <w:t xml:space="preserve">Trejos </w:t>
      </w:r>
      <w:r w:rsidR="00BE0F7E" w:rsidRPr="003E0592">
        <w:rPr>
          <w:rFonts w:ascii="Arial" w:hAnsi="Arial" w:cs="Arial"/>
          <w:lang w:val="es-MX"/>
        </w:rPr>
        <w:fldChar w:fldCharType="begin"/>
      </w:r>
      <w:r w:rsidR="00A42206">
        <w:rPr>
          <w:rFonts w:ascii="Arial" w:hAnsi="Arial" w:cs="Arial"/>
          <w:lang w:val="es-MX"/>
        </w:rPr>
        <w:instrText xml:space="preserve"> ADDIN ZOTERO_ITEM CSL_CITATION {"citationID":"dZj6GrQ9","properties":{"formattedCitation":"(Trejos, 2009)","plainCitation":"(Trejos, 2009)","dontUpdate":true,"noteIndex":0},"citationItems":[{"id":53,"uris":["http://zotero.org/users/10063313/items/M22TC7J5"],"itemData":{"id":53,"type":"chapter","container-title":"Comisión Económica para América Latina y el Caribe (CEPAL","language":"es","title":"Instrumentos para la evaluación del impacto de acuerdos comerciales internacionales: aplicaciones para países pequeños en América Latina","author":[{"family":"Trejos","given":"A"}],"editor":[{"family":"México","given":"D F"}],"issued":{"date-parts":[["2009"]]}}}],"schema":"https://github.com/citation-style-language/schema/raw/master/csl-citation.json"} </w:instrText>
      </w:r>
      <w:r w:rsidR="00BE0F7E" w:rsidRPr="003E0592">
        <w:rPr>
          <w:rFonts w:ascii="Arial" w:hAnsi="Arial" w:cs="Arial"/>
          <w:lang w:val="es-MX"/>
        </w:rPr>
        <w:fldChar w:fldCharType="separate"/>
      </w:r>
      <w:r w:rsidR="00BE0F7E" w:rsidRPr="003E0592">
        <w:rPr>
          <w:rFonts w:ascii="Arial" w:hAnsi="Arial" w:cs="Arial"/>
        </w:rPr>
        <w:t>(2009)</w:t>
      </w:r>
      <w:r w:rsidR="00BE0F7E" w:rsidRPr="003E0592">
        <w:rPr>
          <w:rFonts w:ascii="Arial" w:hAnsi="Arial" w:cs="Arial"/>
          <w:lang w:val="es-MX"/>
        </w:rPr>
        <w:fldChar w:fldCharType="end"/>
      </w:r>
      <w:r w:rsidR="00BE0F7E" w:rsidRPr="003E0592">
        <w:rPr>
          <w:rFonts w:ascii="Arial" w:hAnsi="Arial" w:cs="Arial"/>
          <w:lang w:val="es-MX"/>
        </w:rPr>
        <w:t xml:space="preserve"> </w:t>
      </w:r>
      <w:r w:rsidRPr="003E0592">
        <w:rPr>
          <w:rFonts w:ascii="Arial" w:hAnsi="Arial" w:cs="Arial"/>
          <w:lang w:val="es-MX"/>
        </w:rPr>
        <w:t>recurre a varias preguntas relacionadas a los costes, beneficios y en general el aprovechamiento de los acuerdos, las cuales deben tomarse en cuenta para evaluar el impacto de un TLC para los países pequeños, y cómo se aprovecha este en distintos aspectos de la economía. Cheong</w:t>
      </w:r>
      <w:r w:rsidRPr="003E0592">
        <w:rPr>
          <w:rFonts w:ascii="Arial" w:hAnsi="Arial" w:cs="Arial"/>
          <w:color w:val="000000"/>
          <w:lang w:val="es-MX"/>
        </w:rPr>
        <w:t xml:space="preserve"> </w:t>
      </w:r>
      <w:r w:rsidR="00BE0F7E" w:rsidRPr="003E0592">
        <w:rPr>
          <w:rFonts w:ascii="Arial" w:hAnsi="Arial" w:cs="Arial"/>
          <w:color w:val="000000"/>
          <w:lang w:val="es-MX"/>
        </w:rPr>
        <w:fldChar w:fldCharType="begin"/>
      </w:r>
      <w:r w:rsidR="00A42206">
        <w:rPr>
          <w:rFonts w:ascii="Arial" w:hAnsi="Arial" w:cs="Arial"/>
          <w:color w:val="000000"/>
          <w:lang w:val="es-MX"/>
        </w:rPr>
        <w:instrText xml:space="preserve"> ADDIN ZOTERO_ITEM CSL_CITATION {"citationID":"oZqWLGb9","properties":{"formattedCitation":"(Cheong, 2010)","plainCitation":"(Cheong, 2010)","dontUpdate":true,"noteIndex":0},"citationItems":[{"id":15,"uris":["http://zotero.org/users/10063313/items/TCU8FPM3"],"itemData":{"id":15,"type":"report","publisher":"Asian Development Bank","title":"ADB Working Paper Series on Regional Economic Integration","author":[{"family":"Cheong","given":"David"}],"issued":{"date-parts":[["2010"]]}}}],"schema":"https://github.com/citation-style-language/schema/raw/master/csl-citation.json"} </w:instrText>
      </w:r>
      <w:r w:rsidR="00BE0F7E" w:rsidRPr="003E0592">
        <w:rPr>
          <w:rFonts w:ascii="Arial" w:hAnsi="Arial" w:cs="Arial"/>
          <w:color w:val="000000"/>
          <w:lang w:val="es-MX"/>
        </w:rPr>
        <w:fldChar w:fldCharType="separate"/>
      </w:r>
      <w:r w:rsidR="00BE0F7E" w:rsidRPr="003E0592">
        <w:rPr>
          <w:rFonts w:ascii="Arial" w:hAnsi="Arial" w:cs="Arial"/>
        </w:rPr>
        <w:t>(2010)</w:t>
      </w:r>
      <w:r w:rsidR="00BE0F7E" w:rsidRPr="003E0592">
        <w:rPr>
          <w:rFonts w:ascii="Arial" w:hAnsi="Arial" w:cs="Arial"/>
          <w:color w:val="000000"/>
          <w:lang w:val="es-MX"/>
        </w:rPr>
        <w:fldChar w:fldCharType="end"/>
      </w:r>
      <w:r w:rsidR="00BE0F7E" w:rsidRPr="003E0592">
        <w:rPr>
          <w:rFonts w:ascii="Arial" w:hAnsi="Arial" w:cs="Arial"/>
          <w:color w:val="000000"/>
          <w:lang w:val="es-MX"/>
        </w:rPr>
        <w:t xml:space="preserve"> </w:t>
      </w:r>
      <w:r w:rsidRPr="003E0592">
        <w:rPr>
          <w:rFonts w:ascii="Arial" w:hAnsi="Arial" w:cs="Arial"/>
          <w:color w:val="000000"/>
          <w:lang w:val="es-MX"/>
        </w:rPr>
        <w:t xml:space="preserve">también propone preguntas de estudio y métodos de evaluación ex ante, enfocadas en el crecimiento de importaciones y exportaciones, cambios en los precios de sectores particulares, cambio comercial interno y cambios en el bienestar del </w:t>
      </w:r>
      <w:r w:rsidRPr="00D04AC2">
        <w:rPr>
          <w:rFonts w:ascii="Arial" w:hAnsi="Arial" w:cs="Arial"/>
          <w:color w:val="000000" w:themeColor="text1"/>
          <w:lang w:val="es-MX"/>
        </w:rPr>
        <w:t xml:space="preserve">país. </w:t>
      </w:r>
    </w:p>
    <w:p w14:paraId="107BD4CE" w14:textId="2EB7A566" w:rsidR="002168C8" w:rsidRPr="00D04AC2" w:rsidRDefault="002168C8" w:rsidP="002168C8">
      <w:pPr>
        <w:spacing w:after="240" w:line="360" w:lineRule="auto"/>
        <w:jc w:val="both"/>
        <w:rPr>
          <w:rFonts w:ascii="Arial" w:hAnsi="Arial" w:cs="Arial"/>
          <w:color w:val="000000" w:themeColor="text1"/>
          <w:lang w:val="es-MX"/>
        </w:rPr>
      </w:pPr>
      <w:r w:rsidRPr="00D04AC2">
        <w:rPr>
          <w:rFonts w:ascii="Arial" w:hAnsi="Arial" w:cs="Arial"/>
          <w:color w:val="000000" w:themeColor="text1"/>
          <w:lang w:val="es-MX"/>
        </w:rPr>
        <w:t xml:space="preserve">Honduras, como nación </w:t>
      </w:r>
      <w:r w:rsidR="00834AC7" w:rsidRPr="00D04AC2">
        <w:rPr>
          <w:rFonts w:ascii="Arial" w:hAnsi="Arial" w:cs="Arial"/>
          <w:color w:val="000000" w:themeColor="text1"/>
          <w:lang w:val="es-MX"/>
        </w:rPr>
        <w:t xml:space="preserve">categorizada como </w:t>
      </w:r>
      <w:r w:rsidRPr="00D04AC2">
        <w:rPr>
          <w:rFonts w:ascii="Arial" w:hAnsi="Arial" w:cs="Arial"/>
          <w:color w:val="000000" w:themeColor="text1"/>
          <w:lang w:val="es-MX"/>
        </w:rPr>
        <w:t xml:space="preserve">una economía en desarrollo, se encuentra actualmente inmersa en negociaciones para establecer un TLC con </w:t>
      </w:r>
      <w:r w:rsidRPr="00D04AC2">
        <w:rPr>
          <w:rFonts w:ascii="Arial" w:hAnsi="Arial" w:cs="Arial"/>
          <w:color w:val="000000" w:themeColor="text1"/>
          <w:lang w:val="es-MX"/>
        </w:rPr>
        <w:lastRenderedPageBreak/>
        <w:t xml:space="preserve">China, que, debido a su </w:t>
      </w:r>
      <w:r w:rsidR="000B3614" w:rsidRPr="00D04AC2">
        <w:rPr>
          <w:rFonts w:ascii="Arial" w:hAnsi="Arial" w:cs="Arial"/>
          <w:color w:val="000000" w:themeColor="text1"/>
          <w:lang w:val="es-MX"/>
        </w:rPr>
        <w:t>numerosa</w:t>
      </w:r>
      <w:r w:rsidRPr="00D04AC2">
        <w:rPr>
          <w:rFonts w:ascii="Arial" w:hAnsi="Arial" w:cs="Arial"/>
          <w:color w:val="000000" w:themeColor="text1"/>
          <w:lang w:val="es-MX"/>
        </w:rPr>
        <w:t xml:space="preserve"> población</w:t>
      </w:r>
      <w:r w:rsidR="000B3614" w:rsidRPr="00754B8E">
        <w:rPr>
          <w:rStyle w:val="Refdenotaalpie"/>
        </w:rPr>
        <w:footnoteReference w:id="4"/>
      </w:r>
      <w:r w:rsidRPr="00D04AC2">
        <w:rPr>
          <w:rFonts w:ascii="Arial" w:hAnsi="Arial" w:cs="Arial"/>
          <w:color w:val="000000" w:themeColor="text1"/>
          <w:lang w:val="es-MX"/>
        </w:rPr>
        <w:t xml:space="preserve">, representa una relevante oportunidad para Honduras de incursionar en uno de los mercados más importantes a nivel global. </w:t>
      </w:r>
    </w:p>
    <w:p w14:paraId="799FA0F3" w14:textId="2D6C31DB" w:rsidR="002168C8" w:rsidRPr="00084189" w:rsidRDefault="002168C8" w:rsidP="002168C8">
      <w:pPr>
        <w:spacing w:after="240" w:line="360" w:lineRule="auto"/>
        <w:jc w:val="both"/>
        <w:rPr>
          <w:rFonts w:ascii="Arial" w:hAnsi="Arial" w:cs="Arial"/>
          <w:color w:val="11B1EA" w:themeColor="accent2" w:themeShade="BF"/>
          <w:lang w:val="es-MX"/>
        </w:rPr>
      </w:pPr>
      <w:bookmarkStart w:id="8" w:name="OLE_LINK17"/>
      <w:r w:rsidRPr="00D04AC2">
        <w:rPr>
          <w:rFonts w:ascii="Arial" w:hAnsi="Arial" w:cs="Arial"/>
          <w:color w:val="000000" w:themeColor="text1"/>
          <w:lang w:val="es-MX"/>
        </w:rPr>
        <w:t xml:space="preserve">En </w:t>
      </w:r>
      <w:r w:rsidR="00834AC7" w:rsidRPr="00D04AC2">
        <w:rPr>
          <w:rFonts w:ascii="Arial" w:hAnsi="Arial" w:cs="Arial"/>
          <w:color w:val="000000" w:themeColor="text1"/>
          <w:lang w:val="es-MX"/>
        </w:rPr>
        <w:t xml:space="preserve">lo que respecta a intercambio comercial, </w:t>
      </w:r>
      <w:r w:rsidRPr="00D04AC2">
        <w:rPr>
          <w:rFonts w:ascii="Arial" w:hAnsi="Arial" w:cs="Arial"/>
          <w:color w:val="000000" w:themeColor="text1"/>
          <w:lang w:val="es-MX"/>
        </w:rPr>
        <w:t>el Gráfico 1</w:t>
      </w:r>
      <w:r w:rsidR="00D04AC2" w:rsidRPr="00D04AC2">
        <w:rPr>
          <w:rFonts w:ascii="Arial" w:hAnsi="Arial" w:cs="Arial"/>
          <w:color w:val="000000" w:themeColor="text1"/>
          <w:lang w:val="es-MX"/>
        </w:rPr>
        <w:t xml:space="preserve">, </w:t>
      </w:r>
      <w:r w:rsidRPr="00D04AC2">
        <w:rPr>
          <w:rFonts w:ascii="Arial" w:hAnsi="Arial" w:cs="Arial"/>
          <w:color w:val="000000" w:themeColor="text1"/>
          <w:lang w:val="es-MX"/>
        </w:rPr>
        <w:t>presenta la evolución de la balanza comercial entre Honduras y China durante el período comprendido entre 201</w:t>
      </w:r>
      <w:r w:rsidR="00493725" w:rsidRPr="00D04AC2">
        <w:rPr>
          <w:rFonts w:ascii="Arial" w:hAnsi="Arial" w:cs="Arial"/>
          <w:color w:val="000000" w:themeColor="text1"/>
          <w:lang w:val="es-MX"/>
        </w:rPr>
        <w:t>5</w:t>
      </w:r>
      <w:r w:rsidRPr="00D04AC2">
        <w:rPr>
          <w:rFonts w:ascii="Arial" w:hAnsi="Arial" w:cs="Arial"/>
          <w:color w:val="000000" w:themeColor="text1"/>
          <w:lang w:val="es-MX"/>
        </w:rPr>
        <w:t xml:space="preserve"> y 202</w:t>
      </w:r>
      <w:r w:rsidR="0017781A">
        <w:rPr>
          <w:rFonts w:ascii="Arial" w:hAnsi="Arial" w:cs="Arial"/>
          <w:color w:val="000000" w:themeColor="text1"/>
          <w:lang w:val="es-MX"/>
        </w:rPr>
        <w:t>4</w:t>
      </w:r>
      <w:r w:rsidRPr="00D04AC2">
        <w:rPr>
          <w:rFonts w:ascii="Arial" w:hAnsi="Arial" w:cs="Arial"/>
          <w:color w:val="000000" w:themeColor="text1"/>
          <w:lang w:val="es-MX"/>
        </w:rPr>
        <w:t xml:space="preserve">. </w:t>
      </w:r>
      <w:r w:rsidRPr="003E0592">
        <w:rPr>
          <w:rFonts w:ascii="Arial" w:hAnsi="Arial" w:cs="Arial"/>
          <w:lang w:val="es-MX"/>
        </w:rPr>
        <w:t xml:space="preserve">Se observa claramente la existencia de un significativo déficit </w:t>
      </w:r>
      <w:r w:rsidRPr="00D04AC2">
        <w:rPr>
          <w:rFonts w:ascii="Arial" w:hAnsi="Arial" w:cs="Arial"/>
          <w:color w:val="000000" w:themeColor="text1"/>
          <w:lang w:val="es-MX"/>
        </w:rPr>
        <w:t xml:space="preserve">comercial </w:t>
      </w:r>
      <w:r w:rsidR="00834AC7" w:rsidRPr="00D04AC2">
        <w:rPr>
          <w:rFonts w:ascii="Arial" w:hAnsi="Arial" w:cs="Arial"/>
          <w:color w:val="000000" w:themeColor="text1"/>
          <w:lang w:val="es-MX"/>
        </w:rPr>
        <w:t xml:space="preserve">para Honduras </w:t>
      </w:r>
      <w:r w:rsidRPr="003E0592">
        <w:rPr>
          <w:rFonts w:ascii="Arial" w:hAnsi="Arial" w:cs="Arial"/>
          <w:lang w:val="es-MX"/>
        </w:rPr>
        <w:t xml:space="preserve">en esta relación bilateral. </w:t>
      </w:r>
    </w:p>
    <w:p w14:paraId="09008D76" w14:textId="12527E11" w:rsidR="002168C8" w:rsidRPr="0082417D" w:rsidRDefault="002168C8" w:rsidP="0089019E">
      <w:pPr>
        <w:pStyle w:val="Descripcin"/>
        <w:keepNext/>
        <w:spacing w:after="0" w:line="360" w:lineRule="auto"/>
        <w:jc w:val="both"/>
        <w:rPr>
          <w:rFonts w:ascii="Arial" w:hAnsi="Arial" w:cs="Arial"/>
          <w:b/>
          <w:bCs/>
          <w:color w:val="auto"/>
          <w:sz w:val="24"/>
          <w:szCs w:val="24"/>
        </w:rPr>
      </w:pPr>
      <w:bookmarkStart w:id="9" w:name="_Toc215907242"/>
      <w:r w:rsidRPr="0089019E">
        <w:rPr>
          <w:rFonts w:ascii="Arial" w:hAnsi="Arial" w:cs="Arial"/>
          <w:b/>
          <w:bCs/>
          <w:i w:val="0"/>
          <w:iCs w:val="0"/>
          <w:color w:val="auto"/>
          <w:sz w:val="24"/>
          <w:szCs w:val="24"/>
        </w:rPr>
        <w:t xml:space="preserve">Gráfico </w:t>
      </w:r>
      <w:r w:rsidR="001A6B7B" w:rsidRPr="0089019E">
        <w:rPr>
          <w:rFonts w:ascii="Arial" w:hAnsi="Arial" w:cs="Arial"/>
          <w:b/>
          <w:bCs/>
          <w:i w:val="0"/>
          <w:iCs w:val="0"/>
          <w:color w:val="auto"/>
          <w:sz w:val="24"/>
          <w:szCs w:val="24"/>
        </w:rPr>
        <w:fldChar w:fldCharType="begin"/>
      </w:r>
      <w:r w:rsidR="001A6B7B" w:rsidRPr="0089019E">
        <w:rPr>
          <w:rFonts w:ascii="Arial" w:hAnsi="Arial" w:cs="Arial"/>
          <w:b/>
          <w:bCs/>
          <w:i w:val="0"/>
          <w:iCs w:val="0"/>
          <w:color w:val="auto"/>
          <w:sz w:val="24"/>
          <w:szCs w:val="24"/>
        </w:rPr>
        <w:instrText xml:space="preserve"> SEQ Gráfico \* ARABIC </w:instrText>
      </w:r>
      <w:r w:rsidR="001A6B7B" w:rsidRPr="0089019E">
        <w:rPr>
          <w:rFonts w:ascii="Arial" w:hAnsi="Arial" w:cs="Arial"/>
          <w:b/>
          <w:bCs/>
          <w:i w:val="0"/>
          <w:iCs w:val="0"/>
          <w:color w:val="auto"/>
          <w:sz w:val="24"/>
          <w:szCs w:val="24"/>
        </w:rPr>
        <w:fldChar w:fldCharType="separate"/>
      </w:r>
      <w:r w:rsidR="00C41F6F">
        <w:rPr>
          <w:rFonts w:ascii="Arial" w:hAnsi="Arial" w:cs="Arial"/>
          <w:b/>
          <w:bCs/>
          <w:i w:val="0"/>
          <w:iCs w:val="0"/>
          <w:noProof/>
          <w:color w:val="auto"/>
          <w:sz w:val="24"/>
          <w:szCs w:val="24"/>
        </w:rPr>
        <w:t>1</w:t>
      </w:r>
      <w:r w:rsidR="001A6B7B" w:rsidRPr="0089019E">
        <w:rPr>
          <w:rFonts w:ascii="Arial" w:hAnsi="Arial" w:cs="Arial"/>
          <w:b/>
          <w:bCs/>
          <w:i w:val="0"/>
          <w:iCs w:val="0"/>
          <w:color w:val="auto"/>
          <w:sz w:val="24"/>
          <w:szCs w:val="24"/>
        </w:rPr>
        <w:fldChar w:fldCharType="end"/>
      </w:r>
      <w:r w:rsidR="0089019E" w:rsidRPr="0089019E">
        <w:rPr>
          <w:rFonts w:ascii="Arial" w:hAnsi="Arial" w:cs="Arial"/>
          <w:b/>
          <w:bCs/>
          <w:i w:val="0"/>
          <w:iCs w:val="0"/>
          <w:color w:val="auto"/>
          <w:sz w:val="24"/>
          <w:szCs w:val="24"/>
        </w:rPr>
        <w:t xml:space="preserve"> </w:t>
      </w:r>
      <w:r w:rsidRPr="0082417D">
        <w:rPr>
          <w:rFonts w:ascii="Arial" w:hAnsi="Arial" w:cs="Arial"/>
          <w:color w:val="000000" w:themeColor="text1"/>
          <w:sz w:val="24"/>
          <w:szCs w:val="24"/>
          <w:lang w:val="es-HN"/>
        </w:rPr>
        <w:t>Balanza Comercial de Honduras con China</w:t>
      </w:r>
      <w:bookmarkEnd w:id="9"/>
      <w:r w:rsidRPr="0082417D">
        <w:rPr>
          <w:rFonts w:ascii="Arial" w:hAnsi="Arial" w:cs="Arial"/>
          <w:b/>
          <w:bCs/>
          <w:color w:val="000000" w:themeColor="text1"/>
          <w:sz w:val="24"/>
          <w:szCs w:val="24"/>
          <w:lang w:val="es-HN"/>
        </w:rPr>
        <w:t xml:space="preserve"> </w:t>
      </w:r>
    </w:p>
    <w:p w14:paraId="3E394B9B" w14:textId="19A1772E" w:rsidR="00834AC7" w:rsidRDefault="00834AC7" w:rsidP="002168C8">
      <w:pPr>
        <w:spacing w:line="360" w:lineRule="auto"/>
        <w:jc w:val="both"/>
        <w:rPr>
          <w:rFonts w:ascii="Arial" w:hAnsi="Arial" w:cs="Arial"/>
          <w:i/>
          <w:iCs/>
          <w:color w:val="000000" w:themeColor="text1"/>
          <w:lang w:val="es-HN"/>
        </w:rPr>
      </w:pPr>
      <w:r w:rsidRPr="0082417D">
        <w:rPr>
          <w:rFonts w:ascii="Arial" w:hAnsi="Arial" w:cs="Arial"/>
          <w:i/>
          <w:iCs/>
          <w:color w:val="000000" w:themeColor="text1"/>
          <w:lang w:val="es-HN"/>
        </w:rPr>
        <w:t>Periodo 2015</w:t>
      </w:r>
      <w:r w:rsidR="00750B16" w:rsidRPr="0082417D">
        <w:rPr>
          <w:rFonts w:ascii="Arial" w:hAnsi="Arial" w:cs="Arial"/>
          <w:i/>
          <w:iCs/>
          <w:color w:val="000000" w:themeColor="text1"/>
          <w:lang w:val="es-HN"/>
        </w:rPr>
        <w:t xml:space="preserve"> </w:t>
      </w:r>
      <w:r w:rsidR="00256F5D">
        <w:rPr>
          <w:rFonts w:ascii="Arial" w:hAnsi="Arial" w:cs="Arial"/>
          <w:i/>
          <w:iCs/>
          <w:color w:val="000000" w:themeColor="text1"/>
          <w:lang w:val="es-HN"/>
        </w:rPr>
        <w:t>–</w:t>
      </w:r>
      <w:r w:rsidRPr="0082417D">
        <w:rPr>
          <w:rFonts w:ascii="Arial" w:hAnsi="Arial" w:cs="Arial"/>
          <w:i/>
          <w:iCs/>
          <w:color w:val="000000" w:themeColor="text1"/>
          <w:lang w:val="es-HN"/>
        </w:rPr>
        <w:t xml:space="preserve"> </w:t>
      </w:r>
      <w:r w:rsidR="00D04AC2" w:rsidRPr="0082417D">
        <w:rPr>
          <w:rFonts w:ascii="Arial" w:hAnsi="Arial" w:cs="Arial"/>
          <w:i/>
          <w:iCs/>
          <w:color w:val="000000" w:themeColor="text1"/>
          <w:lang w:val="es-HN"/>
        </w:rPr>
        <w:t>20</w:t>
      </w:r>
      <w:r w:rsidR="0017781A" w:rsidRPr="0082417D">
        <w:rPr>
          <w:rFonts w:ascii="Arial" w:hAnsi="Arial" w:cs="Arial"/>
          <w:i/>
          <w:iCs/>
          <w:color w:val="000000" w:themeColor="text1"/>
          <w:lang w:val="es-HN"/>
        </w:rPr>
        <w:t>24</w:t>
      </w:r>
    </w:p>
    <w:p w14:paraId="35862714" w14:textId="68D39AB1" w:rsidR="0017781A" w:rsidRPr="00D04AC2" w:rsidRDefault="00256F5D" w:rsidP="002168C8">
      <w:pPr>
        <w:spacing w:line="360" w:lineRule="auto"/>
        <w:jc w:val="both"/>
        <w:rPr>
          <w:rFonts w:ascii="Arial" w:hAnsi="Arial" w:cs="Arial"/>
          <w:i/>
          <w:iCs/>
          <w:color w:val="000000" w:themeColor="text1"/>
          <w:lang w:val="es-HN"/>
        </w:rPr>
      </w:pPr>
      <w:r>
        <w:rPr>
          <w:noProof/>
          <w14:ligatures w14:val="standardContextual"/>
        </w:rPr>
        <w:drawing>
          <wp:inline distT="0" distB="0" distL="0" distR="0" wp14:anchorId="18E268D9" wp14:editId="6DACE9BD">
            <wp:extent cx="5631256" cy="3576119"/>
            <wp:effectExtent l="0" t="0" r="7620" b="18415"/>
            <wp:docPr id="79904062" name="Gráfico 1">
              <a:extLst xmlns:a="http://schemas.openxmlformats.org/drawingml/2006/main">
                <a:ext uri="{FF2B5EF4-FFF2-40B4-BE49-F238E27FC236}">
                  <a16:creationId xmlns:a16="http://schemas.microsoft.com/office/drawing/2014/main" id="{9EE96D02-0260-D323-99F5-EA31476212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4AF1231" w14:textId="6566B44B" w:rsidR="0017781A" w:rsidRDefault="00897B39" w:rsidP="00587519">
      <w:pPr>
        <w:jc w:val="both"/>
        <w:rPr>
          <w:rFonts w:ascii="Arial" w:hAnsi="Arial" w:cs="Arial"/>
          <w:lang w:val="es-MX"/>
        </w:rPr>
      </w:pPr>
      <w:r>
        <w:rPr>
          <w:noProof/>
          <w14:ligatures w14:val="standardContextual"/>
        </w:rPr>
        <w:t xml:space="preserve"> </w:t>
      </w:r>
      <w:r w:rsidR="002168C8" w:rsidRPr="003E0592">
        <w:rPr>
          <w:rFonts w:ascii="Arial" w:hAnsi="Arial" w:cs="Arial"/>
          <w:lang w:val="es-MX"/>
        </w:rPr>
        <w:t xml:space="preserve">Fuente: Elaboración propia con datos del ITC </w:t>
      </w:r>
      <w:r w:rsidR="00D665F9">
        <w:rPr>
          <w:rFonts w:ascii="Arial" w:hAnsi="Arial" w:cs="Arial"/>
          <w:lang w:val="es-MX"/>
        </w:rPr>
        <w:t>(2026)</w:t>
      </w:r>
    </w:p>
    <w:p w14:paraId="2293A386" w14:textId="0942D9ED" w:rsidR="002168C8" w:rsidRPr="003E0592" w:rsidRDefault="002168C8" w:rsidP="00587519">
      <w:pPr>
        <w:jc w:val="both"/>
        <w:rPr>
          <w:rFonts w:ascii="Arial" w:hAnsi="Arial" w:cs="Arial"/>
          <w:lang w:val="es-MX"/>
        </w:rPr>
      </w:pPr>
      <w:r w:rsidRPr="003E0592">
        <w:rPr>
          <w:rFonts w:ascii="Arial" w:hAnsi="Arial" w:cs="Arial"/>
          <w:lang w:val="es-MX"/>
        </w:rPr>
        <w:t xml:space="preserve"> </w:t>
      </w:r>
    </w:p>
    <w:p w14:paraId="4F5B5D6E" w14:textId="4F33ADE2" w:rsidR="00501CE3" w:rsidRPr="00A85578" w:rsidRDefault="002168C8" w:rsidP="002168C8">
      <w:pPr>
        <w:spacing w:after="240" w:line="360" w:lineRule="auto"/>
        <w:jc w:val="both"/>
        <w:rPr>
          <w:rFonts w:ascii="Arial" w:hAnsi="Arial" w:cs="Arial"/>
          <w:color w:val="0D0D0D" w:themeColor="text1" w:themeTint="F2"/>
          <w:lang w:val="es-MX"/>
        </w:rPr>
      </w:pPr>
      <w:r w:rsidRPr="00D04AC2">
        <w:rPr>
          <w:rFonts w:ascii="Arial" w:hAnsi="Arial" w:cs="Arial"/>
          <w:color w:val="000000" w:themeColor="text1"/>
          <w:lang w:val="es-MX"/>
        </w:rPr>
        <w:t xml:space="preserve">Este desequilibrio comercial </w:t>
      </w:r>
      <w:r w:rsidR="001952E4" w:rsidRPr="00D04AC2">
        <w:rPr>
          <w:rFonts w:ascii="Arial" w:hAnsi="Arial" w:cs="Arial"/>
          <w:color w:val="000000" w:themeColor="text1"/>
          <w:lang w:val="es-MX"/>
        </w:rPr>
        <w:t>confirma lo estudiado por</w:t>
      </w:r>
      <w:r w:rsidR="004241CA" w:rsidRPr="00D04AC2">
        <w:rPr>
          <w:rFonts w:ascii="Arial" w:hAnsi="Arial" w:cs="Arial"/>
          <w:color w:val="000000" w:themeColor="text1"/>
          <w:lang w:val="es-MX"/>
        </w:rPr>
        <w:t xml:space="preserve"> Lopes et al. </w:t>
      </w:r>
      <w:r w:rsidR="004241CA" w:rsidRPr="00D04AC2">
        <w:rPr>
          <w:rFonts w:ascii="Arial" w:hAnsi="Arial" w:cs="Arial"/>
          <w:color w:val="000000" w:themeColor="text1"/>
          <w:lang w:val="es-MX"/>
        </w:rPr>
        <w:fldChar w:fldCharType="begin"/>
      </w:r>
      <w:r w:rsidR="00A42206" w:rsidRPr="00D04AC2">
        <w:rPr>
          <w:rFonts w:ascii="Arial" w:hAnsi="Arial" w:cs="Arial"/>
          <w:color w:val="000000" w:themeColor="text1"/>
          <w:lang w:val="es-MX"/>
        </w:rPr>
        <w:instrText xml:space="preserve"> ADDIN ZOTERO_ITEM CSL_CITATION {"citationID":"wdlS40ee","properties":{"formattedCitation":"(Damares Lopes Afonso et\\uc0\\u160{}al., 2022)","plainCitation":"(Damares Lopes Afonso et al., 2022)","dontUpdate":true,"noteIndex":0},"citationItems":[{"id":86,"uris":["http://zotero.org/users/10063313/items/8C5PBNF2"],"itemData":{"id":86,"type":"article-journal","container-title":"Revista de la CEPAL","DOI":"10.18356/16820908-2021-135-7","ISSN":"16820908","issue":"135","language":"es","page":"159-176","source":"DOI.org (Crossref)","title":"América Latina y China: ¿beneficio mutuo o dependencia?","title-short":"América Latina y China","volume":"2021","author":[{"literal":"Damares Lopes Afonso"},{"literal":"Suzana Quinet de Andrade Bastos"},{"literal":"Fernando Salgueiro Perobelli"}],"issued":{"date-parts":[["2022",5,31]]}}}],"schema":"https://github.com/citation-style-language/schema/raw/master/csl-citation.json"} </w:instrText>
      </w:r>
      <w:r w:rsidR="004241CA" w:rsidRPr="00D04AC2">
        <w:rPr>
          <w:rFonts w:ascii="Arial" w:hAnsi="Arial" w:cs="Arial"/>
          <w:color w:val="000000" w:themeColor="text1"/>
          <w:lang w:val="es-MX"/>
        </w:rPr>
        <w:fldChar w:fldCharType="separate"/>
      </w:r>
      <w:r w:rsidR="004241CA" w:rsidRPr="00D04AC2">
        <w:rPr>
          <w:rFonts w:ascii="Arial" w:hAnsi="Arial" w:cs="Arial"/>
          <w:color w:val="000000" w:themeColor="text1"/>
        </w:rPr>
        <w:t>(2022)</w:t>
      </w:r>
      <w:r w:rsidR="004241CA" w:rsidRPr="00D04AC2">
        <w:rPr>
          <w:rFonts w:ascii="Arial" w:hAnsi="Arial" w:cs="Arial"/>
          <w:color w:val="000000" w:themeColor="text1"/>
          <w:lang w:val="es-MX"/>
        </w:rPr>
        <w:fldChar w:fldCharType="end"/>
      </w:r>
      <w:r w:rsidR="001952E4" w:rsidRPr="00D04AC2">
        <w:rPr>
          <w:rFonts w:ascii="Arial" w:hAnsi="Arial" w:cs="Arial"/>
          <w:color w:val="000000" w:themeColor="text1"/>
          <w:lang w:val="es-MX"/>
        </w:rPr>
        <w:t xml:space="preserve">, </w:t>
      </w:r>
      <w:r w:rsidR="00834AC7" w:rsidRPr="00D04AC2">
        <w:rPr>
          <w:rFonts w:ascii="Arial" w:hAnsi="Arial" w:cs="Arial"/>
          <w:color w:val="000000" w:themeColor="text1"/>
          <w:lang w:val="es-MX"/>
        </w:rPr>
        <w:t xml:space="preserve">quien encuentra que </w:t>
      </w:r>
      <w:r w:rsidR="001952E4">
        <w:rPr>
          <w:rFonts w:ascii="Arial" w:hAnsi="Arial" w:cs="Arial"/>
          <w:lang w:val="es-MX"/>
        </w:rPr>
        <w:t>la r</w:t>
      </w:r>
      <w:r w:rsidR="001952E4" w:rsidRPr="001952E4">
        <w:rPr>
          <w:rFonts w:ascii="Arial" w:hAnsi="Arial" w:cs="Arial"/>
          <w:lang w:val="es-MX"/>
        </w:rPr>
        <w:t xml:space="preserve">elevancia </w:t>
      </w:r>
      <w:r w:rsidR="001952E4">
        <w:rPr>
          <w:rFonts w:ascii="Arial" w:hAnsi="Arial" w:cs="Arial"/>
          <w:lang w:val="es-MX"/>
        </w:rPr>
        <w:t>comercial</w:t>
      </w:r>
      <w:r w:rsidR="001952E4" w:rsidRPr="001952E4">
        <w:rPr>
          <w:rFonts w:ascii="Arial" w:hAnsi="Arial" w:cs="Arial"/>
          <w:lang w:val="es-MX"/>
        </w:rPr>
        <w:t xml:space="preserve"> de China en el contexto de América Latina supera la importancia de esta región </w:t>
      </w:r>
      <w:r w:rsidR="001952E4" w:rsidRPr="00A85578">
        <w:rPr>
          <w:rFonts w:ascii="Arial" w:hAnsi="Arial" w:cs="Arial"/>
          <w:color w:val="0D0D0D" w:themeColor="text1" w:themeTint="F2"/>
          <w:lang w:val="es-MX"/>
        </w:rPr>
        <w:t xml:space="preserve">para China, </w:t>
      </w:r>
      <w:r w:rsidR="00834AC7" w:rsidRPr="00A85578">
        <w:rPr>
          <w:rFonts w:ascii="Arial" w:hAnsi="Arial" w:cs="Arial"/>
          <w:color w:val="0D0D0D" w:themeColor="text1" w:themeTint="F2"/>
          <w:lang w:val="es-MX"/>
        </w:rPr>
        <w:t xml:space="preserve">por lo que </w:t>
      </w:r>
      <w:r w:rsidR="001952E4" w:rsidRPr="00A85578">
        <w:rPr>
          <w:rFonts w:ascii="Arial" w:hAnsi="Arial" w:cs="Arial"/>
          <w:color w:val="0D0D0D" w:themeColor="text1" w:themeTint="F2"/>
          <w:lang w:val="es-MX"/>
        </w:rPr>
        <w:t xml:space="preserve">el patrón comercial refleja la posición exportadora de materias primas de América Latina en </w:t>
      </w:r>
      <w:r w:rsidR="001952E4" w:rsidRPr="00A85578">
        <w:rPr>
          <w:rFonts w:ascii="Arial" w:hAnsi="Arial" w:cs="Arial"/>
          <w:color w:val="0D0D0D" w:themeColor="text1" w:themeTint="F2"/>
          <w:lang w:val="es-MX"/>
        </w:rPr>
        <w:lastRenderedPageBreak/>
        <w:t xml:space="preserve">contraste con el patrón de importaciones chinas que se concentran en un contenido más industrial y tecnológico. </w:t>
      </w:r>
    </w:p>
    <w:bookmarkEnd w:id="8"/>
    <w:p w14:paraId="19CA46B8" w14:textId="3E3644F0" w:rsidR="002168C8" w:rsidRPr="00A85578" w:rsidRDefault="002168C8" w:rsidP="002168C8">
      <w:pPr>
        <w:spacing w:after="240" w:line="360" w:lineRule="auto"/>
        <w:jc w:val="both"/>
        <w:rPr>
          <w:rFonts w:ascii="Arial" w:hAnsi="Arial" w:cs="Arial"/>
          <w:color w:val="0D0D0D" w:themeColor="text1" w:themeTint="F2"/>
          <w:lang w:val="es-MX"/>
        </w:rPr>
      </w:pPr>
      <w:r w:rsidRPr="00A85578">
        <w:rPr>
          <w:rFonts w:ascii="Arial" w:hAnsi="Arial" w:cs="Arial"/>
          <w:color w:val="0D0D0D" w:themeColor="text1" w:themeTint="F2"/>
          <w:lang w:val="es-MX"/>
        </w:rPr>
        <w:t xml:space="preserve">En este contexto, </w:t>
      </w:r>
      <w:r w:rsidR="00DC1DD5" w:rsidRPr="00A85578">
        <w:rPr>
          <w:rFonts w:ascii="Arial" w:hAnsi="Arial" w:cs="Arial"/>
          <w:color w:val="0D0D0D" w:themeColor="text1" w:themeTint="F2"/>
          <w:lang w:val="es-MX"/>
        </w:rPr>
        <w:t xml:space="preserve">la identificación de </w:t>
      </w:r>
      <w:r w:rsidRPr="00A85578">
        <w:rPr>
          <w:rFonts w:ascii="Arial" w:hAnsi="Arial" w:cs="Arial"/>
          <w:color w:val="0D0D0D" w:themeColor="text1" w:themeTint="F2"/>
          <w:lang w:val="es-MX"/>
        </w:rPr>
        <w:t>las oportunidades y desafíos que podrían surgir para la economía hondureña como resultado de dicho acuerdo</w:t>
      </w:r>
      <w:r w:rsidR="00834AC7" w:rsidRPr="00A85578">
        <w:rPr>
          <w:rFonts w:ascii="Arial" w:hAnsi="Arial" w:cs="Arial"/>
          <w:color w:val="0D0D0D" w:themeColor="text1" w:themeTint="F2"/>
          <w:lang w:val="es-MX"/>
        </w:rPr>
        <w:t xml:space="preserve"> comercial</w:t>
      </w:r>
      <w:r w:rsidRPr="00A85578">
        <w:rPr>
          <w:rFonts w:ascii="Arial" w:hAnsi="Arial" w:cs="Arial"/>
          <w:strike/>
          <w:color w:val="0D0D0D" w:themeColor="text1" w:themeTint="F2"/>
          <w:lang w:val="es-MX"/>
        </w:rPr>
        <w:t>.</w:t>
      </w:r>
      <w:r w:rsidR="00DC1DD5" w:rsidRPr="00A85578">
        <w:rPr>
          <w:rFonts w:ascii="Arial" w:hAnsi="Arial" w:cs="Arial"/>
          <w:color w:val="0D0D0D" w:themeColor="text1" w:themeTint="F2"/>
          <w:lang w:val="es-MX"/>
        </w:rPr>
        <w:t xml:space="preserve"> se presenta como una oportunidad para potenciar los efectos a mediano y largo plazo de la negociación comercial, </w:t>
      </w:r>
      <w:r w:rsidR="00D665F9">
        <w:rPr>
          <w:rFonts w:ascii="Arial" w:hAnsi="Arial" w:cs="Arial"/>
          <w:color w:val="0D0D0D" w:themeColor="text1" w:themeTint="F2"/>
          <w:lang w:val="es-MX"/>
        </w:rPr>
        <w:t xml:space="preserve">y </w:t>
      </w:r>
      <w:r w:rsidR="00DC1DD5" w:rsidRPr="00A85578">
        <w:rPr>
          <w:rFonts w:ascii="Arial" w:hAnsi="Arial" w:cs="Arial"/>
          <w:color w:val="0D0D0D" w:themeColor="text1" w:themeTint="F2"/>
          <w:lang w:val="es-MX"/>
        </w:rPr>
        <w:t xml:space="preserve">la generación de políticas públicas consistentes con el resultado de la negociación. </w:t>
      </w:r>
    </w:p>
    <w:p w14:paraId="05255E48" w14:textId="52D60700" w:rsidR="00CE7C7C" w:rsidRPr="00CE7C7C" w:rsidRDefault="002168C8" w:rsidP="002168C8">
      <w:pPr>
        <w:spacing w:after="240" w:line="360" w:lineRule="auto"/>
        <w:jc w:val="both"/>
        <w:rPr>
          <w:rFonts w:ascii="Arial" w:hAnsi="Arial" w:cs="Arial"/>
          <w:color w:val="000000" w:themeColor="text1"/>
          <w:lang w:val="es-MX"/>
        </w:rPr>
      </w:pPr>
      <w:r w:rsidRPr="00D04AC2">
        <w:rPr>
          <w:rFonts w:ascii="Arial" w:hAnsi="Arial" w:cs="Arial"/>
          <w:color w:val="000000" w:themeColor="text1"/>
          <w:lang w:val="es-MX"/>
        </w:rPr>
        <w:t>Ante la escasez de información disponible sobre los efectos de un acuerdo comercial entre Honduras y China (y de los demás acuerdos comerciales a los que esta Honduras suscrito en general), esta investigación propone determina</w:t>
      </w:r>
      <w:r w:rsidR="00D665F9" w:rsidRPr="00D665F9">
        <w:rPr>
          <w:rFonts w:ascii="Arial" w:hAnsi="Arial" w:cs="Arial"/>
          <w:color w:val="000000" w:themeColor="text1"/>
          <w:lang w:val="es-MX"/>
        </w:rPr>
        <w:t>r</w:t>
      </w:r>
      <w:r w:rsidR="00D665F9">
        <w:rPr>
          <w:rFonts w:ascii="Arial" w:hAnsi="Arial" w:cs="Arial"/>
          <w:color w:val="000000" w:themeColor="text1"/>
          <w:lang w:val="es-MX"/>
        </w:rPr>
        <w:t xml:space="preserve">, mediante la realización de entrevistas a actores claves, así como la comparación con negociaciones previas con la China de otros países latinoamericanos, </w:t>
      </w:r>
      <w:r w:rsidR="00D665F9" w:rsidRPr="00D04AC2">
        <w:rPr>
          <w:rFonts w:ascii="Arial" w:hAnsi="Arial" w:cs="Arial"/>
          <w:color w:val="000000" w:themeColor="text1"/>
          <w:lang w:val="es-MX"/>
        </w:rPr>
        <w:t>las</w:t>
      </w:r>
      <w:r w:rsidRPr="00D04AC2">
        <w:rPr>
          <w:rFonts w:ascii="Arial" w:hAnsi="Arial" w:cs="Arial"/>
          <w:color w:val="000000" w:themeColor="text1"/>
          <w:lang w:val="es-MX"/>
        </w:rPr>
        <w:t xml:space="preserve"> posibles consecuencias </w:t>
      </w:r>
      <w:r w:rsidR="00834AC7" w:rsidRPr="00D04AC2">
        <w:rPr>
          <w:rFonts w:ascii="Arial" w:hAnsi="Arial" w:cs="Arial"/>
          <w:color w:val="000000" w:themeColor="text1"/>
          <w:lang w:val="es-MX"/>
        </w:rPr>
        <w:t xml:space="preserve">derivadas </w:t>
      </w:r>
      <w:r w:rsidRPr="00D04AC2">
        <w:rPr>
          <w:rFonts w:ascii="Arial" w:hAnsi="Arial" w:cs="Arial"/>
          <w:color w:val="000000" w:themeColor="text1"/>
          <w:lang w:val="es-MX"/>
        </w:rPr>
        <w:t>de la implementación de un TLC entre ambas naciones.</w:t>
      </w:r>
      <w:r w:rsidR="00D665F9">
        <w:rPr>
          <w:rFonts w:ascii="Arial" w:hAnsi="Arial" w:cs="Arial"/>
          <w:color w:val="000000" w:themeColor="text1"/>
          <w:lang w:val="es-MX"/>
        </w:rPr>
        <w:t xml:space="preserve"> Lo anterior, serviría de insumo para no solamente para el sector negociador hondureño, sino también para el resto de la institucionalidad relacionada con la promoción de los sectores productivos nacionales. </w:t>
      </w:r>
    </w:p>
    <w:p w14:paraId="42D13D22" w14:textId="77777777" w:rsidR="002168C8" w:rsidRPr="003E0592" w:rsidRDefault="002168C8" w:rsidP="002168C8">
      <w:pPr>
        <w:spacing w:after="240" w:line="360" w:lineRule="auto"/>
        <w:jc w:val="both"/>
        <w:rPr>
          <w:rFonts w:ascii="Arial" w:hAnsi="Arial" w:cs="Arial"/>
          <w:b/>
          <w:bCs/>
          <w:lang w:val="es-MX"/>
        </w:rPr>
      </w:pPr>
      <w:r w:rsidRPr="003E0592">
        <w:rPr>
          <w:rFonts w:ascii="Arial" w:hAnsi="Arial" w:cs="Arial"/>
          <w:b/>
          <w:bCs/>
          <w:lang w:val="es-MX"/>
        </w:rPr>
        <w:t>Pregunta de investigación:</w:t>
      </w:r>
    </w:p>
    <w:p w14:paraId="658CE892" w14:textId="4496BA78" w:rsidR="00673EB4" w:rsidRPr="00673EB4" w:rsidRDefault="00673EB4" w:rsidP="00673EB4">
      <w:pPr>
        <w:spacing w:after="160" w:line="360" w:lineRule="auto"/>
        <w:contextualSpacing/>
        <w:jc w:val="both"/>
        <w:rPr>
          <w:rFonts w:ascii="Arial" w:hAnsi="Arial" w:cs="Arial"/>
          <w:color w:val="000000" w:themeColor="text1"/>
          <w:lang w:val="es-MX"/>
        </w:rPr>
      </w:pPr>
      <w:r w:rsidRPr="00673EB4">
        <w:rPr>
          <w:rFonts w:ascii="Arial" w:hAnsi="Arial" w:cs="Arial"/>
          <w:color w:val="000000" w:themeColor="text1"/>
          <w:lang w:val="es-MX"/>
        </w:rPr>
        <w:t>¿Cuáles son las oportunidades y desafíos para el sector exportador y la atracción de inversión extranjera directa en Honduras derivados de la firma de un Tratado de Libre Comercio con la República Popular de China?</w:t>
      </w:r>
    </w:p>
    <w:p w14:paraId="1CC5D0C0" w14:textId="1170E620" w:rsidR="002168C8" w:rsidRPr="003E0592" w:rsidRDefault="002168C8" w:rsidP="00D504E0">
      <w:pPr>
        <w:spacing w:after="160" w:line="259" w:lineRule="auto"/>
        <w:rPr>
          <w:rFonts w:ascii="Arial" w:hAnsi="Arial" w:cs="Arial"/>
          <w:lang w:val="es-MX"/>
        </w:rPr>
      </w:pPr>
      <w:r w:rsidRPr="003E0592">
        <w:rPr>
          <w:rFonts w:ascii="Arial" w:hAnsi="Arial" w:cs="Arial"/>
          <w:lang w:val="es-MX"/>
        </w:rPr>
        <w:br w:type="page"/>
      </w:r>
    </w:p>
    <w:p w14:paraId="79E6C325" w14:textId="279D9D52" w:rsidR="00FD712C" w:rsidRPr="00DE25FA" w:rsidRDefault="00FD712C">
      <w:pPr>
        <w:pStyle w:val="Ttulo2"/>
        <w:numPr>
          <w:ilvl w:val="1"/>
          <w:numId w:val="19"/>
        </w:numPr>
        <w:spacing w:line="360" w:lineRule="auto"/>
        <w:rPr>
          <w:rFonts w:ascii="Arial" w:hAnsi="Arial" w:cs="Arial"/>
          <w:color w:val="auto"/>
          <w:sz w:val="28"/>
          <w:szCs w:val="28"/>
        </w:rPr>
      </w:pPr>
      <w:bookmarkStart w:id="10" w:name="_Toc137464396"/>
      <w:bookmarkStart w:id="11" w:name="_Toc139803973"/>
      <w:bookmarkStart w:id="12" w:name="_Toc139804038"/>
      <w:bookmarkStart w:id="13" w:name="_Toc147176393"/>
      <w:bookmarkStart w:id="14" w:name="_Toc236232335"/>
      <w:r w:rsidRPr="00DE25FA">
        <w:rPr>
          <w:rFonts w:ascii="Arial" w:hAnsi="Arial" w:cs="Arial"/>
          <w:color w:val="auto"/>
          <w:sz w:val="28"/>
          <w:szCs w:val="28"/>
        </w:rPr>
        <w:lastRenderedPageBreak/>
        <w:t>Objetivos</w:t>
      </w:r>
      <w:bookmarkEnd w:id="10"/>
      <w:bookmarkEnd w:id="11"/>
      <w:bookmarkEnd w:id="12"/>
      <w:bookmarkEnd w:id="13"/>
      <w:bookmarkEnd w:id="14"/>
    </w:p>
    <w:p w14:paraId="369C620F" w14:textId="47B1DC45" w:rsidR="00C97442" w:rsidRPr="00C97442" w:rsidRDefault="00FD712C" w:rsidP="00C97442">
      <w:pPr>
        <w:pStyle w:val="Ttulo2"/>
        <w:numPr>
          <w:ilvl w:val="2"/>
          <w:numId w:val="19"/>
        </w:numPr>
        <w:rPr>
          <w:rFonts w:ascii="Arial" w:hAnsi="Arial" w:cs="Arial"/>
          <w:color w:val="auto"/>
          <w:sz w:val="24"/>
          <w:szCs w:val="24"/>
        </w:rPr>
      </w:pPr>
      <w:bookmarkStart w:id="15" w:name="_Toc137464397"/>
      <w:bookmarkStart w:id="16" w:name="_Toc139803974"/>
      <w:bookmarkStart w:id="17" w:name="_Toc139804039"/>
      <w:bookmarkStart w:id="18" w:name="_Toc147176394"/>
      <w:bookmarkStart w:id="19" w:name="_Toc236232336"/>
      <w:r w:rsidRPr="00CE7C7C">
        <w:rPr>
          <w:rFonts w:ascii="Arial" w:hAnsi="Arial" w:cs="Arial"/>
          <w:color w:val="auto"/>
          <w:sz w:val="24"/>
          <w:szCs w:val="24"/>
        </w:rPr>
        <w:t>Objetivo general</w:t>
      </w:r>
      <w:bookmarkEnd w:id="15"/>
      <w:bookmarkEnd w:id="16"/>
      <w:bookmarkEnd w:id="17"/>
      <w:bookmarkEnd w:id="18"/>
      <w:bookmarkEnd w:id="19"/>
      <w:r w:rsidR="00C97442">
        <w:rPr>
          <w:rFonts w:ascii="Arial" w:hAnsi="Arial" w:cs="Arial"/>
          <w:color w:val="auto"/>
          <w:sz w:val="24"/>
          <w:szCs w:val="24"/>
        </w:rPr>
        <w:br/>
      </w:r>
    </w:p>
    <w:p w14:paraId="2C9C178B" w14:textId="286A9B76" w:rsidR="006D3E6E" w:rsidRPr="00C97442" w:rsidRDefault="006D3E6E" w:rsidP="00753429">
      <w:pPr>
        <w:spacing w:after="240" w:line="360" w:lineRule="auto"/>
        <w:jc w:val="both"/>
        <w:rPr>
          <w:rFonts w:ascii="Arial" w:hAnsi="Arial" w:cs="Arial"/>
          <w:color w:val="000000" w:themeColor="text1"/>
        </w:rPr>
      </w:pPr>
      <w:r w:rsidRPr="00C97442">
        <w:rPr>
          <w:rFonts w:ascii="Arial" w:hAnsi="Arial" w:cs="Arial"/>
          <w:color w:val="000000" w:themeColor="text1"/>
        </w:rPr>
        <w:t>Analizar las oportunidades y desafíos comerciales de la firma del tratado de libre comercio entre Honduras y la República Popular de China para la inversión extranjera directa y el sector exportador en Honduras, con el fin de formular recomendaciones de política económica orientadas a la etapa de negociación e implementación del TLC.</w:t>
      </w:r>
    </w:p>
    <w:p w14:paraId="5DF3DAFB" w14:textId="77777777" w:rsidR="00CE7C7C" w:rsidRPr="00CE7C7C" w:rsidRDefault="00CE7C7C">
      <w:pPr>
        <w:pStyle w:val="Prrafodelista"/>
        <w:numPr>
          <w:ilvl w:val="2"/>
          <w:numId w:val="19"/>
        </w:numPr>
      </w:pPr>
      <w:r w:rsidRPr="00CE7C7C">
        <w:rPr>
          <w:rFonts w:ascii="Arial" w:hAnsi="Arial" w:cs="Arial"/>
        </w:rPr>
        <w:t>Objetivos específicos</w:t>
      </w:r>
    </w:p>
    <w:p w14:paraId="6DD98CD0" w14:textId="77777777" w:rsidR="00CE7C7C" w:rsidRPr="00CE7C7C" w:rsidRDefault="00CE7C7C" w:rsidP="00CE7C7C">
      <w:pPr>
        <w:pStyle w:val="Prrafodelista"/>
      </w:pPr>
    </w:p>
    <w:p w14:paraId="6ED80BFF" w14:textId="77777777" w:rsidR="00753429" w:rsidRPr="00CE7C7C" w:rsidRDefault="00753429">
      <w:pPr>
        <w:pStyle w:val="Prrafodelista"/>
        <w:numPr>
          <w:ilvl w:val="0"/>
          <w:numId w:val="7"/>
        </w:numPr>
        <w:spacing w:after="240" w:line="360" w:lineRule="auto"/>
        <w:jc w:val="both"/>
        <w:rPr>
          <w:rFonts w:ascii="Arial" w:hAnsi="Arial" w:cs="Arial"/>
          <w:lang w:val="es-HN"/>
        </w:rPr>
      </w:pPr>
      <w:r w:rsidRPr="00CE7C7C">
        <w:rPr>
          <w:rFonts w:ascii="Arial" w:hAnsi="Arial" w:cs="Arial"/>
          <w:lang w:val="es-MX"/>
        </w:rPr>
        <w:t>Explicar la actual relación económica entre China y Honduras, analizando el alcance del vínculo comercial entre ambos países.</w:t>
      </w:r>
    </w:p>
    <w:p w14:paraId="71512FEB" w14:textId="77777777" w:rsidR="00753429" w:rsidRPr="00CE7C7C" w:rsidRDefault="00753429">
      <w:pPr>
        <w:pStyle w:val="Prrafodelista"/>
        <w:numPr>
          <w:ilvl w:val="0"/>
          <w:numId w:val="7"/>
        </w:numPr>
        <w:spacing w:after="240" w:line="360" w:lineRule="auto"/>
        <w:jc w:val="both"/>
        <w:rPr>
          <w:rFonts w:ascii="Arial" w:hAnsi="Arial" w:cs="Arial"/>
          <w:lang w:val="es-HN"/>
        </w:rPr>
      </w:pPr>
      <w:r w:rsidRPr="00CE7C7C">
        <w:rPr>
          <w:rFonts w:ascii="Arial" w:hAnsi="Arial" w:cs="Arial"/>
          <w:lang w:val="es-HN"/>
        </w:rPr>
        <w:t>Contrastar la experiencia de otros países de América Latina que han firmado un TLC con China como referencia para la identificación de posibles beneficios o desafíos por parte de Honduras.</w:t>
      </w:r>
    </w:p>
    <w:p w14:paraId="52A834FE" w14:textId="77777777" w:rsidR="00753429" w:rsidRPr="00CE7C7C" w:rsidRDefault="00753429">
      <w:pPr>
        <w:pStyle w:val="Prrafodelista"/>
        <w:numPr>
          <w:ilvl w:val="0"/>
          <w:numId w:val="7"/>
        </w:numPr>
        <w:spacing w:after="240" w:line="360" w:lineRule="auto"/>
        <w:jc w:val="both"/>
        <w:rPr>
          <w:rFonts w:ascii="Arial" w:hAnsi="Arial" w:cs="Arial"/>
          <w:lang w:val="es-HN"/>
        </w:rPr>
      </w:pPr>
      <w:r w:rsidRPr="00CE7C7C">
        <w:rPr>
          <w:rFonts w:ascii="Arial" w:hAnsi="Arial" w:cs="Arial"/>
        </w:rPr>
        <w:t xml:space="preserve">Determinar las oportunidades y desafíos del TLC Honduras – China para el sector exportador hondureño y en inversión extranjera directa. </w:t>
      </w:r>
    </w:p>
    <w:p w14:paraId="65D7F471" w14:textId="28C98E9C" w:rsidR="00753429" w:rsidRPr="00DA5180" w:rsidRDefault="00DA5180" w:rsidP="00DA5180">
      <w:pPr>
        <w:spacing w:after="160" w:line="259" w:lineRule="auto"/>
        <w:rPr>
          <w:rFonts w:ascii="Arial" w:eastAsiaTheme="majorEastAsia" w:hAnsi="Arial" w:cs="Arial"/>
          <w:b/>
          <w:bCs/>
          <w:sz w:val="28"/>
          <w:szCs w:val="28"/>
        </w:rPr>
      </w:pPr>
      <w:bookmarkStart w:id="20" w:name="_Toc145385805"/>
      <w:r>
        <w:rPr>
          <w:rFonts w:ascii="Arial" w:hAnsi="Arial" w:cs="Arial"/>
          <w:b/>
          <w:bCs/>
          <w:sz w:val="28"/>
          <w:szCs w:val="28"/>
        </w:rPr>
        <w:br w:type="page"/>
      </w:r>
    </w:p>
    <w:p w14:paraId="43230C9D" w14:textId="5C12B0A1" w:rsidR="004E3B2B" w:rsidRDefault="00A57244" w:rsidP="00FD712C">
      <w:pPr>
        <w:pStyle w:val="Ttulo1"/>
        <w:numPr>
          <w:ilvl w:val="0"/>
          <w:numId w:val="0"/>
        </w:numPr>
        <w:spacing w:after="240" w:line="360" w:lineRule="auto"/>
        <w:ind w:left="432" w:hanging="432"/>
        <w:rPr>
          <w:rFonts w:ascii="Arial" w:hAnsi="Arial" w:cs="Arial"/>
          <w:b/>
          <w:bCs/>
          <w:color w:val="auto"/>
          <w:sz w:val="28"/>
          <w:szCs w:val="28"/>
        </w:rPr>
      </w:pPr>
      <w:bookmarkStart w:id="21" w:name="_Toc236232337"/>
      <w:r w:rsidRPr="003E0592">
        <w:rPr>
          <w:rFonts w:ascii="Arial" w:hAnsi="Arial" w:cs="Arial"/>
          <w:b/>
          <w:bCs/>
          <w:color w:val="auto"/>
          <w:sz w:val="28"/>
          <w:szCs w:val="28"/>
        </w:rPr>
        <w:lastRenderedPageBreak/>
        <w:t>CAPÍTULO 2</w:t>
      </w:r>
      <w:bookmarkEnd w:id="20"/>
      <w:r w:rsidR="00A5602E">
        <w:rPr>
          <w:rFonts w:ascii="Arial" w:hAnsi="Arial" w:cs="Arial"/>
          <w:b/>
          <w:bCs/>
          <w:color w:val="auto"/>
          <w:sz w:val="28"/>
          <w:szCs w:val="28"/>
        </w:rPr>
        <w:t>. MARCO TEÓRICO Y METODOLÓGICO</w:t>
      </w:r>
      <w:bookmarkEnd w:id="21"/>
    </w:p>
    <w:p w14:paraId="60795112" w14:textId="77777777" w:rsidR="003927B6" w:rsidRPr="003927B6" w:rsidRDefault="003927B6" w:rsidP="003927B6">
      <w:pPr>
        <w:rPr>
          <w:rFonts w:ascii="Arial" w:hAnsi="Arial" w:cs="Arial"/>
          <w:b/>
          <w:bCs/>
        </w:rPr>
      </w:pPr>
    </w:p>
    <w:p w14:paraId="42AE5BFB" w14:textId="03C9BE2A" w:rsidR="002168C8" w:rsidRPr="00CE7C7C" w:rsidRDefault="00A57244">
      <w:pPr>
        <w:pStyle w:val="Ttulo2"/>
        <w:numPr>
          <w:ilvl w:val="1"/>
          <w:numId w:val="20"/>
        </w:numPr>
        <w:spacing w:after="240"/>
        <w:rPr>
          <w:rFonts w:ascii="Arial" w:hAnsi="Arial" w:cs="Arial"/>
          <w:sz w:val="28"/>
          <w:szCs w:val="28"/>
        </w:rPr>
      </w:pPr>
      <w:bookmarkStart w:id="22" w:name="_Toc145385806"/>
      <w:bookmarkStart w:id="23" w:name="_Toc236232338"/>
      <w:r w:rsidRPr="009F5558">
        <w:rPr>
          <w:rFonts w:ascii="Arial" w:hAnsi="Arial" w:cs="Arial"/>
          <w:color w:val="auto"/>
          <w:sz w:val="28"/>
          <w:szCs w:val="28"/>
        </w:rPr>
        <w:t>Marco Teórico</w:t>
      </w:r>
      <w:bookmarkEnd w:id="22"/>
      <w:bookmarkEnd w:id="23"/>
      <w:r w:rsidRPr="009F5558">
        <w:rPr>
          <w:rFonts w:ascii="Arial" w:hAnsi="Arial" w:cs="Arial"/>
          <w:color w:val="auto"/>
          <w:sz w:val="28"/>
          <w:szCs w:val="28"/>
        </w:rPr>
        <w:t xml:space="preserve">  </w:t>
      </w:r>
    </w:p>
    <w:p w14:paraId="0C90D2E0" w14:textId="602C196F" w:rsidR="00CE7C7C" w:rsidRPr="003E0592" w:rsidRDefault="000B21E9" w:rsidP="00CE7C7C">
      <w:pPr>
        <w:spacing w:after="240" w:line="360" w:lineRule="auto"/>
        <w:jc w:val="both"/>
        <w:rPr>
          <w:rFonts w:ascii="Arial" w:hAnsi="Arial" w:cs="Arial"/>
        </w:rPr>
      </w:pPr>
      <w:r w:rsidRPr="000B21E9">
        <w:rPr>
          <w:rFonts w:ascii="Arial" w:hAnsi="Arial" w:cs="Arial"/>
        </w:rPr>
        <w:t>Este capítulo presenta las bases teóricas que fundamentan el análisis de la relación comercial Honduras-China, abarcando desde las teorías clásicas del comercio internacional hasta enfoques contemporáneos sobre integración económica, asimetría comercial e inversión extranjera directa</w:t>
      </w:r>
      <w:r w:rsidR="00EB6FCD" w:rsidRPr="00EB6FCD">
        <w:rPr>
          <w:rFonts w:ascii="Arial" w:hAnsi="Arial" w:cs="Arial"/>
        </w:rPr>
        <w:t>. El objetivo principal es proporcionar un sólido fundamento teórico para la presente investigación, permitiendo así un mayor entendimiento y análisis de los temas abordados en este estudio.</w:t>
      </w:r>
    </w:p>
    <w:p w14:paraId="5142E262" w14:textId="50528DA8" w:rsidR="00CE7C7C" w:rsidRPr="00CE7C7C" w:rsidRDefault="00256451">
      <w:pPr>
        <w:pStyle w:val="Ttulo3"/>
        <w:numPr>
          <w:ilvl w:val="2"/>
          <w:numId w:val="20"/>
        </w:numPr>
        <w:spacing w:after="240"/>
        <w:rPr>
          <w:rFonts w:cs="Arial"/>
        </w:rPr>
      </w:pPr>
      <w:bookmarkStart w:id="24" w:name="_Toc145385807"/>
      <w:bookmarkStart w:id="25" w:name="_Toc236232339"/>
      <w:r w:rsidRPr="003E0592">
        <w:rPr>
          <w:rFonts w:cs="Arial"/>
        </w:rPr>
        <w:t>Economía Internaciona</w:t>
      </w:r>
      <w:bookmarkEnd w:id="24"/>
      <w:r w:rsidR="00CE7C7C">
        <w:rPr>
          <w:rFonts w:cs="Arial"/>
        </w:rPr>
        <w:t>l</w:t>
      </w:r>
      <w:bookmarkEnd w:id="25"/>
    </w:p>
    <w:p w14:paraId="25FD794D" w14:textId="446A27EC" w:rsidR="00256451" w:rsidRPr="003E0592" w:rsidRDefault="00256451" w:rsidP="009F5558">
      <w:pPr>
        <w:spacing w:before="40" w:after="240" w:line="360" w:lineRule="auto"/>
        <w:jc w:val="both"/>
        <w:rPr>
          <w:rFonts w:ascii="Arial" w:hAnsi="Arial" w:cs="Arial"/>
        </w:rPr>
      </w:pPr>
      <w:r w:rsidRPr="003E0592">
        <w:rPr>
          <w:rFonts w:ascii="Arial" w:hAnsi="Arial" w:cs="Arial"/>
        </w:rPr>
        <w:t xml:space="preserve">Las naciones alrededor del mundo comercian entre sí sin excepción, creando una interdependencia global en donde acciones como el diseño de diferentes políticas económicas y acuerdos comerciales deben estar en función no solo del país sino de las características de sus socios comerciales. Para </w:t>
      </w:r>
      <w:r w:rsidRPr="003E0592">
        <w:rPr>
          <w:rFonts w:ascii="Arial" w:hAnsi="Arial" w:cs="Arial"/>
          <w:noProof/>
          <w:lang w:val="es-HN"/>
        </w:rPr>
        <w:t xml:space="preserve">Carbaugh </w:t>
      </w:r>
      <w:r w:rsidRPr="003E0592">
        <w:rPr>
          <w:rFonts w:ascii="Arial" w:hAnsi="Arial" w:cs="Arial"/>
          <w:noProof/>
          <w:lang w:val="es-HN"/>
        </w:rPr>
        <w:fldChar w:fldCharType="begin"/>
      </w:r>
      <w:r w:rsidR="00FA3C64">
        <w:rPr>
          <w:rFonts w:ascii="Arial" w:hAnsi="Arial" w:cs="Arial"/>
          <w:noProof/>
          <w:lang w:val="es-HN"/>
        </w:rPr>
        <w:instrText xml:space="preserve"> ADDIN ZOTERO_ITEM CSL_CITATION {"citationID":"1TbkeNoe","properties":{"formattedCitation":"(Carbaugh, 2009)","plainCitation":"(Carbaugh, 2009)","dontUpdate":true,"noteIndex":0},"citationItems":[{"id":39,"uris":["http://zotero.org/users/10063313/items/LBTDM75I"],"itemData":{"id":39,"type":"book","language":"en","publisher":"Cengage Learning","publisher-place":"México","title":"Economía Internacional","author":[{"family":"Carbaugh","given":"R"}],"issued":{"date-parts":[["2009"]]}}}],"schema":"https://github.com/citation-style-language/schema/raw/master/csl-citation.json"} </w:instrText>
      </w:r>
      <w:r w:rsidRPr="003E0592">
        <w:rPr>
          <w:rFonts w:ascii="Arial" w:hAnsi="Arial" w:cs="Arial"/>
          <w:noProof/>
          <w:lang w:val="es-HN"/>
        </w:rPr>
        <w:fldChar w:fldCharType="separate"/>
      </w:r>
      <w:r w:rsidRPr="003E0592">
        <w:rPr>
          <w:rFonts w:ascii="Arial" w:hAnsi="Arial" w:cs="Arial"/>
        </w:rPr>
        <w:t>(2009)</w:t>
      </w:r>
      <w:r w:rsidRPr="003E0592">
        <w:rPr>
          <w:rFonts w:ascii="Arial" w:hAnsi="Arial" w:cs="Arial"/>
          <w:noProof/>
          <w:lang w:val="es-HN"/>
        </w:rPr>
        <w:fldChar w:fldCharType="end"/>
      </w:r>
      <w:r w:rsidRPr="003E0592">
        <w:rPr>
          <w:rFonts w:ascii="Arial" w:hAnsi="Arial" w:cs="Arial"/>
        </w:rPr>
        <w:t xml:space="preserve"> esto es traducido como una interdependencia económica mundial compleja, por lo que la aproximación a este fenómeno debe hacerse desde los principales tópicos que abarca el comercio internacional (ventaja comparativa, patrones comerciales, globalización y aranceles) como principales herramientas para comprender el comportamiento actual de las economías. </w:t>
      </w:r>
    </w:p>
    <w:p w14:paraId="082353CC" w14:textId="601EC7A9" w:rsidR="00256451" w:rsidRDefault="00256451" w:rsidP="00256451">
      <w:pPr>
        <w:spacing w:after="240" w:line="360" w:lineRule="auto"/>
        <w:jc w:val="both"/>
        <w:rPr>
          <w:rFonts w:ascii="Arial" w:hAnsi="Arial" w:cs="Arial"/>
        </w:rPr>
      </w:pPr>
      <w:r w:rsidRPr="003E0592">
        <w:rPr>
          <w:rFonts w:ascii="Arial" w:hAnsi="Arial" w:cs="Arial"/>
        </w:rPr>
        <w:t xml:space="preserve">Según Krugman et al. </w:t>
      </w:r>
      <w:r w:rsidRPr="003E0592">
        <w:rPr>
          <w:rFonts w:ascii="Arial" w:hAnsi="Arial" w:cs="Arial"/>
        </w:rPr>
        <w:fldChar w:fldCharType="begin"/>
      </w:r>
      <w:r w:rsidR="00E85E78">
        <w:rPr>
          <w:rFonts w:ascii="Arial" w:hAnsi="Arial" w:cs="Arial"/>
        </w:rPr>
        <w:instrText xml:space="preserve"> ADDIN ZOTERO_ITEM CSL_CITATION {"citationID":"AHUqTErs","properties":{"formattedCitation":"(Krugman et\\uc0\\u160{}al., 2012)","plainCitation":"(Krugman et al., 2012)","dontUpdate":true,"noteIndex":0},"citationItems":[{"id":46,"uris":["http://zotero.org/users/10063313/items/E4CLKKRH"],"itemData":{"id":46,"type":"book","language":"es","publisher":"Pearson Educación","publisher-place":"Madrid","title":"Economía Internacional: teoría y política","author":[{"family":"Krugman","given":"P"},{"family":"Obstfeld","given":"M"},{"family":"Melitz","given":"M"}],"issued":{"date-parts":[["2012"]]}}}],"schema":"https://github.com/citation-style-language/schema/raw/master/csl-citation.json"} </w:instrText>
      </w:r>
      <w:r w:rsidRPr="003E0592">
        <w:rPr>
          <w:rFonts w:ascii="Arial" w:hAnsi="Arial" w:cs="Arial"/>
        </w:rPr>
        <w:fldChar w:fldCharType="separate"/>
      </w:r>
      <w:r w:rsidR="00D504E0" w:rsidRPr="003E0592">
        <w:rPr>
          <w:rFonts w:ascii="Arial" w:hAnsi="Arial" w:cs="Arial"/>
        </w:rPr>
        <w:t>(2012)</w:t>
      </w:r>
      <w:r w:rsidRPr="003E0592">
        <w:rPr>
          <w:rFonts w:ascii="Arial" w:hAnsi="Arial" w:cs="Arial"/>
        </w:rPr>
        <w:fldChar w:fldCharType="end"/>
      </w:r>
      <w:r w:rsidRPr="003E0592">
        <w:rPr>
          <w:rFonts w:ascii="Arial" w:hAnsi="Arial" w:cs="Arial"/>
        </w:rPr>
        <w:t>, “la teoría de la economía internacional puede dividirse en dos grandes campos de estudio: el comercio internacional y las finanzas internacionales” (p.9)</w:t>
      </w:r>
      <w:r w:rsidR="00EE1F57">
        <w:rPr>
          <w:rFonts w:ascii="Arial" w:hAnsi="Arial" w:cs="Arial"/>
        </w:rPr>
        <w:t xml:space="preserve">, </w:t>
      </w:r>
      <w:r w:rsidRPr="003E0592">
        <w:rPr>
          <w:rFonts w:ascii="Arial" w:hAnsi="Arial" w:cs="Arial"/>
        </w:rPr>
        <w:t xml:space="preserve">para el estudio y evaluación de acuerdos comerciales se utiliza ampliamente el enfoque de la teoría del comercio internacional. </w:t>
      </w:r>
    </w:p>
    <w:p w14:paraId="04EE93B7" w14:textId="77777777" w:rsidR="00BE5906" w:rsidRDefault="00CE7C7C" w:rsidP="00BE5906">
      <w:pPr>
        <w:pStyle w:val="Ttulo3"/>
        <w:numPr>
          <w:ilvl w:val="2"/>
          <w:numId w:val="20"/>
        </w:numPr>
        <w:spacing w:after="240"/>
      </w:pPr>
      <w:bookmarkStart w:id="26" w:name="_Toc236232340"/>
      <w:r>
        <w:t>Comercio Internacional</w:t>
      </w:r>
      <w:bookmarkEnd w:id="26"/>
      <w:r w:rsidR="00BE5906">
        <w:t xml:space="preserve"> </w:t>
      </w:r>
    </w:p>
    <w:p w14:paraId="62772E35" w14:textId="77777777" w:rsidR="00BE5906" w:rsidRPr="00BE5906" w:rsidRDefault="00BE5906" w:rsidP="00BE5906"/>
    <w:p w14:paraId="32B77A14" w14:textId="0BF6EFB1" w:rsidR="00256451" w:rsidRPr="003E0592" w:rsidRDefault="00256451" w:rsidP="00256451">
      <w:pPr>
        <w:spacing w:after="240" w:line="360" w:lineRule="auto"/>
        <w:jc w:val="both"/>
        <w:rPr>
          <w:rFonts w:ascii="Arial" w:hAnsi="Arial" w:cs="Arial"/>
        </w:rPr>
      </w:pPr>
      <w:r w:rsidRPr="003E0592">
        <w:rPr>
          <w:rFonts w:ascii="Arial" w:hAnsi="Arial" w:cs="Arial"/>
        </w:rPr>
        <w:t>En su conceptualización más simple, el comercio internacional se refiere al intercambio de bienes y servicios entre diferentes naciones. Esta interacción, al comprender diferentes países con características que difieren en aspectos culturales, políticos, económicos y sociales hacen que sea</w:t>
      </w:r>
      <w:r w:rsidR="000B21E9">
        <w:rPr>
          <w:rFonts w:ascii="Arial" w:hAnsi="Arial" w:cs="Arial"/>
        </w:rPr>
        <w:t>n</w:t>
      </w:r>
      <w:r w:rsidRPr="003E0592">
        <w:rPr>
          <w:rFonts w:ascii="Arial" w:hAnsi="Arial" w:cs="Arial"/>
        </w:rPr>
        <w:t xml:space="preserve"> necesario</w:t>
      </w:r>
      <w:r w:rsidR="000B21E9">
        <w:rPr>
          <w:rFonts w:ascii="Arial" w:hAnsi="Arial" w:cs="Arial"/>
        </w:rPr>
        <w:t>s</w:t>
      </w:r>
      <w:r w:rsidRPr="003E0592">
        <w:rPr>
          <w:rFonts w:ascii="Arial" w:hAnsi="Arial" w:cs="Arial"/>
        </w:rPr>
        <w:t xml:space="preserve"> </w:t>
      </w:r>
      <w:r w:rsidRPr="003E0592">
        <w:rPr>
          <w:rFonts w:ascii="Arial" w:hAnsi="Arial" w:cs="Arial"/>
        </w:rPr>
        <w:lastRenderedPageBreak/>
        <w:t>diferentes enfoques y teorías para llevar a cabo su estudio. Una definición más amplia ofrece Ginés et al.</w:t>
      </w:r>
      <w:r w:rsidRPr="003E0592">
        <w:rPr>
          <w:rFonts w:ascii="Arial" w:hAnsi="Arial" w:cs="Arial"/>
          <w:color w:val="000000"/>
        </w:rPr>
        <w:t xml:space="preserve"> </w:t>
      </w:r>
      <w:r w:rsidRPr="003E0592">
        <w:rPr>
          <w:rFonts w:ascii="Arial" w:hAnsi="Arial" w:cs="Arial"/>
          <w:color w:val="000000"/>
        </w:rPr>
        <w:fldChar w:fldCharType="begin"/>
      </w:r>
      <w:r w:rsidR="00A42206">
        <w:rPr>
          <w:rFonts w:ascii="Arial" w:hAnsi="Arial" w:cs="Arial"/>
          <w:color w:val="000000"/>
        </w:rPr>
        <w:instrText xml:space="preserve"> ADDIN ZOTERO_ITEM CSL_CITATION {"citationID":"pwFSccTP","properties":{"formattedCitation":"(Gin\\uc0\\u233{}s &amp; Stampa, 2009)","plainCitation":"(Ginés &amp; Stampa, 2009)","dontUpdate":true,"noteIndex":0},"citationItems":[{"id":44,"uris":["http://zotero.org/users/10063313/items/CQDSU9ZR"],"itemData":{"id":44,"type":"book","language":"es","publisher":"J.M. Bosch Editor","title":"El arbitraje internacional. Cuestiones de actualidad","author":[{"family":"Ginés","given":"N"},{"family":"Stampa","given":"G"}],"issued":{"date-parts":[["2009"]]}}}],"schema":"https://github.com/citation-style-language/schema/raw/master/csl-citation.json"} </w:instrText>
      </w:r>
      <w:r w:rsidRPr="003E0592">
        <w:rPr>
          <w:rFonts w:ascii="Arial" w:hAnsi="Arial" w:cs="Arial"/>
          <w:color w:val="000000"/>
        </w:rPr>
        <w:fldChar w:fldCharType="separate"/>
      </w:r>
      <w:r w:rsidRPr="003E0592">
        <w:rPr>
          <w:rFonts w:ascii="Arial" w:hAnsi="Arial" w:cs="Arial"/>
        </w:rPr>
        <w:t>(2009)</w:t>
      </w:r>
      <w:r w:rsidRPr="003E0592">
        <w:rPr>
          <w:rFonts w:ascii="Arial" w:hAnsi="Arial" w:cs="Arial"/>
          <w:color w:val="000000"/>
        </w:rPr>
        <w:fldChar w:fldCharType="end"/>
      </w:r>
      <w:r w:rsidRPr="003E0592">
        <w:rPr>
          <w:rFonts w:ascii="Arial" w:hAnsi="Arial" w:cs="Arial"/>
        </w:rPr>
        <w:t xml:space="preserve">: </w:t>
      </w:r>
    </w:p>
    <w:p w14:paraId="43D322CA" w14:textId="77777777" w:rsidR="00256451" w:rsidRPr="003E0592" w:rsidRDefault="00256451" w:rsidP="00256451">
      <w:pPr>
        <w:spacing w:after="240" w:line="360" w:lineRule="auto"/>
        <w:ind w:left="708"/>
        <w:jc w:val="both"/>
        <w:rPr>
          <w:rFonts w:ascii="Arial" w:hAnsi="Arial" w:cs="Arial"/>
        </w:rPr>
      </w:pPr>
      <w:r w:rsidRPr="003E0592">
        <w:rPr>
          <w:rFonts w:ascii="Arial" w:hAnsi="Arial" w:cs="Arial"/>
        </w:rPr>
        <w:t>El comercio internacional se define como el conjunto de transacciones comerciales realizadas entre privados, residentes en distintos países. A diferencia del comercio interior, donde las transacciones comerciales se efectúan dentro de un espacio económico, monetario y jurídico relativamente homogéneo, las transacciones comerciales internacionales se realizan entre operadores comerciales privados situados en diferentes ordenamientos jurídicos y con acentuadas diferencias económicas y sociales. (p.22)</w:t>
      </w:r>
    </w:p>
    <w:p w14:paraId="15EA6AD7" w14:textId="3A86C0D8" w:rsidR="00256451" w:rsidRPr="003E0592" w:rsidRDefault="00256451" w:rsidP="00256451">
      <w:pPr>
        <w:spacing w:after="240" w:line="360" w:lineRule="auto"/>
        <w:jc w:val="both"/>
        <w:rPr>
          <w:rFonts w:ascii="Arial" w:hAnsi="Arial" w:cs="Arial"/>
        </w:rPr>
      </w:pPr>
      <w:r w:rsidRPr="003E0592">
        <w:rPr>
          <w:rFonts w:ascii="Arial" w:hAnsi="Arial" w:cs="Arial"/>
        </w:rPr>
        <w:t>Estas diferencias entre los países representan retos al comercio internacional, pero también se les puede adjudicar la razón del porqué los países comercian; lo que es ampliamente estudiado en esta disciplina. Las teorías del comercio internacional comprenden desde la teoría clásica de Adam Smith con la teoría de la ventaja absoluta, la teoría de ventaja comparativa de Ricardo, teoría neoclásica del comercio internacional (modelo Heckscher-Ohlin), entre otras, hasta los nuevos enfoques como las economías de escala</w:t>
      </w:r>
      <w:r w:rsidR="00C544CF">
        <w:rPr>
          <w:rFonts w:ascii="Arial" w:hAnsi="Arial" w:cs="Arial"/>
        </w:rPr>
        <w:t xml:space="preserve"> </w:t>
      </w:r>
      <w:r w:rsidRPr="003E0592">
        <w:rPr>
          <w:rFonts w:ascii="Arial" w:hAnsi="Arial" w:cs="Arial"/>
        </w:rPr>
        <w:t xml:space="preserve">y el comercio intraindustrial. </w:t>
      </w:r>
    </w:p>
    <w:p w14:paraId="54162D21" w14:textId="32A8C0A9" w:rsidR="00450004" w:rsidRPr="003E0592" w:rsidRDefault="00450004" w:rsidP="00256451">
      <w:pPr>
        <w:spacing w:after="240" w:line="360" w:lineRule="auto"/>
        <w:jc w:val="both"/>
        <w:rPr>
          <w:rFonts w:ascii="Arial" w:hAnsi="Arial" w:cs="Arial"/>
        </w:rPr>
      </w:pPr>
      <w:r w:rsidRPr="00450004">
        <w:rPr>
          <w:rFonts w:ascii="Arial" w:hAnsi="Arial" w:cs="Arial"/>
        </w:rPr>
        <w:t>Para las economías en desarrollo, el comercio internacional puede facilitar el acceso a nuevos mercados, tecnologías e inversión. Sin embargo, su aprovechamiento no debe evaluarse únicamente a partir del crecimiento económico o del aumento de los flujos comerciales, sino también considerando sus efectos sobre el bienestar social, las capacidades productivas y tecnológicas</w:t>
      </w:r>
      <w:r>
        <w:rPr>
          <w:rFonts w:ascii="Arial" w:hAnsi="Arial" w:cs="Arial"/>
        </w:rPr>
        <w:t xml:space="preserve">. </w:t>
      </w:r>
    </w:p>
    <w:p w14:paraId="0C72FB56" w14:textId="4F34FFF7" w:rsidR="00633A02" w:rsidRDefault="00256451" w:rsidP="00256451">
      <w:pPr>
        <w:spacing w:after="240" w:line="360" w:lineRule="auto"/>
        <w:jc w:val="both"/>
        <w:rPr>
          <w:rFonts w:ascii="Arial" w:hAnsi="Arial" w:cs="Arial"/>
        </w:rPr>
      </w:pPr>
      <w:r w:rsidRPr="003E0592">
        <w:rPr>
          <w:rFonts w:ascii="Arial" w:hAnsi="Arial" w:cs="Arial"/>
        </w:rPr>
        <w:t xml:space="preserve">Carbaugh </w:t>
      </w:r>
      <w:sdt>
        <w:sdtPr>
          <w:rPr>
            <w:rFonts w:ascii="Arial" w:hAnsi="Arial" w:cs="Arial"/>
            <w:color w:val="000000"/>
          </w:rPr>
          <w:tag w:val="MENDELEY_CITATION_v3_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"/>
          <w:id w:val="-1136335692"/>
          <w:placeholder>
            <w:docPart w:val="489BB6DC0D3949398E9A75F3AE2EB612"/>
          </w:placeholder>
        </w:sdtPr>
        <w:sdtContent>
          <w:r w:rsidRPr="003E0592">
            <w:rPr>
              <w:rFonts w:ascii="Arial" w:hAnsi="Arial" w:cs="Arial"/>
              <w:noProof/>
              <w:lang w:val="es-HN"/>
            </w:rPr>
            <w:fldChar w:fldCharType="begin"/>
          </w:r>
          <w:r w:rsidR="00FA3C64">
            <w:rPr>
              <w:rFonts w:ascii="Arial" w:hAnsi="Arial" w:cs="Arial"/>
              <w:noProof/>
              <w:lang w:val="es-HN"/>
            </w:rPr>
            <w:instrText xml:space="preserve"> ADDIN ZOTERO_ITEM CSL_CITATION {"citationID":"DxRnlGvL","properties":{"formattedCitation":"(Carbaugh, 2009)","plainCitation":"(Carbaugh, 2009)","dontUpdate":true,"noteIndex":0},"citationItems":[{"id":39,"uris":["http://zotero.org/users/10063313/items/LBTDM75I"],"itemData":{"id":39,"type":"book","language":"en","publisher":"Cengage Learning","publisher-place":"México","title":"Economía Internacional","author":[{"family":"Carbaugh","given":"R"}],"issued":{"date-parts":[["2009"]]}}}],"schema":"https://github.com/citation-style-language/schema/raw/master/csl-citation.json"} </w:instrText>
          </w:r>
          <w:r w:rsidRPr="003E0592">
            <w:rPr>
              <w:rFonts w:ascii="Arial" w:hAnsi="Arial" w:cs="Arial"/>
              <w:noProof/>
              <w:lang w:val="es-HN"/>
            </w:rPr>
            <w:fldChar w:fldCharType="separate"/>
          </w:r>
          <w:r w:rsidRPr="003E0592">
            <w:rPr>
              <w:rFonts w:ascii="Arial" w:hAnsi="Arial" w:cs="Arial"/>
            </w:rPr>
            <w:t>(2009)</w:t>
          </w:r>
          <w:r w:rsidRPr="003E0592">
            <w:rPr>
              <w:rFonts w:ascii="Arial" w:hAnsi="Arial" w:cs="Arial"/>
              <w:noProof/>
              <w:lang w:val="es-HN"/>
            </w:rPr>
            <w:fldChar w:fldCharType="end"/>
          </w:r>
        </w:sdtContent>
      </w:sdt>
      <w:r w:rsidRPr="003E0592">
        <w:rPr>
          <w:rFonts w:ascii="Arial" w:hAnsi="Arial" w:cs="Arial"/>
          <w:color w:val="000000"/>
        </w:rPr>
        <w:t xml:space="preserve"> </w:t>
      </w:r>
      <w:r w:rsidRPr="003E0592">
        <w:rPr>
          <w:rFonts w:ascii="Arial" w:hAnsi="Arial" w:cs="Arial"/>
        </w:rPr>
        <w:t>señala</w:t>
      </w:r>
      <w:r w:rsidR="00633A02">
        <w:rPr>
          <w:rFonts w:ascii="Arial" w:hAnsi="Arial" w:cs="Arial"/>
        </w:rPr>
        <w:t xml:space="preserve"> </w:t>
      </w:r>
      <w:r w:rsidR="00633A02" w:rsidRPr="00633A02">
        <w:rPr>
          <w:rFonts w:ascii="Arial" w:hAnsi="Arial" w:cs="Arial"/>
        </w:rPr>
        <w:t xml:space="preserve">que, a pesar de los beneficios que se obtienen del comercio internacional, existen prejuicios erróneos. Uno de estos mitos es la idea de que el comercio es una actividad de suma cero, donde las ganancias de un participante significan pérdidas para el otro. No obstante, en realidad, ocurre lo contrario, ya que ambas partes </w:t>
      </w:r>
      <w:r w:rsidR="002D780B">
        <w:rPr>
          <w:rFonts w:ascii="Arial" w:hAnsi="Arial" w:cs="Arial"/>
        </w:rPr>
        <w:t xml:space="preserve">pueden </w:t>
      </w:r>
      <w:r w:rsidR="00633A02" w:rsidRPr="00633A02">
        <w:rPr>
          <w:rFonts w:ascii="Arial" w:hAnsi="Arial" w:cs="Arial"/>
        </w:rPr>
        <w:t>experimenta</w:t>
      </w:r>
      <w:r w:rsidR="000B21E9">
        <w:rPr>
          <w:rFonts w:ascii="Arial" w:hAnsi="Arial" w:cs="Arial"/>
        </w:rPr>
        <w:t>r</w:t>
      </w:r>
      <w:r w:rsidR="00633A02" w:rsidRPr="00633A02">
        <w:rPr>
          <w:rFonts w:ascii="Arial" w:hAnsi="Arial" w:cs="Arial"/>
        </w:rPr>
        <w:t xml:space="preserve"> beneficios mutuos.</w:t>
      </w:r>
    </w:p>
    <w:p w14:paraId="0A7809AD" w14:textId="6072A1E0" w:rsidR="002D780B" w:rsidRDefault="002D780B" w:rsidP="00256451">
      <w:pPr>
        <w:spacing w:after="240" w:line="360" w:lineRule="auto"/>
        <w:jc w:val="both"/>
        <w:rPr>
          <w:rFonts w:ascii="Arial" w:hAnsi="Arial" w:cs="Arial"/>
        </w:rPr>
      </w:pPr>
      <w:r w:rsidRPr="002D780B">
        <w:rPr>
          <w:rFonts w:ascii="Arial" w:hAnsi="Arial" w:cs="Arial"/>
        </w:rPr>
        <w:t xml:space="preserve">La posibilidad de obtener beneficios mediante la especialización se fundamenta en que los países pueden exportar aquellos bienes que producen de manera </w:t>
      </w:r>
      <w:r w:rsidRPr="002D780B">
        <w:rPr>
          <w:rFonts w:ascii="Arial" w:hAnsi="Arial" w:cs="Arial"/>
        </w:rPr>
        <w:lastRenderedPageBreak/>
        <w:t>relativamente más eficiente e importar los bienes cuya producción representa un mayor costo relativo. Esta idea constituye una de las bases de la teoría de la ventaja comparativa, desarrollada en el siguiente apartado.</w:t>
      </w:r>
    </w:p>
    <w:p w14:paraId="53303CFE" w14:textId="7D37387B" w:rsidR="00F72493" w:rsidRDefault="00BE5906" w:rsidP="00BE5906">
      <w:pPr>
        <w:pStyle w:val="Prrafodelista"/>
        <w:numPr>
          <w:ilvl w:val="3"/>
          <w:numId w:val="20"/>
        </w:numPr>
        <w:ind w:left="1701"/>
        <w:rPr>
          <w:rFonts w:ascii="Arial" w:eastAsiaTheme="majorEastAsia" w:hAnsi="Arial" w:cstheme="majorBidi"/>
          <w:i/>
          <w:iCs/>
        </w:rPr>
      </w:pPr>
      <w:r w:rsidRPr="00BE5906">
        <w:rPr>
          <w:rFonts w:ascii="Arial" w:eastAsiaTheme="majorEastAsia" w:hAnsi="Arial" w:cstheme="majorBidi"/>
          <w:i/>
          <w:iCs/>
        </w:rPr>
        <w:t xml:space="preserve">Teoría de las Ventajas Comparativas </w:t>
      </w:r>
    </w:p>
    <w:p w14:paraId="095A8B55" w14:textId="77777777" w:rsidR="00BE5906" w:rsidRPr="00BE5906" w:rsidRDefault="00BE5906" w:rsidP="00BE5906">
      <w:pPr>
        <w:rPr>
          <w:rFonts w:ascii="Arial" w:eastAsiaTheme="majorEastAsia" w:hAnsi="Arial" w:cstheme="majorBidi"/>
          <w:i/>
          <w:iCs/>
        </w:rPr>
      </w:pPr>
    </w:p>
    <w:p w14:paraId="2B01887B" w14:textId="4339F69C" w:rsidR="003E0592" w:rsidRPr="003E0592" w:rsidRDefault="003E0592" w:rsidP="003E0592">
      <w:pPr>
        <w:rPr>
          <w:rFonts w:ascii="Arial" w:hAnsi="Arial" w:cs="Arial"/>
        </w:rPr>
      </w:pPr>
    </w:p>
    <w:p w14:paraId="6B6B4073" w14:textId="74DBF37C" w:rsidR="00256451" w:rsidRPr="003E0592" w:rsidRDefault="00256451" w:rsidP="00256451">
      <w:pPr>
        <w:spacing w:after="240" w:line="360" w:lineRule="auto"/>
        <w:jc w:val="both"/>
        <w:rPr>
          <w:rFonts w:ascii="Arial" w:hAnsi="Arial" w:cs="Arial"/>
          <w:color w:val="000000"/>
        </w:rPr>
      </w:pPr>
      <w:r w:rsidRPr="003E0592">
        <w:rPr>
          <w:rFonts w:ascii="Arial" w:hAnsi="Arial" w:cs="Arial"/>
        </w:rPr>
        <w:t>Una de las primeras teorías con las que se abordó el comercio internacional, es la de ventajas comparativas de David Ricardo, qui</w:t>
      </w:r>
      <w:r w:rsidR="000B21E9">
        <w:rPr>
          <w:rFonts w:ascii="Arial" w:hAnsi="Arial" w:cs="Arial"/>
        </w:rPr>
        <w:t>e</w:t>
      </w:r>
      <w:r w:rsidRPr="003E0592">
        <w:rPr>
          <w:rFonts w:ascii="Arial" w:hAnsi="Arial" w:cs="Arial"/>
        </w:rPr>
        <w:t>n desarrolló como principio básico de su teoría que un país exportaría el producto o bien que produce con un menor coste relativo, en términos de otro bien y lo contrario con las importaciones, importar lo que represente un mayor costo relativo</w:t>
      </w:r>
      <w:r w:rsidR="00DC2E0F">
        <w:rPr>
          <w:rFonts w:ascii="Arial" w:hAnsi="Arial" w:cs="Arial"/>
        </w:rPr>
        <w:t xml:space="preserve"> </w:t>
      </w:r>
      <w:r w:rsidR="00FC0078" w:rsidRPr="00FC0078">
        <w:rPr>
          <w:rFonts w:ascii="Arial" w:hAnsi="Arial" w:cs="Arial"/>
        </w:rPr>
        <w:t xml:space="preserve">(Bajo, 1991; Blanco, 2011; Mayorga </w:t>
      </w:r>
      <w:r w:rsidR="00FC0078">
        <w:rPr>
          <w:rFonts w:ascii="Arial" w:hAnsi="Arial" w:cs="Arial"/>
        </w:rPr>
        <w:t>et al.</w:t>
      </w:r>
      <w:r w:rsidR="00FC0078" w:rsidRPr="00FC0078">
        <w:rPr>
          <w:rFonts w:ascii="Arial" w:hAnsi="Arial" w:cs="Arial"/>
        </w:rPr>
        <w:t>, 2018)</w:t>
      </w:r>
      <w:r w:rsidR="00FC0078">
        <w:rPr>
          <w:rFonts w:ascii="Arial" w:hAnsi="Arial" w:cs="Arial"/>
        </w:rPr>
        <w:t xml:space="preserve">. </w:t>
      </w:r>
    </w:p>
    <w:p w14:paraId="0C946D39" w14:textId="48617711" w:rsidR="00256451" w:rsidRPr="003E0592" w:rsidRDefault="00256451" w:rsidP="00256451">
      <w:pPr>
        <w:spacing w:after="240" w:line="360" w:lineRule="auto"/>
        <w:jc w:val="both"/>
        <w:rPr>
          <w:rFonts w:ascii="Arial" w:hAnsi="Arial" w:cs="Arial"/>
        </w:rPr>
      </w:pPr>
      <w:r w:rsidRPr="003E0592">
        <w:rPr>
          <w:rFonts w:ascii="Arial" w:hAnsi="Arial" w:cs="Arial"/>
          <w:color w:val="000000"/>
        </w:rPr>
        <w:t xml:space="preserve">Bajo </w:t>
      </w:r>
      <w:r w:rsidRPr="003E0592">
        <w:rPr>
          <w:rFonts w:ascii="Arial" w:hAnsi="Arial" w:cs="Arial"/>
        </w:rPr>
        <w:fldChar w:fldCharType="begin"/>
      </w:r>
      <w:r w:rsidR="00A42206">
        <w:rPr>
          <w:rFonts w:ascii="Arial" w:hAnsi="Arial" w:cs="Arial"/>
        </w:rPr>
        <w:instrText xml:space="preserve"> ADDIN ZOTERO_ITEM CSL_CITATION {"citationID":"X8Vvu4of","properties":{"formattedCitation":"(Bajo, 1991)","plainCitation":"(Bajo, 1991)","dontUpdate":true,"noteIndex":0},"citationItems":[{"id":24,"uris":["http://zotero.org/users/10063313/items/H8L9GA43"],"itemData":{"id":24,"type":"document","language":"es","note":"publisher-place: Barcelona","title":"Teorías del Comercio Internacional","author":[{"family":"Bajo","given":"O"}],"issued":{"date-parts":[["1991"]]}}}],"schema":"https://github.com/citation-style-language/schema/raw/master/csl-citation.json"} </w:instrText>
      </w:r>
      <w:r w:rsidRPr="003E0592">
        <w:rPr>
          <w:rFonts w:ascii="Arial" w:hAnsi="Arial" w:cs="Arial"/>
        </w:rPr>
        <w:fldChar w:fldCharType="separate"/>
      </w:r>
      <w:r w:rsidRPr="003E0592">
        <w:rPr>
          <w:rFonts w:ascii="Arial" w:hAnsi="Arial" w:cs="Arial"/>
        </w:rPr>
        <w:t>(1991)</w:t>
      </w:r>
      <w:r w:rsidRPr="003E0592">
        <w:rPr>
          <w:rFonts w:ascii="Arial" w:hAnsi="Arial" w:cs="Arial"/>
        </w:rPr>
        <w:fldChar w:fldCharType="end"/>
      </w:r>
      <w:r w:rsidRPr="003E0592">
        <w:rPr>
          <w:rFonts w:ascii="Arial" w:hAnsi="Arial" w:cs="Arial"/>
          <w:color w:val="000000"/>
        </w:rPr>
        <w:t xml:space="preserve"> expone los supuestos de la teoría, siendo estos: “</w:t>
      </w:r>
      <w:r w:rsidRPr="003E0592">
        <w:rPr>
          <w:rFonts w:ascii="Arial" w:hAnsi="Arial" w:cs="Arial"/>
        </w:rPr>
        <w:t>existencia de dos países y dos productos solamente, cumplimiento de la teoría del valor trabajo clásica, costes unitarios constantes e inexistencia de costes de transporte y barreras al comercio” (p.14)</w:t>
      </w:r>
    </w:p>
    <w:p w14:paraId="352ED77C" w14:textId="28B2754F" w:rsidR="00256451" w:rsidRPr="003E0592" w:rsidRDefault="00256451" w:rsidP="00256451">
      <w:pPr>
        <w:spacing w:after="240" w:line="360" w:lineRule="auto"/>
        <w:jc w:val="both"/>
        <w:rPr>
          <w:rFonts w:ascii="Arial" w:hAnsi="Arial" w:cs="Arial"/>
        </w:rPr>
      </w:pPr>
      <w:r w:rsidRPr="003E0592">
        <w:rPr>
          <w:rFonts w:ascii="Arial" w:hAnsi="Arial" w:cs="Arial"/>
        </w:rPr>
        <w:t xml:space="preserve">El principal componente de esta teoría es que se mide el costo en función de otro bien, Krugman et al. </w:t>
      </w:r>
      <w:r w:rsidRPr="003E0592">
        <w:rPr>
          <w:rFonts w:ascii="Arial" w:hAnsi="Arial" w:cs="Arial"/>
        </w:rPr>
        <w:fldChar w:fldCharType="begin"/>
      </w:r>
      <w:r w:rsidR="00FA3C64">
        <w:rPr>
          <w:rFonts w:ascii="Arial" w:hAnsi="Arial" w:cs="Arial"/>
        </w:rPr>
        <w:instrText xml:space="preserve"> ADDIN ZOTERO_ITEM CSL_CITATION {"citationID":"NSq8QofO","properties":{"formattedCitation":"(Krugman et\\uc0\\u160{}al., 2012)","plainCitation":"(Krugman et al., 2012)","dontUpdate":true,"noteIndex":0},"citationItems":[{"id":46,"uris":["http://zotero.org/users/10063313/items/E4CLKKRH"],"itemData":{"id":46,"type":"book","language":"es","publisher":"Pearson Educación","publisher-place":"Madrid","title":"Economía Internacional: teoría y política","author":[{"family":"Krugman","given":"P"},{"family":"Obstfeld","given":"M"},{"family":"Melitz","given":"M"}],"issued":{"date-parts":[["2012"]]}}}],"schema":"https://github.com/citation-style-language/schema/raw/master/csl-citation.json"} </w:instrText>
      </w:r>
      <w:r w:rsidRPr="003E0592">
        <w:rPr>
          <w:rFonts w:ascii="Arial" w:hAnsi="Arial" w:cs="Arial"/>
        </w:rPr>
        <w:fldChar w:fldCharType="separate"/>
      </w:r>
      <w:r w:rsidRPr="003E0592">
        <w:rPr>
          <w:rFonts w:ascii="Arial" w:hAnsi="Arial" w:cs="Arial"/>
        </w:rPr>
        <w:t>(2012)</w:t>
      </w:r>
      <w:r w:rsidRPr="003E0592">
        <w:rPr>
          <w:rFonts w:ascii="Arial" w:hAnsi="Arial" w:cs="Arial"/>
        </w:rPr>
        <w:fldChar w:fldCharType="end"/>
      </w:r>
      <w:r w:rsidRPr="003E0592">
        <w:rPr>
          <w:rFonts w:ascii="Arial" w:hAnsi="Arial" w:cs="Arial"/>
        </w:rPr>
        <w:t xml:space="preserve">, explica que “si el coste de oportunidad en la producción de un bien en términos de otros bienes es inferior en él que en otros países existe una ventaja comparativa” (p.25). En otras palabras, la teoría se basa en la eficiencia relativa, un país tiene la capacidad de producir un bien de manera más eficiente en términos de los recursos que emplea, en comparación con otros países. </w:t>
      </w:r>
    </w:p>
    <w:p w14:paraId="64568CBC" w14:textId="77777777" w:rsidR="0079729C" w:rsidRDefault="00256451" w:rsidP="0079729C">
      <w:pPr>
        <w:spacing w:after="240" w:line="360" w:lineRule="auto"/>
        <w:jc w:val="both"/>
        <w:rPr>
          <w:rFonts w:ascii="Arial" w:hAnsi="Arial" w:cs="Arial"/>
        </w:rPr>
      </w:pPr>
      <w:r w:rsidRPr="003E0592">
        <w:rPr>
          <w:rFonts w:ascii="Arial" w:hAnsi="Arial" w:cs="Arial"/>
        </w:rPr>
        <w:t xml:space="preserve">Durante años se utilizó el enfoque de la teoría de la ventaja comparativa, sin embargo, esta no toma en cuenta factores de alta importancia que determinan el aprovechamiento que cada país tendrá de una interacción comercial y se enfoca en el trabajo como único factor productivo. Orduna </w:t>
      </w:r>
      <w:r w:rsidRPr="003E0592">
        <w:rPr>
          <w:rFonts w:ascii="Arial" w:hAnsi="Arial" w:cs="Arial"/>
        </w:rPr>
        <w:fldChar w:fldCharType="begin"/>
      </w:r>
      <w:r w:rsidR="00A42206">
        <w:rPr>
          <w:rFonts w:ascii="Arial" w:hAnsi="Arial" w:cs="Arial"/>
        </w:rPr>
        <w:instrText xml:space="preserve"> ADDIN ZOTERO_ITEM CSL_CITATION {"citationID":"O3fpCVss","properties":{"formattedCitation":"(Orduna, 2000)","plainCitation":"(Orduna, 2000)","dontUpdate":true,"noteIndex":0},"citationItems":[{"id":48,"uris":["http://zotero.org/users/10063313/items/ALM26VWC"],"itemData":{"id":48,"type":"article-journal","language":"es","title":"¿Porqué ha de reputarse inválida la teoría de la ventaja comparativa para regir el comercio internacional?","author":[{"family":"Orduna","given":"L"}],"issued":{"date-parts":[["2000"]]}}}],"schema":"https://github.com/citation-style-language/schema/raw/master/csl-citation.json"} </w:instrText>
      </w:r>
      <w:r w:rsidRPr="003E0592">
        <w:rPr>
          <w:rFonts w:ascii="Arial" w:hAnsi="Arial" w:cs="Arial"/>
        </w:rPr>
        <w:fldChar w:fldCharType="separate"/>
      </w:r>
      <w:r w:rsidRPr="003E0592">
        <w:rPr>
          <w:rFonts w:ascii="Arial" w:hAnsi="Arial" w:cs="Arial"/>
        </w:rPr>
        <w:t>(2000)</w:t>
      </w:r>
      <w:r w:rsidRPr="003E0592">
        <w:rPr>
          <w:rFonts w:ascii="Arial" w:hAnsi="Arial" w:cs="Arial"/>
        </w:rPr>
        <w:fldChar w:fldCharType="end"/>
      </w:r>
      <w:r w:rsidRPr="003E0592">
        <w:rPr>
          <w:rFonts w:ascii="Arial" w:hAnsi="Arial" w:cs="Arial"/>
        </w:rPr>
        <w:t xml:space="preserve"> </w:t>
      </w:r>
      <w:r w:rsidR="0079729C" w:rsidRPr="0079729C">
        <w:rPr>
          <w:rFonts w:ascii="Arial" w:hAnsi="Arial" w:cs="Arial"/>
        </w:rPr>
        <w:t>explica que estos factores comprenden el desarrollo tecnológico y la competitividad. La influencia de ambos limita el alcance explicativo de la teoría de la ventaja comparativa, ya que los países con mayor avance tecnológico pueden producir y exportar bienes de mayor valor monetario que productos agrarios abundantes y de menor precio.</w:t>
      </w:r>
    </w:p>
    <w:p w14:paraId="6F2F6BA9" w14:textId="57B8B723" w:rsidR="0079729C" w:rsidRPr="0079729C" w:rsidRDefault="0079729C" w:rsidP="0079729C">
      <w:pPr>
        <w:spacing w:after="240" w:line="360" w:lineRule="auto"/>
        <w:jc w:val="both"/>
        <w:rPr>
          <w:rFonts w:ascii="Arial" w:hAnsi="Arial" w:cs="Arial"/>
        </w:rPr>
      </w:pPr>
      <w:r w:rsidRPr="0079729C">
        <w:rPr>
          <w:rFonts w:ascii="Arial" w:hAnsi="Arial" w:cs="Arial"/>
        </w:rPr>
        <w:lastRenderedPageBreak/>
        <w:t>En este sentido, una especialización sustentada únicamente en ventajas naturales puede limitar las posibilidades de transformación productiva de los países con menor capacidad tecnológica. Aunque la abundancia de recursos naturales puede representar una ventaja para la exportación de determinados bienes, la concentración prolongada en productos primarios puede mantener una estructura comercial con menor valor agregado y aumentar las diferencias frente a economías que exportan bienes manufacturados y tecnológicos.</w:t>
      </w:r>
    </w:p>
    <w:p w14:paraId="6A776980" w14:textId="77777777" w:rsidR="00BE5906" w:rsidRDefault="0079729C" w:rsidP="00BE5906">
      <w:pPr>
        <w:spacing w:after="240" w:line="360" w:lineRule="auto"/>
        <w:jc w:val="both"/>
        <w:rPr>
          <w:rFonts w:ascii="Arial" w:hAnsi="Arial" w:cs="Arial"/>
        </w:rPr>
      </w:pPr>
      <w:r w:rsidRPr="0079729C">
        <w:rPr>
          <w:rFonts w:ascii="Arial" w:hAnsi="Arial" w:cs="Arial"/>
        </w:rPr>
        <w:t>Por tanto, aunque la teoría de la ventaja comparativa constituye una base relevante para comprender la especialización y el intercambio entre países, no permite explicar por sí sola todos los factores que determinan el aprovechamiento del comercio internacional. En esta investigación se utiliza como un punto de partida para identificar el potencial exportador de Honduras, pero se complementa con otros enfoques que permiten considerar las diferencias productivas, tecnológicas e institucionales existentes entre Honduras y China</w:t>
      </w:r>
      <w:r w:rsidR="00256451" w:rsidRPr="003E0592">
        <w:rPr>
          <w:rFonts w:ascii="Arial" w:hAnsi="Arial" w:cs="Arial"/>
        </w:rPr>
        <w:t xml:space="preserve">. </w:t>
      </w:r>
    </w:p>
    <w:p w14:paraId="021755A8" w14:textId="77777777" w:rsidR="00BE5906" w:rsidRPr="00BE5906" w:rsidRDefault="00BE5906" w:rsidP="00BE5906">
      <w:pPr>
        <w:pStyle w:val="Prrafodelista"/>
        <w:numPr>
          <w:ilvl w:val="3"/>
          <w:numId w:val="20"/>
        </w:numPr>
        <w:ind w:left="1701"/>
        <w:rPr>
          <w:rFonts w:ascii="Arial" w:eastAsiaTheme="majorEastAsia" w:hAnsi="Arial" w:cstheme="majorBidi"/>
          <w:i/>
          <w:iCs/>
        </w:rPr>
      </w:pPr>
      <w:r w:rsidRPr="00BE5906">
        <w:rPr>
          <w:rFonts w:ascii="Arial" w:eastAsiaTheme="majorEastAsia" w:hAnsi="Arial" w:cstheme="majorBidi"/>
          <w:i/>
          <w:iCs/>
        </w:rPr>
        <w:t>Teoría de Heckscher-Ohlin</w:t>
      </w:r>
    </w:p>
    <w:p w14:paraId="17FA3C75" w14:textId="77777777" w:rsidR="00256451" w:rsidRPr="003E0592" w:rsidRDefault="00256451" w:rsidP="00256451">
      <w:pPr>
        <w:spacing w:line="360" w:lineRule="auto"/>
        <w:rPr>
          <w:rFonts w:ascii="Arial" w:hAnsi="Arial" w:cs="Arial"/>
        </w:rPr>
      </w:pPr>
    </w:p>
    <w:p w14:paraId="75EE08F3" w14:textId="7A188286" w:rsidR="00256451" w:rsidRPr="003E0592" w:rsidRDefault="00256451" w:rsidP="00256451">
      <w:pPr>
        <w:spacing w:after="240" w:line="360" w:lineRule="auto"/>
        <w:jc w:val="both"/>
        <w:rPr>
          <w:rFonts w:ascii="Arial" w:hAnsi="Arial" w:cs="Arial"/>
        </w:rPr>
      </w:pPr>
      <w:r w:rsidRPr="003E0592">
        <w:rPr>
          <w:rFonts w:ascii="Arial" w:hAnsi="Arial" w:cs="Arial"/>
        </w:rPr>
        <w:t xml:space="preserve">Así como la teoría de las ventajas comparativas del modelo ricardiano se basaba únicamente en el trabajo como factor determinante del comercio, </w:t>
      </w:r>
      <w:r w:rsidR="0079729C" w:rsidRPr="0079729C">
        <w:rPr>
          <w:rFonts w:ascii="Arial" w:hAnsi="Arial" w:cs="Arial"/>
        </w:rPr>
        <w:t>surgió un enfoque que incorporó el capital junto con el trabajo como factores determinantes de los patrones comerciales</w:t>
      </w:r>
      <w:r w:rsidR="0079729C">
        <w:rPr>
          <w:rFonts w:ascii="Arial" w:hAnsi="Arial" w:cs="Arial"/>
        </w:rPr>
        <w:t xml:space="preserve">. </w:t>
      </w:r>
    </w:p>
    <w:p w14:paraId="47DA582D" w14:textId="6C61190F" w:rsidR="00256451" w:rsidRPr="003E0592" w:rsidRDefault="00256451" w:rsidP="00256451">
      <w:pPr>
        <w:spacing w:after="240" w:line="360" w:lineRule="auto"/>
        <w:jc w:val="both"/>
        <w:rPr>
          <w:rFonts w:ascii="Arial" w:hAnsi="Arial" w:cs="Arial"/>
        </w:rPr>
      </w:pPr>
      <w:r w:rsidRPr="003E0592">
        <w:rPr>
          <w:rFonts w:ascii="Arial" w:hAnsi="Arial" w:cs="Arial"/>
        </w:rPr>
        <w:t xml:space="preserve">De este modo nace el modelo Heckscher-Ohlin, el cual parte de la ventaja comparativa como resultado de “las diferentes dotaciones factoriales relativas de los países que comercian” </w:t>
      </w:r>
      <w:r w:rsidRPr="003E0592">
        <w:rPr>
          <w:rFonts w:ascii="Arial" w:hAnsi="Arial" w:cs="Arial"/>
        </w:rPr>
        <w:fldChar w:fldCharType="begin"/>
      </w:r>
      <w:r w:rsidR="00FA3C64">
        <w:rPr>
          <w:rFonts w:ascii="Arial" w:hAnsi="Arial" w:cs="Arial"/>
        </w:rPr>
        <w:instrText xml:space="preserve"> ADDIN ZOTERO_ITEM CSL_CITATION {"citationID":"QNgNAU8l","properties":{"formattedCitation":"(Bajo, 1991)","plainCitation":"(Bajo, 1991)","dontUpdate":true,"noteIndex":0},"citationItems":[{"id":24,"uris":["http://zotero.org/users/10063313/items/H8L9GA43"],"itemData":{"id":24,"type":"document","language":"es","note":"publisher-place: Barcelona","title":"Teorías del Comercio Internacional","author":[{"family":"Bajo","given":"O"}],"issued":{"date-parts":[["1991"]]}}}],"schema":"https://github.com/citation-style-language/schema/raw/master/csl-citation.json"} </w:instrText>
      </w:r>
      <w:r w:rsidRPr="003E0592">
        <w:rPr>
          <w:rFonts w:ascii="Arial" w:hAnsi="Arial" w:cs="Arial"/>
        </w:rPr>
        <w:fldChar w:fldCharType="separate"/>
      </w:r>
      <w:r w:rsidRPr="003E0592">
        <w:rPr>
          <w:rFonts w:ascii="Arial" w:hAnsi="Arial" w:cs="Arial"/>
        </w:rPr>
        <w:t>(Bajo, 1991</w:t>
      </w:r>
      <w:r w:rsidR="0079729C">
        <w:rPr>
          <w:rFonts w:ascii="Arial" w:hAnsi="Arial" w:cs="Arial"/>
        </w:rPr>
        <w:t>, p.31</w:t>
      </w:r>
      <w:r w:rsidRPr="003E0592">
        <w:rPr>
          <w:rFonts w:ascii="Arial" w:hAnsi="Arial" w:cs="Arial"/>
        </w:rPr>
        <w:t>)</w:t>
      </w:r>
      <w:r w:rsidRPr="003E0592">
        <w:rPr>
          <w:rFonts w:ascii="Arial" w:hAnsi="Arial" w:cs="Arial"/>
        </w:rPr>
        <w:fldChar w:fldCharType="end"/>
      </w:r>
      <w:r w:rsidRPr="003E0592">
        <w:rPr>
          <w:rFonts w:ascii="Arial" w:hAnsi="Arial" w:cs="Arial"/>
        </w:rPr>
        <w:t>.</w:t>
      </w:r>
    </w:p>
    <w:p w14:paraId="1E75809B" w14:textId="2B4CB807" w:rsidR="00256451" w:rsidRDefault="00256451" w:rsidP="00256451">
      <w:pPr>
        <w:spacing w:after="240" w:line="360" w:lineRule="auto"/>
        <w:jc w:val="both"/>
        <w:rPr>
          <w:rFonts w:ascii="Arial" w:hAnsi="Arial" w:cs="Arial"/>
        </w:rPr>
      </w:pPr>
      <w:r w:rsidRPr="003E0592">
        <w:rPr>
          <w:rFonts w:ascii="Arial" w:hAnsi="Arial" w:cs="Arial"/>
        </w:rPr>
        <w:t xml:space="preserve">Bajo </w:t>
      </w:r>
      <w:r w:rsidRPr="003E0592">
        <w:rPr>
          <w:rFonts w:ascii="Arial" w:hAnsi="Arial" w:cs="Arial"/>
        </w:rPr>
        <w:fldChar w:fldCharType="begin"/>
      </w:r>
      <w:r w:rsidR="00A42206">
        <w:rPr>
          <w:rFonts w:ascii="Arial" w:hAnsi="Arial" w:cs="Arial"/>
        </w:rPr>
        <w:instrText xml:space="preserve"> ADDIN ZOTERO_ITEM CSL_CITATION {"citationID":"geTQ3SKw","properties":{"formattedCitation":"(Bajo, 1996)","plainCitation":"(Bajo, 1996)","dontUpdate":true,"noteIndex":0},"citationItems":[{"id":38,"uris":["http://zotero.org/users/10063313/items/MW8MR89J"],"itemData":{"id":38,"type":"article-journal","container-title":"Revista vasca de economía","language":"es","page":"12-27","title":"Teorías del comercio internacional: Una panorámica","author":[{"family":"Bajo","given":"O"}],"issued":{"date-parts":[["1996"]]}}}],"schema":"https://github.com/citation-style-language/schema/raw/master/csl-citation.json"} </w:instrText>
      </w:r>
      <w:r w:rsidRPr="003E0592">
        <w:rPr>
          <w:rFonts w:ascii="Arial" w:hAnsi="Arial" w:cs="Arial"/>
        </w:rPr>
        <w:fldChar w:fldCharType="separate"/>
      </w:r>
      <w:r w:rsidRPr="003E0592">
        <w:rPr>
          <w:rFonts w:ascii="Arial" w:hAnsi="Arial" w:cs="Arial"/>
        </w:rPr>
        <w:t>(1996)</w:t>
      </w:r>
      <w:r w:rsidRPr="003E0592">
        <w:rPr>
          <w:rFonts w:ascii="Arial" w:hAnsi="Arial" w:cs="Arial"/>
        </w:rPr>
        <w:fldChar w:fldCharType="end"/>
      </w:r>
      <w:r w:rsidRPr="003E0592">
        <w:rPr>
          <w:rFonts w:ascii="Arial" w:hAnsi="Arial" w:cs="Arial"/>
        </w:rPr>
        <w:t xml:space="preserve"> explica que en el teorema de Heckscher-Ohlin: un país exportaría el bien que utiliza intensivamente su factor relativamente abundante e importaría el bien que utiliza intensivamente su factor relativamente escaso.</w:t>
      </w:r>
    </w:p>
    <w:p w14:paraId="7D59FC15" w14:textId="77777777" w:rsidR="00965A22" w:rsidRDefault="00965A22" w:rsidP="00505695">
      <w:pPr>
        <w:spacing w:after="240" w:line="360" w:lineRule="auto"/>
        <w:jc w:val="both"/>
        <w:rPr>
          <w:rFonts w:ascii="Arial" w:hAnsi="Arial" w:cs="Arial"/>
          <w:lang w:val="es-HN"/>
        </w:rPr>
      </w:pPr>
      <w:r w:rsidRPr="00965A22">
        <w:rPr>
          <w:rFonts w:ascii="Arial" w:hAnsi="Arial" w:cs="Arial"/>
        </w:rPr>
        <w:t>El modelo parte de una serie de supuestos simplificadores, entre ellos la existencia de dos países, dos bienes y dos factores productivos</w:t>
      </w:r>
      <w:r>
        <w:rPr>
          <w:rFonts w:ascii="Arial" w:hAnsi="Arial" w:cs="Arial"/>
        </w:rPr>
        <w:t xml:space="preserve"> (</w:t>
      </w:r>
      <w:r w:rsidRPr="00965A22">
        <w:rPr>
          <w:rFonts w:ascii="Arial" w:hAnsi="Arial" w:cs="Arial"/>
        </w:rPr>
        <w:t>capital y trabajo</w:t>
      </w:r>
      <w:r>
        <w:rPr>
          <w:rFonts w:ascii="Arial" w:hAnsi="Arial" w:cs="Arial"/>
        </w:rPr>
        <w:t>)</w:t>
      </w:r>
      <w:r w:rsidRPr="00965A22">
        <w:rPr>
          <w:rFonts w:ascii="Arial" w:hAnsi="Arial" w:cs="Arial"/>
        </w:rPr>
        <w:t xml:space="preserve">, la competencia perfecta, los rendimientos constantes a escala, la </w:t>
      </w:r>
      <w:r w:rsidRPr="00965A22">
        <w:rPr>
          <w:rFonts w:ascii="Arial" w:hAnsi="Arial" w:cs="Arial"/>
        </w:rPr>
        <w:lastRenderedPageBreak/>
        <w:t>movilidad de los bienes entre países y la inmovilidad internacional de los factores productivos</w:t>
      </w:r>
      <w:r>
        <w:t xml:space="preserve"> </w:t>
      </w:r>
      <w:r w:rsidR="008B5C11">
        <w:rPr>
          <w:rFonts w:ascii="Arial" w:hAnsi="Arial" w:cs="Arial"/>
          <w:lang w:val="es-HN"/>
        </w:rPr>
        <w:fldChar w:fldCharType="begin"/>
      </w:r>
      <w:r w:rsidR="00A42206">
        <w:rPr>
          <w:rFonts w:ascii="Arial" w:hAnsi="Arial" w:cs="Arial"/>
          <w:lang w:val="es-HN"/>
        </w:rPr>
        <w:instrText xml:space="preserve"> ADDIN ZOTERO_ITEM CSL_CITATION {"citationID":"Ko0jHceu","properties":{"formattedCitation":"(Bajo, 1991; Bianco, 2019)","plainCitation":"(Bajo, 1991; Bianco, 2019)","noteIndex":0},"citationItems":[{"id":24,"uris":["http://zotero.org/users/10063313/items/H8L9GA43"],"itemData":{"id":24,"type":"document","language":"es","note":"publisher-place: Barcelona","title":"Teorías del Comercio Internacional","author":[{"family":"Bajo","given":"O"}],"issued":{"date-parts":[["1991"]]}}},{"id":83,"uris":["http://zotero.org/users/10063313/items/ZQM2CY2P"],"itemData":{"id":83,"type":"book","abstract":"El presente documento tiene como objetivo exponer de la forma más sencilla posible lo que se puede definir como la “síntesis neoclásica” de la teoría del comercio internacional, es decir, el modelo Heckscher-Ohlin (H-O), así como los principales efectos que de él se derivan en materia de igualación de los precios relativos de los bienes y de distribución del ingreso.","ISBN":"978-987-558-581-2","language":"spa","note":"Accepted: 2021-05-10T15:04:31Z","publisher":"Universidad Nacional de Quilmes. Unidad de Publicaciones del Departamento de Economía y Administración.","source":"ridaa.unq.edu.ar","title":"La síntesis neoclásica de la teoría del comercio internacional : un modelo sencillo de Heckscher-Ohlin","title-short":"La síntesis neoclásica de la teoría del comercio internacional","URL":"http://ridaa.unq.edu.ar/handle/20.500.11807/2992","author":[{"family":"Bianco","given":"Carlos"}],"accessed":{"date-parts":[["2023",10,31]]},"issued":{"date-parts":[["2019"]]}}}],"schema":"https://github.com/citation-style-language/schema/raw/master/csl-citation.json"} </w:instrText>
      </w:r>
      <w:r w:rsidR="008B5C11">
        <w:rPr>
          <w:rFonts w:ascii="Arial" w:hAnsi="Arial" w:cs="Arial"/>
          <w:lang w:val="es-HN"/>
        </w:rPr>
        <w:fldChar w:fldCharType="separate"/>
      </w:r>
      <w:r w:rsidR="008B5C11" w:rsidRPr="008B5C11">
        <w:rPr>
          <w:rFonts w:ascii="Arial" w:hAnsi="Arial" w:cs="Arial"/>
        </w:rPr>
        <w:t>(Bajo, 1991; Bianco, 2019)</w:t>
      </w:r>
      <w:r w:rsidR="008B5C11">
        <w:rPr>
          <w:rFonts w:ascii="Arial" w:hAnsi="Arial" w:cs="Arial"/>
          <w:lang w:val="es-HN"/>
        </w:rPr>
        <w:fldChar w:fldCharType="end"/>
      </w:r>
      <w:r>
        <w:rPr>
          <w:rFonts w:ascii="Arial" w:hAnsi="Arial" w:cs="Arial"/>
          <w:lang w:val="es-HN"/>
        </w:rPr>
        <w:t>.</w:t>
      </w:r>
    </w:p>
    <w:p w14:paraId="3271FE9D" w14:textId="11F85788" w:rsidR="00965A22" w:rsidRDefault="00965A22" w:rsidP="00505695">
      <w:pPr>
        <w:spacing w:after="240" w:line="360" w:lineRule="auto"/>
        <w:jc w:val="both"/>
        <w:rPr>
          <w:rFonts w:ascii="Arial" w:hAnsi="Arial" w:cs="Arial"/>
          <w:lang w:val="es-HN"/>
        </w:rPr>
      </w:pPr>
      <w:r w:rsidRPr="00965A22">
        <w:rPr>
          <w:rFonts w:ascii="Arial" w:hAnsi="Arial" w:cs="Arial"/>
          <w:lang w:val="es-HN"/>
        </w:rPr>
        <w:t>La principal limitación del modelo se encuentra en la rigidez de sus supuestos, ya que varias de las condiciones planteadas no se cumplen de manera estricta en las relaciones comerciales actuales. En particular, el supuesto de inmovilidad internacional del capital resulta limitado en un contexto caracterizado por el crecimiento de la inversión extranjera y la movilidad de los factores productivos entre países</w:t>
      </w:r>
      <w:r>
        <w:rPr>
          <w:rFonts w:ascii="Arial" w:hAnsi="Arial" w:cs="Arial"/>
          <w:lang w:val="es-HN"/>
        </w:rPr>
        <w:t xml:space="preserve"> </w:t>
      </w:r>
      <w:r w:rsidRPr="003E0592">
        <w:rPr>
          <w:rFonts w:ascii="Arial" w:hAnsi="Arial" w:cs="Arial"/>
          <w:color w:val="000000"/>
        </w:rPr>
        <w:fldChar w:fldCharType="begin"/>
      </w:r>
      <w:r w:rsidR="00FA3C64">
        <w:rPr>
          <w:rFonts w:ascii="Arial" w:hAnsi="Arial" w:cs="Arial"/>
          <w:color w:val="000000"/>
        </w:rPr>
        <w:instrText xml:space="preserve"> ADDIN ZOTERO_ITEM CSL_CITATION {"citationID":"vFN6Umsv","properties":{"formattedCitation":"(Botero, 2005)","plainCitation":"(Botero, 2005)","noteIndex":0},"citationItems":[{"id":61,"uris":["http://zotero.org/users/10063313/items/5EMQQ4KD"],"itemData":{"id":61,"type":"report","publisher":"Naciones Unidas","publisher-place":"Santiago de Chile","title":"Estimación del impacto sobre el empleo de los tratados de libre comercio en Colombia; análisis de equilibrio general computable","author":[{"family":"Botero","given":"Jesús"}],"issued":{"date-parts":[["2005"]]}}}],"schema":"https://github.com/citation-style-language/schema/raw/master/csl-citation.json"} </w:instrText>
      </w:r>
      <w:r w:rsidRPr="003E0592">
        <w:rPr>
          <w:rFonts w:ascii="Arial" w:hAnsi="Arial" w:cs="Arial"/>
          <w:color w:val="000000"/>
        </w:rPr>
        <w:fldChar w:fldCharType="separate"/>
      </w:r>
      <w:r w:rsidRPr="003E0592">
        <w:rPr>
          <w:rFonts w:ascii="Arial" w:hAnsi="Arial" w:cs="Arial"/>
        </w:rPr>
        <w:t>(Botero, 2005)</w:t>
      </w:r>
      <w:r w:rsidRPr="003E0592">
        <w:rPr>
          <w:rFonts w:ascii="Arial" w:hAnsi="Arial" w:cs="Arial"/>
          <w:color w:val="000000"/>
        </w:rPr>
        <w:fldChar w:fldCharType="end"/>
      </w:r>
      <w:r w:rsidRPr="003E0592">
        <w:rPr>
          <w:rFonts w:ascii="Arial" w:hAnsi="Arial" w:cs="Arial"/>
        </w:rPr>
        <w:t>.</w:t>
      </w:r>
    </w:p>
    <w:p w14:paraId="3F5FF225" w14:textId="13A9ED50" w:rsidR="00965A22" w:rsidRDefault="00965A22" w:rsidP="00505695">
      <w:pPr>
        <w:spacing w:after="240" w:line="360" w:lineRule="auto"/>
        <w:jc w:val="both"/>
        <w:rPr>
          <w:rFonts w:ascii="Arial" w:hAnsi="Arial" w:cs="Arial"/>
        </w:rPr>
      </w:pPr>
      <w:r w:rsidRPr="00965A22">
        <w:rPr>
          <w:rFonts w:ascii="Arial" w:hAnsi="Arial" w:cs="Arial"/>
        </w:rPr>
        <w:t xml:space="preserve">A pesar de estas limitaciones, el modelo Heckscher-Ohlin continúa siendo útil para explicar los patrones de especialización derivados de las diferencias en las dotaciones factoriales de los países </w:t>
      </w:r>
      <w:r w:rsidRPr="003E0592">
        <w:rPr>
          <w:rFonts w:ascii="Arial" w:hAnsi="Arial" w:cs="Arial"/>
        </w:rPr>
        <w:fldChar w:fldCharType="begin"/>
      </w:r>
      <w:r>
        <w:rPr>
          <w:rFonts w:ascii="Arial" w:hAnsi="Arial" w:cs="Arial"/>
        </w:rPr>
        <w:instrText xml:space="preserve"> ADDIN ZOTERO_ITEM CSL_CITATION {"citationID":"Mq8jt9uS","properties":{"formattedCitation":"(Dorob\\uc0\\u259{}\\uc0\\u355{}, 2015)","plainCitation":"(Dorobăţ, 2015)","noteIndex":0},"citationItems":[{"id":60,"uris":["http://zotero.org/users/10063313/items/WBMZLJXC"],"itemData":{"id":60,"type":"article-journal","container-title":"The Journal of Philosophical Economics","page":"106-137","title":"A brief history of international trade thought: from pre-doctrinal contributions to the 21st century heterodox international economics","volume":"VIII","author":[{"family":"Dorobăţ","given":"Carmen Elena"}],"issued":{"date-parts":[["2015"]]}}}],"schema":"https://github.com/citation-style-language/schema/raw/master/csl-citation.json"} </w:instrText>
      </w:r>
      <w:r w:rsidRPr="003E0592">
        <w:rPr>
          <w:rFonts w:ascii="Arial" w:hAnsi="Arial" w:cs="Arial"/>
        </w:rPr>
        <w:fldChar w:fldCharType="separate"/>
      </w:r>
      <w:r w:rsidRPr="003E0592">
        <w:rPr>
          <w:rFonts w:ascii="Arial" w:hAnsi="Arial" w:cs="Arial"/>
        </w:rPr>
        <w:t>(Dorobăţ, 2015)</w:t>
      </w:r>
      <w:r w:rsidRPr="003E0592">
        <w:rPr>
          <w:rFonts w:ascii="Arial" w:hAnsi="Arial" w:cs="Arial"/>
        </w:rPr>
        <w:fldChar w:fldCharType="end"/>
      </w:r>
      <w:r>
        <w:rPr>
          <w:rFonts w:ascii="Arial" w:hAnsi="Arial" w:cs="Arial"/>
        </w:rPr>
        <w:t xml:space="preserve">. </w:t>
      </w:r>
      <w:r w:rsidRPr="00965A22">
        <w:rPr>
          <w:rFonts w:ascii="Arial" w:hAnsi="Arial" w:cs="Arial"/>
        </w:rPr>
        <w:t>En el caso de Honduras y China, permite aproximarse a una relación en la que Honduras exporta principalmente bienes intensivos en recursos naturales y trabajo, mientras que importa desde China manufacturas y bienes con mayor contenido de capital y tecnología. Este patrón será complementado posteriormente con el análisis del comercio intraindustrial e interindustrial y con factores como la política comercial y las barreras arancelarias y no arancelaria</w:t>
      </w:r>
      <w:r w:rsidR="000B21E9">
        <w:rPr>
          <w:rFonts w:ascii="Arial" w:hAnsi="Arial" w:cs="Arial"/>
        </w:rPr>
        <w:t>s.</w:t>
      </w:r>
    </w:p>
    <w:p w14:paraId="3B863540" w14:textId="77777777" w:rsidR="00F72493" w:rsidRDefault="00F72493">
      <w:pPr>
        <w:pStyle w:val="Ttulo3"/>
        <w:numPr>
          <w:ilvl w:val="2"/>
          <w:numId w:val="20"/>
        </w:numPr>
        <w:spacing w:after="240"/>
      </w:pPr>
      <w:bookmarkStart w:id="27" w:name="_Toc236232341"/>
      <w:r>
        <w:t>Política Comercial</w:t>
      </w:r>
      <w:bookmarkEnd w:id="27"/>
      <w:r>
        <w:t xml:space="preserve"> </w:t>
      </w:r>
    </w:p>
    <w:p w14:paraId="0BBD0E00" w14:textId="77777777" w:rsidR="009F5558" w:rsidRPr="009F5558" w:rsidRDefault="009F5558" w:rsidP="009F5558"/>
    <w:p w14:paraId="3775EBD4" w14:textId="06E32CA4" w:rsidR="00505695" w:rsidRPr="003E0592" w:rsidRDefault="00505695" w:rsidP="00505695">
      <w:pPr>
        <w:spacing w:after="240" w:line="360" w:lineRule="auto"/>
        <w:jc w:val="both"/>
        <w:rPr>
          <w:rFonts w:ascii="Arial" w:hAnsi="Arial" w:cs="Arial"/>
          <w:lang w:val="es-HN" w:eastAsia="en-US"/>
        </w:rPr>
      </w:pPr>
      <w:r w:rsidRPr="003E0592">
        <w:rPr>
          <w:rFonts w:ascii="Arial" w:hAnsi="Arial" w:cs="Arial"/>
          <w:lang w:val="es-HN" w:eastAsia="en-US"/>
        </w:rPr>
        <w:t xml:space="preserve">Aguirrez et al. </w:t>
      </w:r>
      <w:r w:rsidRPr="003E0592">
        <w:rPr>
          <w:rFonts w:ascii="Arial" w:hAnsi="Arial" w:cs="Arial"/>
          <w:lang w:val="es-HN" w:eastAsia="en-US"/>
        </w:rPr>
        <w:fldChar w:fldCharType="begin"/>
      </w:r>
      <w:r w:rsidR="00A42206">
        <w:rPr>
          <w:rFonts w:ascii="Arial" w:hAnsi="Arial" w:cs="Arial"/>
          <w:lang w:val="es-HN" w:eastAsia="en-US"/>
        </w:rPr>
        <w:instrText xml:space="preserve"> ADDIN ZOTERO_ITEM CSL_CITATION {"citationID":"lkbIKYth","properties":{"formattedCitation":"(Aguirre &amp; Jim\\uc0\\u233{}nez, 2020)","plainCitation":"(Aguirre &amp; Jiménez, 2020)","dontUpdate":true,"noteIndex":0},"citationItems":[{"id":73,"uris":["http://zotero.org/users/10063313/items/MQHIKBFH"],"itemData":{"id":73,"type":"thesis","title":"Efecto comercial de los tratados de libre comercio de Canadá y Chile con Costa Rica mediante indicadores comerciales: el caso del sector agrícola e industrial costarricense","author":[{"family":"Aguirre","given":"Laura"},{"family":"Jiménez","given":"Diego"}],"issued":{"date-parts":[["2020"]]}}}],"schema":"https://github.com/citation-style-language/schema/raw/master/csl-citation.json"} </w:instrText>
      </w:r>
      <w:r w:rsidRPr="003E0592">
        <w:rPr>
          <w:rFonts w:ascii="Arial" w:hAnsi="Arial" w:cs="Arial"/>
          <w:lang w:val="es-HN" w:eastAsia="en-US"/>
        </w:rPr>
        <w:fldChar w:fldCharType="separate"/>
      </w:r>
      <w:r w:rsidR="001B3C2D" w:rsidRPr="003E0592">
        <w:rPr>
          <w:rFonts w:ascii="Arial" w:hAnsi="Arial" w:cs="Arial"/>
        </w:rPr>
        <w:t>(2020)</w:t>
      </w:r>
      <w:r w:rsidRPr="003E0592">
        <w:rPr>
          <w:rFonts w:ascii="Arial" w:hAnsi="Arial" w:cs="Arial"/>
          <w:lang w:val="es-HN" w:eastAsia="en-US"/>
        </w:rPr>
        <w:fldChar w:fldCharType="end"/>
      </w:r>
      <w:r w:rsidR="001B3C2D" w:rsidRPr="003E0592">
        <w:rPr>
          <w:rFonts w:ascii="Arial" w:hAnsi="Arial" w:cs="Arial"/>
          <w:lang w:val="es-HN" w:eastAsia="en-US"/>
        </w:rPr>
        <w:t xml:space="preserve"> </w:t>
      </w:r>
      <w:r w:rsidRPr="003E0592">
        <w:rPr>
          <w:rFonts w:ascii="Arial" w:hAnsi="Arial" w:cs="Arial"/>
          <w:lang w:val="es-HN" w:eastAsia="en-US"/>
        </w:rPr>
        <w:t>definen la política comercial como:</w:t>
      </w:r>
    </w:p>
    <w:p w14:paraId="41E4E2A8" w14:textId="77777777" w:rsidR="00505695" w:rsidRPr="003E0592" w:rsidRDefault="00505695" w:rsidP="00505695">
      <w:pPr>
        <w:spacing w:after="240" w:line="360" w:lineRule="auto"/>
        <w:ind w:left="708"/>
        <w:jc w:val="both"/>
        <w:rPr>
          <w:rFonts w:ascii="Arial" w:hAnsi="Arial" w:cs="Arial"/>
          <w:lang w:val="es-HN" w:eastAsia="en-US"/>
        </w:rPr>
      </w:pPr>
      <w:r w:rsidRPr="003E0592">
        <w:rPr>
          <w:rFonts w:ascii="Arial" w:hAnsi="Arial" w:cs="Arial"/>
          <w:lang w:val="es-HN" w:eastAsia="en-US"/>
        </w:rPr>
        <w:t>El conjunto de instrumentos con los que cuenta un gobierno para promover, modificar o limitar los intercambios comerciales del país con el resto del mundo. Tales instrumentos pueden ser clasificados en arancelarios, que son gravámenes que se atribuyen sobre un producto cuando traspasa una frontera nacional, y no arancelarios, que son medidas, distintas al arancel, que restringen el ingreso de un producto a determinado mercado (p.24).</w:t>
      </w:r>
    </w:p>
    <w:p w14:paraId="04D81B2E" w14:textId="01072B25" w:rsidR="00505695" w:rsidRPr="003E0592" w:rsidRDefault="00505695" w:rsidP="00505695">
      <w:pPr>
        <w:spacing w:after="240" w:line="360" w:lineRule="auto"/>
        <w:jc w:val="both"/>
        <w:rPr>
          <w:rFonts w:ascii="Arial" w:hAnsi="Arial" w:cs="Arial"/>
          <w:lang w:val="es-HN" w:eastAsia="en-US"/>
        </w:rPr>
      </w:pPr>
      <w:r w:rsidRPr="003E0592">
        <w:rPr>
          <w:rFonts w:ascii="Arial" w:hAnsi="Arial" w:cs="Arial"/>
          <w:lang w:val="es-HN" w:eastAsia="en-US"/>
        </w:rPr>
        <w:t xml:space="preserve">Hay diversas razones que están detrás de la política comercial de un país, usualmente están pensadas para ampliarse a mercados internacionales, un ejemplo de ello es atraer inversión extranjera directa o nuevas tecnologías, esta </w:t>
      </w:r>
      <w:r w:rsidRPr="003E0592">
        <w:rPr>
          <w:rFonts w:ascii="Arial" w:hAnsi="Arial" w:cs="Arial"/>
          <w:lang w:val="es-HN" w:eastAsia="en-US"/>
        </w:rPr>
        <w:lastRenderedPageBreak/>
        <w:t xml:space="preserve">política también puede ir orientada al aprovechamiento comercial de acuerdos vigentes y la suscripción de nuevos </w:t>
      </w:r>
      <w:r w:rsidR="001B3C2D" w:rsidRPr="003E0592">
        <w:rPr>
          <w:rFonts w:ascii="Arial" w:hAnsi="Arial" w:cs="Arial"/>
          <w:lang w:val="es-HN" w:eastAsia="en-US"/>
        </w:rPr>
        <w:t xml:space="preserve">(Aguirrez et al. </w:t>
      </w:r>
      <w:r w:rsidR="001B3C2D" w:rsidRPr="003E0592">
        <w:rPr>
          <w:rFonts w:ascii="Arial" w:hAnsi="Arial" w:cs="Arial"/>
          <w:lang w:val="es-HN" w:eastAsia="en-US"/>
        </w:rPr>
        <w:fldChar w:fldCharType="begin"/>
      </w:r>
      <w:r w:rsidR="00A42206">
        <w:rPr>
          <w:rFonts w:ascii="Arial" w:hAnsi="Arial" w:cs="Arial"/>
          <w:lang w:val="es-HN" w:eastAsia="en-US"/>
        </w:rPr>
        <w:instrText xml:space="preserve"> ADDIN ZOTERO_ITEM CSL_CITATION {"citationID":"iRpRkPcF","properties":{"formattedCitation":"(Aguirre &amp; Jim\\uc0\\u233{}nez, 2020)","plainCitation":"(Aguirre &amp; Jiménez, 2020)","dontUpdate":true,"noteIndex":0},"citationItems":[{"id":73,"uris":["http://zotero.org/users/10063313/items/MQHIKBFH"],"itemData":{"id":73,"type":"thesis","title":"Efecto comercial de los tratados de libre comercio de Canadá y Chile con Costa Rica mediante indicadores comerciales: el caso del sector agrícola e industrial costarricense","author":[{"family":"Aguirre","given":"Laura"},{"family":"Jiménez","given":"Diego"}],"issued":{"date-parts":[["2020"]]}}}],"schema":"https://github.com/citation-style-language/schema/raw/master/csl-citation.json"} </w:instrText>
      </w:r>
      <w:r w:rsidR="001B3C2D" w:rsidRPr="003E0592">
        <w:rPr>
          <w:rFonts w:ascii="Arial" w:hAnsi="Arial" w:cs="Arial"/>
          <w:lang w:val="es-HN" w:eastAsia="en-US"/>
        </w:rPr>
        <w:fldChar w:fldCharType="separate"/>
      </w:r>
      <w:r w:rsidR="001B3C2D" w:rsidRPr="003E0592">
        <w:rPr>
          <w:rFonts w:ascii="Arial" w:hAnsi="Arial" w:cs="Arial"/>
        </w:rPr>
        <w:t>2020)</w:t>
      </w:r>
      <w:r w:rsidR="001B3C2D" w:rsidRPr="003E0592">
        <w:rPr>
          <w:rFonts w:ascii="Arial" w:hAnsi="Arial" w:cs="Arial"/>
          <w:lang w:val="es-HN" w:eastAsia="en-US"/>
        </w:rPr>
        <w:fldChar w:fldCharType="end"/>
      </w:r>
      <w:r w:rsidR="001B3C2D" w:rsidRPr="003E0592">
        <w:rPr>
          <w:rFonts w:ascii="Arial" w:hAnsi="Arial" w:cs="Arial"/>
          <w:lang w:val="es-HN" w:eastAsia="en-US"/>
        </w:rPr>
        <w:t>.</w:t>
      </w:r>
    </w:p>
    <w:p w14:paraId="71976682" w14:textId="476C05DB" w:rsidR="00505695" w:rsidRPr="003E0592" w:rsidRDefault="00505695" w:rsidP="00505695">
      <w:pPr>
        <w:spacing w:after="240" w:line="360" w:lineRule="auto"/>
        <w:jc w:val="both"/>
        <w:rPr>
          <w:rFonts w:ascii="Arial" w:hAnsi="Arial" w:cs="Arial"/>
        </w:rPr>
      </w:pPr>
      <w:r w:rsidRPr="003E0592">
        <w:rPr>
          <w:rFonts w:ascii="Arial" w:hAnsi="Arial" w:cs="Arial"/>
        </w:rPr>
        <w:t>La política comercial de Honduras no ha sufrido cambios drásticos durante los últimos treinta años, su régimen comercial se considera relativamente abierto, se caracteriza por el uso mínimo de barreras no arancelarias y promover el proceso de integración centroamericano, el país forma parte del Sistema de Integración Centroamericana (SICA), así como de la OMC</w:t>
      </w:r>
      <w:r w:rsidR="001B3C2D" w:rsidRPr="003E0592">
        <w:rPr>
          <w:rFonts w:ascii="Arial" w:hAnsi="Arial" w:cs="Arial"/>
        </w:rPr>
        <w:t xml:space="preserve"> </w:t>
      </w:r>
      <w:r w:rsidR="001B3C2D" w:rsidRPr="003E0592">
        <w:rPr>
          <w:rFonts w:ascii="Arial" w:hAnsi="Arial" w:cs="Arial"/>
        </w:rPr>
        <w:fldChar w:fldCharType="begin"/>
      </w:r>
      <w:r w:rsidR="00A42206">
        <w:rPr>
          <w:rFonts w:ascii="Arial" w:hAnsi="Arial" w:cs="Arial"/>
        </w:rPr>
        <w:instrText xml:space="preserve"> ADDIN ZOTERO_ITEM CSL_CITATION {"citationID":"7eevpR05","properties":{"formattedCitation":"(Organizaci\\uc0\\u243{}n Mundial del Comercio (OMC), 2016; Protocolo de Tegucigalpa a la Carta de la Organizaci\\uc0\\u243{}n de Estados Centroamericanos (ODECA), 1991)","plainCitation":"(Organización Mundial del Comercio (OMC), 2016; Protocolo de Tegucigalpa a la Carta de la Organización de Estados Centroamericanos (ODECA), 1991)","noteIndex":0},"citationItems":[{"id":72,"uris":["http://zotero.org/users/10063313/items/IQU66PD3"],"itemData":{"id":72,"type":"report","title":"Examen de las políticas comerciales de Honduras","author":[{"literal":"Organización Mundial del Comercio (OMC)"}],"issued":{"date-parts":[["2016"]]}}},{"id":71,"uris":["http://zotero.org/users/10063313/items/MLLLDKA2"],"itemData":{"id":71,"type":"legislation","container-title":"Artículo 1","title":"Protocolo de Tegucigalpa a la Carta de la Organización de Estados Centroamericanos (ODECA)","issued":{"date-parts":[["1991"]]}}}],"schema":"https://github.com/citation-style-language/schema/raw/master/csl-citation.json"} </w:instrText>
      </w:r>
      <w:r w:rsidR="001B3C2D" w:rsidRPr="003E0592">
        <w:rPr>
          <w:rFonts w:ascii="Arial" w:hAnsi="Arial" w:cs="Arial"/>
        </w:rPr>
        <w:fldChar w:fldCharType="separate"/>
      </w:r>
      <w:r w:rsidR="001B3C2D" w:rsidRPr="003E0592">
        <w:rPr>
          <w:rFonts w:ascii="Arial" w:hAnsi="Arial" w:cs="Arial"/>
        </w:rPr>
        <w:t>(Organización Mundial del Comercio (OMC), 2016; Protocolo de Tegucigalpa a la Carta de la Organización de Estados Centroamericanos (ODECA), 1991)</w:t>
      </w:r>
      <w:r w:rsidR="001B3C2D" w:rsidRPr="003E0592">
        <w:rPr>
          <w:rFonts w:ascii="Arial" w:hAnsi="Arial" w:cs="Arial"/>
        </w:rPr>
        <w:fldChar w:fldCharType="end"/>
      </w:r>
      <w:r w:rsidR="001B3C2D" w:rsidRPr="003E0592">
        <w:rPr>
          <w:rFonts w:ascii="Arial" w:hAnsi="Arial" w:cs="Arial"/>
        </w:rPr>
        <w:t xml:space="preserve">. </w:t>
      </w:r>
    </w:p>
    <w:p w14:paraId="58448F46" w14:textId="77777777" w:rsidR="00505695" w:rsidRPr="003E0592" w:rsidRDefault="00505695" w:rsidP="00505695">
      <w:pPr>
        <w:spacing w:after="240" w:line="360" w:lineRule="auto"/>
        <w:jc w:val="both"/>
        <w:rPr>
          <w:rFonts w:ascii="Arial" w:hAnsi="Arial" w:cs="Arial"/>
        </w:rPr>
      </w:pPr>
      <w:r w:rsidRPr="003E0592">
        <w:rPr>
          <w:rFonts w:ascii="Arial" w:hAnsi="Arial" w:cs="Arial"/>
        </w:rPr>
        <w:t xml:space="preserve">A continuación, se explica la definición y tipos de acuerdos comerciales existentes y se abordan las barreras arancelarias y no arancelarias que puedan estar presentes en el comercio bilateral. </w:t>
      </w:r>
    </w:p>
    <w:p w14:paraId="413F7BA7" w14:textId="77777777" w:rsidR="00F72493" w:rsidRPr="00F72493" w:rsidRDefault="00F72493">
      <w:pPr>
        <w:pStyle w:val="Ttulo4"/>
        <w:numPr>
          <w:ilvl w:val="2"/>
          <w:numId w:val="20"/>
        </w:numPr>
        <w:spacing w:line="360" w:lineRule="auto"/>
        <w:rPr>
          <w:rFonts w:ascii="Arial" w:hAnsi="Arial" w:cs="Arial"/>
          <w:color w:val="auto"/>
        </w:rPr>
      </w:pPr>
      <w:r w:rsidRPr="003E0592">
        <w:rPr>
          <w:rFonts w:ascii="Arial" w:hAnsi="Arial" w:cs="Arial"/>
          <w:color w:val="auto"/>
        </w:rPr>
        <w:t>Acuerdos Comerciales</w:t>
      </w:r>
    </w:p>
    <w:p w14:paraId="05A3CD96" w14:textId="77777777" w:rsidR="00505695" w:rsidRPr="003E0592" w:rsidRDefault="00505695" w:rsidP="00505695">
      <w:pPr>
        <w:spacing w:line="360" w:lineRule="auto"/>
        <w:rPr>
          <w:rFonts w:ascii="Arial" w:hAnsi="Arial" w:cs="Arial"/>
        </w:rPr>
      </w:pPr>
    </w:p>
    <w:p w14:paraId="7812B474" w14:textId="127A8BFF" w:rsidR="00505695" w:rsidRPr="003E0592" w:rsidRDefault="00505695" w:rsidP="00505695">
      <w:pPr>
        <w:spacing w:after="240" w:line="360" w:lineRule="auto"/>
        <w:jc w:val="both"/>
        <w:rPr>
          <w:rFonts w:ascii="Arial" w:hAnsi="Arial" w:cs="Arial"/>
        </w:rPr>
      </w:pPr>
      <w:r w:rsidRPr="003E0592">
        <w:rPr>
          <w:rFonts w:ascii="Arial" w:hAnsi="Arial" w:cs="Arial"/>
        </w:rPr>
        <w:t>La OMC</w:t>
      </w:r>
      <w:r w:rsidR="001B3C2D" w:rsidRPr="003E0592">
        <w:rPr>
          <w:rFonts w:ascii="Arial" w:hAnsi="Arial" w:cs="Arial"/>
        </w:rPr>
        <w:t xml:space="preserve"> </w:t>
      </w:r>
      <w:r w:rsidR="001B3C2D" w:rsidRPr="003E0592">
        <w:rPr>
          <w:rFonts w:ascii="Arial" w:hAnsi="Arial" w:cs="Arial"/>
        </w:rPr>
        <w:fldChar w:fldCharType="begin"/>
      </w:r>
      <w:r w:rsidR="00A42206">
        <w:rPr>
          <w:rFonts w:ascii="Arial" w:hAnsi="Arial" w:cs="Arial"/>
        </w:rPr>
        <w:instrText xml:space="preserve"> ADDIN ZOTERO_ITEM CSL_CITATION {"citationID":"zDSE1k6Z","properties":{"formattedCitation":"(Organizaci\\uc0\\u243{}n Mundial del Comercio, 2011)","plainCitation":"(Organización Mundial del Comercio, 2011)","dontUpdate":true,"noteIndex":0},"citationItems":[{"id":59,"uris":["http://zotero.org/users/10063313/items/Q5AIZL7N"],"itemData":{"id":59,"type":"webpage","title":"Glosario de términos: Guía de “la jerga de la OMC”","author":[{"literal":"Organización Mundial del Comercio"}],"issued":{"date-parts":[["2011"]]}}}],"schema":"https://github.com/citation-style-language/schema/raw/master/csl-citation.json"} </w:instrText>
      </w:r>
      <w:r w:rsidR="001B3C2D" w:rsidRPr="003E0592">
        <w:rPr>
          <w:rFonts w:ascii="Arial" w:hAnsi="Arial" w:cs="Arial"/>
        </w:rPr>
        <w:fldChar w:fldCharType="separate"/>
      </w:r>
      <w:r w:rsidR="001B3C2D" w:rsidRPr="003E0592">
        <w:rPr>
          <w:rFonts w:ascii="Arial" w:hAnsi="Arial" w:cs="Arial"/>
        </w:rPr>
        <w:t>(2011)</w:t>
      </w:r>
      <w:r w:rsidR="001B3C2D" w:rsidRPr="003E0592">
        <w:rPr>
          <w:rFonts w:ascii="Arial" w:hAnsi="Arial" w:cs="Arial"/>
        </w:rPr>
        <w:fldChar w:fldCharType="end"/>
      </w:r>
      <w:r w:rsidR="001B3C2D" w:rsidRPr="003E0592">
        <w:rPr>
          <w:rFonts w:ascii="Arial" w:hAnsi="Arial" w:cs="Arial"/>
        </w:rPr>
        <w:t xml:space="preserve"> </w:t>
      </w:r>
      <w:r w:rsidRPr="003E0592">
        <w:rPr>
          <w:rFonts w:ascii="Arial" w:hAnsi="Arial" w:cs="Arial"/>
        </w:rPr>
        <w:t xml:space="preserve">define los acuerdos comerciales como convenios entre dos o más países que establecen los términos y condiciones para facilitar el intercambio de bienes, servicios e inversiones entre las partes involucradas. Estos acuerdos buscan promover el comercio libre y justo, eliminando o reduciendo las barreras arancelarias y no arancelarias al comercio. </w:t>
      </w:r>
    </w:p>
    <w:p w14:paraId="00A1B27E" w14:textId="617D6759" w:rsidR="00505695" w:rsidRPr="003E0592" w:rsidRDefault="00505695" w:rsidP="00505695">
      <w:pPr>
        <w:spacing w:after="240" w:line="360" w:lineRule="auto"/>
        <w:jc w:val="both"/>
        <w:rPr>
          <w:rFonts w:ascii="Arial" w:hAnsi="Arial" w:cs="Arial"/>
        </w:rPr>
      </w:pPr>
      <w:r w:rsidRPr="003E0592">
        <w:rPr>
          <w:rFonts w:ascii="Arial" w:hAnsi="Arial" w:cs="Arial"/>
        </w:rPr>
        <w:t xml:space="preserve">Los acuerdos comerciales son el principal instrumento de los países para abrir sus economías y buscar nuevos mercados. Sin embargo, la motivación para ser parte de un acuerdo comercial difiere de un país a otro, un país pequeño acude a un acuerdo comercial en busca de nuevos mercados, atracción de nuevas tecnologías, y el fomento de desarrollo industrial </w:t>
      </w:r>
      <w:r w:rsidR="00BE4822" w:rsidRPr="003E0592">
        <w:rPr>
          <w:rFonts w:ascii="Arial" w:hAnsi="Arial" w:cs="Arial"/>
          <w:color w:val="000000"/>
        </w:rPr>
        <w:fldChar w:fldCharType="begin"/>
      </w:r>
      <w:r w:rsidR="00A42206">
        <w:rPr>
          <w:rFonts w:ascii="Arial" w:hAnsi="Arial" w:cs="Arial"/>
          <w:color w:val="000000"/>
        </w:rPr>
        <w:instrText xml:space="preserve"> ADDIN ZOTERO_ITEM CSL_CITATION {"citationID":"KkzSgQN9","properties":{"formattedCitation":"(Cooper &amp; Massell, 1965)","plainCitation":"(Cooper &amp; Massell, 1965)","dontUpdate":true,"noteIndex":0},"citationItems":[{"id":4,"uris":["http://zotero.org/users/10063313/items/HM3MNUQF"],"itemData":{"id":4,"type":"article-journal","container-title":"Journal of Political Economy","title":"Toward a General Theory of Customs Unions for Developing Countries","author":[{"family":"Cooper","given":"C. A."},{"family":"Massell","given":"B. F."}],"issued":{"date-parts":[["1965"]]}}}],"schema":"https://github.com/citation-style-language/schema/raw/master/csl-citation.json"} </w:instrText>
      </w:r>
      <w:r w:rsidR="00BE4822" w:rsidRPr="003E0592">
        <w:rPr>
          <w:rFonts w:ascii="Arial" w:hAnsi="Arial" w:cs="Arial"/>
          <w:color w:val="000000"/>
        </w:rPr>
        <w:fldChar w:fldCharType="separate"/>
      </w:r>
      <w:r w:rsidR="00BE4822" w:rsidRPr="003E0592">
        <w:rPr>
          <w:rFonts w:ascii="Arial" w:hAnsi="Arial" w:cs="Arial"/>
        </w:rPr>
        <w:t>(Cooper et al., 1965)</w:t>
      </w:r>
      <w:r w:rsidR="00BE4822" w:rsidRPr="003E0592">
        <w:rPr>
          <w:rFonts w:ascii="Arial" w:hAnsi="Arial" w:cs="Arial"/>
          <w:color w:val="000000"/>
        </w:rPr>
        <w:fldChar w:fldCharType="end"/>
      </w:r>
      <w:r w:rsidR="00BE4822" w:rsidRPr="003E0592">
        <w:rPr>
          <w:rFonts w:ascii="Arial" w:hAnsi="Arial" w:cs="Arial"/>
          <w:color w:val="000000"/>
        </w:rPr>
        <w:t xml:space="preserve">. </w:t>
      </w:r>
    </w:p>
    <w:p w14:paraId="56493210" w14:textId="780D485C" w:rsidR="00505695" w:rsidRPr="003E0592" w:rsidRDefault="00505695" w:rsidP="00505695">
      <w:pPr>
        <w:spacing w:after="240" w:line="360" w:lineRule="auto"/>
        <w:jc w:val="both"/>
        <w:rPr>
          <w:rFonts w:ascii="Arial" w:hAnsi="Arial" w:cs="Arial"/>
        </w:rPr>
      </w:pPr>
      <w:r w:rsidRPr="003E0592">
        <w:rPr>
          <w:rFonts w:ascii="Arial" w:hAnsi="Arial" w:cs="Arial"/>
        </w:rPr>
        <w:t>Baier et al.</w:t>
      </w:r>
      <w:r w:rsidRPr="003E0592">
        <w:rPr>
          <w:rFonts w:ascii="Arial" w:hAnsi="Arial" w:cs="Arial"/>
          <w:color w:val="000000"/>
        </w:rPr>
        <w:t xml:space="preserve"> </w:t>
      </w:r>
      <w:r w:rsidR="00BE4822" w:rsidRPr="003E0592">
        <w:rPr>
          <w:rFonts w:ascii="Arial" w:hAnsi="Arial" w:cs="Arial"/>
          <w:color w:val="000000"/>
        </w:rPr>
        <w:fldChar w:fldCharType="begin"/>
      </w:r>
      <w:r w:rsidR="00A42206">
        <w:rPr>
          <w:rFonts w:ascii="Arial" w:hAnsi="Arial" w:cs="Arial"/>
          <w:color w:val="000000"/>
        </w:rPr>
        <w:instrText xml:space="preserve"> ADDIN ZOTERO_ITEM CSL_CITATION {"citationID":"yKFthjbT","properties":{"formattedCitation":"(Baier &amp; Bergstrand, 2004)","plainCitation":"(Baier &amp; Bergstrand, 2004)","dontUpdate":true,"noteIndex":0},"citationItems":[{"id":37,"uris":["http://zotero.org/users/10063313/items/VLFJQ38B"],"itemData":{"id":37,"type":"article-journal","container-title":"Journal of International Economics","language":"fr","page":"29-63","title":"Economic determinants of free trade agreements","author":[{"family":"Baier","given":"S"},{"family":"Bergstrand","given":"J"}],"issued":{"date-parts":[["2004"]]}}}],"schema":"https://github.com/citation-style-language/schema/raw/master/csl-citation.json"} </w:instrText>
      </w:r>
      <w:r w:rsidR="00BE4822" w:rsidRPr="003E0592">
        <w:rPr>
          <w:rFonts w:ascii="Arial" w:hAnsi="Arial" w:cs="Arial"/>
          <w:color w:val="000000"/>
        </w:rPr>
        <w:fldChar w:fldCharType="separate"/>
      </w:r>
      <w:r w:rsidR="00BE4822" w:rsidRPr="003E0592">
        <w:rPr>
          <w:rFonts w:ascii="Arial" w:hAnsi="Arial" w:cs="Arial"/>
        </w:rPr>
        <w:t>(2004)</w:t>
      </w:r>
      <w:r w:rsidR="00BE4822" w:rsidRPr="003E0592">
        <w:rPr>
          <w:rFonts w:ascii="Arial" w:hAnsi="Arial" w:cs="Arial"/>
          <w:color w:val="000000"/>
        </w:rPr>
        <w:fldChar w:fldCharType="end"/>
      </w:r>
      <w:r w:rsidR="00BE4822" w:rsidRPr="003E0592">
        <w:rPr>
          <w:rFonts w:ascii="Arial" w:hAnsi="Arial" w:cs="Arial"/>
          <w:color w:val="000000"/>
        </w:rPr>
        <w:t xml:space="preserve"> </w:t>
      </w:r>
      <w:r w:rsidRPr="003E0592">
        <w:rPr>
          <w:rFonts w:ascii="Arial" w:hAnsi="Arial" w:cs="Arial"/>
        </w:rPr>
        <w:t xml:space="preserve">demostró que la creación y firma de acuerdos comerciales entre dos países tiene como principal determinante la creación de más comercio, y que los países con un tamaño de mercado similar, dotaciones de factores parecidas y proximidad geográfica son más propensos a tener acuerdos establecidos. </w:t>
      </w:r>
    </w:p>
    <w:p w14:paraId="511262AF" w14:textId="295A95FD" w:rsidR="00505695" w:rsidRPr="003E0592" w:rsidRDefault="00505695" w:rsidP="00505695">
      <w:pPr>
        <w:spacing w:after="240" w:line="360" w:lineRule="auto"/>
        <w:jc w:val="both"/>
        <w:rPr>
          <w:rFonts w:ascii="Arial" w:hAnsi="Arial" w:cs="Arial"/>
          <w:lang w:val="es-HN"/>
        </w:rPr>
      </w:pPr>
      <w:r w:rsidRPr="003E0592">
        <w:rPr>
          <w:rFonts w:ascii="Arial" w:hAnsi="Arial" w:cs="Arial"/>
          <w:lang w:val="es-HN"/>
        </w:rPr>
        <w:lastRenderedPageBreak/>
        <w:t xml:space="preserve">En concordancia con ese hallazgo, </w:t>
      </w:r>
      <w:r w:rsidRPr="003E0592">
        <w:rPr>
          <w:rFonts w:ascii="Arial" w:hAnsi="Arial" w:cs="Arial"/>
          <w:color w:val="000000"/>
          <w:lang w:val="es-HN"/>
        </w:rPr>
        <w:t xml:space="preserve">Ajewole et al., </w:t>
      </w:r>
      <w:r w:rsidR="00BE4822" w:rsidRPr="003E0592">
        <w:rPr>
          <w:rFonts w:ascii="Arial" w:hAnsi="Arial" w:cs="Arial"/>
          <w:color w:val="000000"/>
          <w:lang w:val="es-HN"/>
        </w:rPr>
        <w:fldChar w:fldCharType="begin"/>
      </w:r>
      <w:r w:rsidR="00A42206">
        <w:rPr>
          <w:rFonts w:ascii="Arial" w:hAnsi="Arial" w:cs="Arial"/>
          <w:color w:val="000000"/>
          <w:lang w:val="es-HN"/>
        </w:rPr>
        <w:instrText xml:space="preserve"> ADDIN ZOTERO_ITEM CSL_CITATION {"citationID":"B9QHNYbP","properties":{"formattedCitation":"(Ajewole et\\uc0\\u160{}al., 2022)","plainCitation":"(Ajewole et al., 2022)","dontUpdate":true,"noteIndex":0},"citationItems":[{"id":63,"uris":["http://zotero.org/users/10063313/items/86BC6JSD"],"itemData":{"id":63,"type":"article-journal","container-title":"Economic Research Service","title":"Do Free Trade Agreements Benefit Developing Countries? An Examination of U.S. Agreements","author":[{"family":"Ajewole","given":"Kayode"},{"family":"Beckman","given":"Jayson"},{"family":"Gerval","given":"Adam"},{"family":"Johnson","given":"William"},{"family":"Morgan","given":"Stephen"},{"family":"Sabala","given":"Ethan"}],"issued":{"date-parts":[["2022",9]]}}}],"schema":"https://github.com/citation-style-language/schema/raw/master/csl-citation.json"} </w:instrText>
      </w:r>
      <w:r w:rsidR="00BE4822" w:rsidRPr="003E0592">
        <w:rPr>
          <w:rFonts w:ascii="Arial" w:hAnsi="Arial" w:cs="Arial"/>
          <w:color w:val="000000"/>
          <w:lang w:val="es-HN"/>
        </w:rPr>
        <w:fldChar w:fldCharType="separate"/>
      </w:r>
      <w:r w:rsidR="00BE4822" w:rsidRPr="003E0592">
        <w:rPr>
          <w:rFonts w:ascii="Arial" w:hAnsi="Arial" w:cs="Arial"/>
        </w:rPr>
        <w:t>(2022)</w:t>
      </w:r>
      <w:r w:rsidR="00BE4822" w:rsidRPr="003E0592">
        <w:rPr>
          <w:rFonts w:ascii="Arial" w:hAnsi="Arial" w:cs="Arial"/>
          <w:color w:val="000000"/>
          <w:lang w:val="es-HN"/>
        </w:rPr>
        <w:fldChar w:fldCharType="end"/>
      </w:r>
      <w:r w:rsidRPr="003E0592">
        <w:rPr>
          <w:rFonts w:ascii="Arial" w:hAnsi="Arial" w:cs="Arial"/>
          <w:lang w:val="es-HN"/>
        </w:rPr>
        <w:t xml:space="preserve"> explica que los tratados de libre comercio son comúnmente considerados favorables para un país en general; sin embargo, los beneficios de los TLC no siempre se reparten equitativamente a lo largo del país. En ese sentido, algunas industrias no pueden competir con las importaciones, lo que podría resultar en una disminución de la producción y la pérdida de empleos en ese país.</w:t>
      </w:r>
    </w:p>
    <w:p w14:paraId="4960B4D5" w14:textId="494B33E3" w:rsidR="00505695" w:rsidRPr="003E0592" w:rsidRDefault="00505695" w:rsidP="00505695">
      <w:pPr>
        <w:spacing w:after="240" w:line="360" w:lineRule="auto"/>
        <w:jc w:val="both"/>
        <w:rPr>
          <w:rFonts w:ascii="Arial" w:hAnsi="Arial" w:cs="Arial"/>
          <w:lang w:val="es-HN"/>
        </w:rPr>
      </w:pPr>
      <w:r w:rsidRPr="003E0592">
        <w:rPr>
          <w:rFonts w:ascii="Arial" w:hAnsi="Arial" w:cs="Arial"/>
          <w:lang w:val="es-HN"/>
        </w:rPr>
        <w:t>Hannan</w:t>
      </w:r>
      <w:r w:rsidR="00BE4822" w:rsidRPr="003E0592">
        <w:rPr>
          <w:rFonts w:ascii="Arial" w:hAnsi="Arial" w:cs="Arial"/>
          <w:lang w:val="es-HN"/>
        </w:rPr>
        <w:t xml:space="preserve"> </w:t>
      </w:r>
      <w:r w:rsidR="00BE4822" w:rsidRPr="003E0592">
        <w:rPr>
          <w:rFonts w:ascii="Arial" w:hAnsi="Arial" w:cs="Arial"/>
          <w:lang w:val="es-HN"/>
        </w:rPr>
        <w:fldChar w:fldCharType="begin"/>
      </w:r>
      <w:r w:rsidR="00A42206">
        <w:rPr>
          <w:rFonts w:ascii="Arial" w:hAnsi="Arial" w:cs="Arial"/>
          <w:lang w:val="es-HN"/>
        </w:rPr>
        <w:instrText xml:space="preserve"> ADDIN ZOTERO_ITEM CSL_CITATION {"citationID":"RnSjHIKv","properties":{"formattedCitation":"(Hannan, 2016)","plainCitation":"(Hannan, 2016)","dontUpdate":true,"noteIndex":0},"citationItems":[{"id":45,"uris":["http://zotero.org/users/10063313/items/ZFTUWVPS"],"itemData":{"id":45,"type":"document","language":"en","title":"The Impact of Trade Agreements: New Approach, New Insights","author":[{"family":"Hannan","given":"S A"}],"issued":{"date-parts":[["2016"]]}}}],"schema":"https://github.com/citation-style-language/schema/raw/master/csl-citation.json"} </w:instrText>
      </w:r>
      <w:r w:rsidR="00BE4822" w:rsidRPr="003E0592">
        <w:rPr>
          <w:rFonts w:ascii="Arial" w:hAnsi="Arial" w:cs="Arial"/>
          <w:lang w:val="es-HN"/>
        </w:rPr>
        <w:fldChar w:fldCharType="separate"/>
      </w:r>
      <w:r w:rsidR="00BE4822" w:rsidRPr="003E0592">
        <w:rPr>
          <w:rFonts w:ascii="Arial" w:hAnsi="Arial" w:cs="Arial"/>
        </w:rPr>
        <w:t>(2016)</w:t>
      </w:r>
      <w:r w:rsidR="00BE4822" w:rsidRPr="003E0592">
        <w:rPr>
          <w:rFonts w:ascii="Arial" w:hAnsi="Arial" w:cs="Arial"/>
          <w:lang w:val="es-HN"/>
        </w:rPr>
        <w:fldChar w:fldCharType="end"/>
      </w:r>
      <w:r w:rsidRPr="003E0592">
        <w:rPr>
          <w:rFonts w:ascii="Arial" w:hAnsi="Arial" w:cs="Arial"/>
          <w:lang w:val="es-HN"/>
        </w:rPr>
        <w:t xml:space="preserve"> por otro lado, encontró que, para las economías en desarrollo, las ganancias de tener un acuerdo comercial pueden ser mayores que para las economías desarrollas, estas últimas tienen como resultado ganancias menores que el promedio cuando exportan a economías emergentes.  </w:t>
      </w:r>
    </w:p>
    <w:p w14:paraId="1E062061" w14:textId="36A00057" w:rsidR="00505695" w:rsidRPr="003E0592" w:rsidRDefault="00505695" w:rsidP="00505695">
      <w:pPr>
        <w:spacing w:after="240" w:line="360" w:lineRule="auto"/>
        <w:jc w:val="both"/>
        <w:rPr>
          <w:rFonts w:ascii="Arial" w:hAnsi="Arial" w:cs="Arial"/>
        </w:rPr>
      </w:pPr>
      <w:r w:rsidRPr="003E0592">
        <w:rPr>
          <w:rFonts w:ascii="Arial" w:hAnsi="Arial" w:cs="Arial"/>
        </w:rPr>
        <w:t>La proliferación de acuerdos comerciales ha sido exponencial en los últimos años, especialmente a partir de la década de los noventa</w:t>
      </w:r>
      <w:r w:rsidR="00BE4822" w:rsidRPr="003E0592">
        <w:rPr>
          <w:rFonts w:ascii="Arial" w:hAnsi="Arial" w:cs="Arial"/>
        </w:rPr>
        <w:t xml:space="preserve"> </w:t>
      </w:r>
      <w:r w:rsidR="00BE4822" w:rsidRPr="003E0592">
        <w:rPr>
          <w:rFonts w:ascii="Arial" w:hAnsi="Arial" w:cs="Arial"/>
        </w:rPr>
        <w:fldChar w:fldCharType="begin"/>
      </w:r>
      <w:r w:rsidR="00A42206">
        <w:rPr>
          <w:rFonts w:ascii="Arial" w:hAnsi="Arial" w:cs="Arial"/>
        </w:rPr>
        <w:instrText xml:space="preserve"> ADDIN ZOTERO_ITEM CSL_CITATION {"citationID":"9jFQUCyD","properties":{"formattedCitation":"(Peritz, 2015)","plainCitation":"(Peritz, 2015)","noteIndex":0},"citationItems":[{"id":49,"uris":["http://zotero.org/users/10063313/items/XXL5DAQF"],"itemData":{"id":49,"type":"book","language":"en","publisher":"Los Angeles","title":"Preferential Trade Agreement Networks: Proliferation and Impact","author":[{"family":"Peritz","given":"L J"}],"issued":{"date-parts":[["2015"]]}}}],"schema":"https://github.com/citation-style-language/schema/raw/master/csl-citation.json"} </w:instrText>
      </w:r>
      <w:r w:rsidR="00BE4822" w:rsidRPr="003E0592">
        <w:rPr>
          <w:rFonts w:ascii="Arial" w:hAnsi="Arial" w:cs="Arial"/>
        </w:rPr>
        <w:fldChar w:fldCharType="separate"/>
      </w:r>
      <w:r w:rsidR="00BE4822" w:rsidRPr="003E0592">
        <w:rPr>
          <w:rFonts w:ascii="Arial" w:hAnsi="Arial" w:cs="Arial"/>
        </w:rPr>
        <w:t>(Peritz, 2015)</w:t>
      </w:r>
      <w:r w:rsidR="00BE4822" w:rsidRPr="003E0592">
        <w:rPr>
          <w:rFonts w:ascii="Arial" w:hAnsi="Arial" w:cs="Arial"/>
        </w:rPr>
        <w:fldChar w:fldCharType="end"/>
      </w:r>
      <w:r w:rsidR="00BE4822" w:rsidRPr="003E0592">
        <w:rPr>
          <w:rFonts w:ascii="Arial" w:hAnsi="Arial" w:cs="Arial"/>
        </w:rPr>
        <w:t xml:space="preserve"> </w:t>
      </w:r>
      <w:r w:rsidRPr="003E0592">
        <w:rPr>
          <w:rFonts w:ascii="Arial" w:hAnsi="Arial" w:cs="Arial"/>
        </w:rPr>
        <w:t xml:space="preserve">esto ha ocasionado la existencia de una compleja red de tratados que inevitablemente se superponen en sus obligaciones. </w:t>
      </w:r>
    </w:p>
    <w:p w14:paraId="51211384" w14:textId="77D3928C" w:rsidR="00505695" w:rsidRPr="003E0592" w:rsidRDefault="00505695">
      <w:pPr>
        <w:pStyle w:val="Ttulo4"/>
        <w:numPr>
          <w:ilvl w:val="2"/>
          <w:numId w:val="20"/>
        </w:numPr>
        <w:spacing w:line="360" w:lineRule="auto"/>
        <w:rPr>
          <w:rFonts w:ascii="Arial" w:hAnsi="Arial" w:cs="Arial"/>
          <w:color w:val="auto"/>
          <w:lang w:val="es-HN"/>
        </w:rPr>
      </w:pPr>
      <w:r w:rsidRPr="003E0592">
        <w:rPr>
          <w:rFonts w:ascii="Arial" w:hAnsi="Arial" w:cs="Arial"/>
          <w:color w:val="auto"/>
          <w:lang w:val="es-HN"/>
        </w:rPr>
        <w:t>Barreras arancelarias y no arancelarias</w:t>
      </w:r>
    </w:p>
    <w:p w14:paraId="7CF68CAF" w14:textId="77777777" w:rsidR="00505695" w:rsidRPr="003E0592" w:rsidRDefault="00505695" w:rsidP="00505695">
      <w:pPr>
        <w:spacing w:line="360" w:lineRule="auto"/>
        <w:rPr>
          <w:rFonts w:ascii="Arial" w:hAnsi="Arial" w:cs="Arial"/>
          <w:lang w:val="es-HN"/>
        </w:rPr>
      </w:pPr>
    </w:p>
    <w:p w14:paraId="19801EB2" w14:textId="5020DF41" w:rsidR="00505695" w:rsidRPr="003E0592" w:rsidRDefault="00505695" w:rsidP="00505695">
      <w:pPr>
        <w:spacing w:line="360" w:lineRule="auto"/>
        <w:jc w:val="both"/>
        <w:rPr>
          <w:rFonts w:ascii="Arial" w:hAnsi="Arial" w:cs="Arial"/>
          <w:noProof/>
          <w:lang w:val="es-HN"/>
        </w:rPr>
      </w:pPr>
      <w:r w:rsidRPr="003E0592">
        <w:rPr>
          <w:rFonts w:ascii="Arial" w:hAnsi="Arial" w:cs="Arial"/>
          <w:lang w:val="es-HN"/>
        </w:rPr>
        <w:t xml:space="preserve">Los aranceles </w:t>
      </w:r>
      <w:r w:rsidR="000B21E9">
        <w:rPr>
          <w:rFonts w:ascii="Arial" w:hAnsi="Arial" w:cs="Arial"/>
          <w:lang w:val="es-HN"/>
        </w:rPr>
        <w:t>son</w:t>
      </w:r>
      <w:r w:rsidRPr="003E0592">
        <w:rPr>
          <w:rFonts w:ascii="Arial" w:hAnsi="Arial" w:cs="Arial"/>
          <w:lang w:val="es-HN"/>
        </w:rPr>
        <w:t xml:space="preserve"> instrumentos utilizados en materia de política comercial de los países, el arancel significa “un impuesto a la importación de un bien” según Krugman </w:t>
      </w:r>
      <w:r w:rsidRPr="003E0592">
        <w:rPr>
          <w:rFonts w:ascii="Arial" w:hAnsi="Arial" w:cs="Arial"/>
          <w:noProof/>
          <w:lang w:val="es-HN"/>
        </w:rPr>
        <w:t>(2012, p.206)</w:t>
      </w:r>
      <w:r w:rsidRPr="003E0592">
        <w:rPr>
          <w:rFonts w:ascii="Arial" w:hAnsi="Arial" w:cs="Arial"/>
          <w:lang w:val="es-HN"/>
        </w:rPr>
        <w:t xml:space="preserve">.  Este impuesto es ampliamente utilizado para manejar la cantidad de los bienes importados y su precio, usualmente, con el arancel se logra el aumento del precio del producto que se importa, lo cual tiene diferentes efectos sobre los productores nacionales, extranjeros, los consumidores y el Estado. El arancel constituye el mayor obstáculo del comercio internacional en muchos escenarios, sobre todo unas décadas atrás, cuando no se poseía la misma cantidad de tratados de libre comercio que existen en la actualidad, ahora los obstáculos más importantes y de mayor peso se encuentran en las llamadas barreras no arancelarias, estas pueden incluir estrategias como las cuotas de importación o las restricciones a la exportación, ambas enfocadas en limitar la cantidad de bienes </w:t>
      </w:r>
      <w:r w:rsidR="008C0F8C" w:rsidRPr="003E0592">
        <w:rPr>
          <w:rFonts w:ascii="Arial" w:hAnsi="Arial" w:cs="Arial"/>
          <w:lang w:val="es-HN"/>
        </w:rPr>
        <w:fldChar w:fldCharType="begin"/>
      </w:r>
      <w:r w:rsidR="00FA3C64">
        <w:rPr>
          <w:rFonts w:ascii="Arial" w:hAnsi="Arial" w:cs="Arial"/>
          <w:lang w:val="es-HN"/>
        </w:rPr>
        <w:instrText xml:space="preserve"> ADDIN ZOTERO_ITEM CSL_CITATION {"citationID":"7ejSsRk5","properties":{"formattedCitation":"(Krugman et\\uc0\\u160{}al., 2012)","plainCitation":"(Krugman et al., 2012)","noteIndex":0},"citationItems":[{"id":46,"uris":["http://zotero.org/users/10063313/items/E4CLKKRH"],"itemData":{"id":46,"type":"book","language":"es","publisher":"Pearson Educación","publisher-place":"Madrid","title":"Economía Internacional: teoría y política","author":[{"family":"Krugman","given":"P"},{"family":"Obstfeld","given":"M"},{"family":"Melitz","given":"M"}],"issued":{"date-parts":[["2012"]]}}}],"schema":"https://github.com/citation-style-language/schema/raw/master/csl-citation.json"} </w:instrText>
      </w:r>
      <w:r w:rsidR="008C0F8C" w:rsidRPr="003E0592">
        <w:rPr>
          <w:rFonts w:ascii="Arial" w:hAnsi="Arial" w:cs="Arial"/>
          <w:lang w:val="es-HN"/>
        </w:rPr>
        <w:fldChar w:fldCharType="separate"/>
      </w:r>
      <w:r w:rsidR="008C0F8C" w:rsidRPr="003E0592">
        <w:rPr>
          <w:rFonts w:ascii="Arial" w:hAnsi="Arial" w:cs="Arial"/>
        </w:rPr>
        <w:t>(Krugman et al., 2012)</w:t>
      </w:r>
      <w:r w:rsidR="008C0F8C" w:rsidRPr="003E0592">
        <w:rPr>
          <w:rFonts w:ascii="Arial" w:hAnsi="Arial" w:cs="Arial"/>
          <w:lang w:val="es-HN"/>
        </w:rPr>
        <w:fldChar w:fldCharType="end"/>
      </w:r>
      <w:r w:rsidR="008C0F8C" w:rsidRPr="003E0592">
        <w:rPr>
          <w:rFonts w:ascii="Arial" w:hAnsi="Arial" w:cs="Arial"/>
          <w:noProof/>
          <w:lang w:val="es-HN"/>
        </w:rPr>
        <w:t xml:space="preserve">. </w:t>
      </w:r>
      <w:r w:rsidRPr="003E0592">
        <w:rPr>
          <w:rFonts w:ascii="Arial" w:hAnsi="Arial" w:cs="Arial"/>
          <w:noProof/>
          <w:lang w:val="es-HN"/>
        </w:rPr>
        <w:t>Entre otras barreras de carácter no arancelario existen los procedimientos aduaneros, regulaciones sanitarias, restricciones voluntarias a las exportaciones e incluso subsidios por parte del gobierno</w:t>
      </w:r>
      <w:r w:rsidR="008C0F8C" w:rsidRPr="003E0592">
        <w:rPr>
          <w:rFonts w:ascii="Arial" w:hAnsi="Arial" w:cs="Arial"/>
          <w:noProof/>
          <w:lang w:val="es-HN"/>
        </w:rPr>
        <w:t xml:space="preserve"> </w:t>
      </w:r>
      <w:r w:rsidR="008C0F8C" w:rsidRPr="003E0592">
        <w:rPr>
          <w:rFonts w:ascii="Arial" w:hAnsi="Arial" w:cs="Arial"/>
          <w:noProof/>
          <w:lang w:val="es-HN"/>
        </w:rPr>
        <w:fldChar w:fldCharType="begin"/>
      </w:r>
      <w:r w:rsidR="00A42206">
        <w:rPr>
          <w:rFonts w:ascii="Arial" w:hAnsi="Arial" w:cs="Arial"/>
          <w:noProof/>
          <w:lang w:val="es-HN"/>
        </w:rPr>
        <w:instrText xml:space="preserve"> ADDIN ZOTERO_ITEM CSL_CITATION {"citationID":"FIChO7Oh","properties":{"formattedCitation":"(Blanco &amp; Naya, 2004)","plainCitation":"(Blanco &amp; Naya, 2004)","noteIndex":0},"citationItems":[{"id":56,"uris":["http://zotero.org/users/10063313/items/5QKLIPST"],"itemData":{"id":56,"type":"article-journal","container-title":"Economía Internacional: Nuevas Aportaciones","title":"Integración económica, barreras no arancelarias y bienestar social","author":[{"family":"Blanco","given":"Aitor Calo"},{"family":"Naya","given":"José Méndez"}],"issued":{"date-parts":[["2004"]]}}}],"schema":"https://github.com/citation-style-language/schema/raw/master/csl-citation.json"} </w:instrText>
      </w:r>
      <w:r w:rsidR="008C0F8C" w:rsidRPr="003E0592">
        <w:rPr>
          <w:rFonts w:ascii="Arial" w:hAnsi="Arial" w:cs="Arial"/>
          <w:noProof/>
          <w:lang w:val="es-HN"/>
        </w:rPr>
        <w:fldChar w:fldCharType="separate"/>
      </w:r>
      <w:r w:rsidR="008B5C11" w:rsidRPr="008B5C11">
        <w:rPr>
          <w:rFonts w:ascii="Arial" w:hAnsi="Arial" w:cs="Arial"/>
        </w:rPr>
        <w:t>(Blanco &amp; Naya, 2004)</w:t>
      </w:r>
      <w:r w:rsidR="008C0F8C" w:rsidRPr="003E0592">
        <w:rPr>
          <w:rFonts w:ascii="Arial" w:hAnsi="Arial" w:cs="Arial"/>
          <w:noProof/>
          <w:lang w:val="es-HN"/>
        </w:rPr>
        <w:fldChar w:fldCharType="end"/>
      </w:r>
      <w:r w:rsidR="008C0F8C" w:rsidRPr="003E0592">
        <w:rPr>
          <w:rFonts w:ascii="Arial" w:hAnsi="Arial" w:cs="Arial"/>
          <w:noProof/>
          <w:lang w:val="es-HN"/>
        </w:rPr>
        <w:t xml:space="preserve">. </w:t>
      </w:r>
      <w:r w:rsidRPr="003E0592">
        <w:rPr>
          <w:rFonts w:ascii="Arial" w:hAnsi="Arial" w:cs="Arial"/>
          <w:noProof/>
          <w:lang w:val="es-HN"/>
        </w:rPr>
        <w:t xml:space="preserve"> </w:t>
      </w:r>
    </w:p>
    <w:p w14:paraId="7DD8DC03" w14:textId="4F27CDB2" w:rsidR="00FA3C64" w:rsidRDefault="00505695" w:rsidP="00505695">
      <w:pPr>
        <w:spacing w:line="360" w:lineRule="auto"/>
        <w:jc w:val="both"/>
        <w:rPr>
          <w:rFonts w:ascii="Arial" w:hAnsi="Arial" w:cs="Arial"/>
          <w:noProof/>
          <w:lang w:val="es-HN"/>
        </w:rPr>
      </w:pPr>
      <w:r w:rsidRPr="003E0592">
        <w:rPr>
          <w:rFonts w:ascii="Arial" w:hAnsi="Arial" w:cs="Arial"/>
          <w:noProof/>
          <w:lang w:val="es-HN"/>
        </w:rPr>
        <w:lastRenderedPageBreak/>
        <w:t xml:space="preserve">Para países con tantas diferencias culturales como China y Honduras, las barreras no arancelarias deben recibir especial atención en la negociación de un TLC, ya que </w:t>
      </w:r>
      <w:r w:rsidR="000B21E9" w:rsidRPr="000B21E9">
        <w:rPr>
          <w:rFonts w:ascii="Arial" w:hAnsi="Arial" w:cs="Arial"/>
          <w:noProof/>
          <w:lang w:val="es-HN"/>
        </w:rPr>
        <w:t>diferencias en la especificación de los productos o en los requisitos sanitarios pueden constituir obstáculos significativos para el intercambio comercial.</w:t>
      </w:r>
    </w:p>
    <w:p w14:paraId="545A2E1E" w14:textId="77777777" w:rsidR="000B21E9" w:rsidRDefault="000B21E9" w:rsidP="00505695">
      <w:pPr>
        <w:spacing w:line="360" w:lineRule="auto"/>
        <w:jc w:val="both"/>
        <w:rPr>
          <w:rFonts w:ascii="Arial" w:hAnsi="Arial" w:cs="Arial"/>
          <w:noProof/>
          <w:lang w:val="es-HN"/>
        </w:rPr>
      </w:pPr>
    </w:p>
    <w:p w14:paraId="6554277E" w14:textId="3DF2622E" w:rsidR="00FA3C64" w:rsidRDefault="00FA3C64" w:rsidP="00FA3C64">
      <w:pPr>
        <w:spacing w:line="360" w:lineRule="auto"/>
        <w:jc w:val="both"/>
        <w:rPr>
          <w:rFonts w:ascii="Arial" w:hAnsi="Arial" w:cs="Arial"/>
          <w:noProof/>
          <w:lang w:val="es-HN"/>
        </w:rPr>
      </w:pPr>
      <w:r w:rsidRPr="00FA3C64">
        <w:rPr>
          <w:rFonts w:ascii="Arial" w:hAnsi="Arial" w:cs="Arial"/>
          <w:noProof/>
          <w:lang w:val="es-HN"/>
        </w:rPr>
        <w:t xml:space="preserve">En el caso específico del mercado chino, las barreras no arancelarias adquieren una dimensión particular dada la complejidad del sistema regulatorio de ese país. El acceso de productos agropecuarios a China está condicionado por la obtención de registros sanitarios ante la Administración General de Aduanas de China (GACC), el cumplimiento de protocolos fitosanitarios bilaterales y la acreditación de plantas procesadoras, procesos que pueden extenderse por varios años y que han representado obstáculos concretos para países latinoamericanos con TLC vigente, como Costa Rica y Perú </w:t>
      </w:r>
      <w:r>
        <w:rPr>
          <w:rFonts w:ascii="Arial" w:hAnsi="Arial" w:cs="Arial"/>
          <w:noProof/>
          <w:lang w:val="es-HN"/>
        </w:rPr>
        <w:fldChar w:fldCharType="begin"/>
      </w:r>
      <w:r w:rsidR="00E85E78">
        <w:rPr>
          <w:rFonts w:ascii="Arial" w:hAnsi="Arial" w:cs="Arial"/>
          <w:noProof/>
          <w:lang w:val="es-HN"/>
        </w:rPr>
        <w:instrText xml:space="preserve"> ADDIN ZOTERO_ITEM CSL_CITATION {"citationID":"8du4VnBw","properties":{"unsorted":false,"formattedCitation":"(Divisi\\uc0\\u243{}n de Comercio Internacional e Integraci\\uc0\\u243{}n de la Comisi\\uc0\\u243{}n Econ\\uc0\\u243{}mica para Am\\uc0\\u233{}rica Latina y el Caribe (CEPAL), 2023)","plainCitation":"(División de Comercio Internacional e Integración de la Comisión Económica para América Latina y el Caribe (CEPAL), 2023)","dontUpdate":true,"noteIndex":0},"citationItems":[{"id":1923,"uris":["http://zotero.org/users/10063313/items/Y7RFKDK9"],"itemData":{"id":1923,"type":"article-journal","language":"es","source":"Zotero","title":"Perspectivas del Comercio Internacional de América Latina y el Caribe, 2023","author":[{"literal":"División de Comercio Internacional e Integración de la Comisión Económica para América Latina y el Caribe (CEPAL)"}],"issued":{"date-parts":[["2023"]]}}}],"schema":"https://github.com/citation-style-language/schema/raw/master/csl-citation.json"} </w:instrText>
      </w:r>
      <w:r>
        <w:rPr>
          <w:rFonts w:ascii="Arial" w:hAnsi="Arial" w:cs="Arial"/>
          <w:noProof/>
          <w:lang w:val="es-HN"/>
        </w:rPr>
        <w:fldChar w:fldCharType="separate"/>
      </w:r>
      <w:r>
        <w:rPr>
          <w:rFonts w:ascii="Arial" w:eastAsiaTheme="minorHAnsi" w:hAnsi="Arial" w:cs="Arial"/>
          <w:lang w:val="es-MX" w:eastAsia="en-US"/>
          <w14:ligatures w14:val="standardContextual"/>
        </w:rPr>
        <w:t>(</w:t>
      </w:r>
      <w:r w:rsidRPr="00FA3C64">
        <w:rPr>
          <w:rFonts w:ascii="Arial" w:eastAsiaTheme="minorHAnsi" w:hAnsi="Arial" w:cs="Arial"/>
          <w:lang w:val="es-MX" w:eastAsia="en-US"/>
          <w14:ligatures w14:val="standardContextual"/>
        </w:rPr>
        <w:t>CEPAL, 2023)</w:t>
      </w:r>
      <w:r>
        <w:rPr>
          <w:rFonts w:ascii="Arial" w:hAnsi="Arial" w:cs="Arial"/>
          <w:noProof/>
          <w:lang w:val="es-HN"/>
        </w:rPr>
        <w:fldChar w:fldCharType="end"/>
      </w:r>
      <w:r w:rsidR="004549FC">
        <w:rPr>
          <w:rFonts w:ascii="Arial" w:hAnsi="Arial" w:cs="Arial"/>
          <w:noProof/>
          <w:lang w:val="es-HN"/>
        </w:rPr>
        <w:t xml:space="preserve">. </w:t>
      </w:r>
      <w:r w:rsidRPr="00FA3C64">
        <w:rPr>
          <w:rFonts w:ascii="Arial" w:hAnsi="Arial" w:cs="Arial"/>
          <w:noProof/>
          <w:lang w:val="es-HN"/>
        </w:rPr>
        <w:t>Esto implica que la reducción arancelaria pactada en un TLC no garantiza por sí sola el acceso efectivo al mercado chino.</w:t>
      </w:r>
    </w:p>
    <w:p w14:paraId="79C3A8C0" w14:textId="77777777" w:rsidR="00FA3C64" w:rsidRPr="00FA3C64" w:rsidRDefault="00FA3C64" w:rsidP="00FA3C64">
      <w:pPr>
        <w:spacing w:line="360" w:lineRule="auto"/>
        <w:jc w:val="both"/>
        <w:rPr>
          <w:rFonts w:ascii="Arial" w:hAnsi="Arial" w:cs="Arial"/>
          <w:noProof/>
          <w:lang w:val="es-HN"/>
        </w:rPr>
      </w:pPr>
    </w:p>
    <w:p w14:paraId="71C88410" w14:textId="687BFD50" w:rsidR="003505D6" w:rsidRDefault="00FA3C64" w:rsidP="00FA3C64">
      <w:pPr>
        <w:spacing w:line="360" w:lineRule="auto"/>
        <w:jc w:val="both"/>
        <w:rPr>
          <w:rFonts w:ascii="Arial" w:hAnsi="Arial" w:cs="Arial"/>
          <w:noProof/>
          <w:lang w:val="es-HN"/>
        </w:rPr>
      </w:pPr>
      <w:r w:rsidRPr="00FA3C64">
        <w:rPr>
          <w:rFonts w:ascii="Arial" w:hAnsi="Arial" w:cs="Arial"/>
          <w:noProof/>
          <w:lang w:val="es-HN"/>
        </w:rPr>
        <w:t>A lo anterior se suman exigencias en materia de trazabilidad, etiquetado, normas técnicas y estándares de calidad que varían según el producto y que requieren capacidad institucional y privada para ser atendidas. Para Honduras, cuyos principales productos de exportación potencial hacia China incluyen café, camarón, banano y carne bovina, el cumplimiento de estos requisitos representa uno de los desafíos más inmediatos y concretos de cara a la implementación del TLC, independientemente de las condiciones arancelarias que se negocien.</w:t>
      </w:r>
    </w:p>
    <w:p w14:paraId="50B389D9" w14:textId="190DE473" w:rsidR="00505695" w:rsidRPr="003E0592" w:rsidRDefault="00505695" w:rsidP="00505695">
      <w:pPr>
        <w:spacing w:line="360" w:lineRule="auto"/>
        <w:rPr>
          <w:rFonts w:ascii="Arial" w:hAnsi="Arial" w:cs="Arial"/>
          <w:lang w:val="es-HN"/>
        </w:rPr>
      </w:pPr>
    </w:p>
    <w:p w14:paraId="12BC3C67" w14:textId="77777777" w:rsidR="00505695" w:rsidRPr="003E0592" w:rsidRDefault="00505695">
      <w:pPr>
        <w:pStyle w:val="Ttulo4"/>
        <w:numPr>
          <w:ilvl w:val="3"/>
          <w:numId w:val="20"/>
        </w:numPr>
        <w:spacing w:line="360" w:lineRule="auto"/>
        <w:rPr>
          <w:rFonts w:ascii="Arial" w:hAnsi="Arial" w:cs="Arial"/>
          <w:color w:val="auto"/>
        </w:rPr>
      </w:pPr>
      <w:r w:rsidRPr="003E0592">
        <w:rPr>
          <w:rFonts w:ascii="Arial" w:hAnsi="Arial" w:cs="Arial"/>
          <w:color w:val="auto"/>
        </w:rPr>
        <w:t>Potenciales impactos de un Tratado de Libre Comercio</w:t>
      </w:r>
    </w:p>
    <w:p w14:paraId="5A65E47A" w14:textId="77777777" w:rsidR="00505695" w:rsidRPr="003E0592" w:rsidRDefault="00505695" w:rsidP="00505695">
      <w:pPr>
        <w:spacing w:line="360" w:lineRule="auto"/>
        <w:rPr>
          <w:rFonts w:ascii="Arial" w:hAnsi="Arial" w:cs="Arial"/>
        </w:rPr>
      </w:pPr>
    </w:p>
    <w:p w14:paraId="11FB0AD8" w14:textId="6AABDB45" w:rsidR="00505695" w:rsidRPr="003E0592" w:rsidRDefault="00505695" w:rsidP="00505695">
      <w:pPr>
        <w:spacing w:after="240" w:line="360" w:lineRule="auto"/>
        <w:jc w:val="both"/>
        <w:rPr>
          <w:rFonts w:ascii="Arial" w:hAnsi="Arial" w:cs="Arial"/>
        </w:rPr>
      </w:pPr>
      <w:r w:rsidRPr="003E0592">
        <w:rPr>
          <w:rFonts w:ascii="Arial" w:hAnsi="Arial" w:cs="Arial"/>
        </w:rPr>
        <w:t xml:space="preserve">Entender el impacto y los efectos de un Tratado de Libre Comercio antes y después de su firma constituye un importante aspecto de su negociación. Precisamente, para entender los impactos de un acuerdo, se ha dividido en evaluaciones ex post (se utilizan datos históricos) y evaluaciones ex ante (es basado en proyecciones) </w:t>
      </w:r>
      <w:r w:rsidR="008C0F8C" w:rsidRPr="003E0592">
        <w:rPr>
          <w:rFonts w:ascii="Arial" w:hAnsi="Arial" w:cs="Arial"/>
        </w:rPr>
        <w:fldChar w:fldCharType="begin"/>
      </w:r>
      <w:r w:rsidR="00A42206">
        <w:rPr>
          <w:rFonts w:ascii="Arial" w:hAnsi="Arial" w:cs="Arial"/>
        </w:rPr>
        <w:instrText xml:space="preserve"> ADDIN ZOTERO_ITEM CSL_CITATION {"citationID":"xT6dsZAi","properties":{"formattedCitation":"(Hannan, 2016)","plainCitation":"(Hannan, 2016)","noteIndex":0},"citationItems":[{"id":45,"uris":["http://zotero.org/users/10063313/items/ZFTUWVPS"],"itemData":{"id":45,"type":"document","language":"en","title":"The Impact of Trade Agreements: New Approach, New Insights","author":[{"family":"Hannan","given":"S A"}],"issued":{"date-parts":[["2016"]]}}}],"schema":"https://github.com/citation-style-language/schema/raw/master/csl-citation.json"} </w:instrText>
      </w:r>
      <w:r w:rsidR="008C0F8C" w:rsidRPr="003E0592">
        <w:rPr>
          <w:rFonts w:ascii="Arial" w:hAnsi="Arial" w:cs="Arial"/>
        </w:rPr>
        <w:fldChar w:fldCharType="separate"/>
      </w:r>
      <w:r w:rsidR="008C0F8C" w:rsidRPr="003E0592">
        <w:rPr>
          <w:rFonts w:ascii="Arial" w:hAnsi="Arial" w:cs="Arial"/>
        </w:rPr>
        <w:t>(Hannan, 2016)</w:t>
      </w:r>
      <w:r w:rsidR="008C0F8C" w:rsidRPr="003E0592">
        <w:rPr>
          <w:rFonts w:ascii="Arial" w:hAnsi="Arial" w:cs="Arial"/>
        </w:rPr>
        <w:fldChar w:fldCharType="end"/>
      </w:r>
      <w:r w:rsidR="008C0F8C" w:rsidRPr="003E0592">
        <w:rPr>
          <w:rFonts w:ascii="Arial" w:hAnsi="Arial" w:cs="Arial"/>
        </w:rPr>
        <w:t>.</w:t>
      </w:r>
    </w:p>
    <w:p w14:paraId="50DE1504" w14:textId="77777777" w:rsidR="00580BA9" w:rsidRDefault="00580BA9" w:rsidP="00505695">
      <w:pPr>
        <w:spacing w:after="240" w:line="360" w:lineRule="auto"/>
        <w:jc w:val="both"/>
        <w:rPr>
          <w:rFonts w:ascii="Arial" w:hAnsi="Arial" w:cs="Arial"/>
          <w:i/>
          <w:iCs/>
        </w:rPr>
      </w:pPr>
    </w:p>
    <w:p w14:paraId="66DBB0DF" w14:textId="0DAD6A92" w:rsidR="00505695" w:rsidRPr="003E0592" w:rsidRDefault="00505695" w:rsidP="00505695">
      <w:pPr>
        <w:spacing w:after="240" w:line="360" w:lineRule="auto"/>
        <w:jc w:val="both"/>
        <w:rPr>
          <w:rFonts w:ascii="Arial" w:hAnsi="Arial" w:cs="Arial"/>
          <w:i/>
          <w:iCs/>
        </w:rPr>
      </w:pPr>
      <w:r w:rsidRPr="003E0592">
        <w:rPr>
          <w:rFonts w:ascii="Arial" w:hAnsi="Arial" w:cs="Arial"/>
          <w:i/>
          <w:iCs/>
        </w:rPr>
        <w:lastRenderedPageBreak/>
        <w:t xml:space="preserve">Evaluaciones ex ante: </w:t>
      </w:r>
    </w:p>
    <w:p w14:paraId="151D41E4" w14:textId="29AF8641" w:rsidR="00505695" w:rsidRPr="003E0592" w:rsidRDefault="00505695" w:rsidP="00505695">
      <w:pPr>
        <w:spacing w:after="240" w:line="360" w:lineRule="auto"/>
        <w:jc w:val="both"/>
        <w:rPr>
          <w:rFonts w:ascii="Arial" w:hAnsi="Arial" w:cs="Arial"/>
        </w:rPr>
      </w:pPr>
      <w:r w:rsidRPr="003E0592">
        <w:rPr>
          <w:rFonts w:ascii="Arial" w:hAnsi="Arial" w:cs="Arial"/>
        </w:rPr>
        <w:t>La evaluación previa a la puesta en marcha de un acuerdo comercial, generalmente llamada ex ante consiste en analizar cambios en una serie de variables económicas ante un cambio de política, la metodología más utilizada para este tipo de evaluaciones es el equilibrio general computable (EGC), esta sin embargo requiere de grandes cantidades de datos y de tiempo</w:t>
      </w:r>
      <w:r w:rsidR="008C0F8C" w:rsidRPr="003E0592">
        <w:rPr>
          <w:rFonts w:ascii="Arial" w:hAnsi="Arial" w:cs="Arial"/>
        </w:rPr>
        <w:t xml:space="preserve"> </w:t>
      </w:r>
      <w:r w:rsidR="008C0F8C" w:rsidRPr="003E0592">
        <w:rPr>
          <w:rFonts w:ascii="Arial" w:hAnsi="Arial" w:cs="Arial"/>
        </w:rPr>
        <w:fldChar w:fldCharType="begin"/>
      </w:r>
      <w:r w:rsidR="00A42206">
        <w:rPr>
          <w:rFonts w:ascii="Arial" w:hAnsi="Arial" w:cs="Arial"/>
        </w:rPr>
        <w:instrText xml:space="preserve"> ADDIN ZOTERO_ITEM CSL_CITATION {"citationID":"IGp5ozat","properties":{"formattedCitation":"(Bacchetta et\\uc0\\u160{}al., 2012)","plainCitation":"(Bacchetta et al., 2012)","noteIndex":0},"citationItems":[{"id":76,"uris":["http://zotero.org/users/10063313/items/LUNWZVA8"],"itemData":{"id":76,"type":"report","publisher":"World Trade Organization (WTO)","title":"A Practical Guide to Trade Policy Analysis","URL":"http://vi.unctad.org/tpa","author":[{"family":"Bacchetta","given":"Marc"},{"family":"Beverelli","given":"Cosimo"},{"family":"Cadot","given":"Olivier"},{"family":"Fugazza","given":"Marco"},{"family":"Grether","given":"Jean-Marie"},{"family":"Helble","given":"Matthias"},{"family":"Nicita","given":"Alessandro"},{"family":"Piermartini","given":"Roberta"}],"accessed":{"date-parts":[["2023",7,9]]},"issued":{"date-parts":[["2012"]]}}}],"schema":"https://github.com/citation-style-language/schema/raw/master/csl-citation.json"} </w:instrText>
      </w:r>
      <w:r w:rsidR="008C0F8C" w:rsidRPr="003E0592">
        <w:rPr>
          <w:rFonts w:ascii="Arial" w:hAnsi="Arial" w:cs="Arial"/>
        </w:rPr>
        <w:fldChar w:fldCharType="separate"/>
      </w:r>
      <w:r w:rsidR="008C0F8C" w:rsidRPr="003E0592">
        <w:rPr>
          <w:rFonts w:ascii="Arial" w:hAnsi="Arial" w:cs="Arial"/>
        </w:rPr>
        <w:t>(Bacchetta et al., 2012)</w:t>
      </w:r>
      <w:r w:rsidR="008C0F8C" w:rsidRPr="003E0592">
        <w:rPr>
          <w:rFonts w:ascii="Arial" w:hAnsi="Arial" w:cs="Arial"/>
        </w:rPr>
        <w:fldChar w:fldCharType="end"/>
      </w:r>
      <w:r w:rsidR="008C0F8C" w:rsidRPr="003E0592">
        <w:rPr>
          <w:rFonts w:ascii="Arial" w:hAnsi="Arial" w:cs="Arial"/>
        </w:rPr>
        <w:t xml:space="preserve">. </w:t>
      </w:r>
    </w:p>
    <w:p w14:paraId="1E758A5E" w14:textId="77777777" w:rsidR="00505695" w:rsidRPr="003E0592" w:rsidRDefault="00505695" w:rsidP="00505695">
      <w:pPr>
        <w:spacing w:after="240" w:line="360" w:lineRule="auto"/>
        <w:jc w:val="both"/>
        <w:rPr>
          <w:rFonts w:ascii="Arial" w:hAnsi="Arial" w:cs="Arial"/>
        </w:rPr>
      </w:pPr>
      <w:r w:rsidRPr="003E0592">
        <w:rPr>
          <w:rFonts w:ascii="Arial" w:hAnsi="Arial" w:cs="Arial"/>
        </w:rPr>
        <w:t>Entre las metodologías de evaluación ex ante se encuentran:</w:t>
      </w:r>
    </w:p>
    <w:p w14:paraId="1E49F704" w14:textId="4EDE3717" w:rsidR="00505695" w:rsidRPr="00673EB4" w:rsidRDefault="00505695" w:rsidP="00673EB4">
      <w:pPr>
        <w:pStyle w:val="Prrafodelista"/>
        <w:numPr>
          <w:ilvl w:val="0"/>
          <w:numId w:val="32"/>
        </w:numPr>
        <w:spacing w:after="240" w:line="360" w:lineRule="auto"/>
        <w:jc w:val="both"/>
        <w:rPr>
          <w:rFonts w:ascii="Arial" w:hAnsi="Arial" w:cs="Arial"/>
        </w:rPr>
      </w:pPr>
      <w:r w:rsidRPr="00673EB4">
        <w:rPr>
          <w:rFonts w:ascii="Arial" w:hAnsi="Arial" w:cs="Arial"/>
        </w:rPr>
        <w:t>Indicadores comerciales: Los indicadores de comercio recopilan datos sobre los flujos comerciales entre naciones y los resume de manera precisa para caracterizar el intercambio comercial entre países</w:t>
      </w:r>
      <w:r w:rsidR="008C0F8C" w:rsidRPr="00673EB4">
        <w:rPr>
          <w:rFonts w:ascii="Arial" w:hAnsi="Arial" w:cs="Arial"/>
        </w:rPr>
        <w:t xml:space="preserve"> </w:t>
      </w:r>
      <w:r w:rsidR="008C0F8C" w:rsidRPr="00673EB4">
        <w:rPr>
          <w:rFonts w:ascii="Arial" w:hAnsi="Arial" w:cs="Arial"/>
        </w:rPr>
        <w:fldChar w:fldCharType="begin"/>
      </w:r>
      <w:r w:rsidR="00FA3C64" w:rsidRPr="00673EB4">
        <w:rPr>
          <w:rFonts w:ascii="Arial" w:hAnsi="Arial" w:cs="Arial"/>
        </w:rPr>
        <w:instrText xml:space="preserve"> ADDIN ZOTERO_ITEM CSL_CITATION {"citationID":"133QKhrT","properties":{"formattedCitation":"(Lalanne &amp; Sanchez, 2019)","plainCitation":"(Lalanne &amp; Sanchez, 2019)","dontUpdate":true,"noteIndex":0},"citationItems":[{"id":25,"uris":["http://zotero.org/users/10063313/items/TUMNDSKY"],"itemData":{"id":25,"type":"report","note":"container-title: Comisión Económica para América Latina y el Caribe (CEPAL)","publisher-place":"Santiago","title":"Evaluación del impacto de acuerdos comerciales: metodologías, experiencias internacionales y aplicaciones para el caso uruguayo","author":[{"family":"Lalanne","given":"A."},{"family":"Sanchez","given":"G."}],"issued":{"date-parts":[["2019"]]}}}],"schema":"https://github.com/citation-style-language/schema/raw/master/csl-citation.json"} </w:instrText>
      </w:r>
      <w:r w:rsidR="008C0F8C" w:rsidRPr="00673EB4">
        <w:rPr>
          <w:rFonts w:ascii="Arial" w:hAnsi="Arial" w:cs="Arial"/>
        </w:rPr>
        <w:fldChar w:fldCharType="separate"/>
      </w:r>
      <w:r w:rsidR="008C0F8C" w:rsidRPr="00673EB4">
        <w:rPr>
          <w:rFonts w:ascii="Arial" w:hAnsi="Arial" w:cs="Arial"/>
        </w:rPr>
        <w:t>(Lalanne et al., 2019)</w:t>
      </w:r>
      <w:r w:rsidR="008C0F8C" w:rsidRPr="00673EB4">
        <w:rPr>
          <w:rFonts w:ascii="Arial" w:hAnsi="Arial" w:cs="Arial"/>
        </w:rPr>
        <w:fldChar w:fldCharType="end"/>
      </w:r>
      <w:r w:rsidR="008C0F8C" w:rsidRPr="00673EB4">
        <w:rPr>
          <w:rFonts w:ascii="Arial" w:hAnsi="Arial" w:cs="Arial"/>
        </w:rPr>
        <w:t xml:space="preserve">. </w:t>
      </w:r>
      <w:r w:rsidRPr="00673EB4">
        <w:rPr>
          <w:rFonts w:ascii="Arial" w:hAnsi="Arial" w:cs="Arial"/>
        </w:rPr>
        <w:t xml:space="preserve">Con el uso de ellos se facilita entender el comportamiento de comercio y determinar si un acuerdo comercial es viable. Como lo indica </w:t>
      </w:r>
      <w:r w:rsidRPr="00673EB4">
        <w:rPr>
          <w:rFonts w:ascii="Arial" w:hAnsi="Arial" w:cs="Arial"/>
          <w:color w:val="000000"/>
        </w:rPr>
        <w:t>Plummer et al.</w:t>
      </w:r>
      <w:r w:rsidR="008C0F8C" w:rsidRPr="00673EB4">
        <w:rPr>
          <w:rFonts w:ascii="Arial" w:hAnsi="Arial" w:cs="Arial"/>
          <w:color w:val="000000"/>
        </w:rPr>
        <w:t xml:space="preserve"> </w:t>
      </w:r>
      <w:r w:rsidR="008C0F8C" w:rsidRPr="00673EB4">
        <w:rPr>
          <w:rFonts w:ascii="Arial" w:hAnsi="Arial" w:cs="Arial"/>
          <w:color w:val="000000"/>
        </w:rPr>
        <w:fldChar w:fldCharType="begin"/>
      </w:r>
      <w:r w:rsidR="00FA3C64" w:rsidRPr="00673EB4">
        <w:rPr>
          <w:rFonts w:ascii="Arial" w:hAnsi="Arial" w:cs="Arial"/>
          <w:color w:val="000000"/>
        </w:rPr>
        <w:instrText xml:space="preserve"> ADDIN ZOTERO_ITEM CSL_CITATION {"citationID":"IpaxFnQ9","properties":{"formattedCitation":"(Plummer et\\uc0\\u160{}al., 2010)","plainCitation":"(Plummer et al., 2010)","dontUpdate":true,"noteIndex":0},"citationItems":[{"id":2,"uris":["http://zotero.org/users/10063313/items/6DTNTTT3"],"itemData":{"id":2,"type":"report","publisher":"Asian Development Bank","publisher-place":"Manila","title":"Methodology for Impact Assessment of Free Trade Agreements","author":[{"family":"Plummer","given":"Michael G."},{"family":"Cheong","given":"David"},{"family":"Hamanaka","given":"Shintaro"}],"issued":{"date-parts":[["2010"]]}}}],"schema":"https://github.com/citation-style-language/schema/raw/master/csl-citation.json"} </w:instrText>
      </w:r>
      <w:r w:rsidR="008C0F8C" w:rsidRPr="00673EB4">
        <w:rPr>
          <w:rFonts w:ascii="Arial" w:hAnsi="Arial" w:cs="Arial"/>
          <w:color w:val="000000"/>
        </w:rPr>
        <w:fldChar w:fldCharType="separate"/>
      </w:r>
      <w:r w:rsidR="008C0F8C" w:rsidRPr="00673EB4">
        <w:rPr>
          <w:rFonts w:ascii="Arial" w:hAnsi="Arial" w:cs="Arial"/>
        </w:rPr>
        <w:t>(2010)</w:t>
      </w:r>
      <w:r w:rsidR="008C0F8C" w:rsidRPr="00673EB4">
        <w:rPr>
          <w:rFonts w:ascii="Arial" w:hAnsi="Arial" w:cs="Arial"/>
          <w:color w:val="000000"/>
        </w:rPr>
        <w:fldChar w:fldCharType="end"/>
      </w:r>
      <w:r w:rsidR="008C0F8C" w:rsidRPr="00673EB4">
        <w:rPr>
          <w:rFonts w:ascii="Arial" w:hAnsi="Arial" w:cs="Arial"/>
          <w:color w:val="000000"/>
        </w:rPr>
        <w:t xml:space="preserve"> </w:t>
      </w:r>
      <w:r w:rsidRPr="00673EB4">
        <w:rPr>
          <w:rFonts w:ascii="Arial" w:hAnsi="Arial" w:cs="Arial"/>
        </w:rPr>
        <w:t>se pueden utilizar en la etapa inicial de cualquier proceso de toma de decisiones de política comercial, incluida la decisión de unirse o no a un acuerdo de libre comercio. Según el autor, los indicadores comerciales que deben utilizarse son índice de participación del comercio intrarregional, índice de intensidad del comercio intrarregional, índice de introversión del comercio regional, índice de ventaja comparativa revelada, índice de orientación regional, índice de complementariedad e índice de similitud de exportaciones</w:t>
      </w:r>
    </w:p>
    <w:p w14:paraId="16961724" w14:textId="3C15403B" w:rsidR="00505695" w:rsidRPr="00673EB4" w:rsidRDefault="00505695" w:rsidP="00673EB4">
      <w:pPr>
        <w:pStyle w:val="Prrafodelista"/>
        <w:numPr>
          <w:ilvl w:val="0"/>
          <w:numId w:val="32"/>
        </w:numPr>
        <w:spacing w:after="240" w:line="360" w:lineRule="auto"/>
        <w:jc w:val="both"/>
        <w:rPr>
          <w:rFonts w:ascii="Arial" w:hAnsi="Arial" w:cs="Arial"/>
        </w:rPr>
      </w:pPr>
      <w:r w:rsidRPr="00673EB4">
        <w:rPr>
          <w:rFonts w:ascii="Arial" w:hAnsi="Arial" w:cs="Arial"/>
        </w:rPr>
        <w:t>Modelos de equilibrio parcial: Una de las metodologías ex ante más comunes son los modelos de equilibrio parcial, es utilizado para para evaluar los efectos del comercio, los ingresos arancelarios y el bienestar de un TLC</w:t>
      </w:r>
      <w:r w:rsidR="008C0F8C" w:rsidRPr="00673EB4">
        <w:rPr>
          <w:rFonts w:ascii="Arial" w:hAnsi="Arial" w:cs="Arial"/>
        </w:rPr>
        <w:t xml:space="preserve"> </w:t>
      </w:r>
      <w:r w:rsidR="008C0F8C" w:rsidRPr="00673EB4">
        <w:rPr>
          <w:rFonts w:ascii="Arial" w:hAnsi="Arial" w:cs="Arial"/>
        </w:rPr>
        <w:fldChar w:fldCharType="begin"/>
      </w:r>
      <w:r w:rsidR="00FA3C64" w:rsidRPr="00673EB4">
        <w:rPr>
          <w:rFonts w:ascii="Arial" w:hAnsi="Arial" w:cs="Arial"/>
        </w:rPr>
        <w:instrText xml:space="preserve"> ADDIN ZOTERO_ITEM CSL_CITATION {"citationID":"bA9mlZpw","properties":{"formattedCitation":"(Plummer et\\uc0\\u160{}al., 2010)","plainCitation":"(Plummer et al., 2010)","noteIndex":0},"citationItems":[{"id":2,"uris":["http://zotero.org/users/10063313/items/6DTNTTT3"],"itemData":{"id":2,"type":"report","publisher":"Asian Development Bank","publisher-place":"Manila","title":"Methodology for Impact Assessment of Free Trade Agreements","author":[{"family":"Plummer","given":"Michael G."},{"family":"Cheong","given":"David"},{"family":"Hamanaka","given":"Shintaro"}],"issued":{"date-parts":[["2010"]]}}}],"schema":"https://github.com/citation-style-language/schema/raw/master/csl-citation.json"} </w:instrText>
      </w:r>
      <w:r w:rsidR="008C0F8C" w:rsidRPr="00673EB4">
        <w:rPr>
          <w:rFonts w:ascii="Arial" w:hAnsi="Arial" w:cs="Arial"/>
        </w:rPr>
        <w:fldChar w:fldCharType="separate"/>
      </w:r>
      <w:r w:rsidR="008C0F8C" w:rsidRPr="00673EB4">
        <w:rPr>
          <w:rFonts w:ascii="Arial" w:hAnsi="Arial" w:cs="Arial"/>
        </w:rPr>
        <w:t>(Plummer et al., 2010)</w:t>
      </w:r>
      <w:r w:rsidR="008C0F8C" w:rsidRPr="00673EB4">
        <w:rPr>
          <w:rFonts w:ascii="Arial" w:hAnsi="Arial" w:cs="Arial"/>
        </w:rPr>
        <w:fldChar w:fldCharType="end"/>
      </w:r>
      <w:r w:rsidR="008C0F8C" w:rsidRPr="00673EB4">
        <w:rPr>
          <w:rFonts w:ascii="Arial" w:hAnsi="Arial" w:cs="Arial"/>
        </w:rPr>
        <w:t xml:space="preserve">. </w:t>
      </w:r>
      <w:r w:rsidRPr="00673EB4">
        <w:rPr>
          <w:rFonts w:ascii="Arial" w:hAnsi="Arial" w:cs="Arial"/>
          <w:color w:val="000000"/>
        </w:rPr>
        <w:t>Este modelo se enfoca en analizar las variaciones en las importaciones en un mercado específico cuando ocurren modificaciones en la política comercial. Entre las premisas que emplea, se considera que distintos países compiten para abastecer la demanda del país que ha modificado su política comercial, pero también se toma en cuenta que los productos difieren según su país de origen, lo que los hace no ser sustitutos perfectos entre sí</w:t>
      </w:r>
      <w:r w:rsidR="008C0F8C" w:rsidRPr="00673EB4">
        <w:rPr>
          <w:rFonts w:ascii="Arial" w:hAnsi="Arial" w:cs="Arial"/>
          <w:color w:val="000000"/>
        </w:rPr>
        <w:t xml:space="preserve"> </w:t>
      </w:r>
      <w:r w:rsidR="008C0F8C" w:rsidRPr="00673EB4">
        <w:rPr>
          <w:rFonts w:ascii="Arial" w:hAnsi="Arial" w:cs="Arial"/>
          <w:color w:val="000000"/>
        </w:rPr>
        <w:fldChar w:fldCharType="begin"/>
      </w:r>
      <w:r w:rsidR="00A42206" w:rsidRPr="00673EB4">
        <w:rPr>
          <w:rFonts w:ascii="Arial" w:hAnsi="Arial" w:cs="Arial"/>
          <w:color w:val="000000"/>
        </w:rPr>
        <w:instrText xml:space="preserve"> ADDIN ZOTERO_ITEM CSL_CITATION {"citationID":"x9FVUx1L","properties":{"formattedCitation":"(Amaya, 2016)","plainCitation":"(Amaya, 2016)","noteIndex":0},"citationItems":[{"id":1,"uris":["http://zotero.org/users/10063313/items/QLZWKK4H"],"itemData":{"id":1,"type":"article-journal","title":"¿Cómo evaluar ex ante los costos y beneficios de un acuerdo comercial?","author":[{"family":"Amaya","given":"Mauricio"}],"issued":{"date-parts":[["2016"]]}}}],"schema":"https://github.com/citation-style-language/schema/raw/master/csl-citation.json"} </w:instrText>
      </w:r>
      <w:r w:rsidR="008C0F8C" w:rsidRPr="00673EB4">
        <w:rPr>
          <w:rFonts w:ascii="Arial" w:hAnsi="Arial" w:cs="Arial"/>
          <w:color w:val="000000"/>
        </w:rPr>
        <w:fldChar w:fldCharType="separate"/>
      </w:r>
      <w:r w:rsidR="008C0F8C" w:rsidRPr="00673EB4">
        <w:rPr>
          <w:rFonts w:ascii="Arial" w:hAnsi="Arial" w:cs="Arial"/>
        </w:rPr>
        <w:t>(Amaya, 2016)</w:t>
      </w:r>
      <w:r w:rsidR="008C0F8C" w:rsidRPr="00673EB4">
        <w:rPr>
          <w:rFonts w:ascii="Arial" w:hAnsi="Arial" w:cs="Arial"/>
          <w:color w:val="000000"/>
        </w:rPr>
        <w:fldChar w:fldCharType="end"/>
      </w:r>
      <w:r w:rsidR="008C0F8C" w:rsidRPr="00673EB4">
        <w:rPr>
          <w:rFonts w:ascii="Arial" w:hAnsi="Arial" w:cs="Arial"/>
          <w:color w:val="000000"/>
        </w:rPr>
        <w:t>.</w:t>
      </w:r>
    </w:p>
    <w:p w14:paraId="17028CE2" w14:textId="5137D240" w:rsidR="00505695" w:rsidRPr="00673EB4" w:rsidRDefault="00505695" w:rsidP="00673EB4">
      <w:pPr>
        <w:pStyle w:val="Prrafodelista"/>
        <w:numPr>
          <w:ilvl w:val="0"/>
          <w:numId w:val="32"/>
        </w:numPr>
        <w:spacing w:after="240" w:line="360" w:lineRule="auto"/>
        <w:jc w:val="both"/>
        <w:rPr>
          <w:rFonts w:ascii="Arial" w:hAnsi="Arial" w:cs="Arial"/>
        </w:rPr>
      </w:pPr>
      <w:r w:rsidRPr="00673EB4">
        <w:rPr>
          <w:rFonts w:ascii="Arial" w:hAnsi="Arial" w:cs="Arial"/>
        </w:rPr>
        <w:lastRenderedPageBreak/>
        <w:t xml:space="preserve">Modelos de equilibrio general computable: Los Modelos de Equilibrio General Computable (MEGC) son herramientas analíticas utilizadas en el campo del comercio internacional para comprender los efectos de corto y largo plazo de una liberalización generalizada del comercio entre dos países. Estos modelos permiten considerar simultáneamente todos los mercados de productos, preferiblemente de forma </w:t>
      </w:r>
      <w:proofErr w:type="spellStart"/>
      <w:r w:rsidRPr="00673EB4">
        <w:rPr>
          <w:rFonts w:ascii="Arial" w:hAnsi="Arial" w:cs="Arial"/>
        </w:rPr>
        <w:t>intertemporal</w:t>
      </w:r>
      <w:proofErr w:type="spellEnd"/>
      <w:r w:rsidRPr="00673EB4">
        <w:rPr>
          <w:rFonts w:ascii="Arial" w:hAnsi="Arial" w:cs="Arial"/>
        </w:rPr>
        <w:t xml:space="preserve"> </w:t>
      </w:r>
      <w:r w:rsidR="008C0F8C" w:rsidRPr="00673EB4">
        <w:rPr>
          <w:rFonts w:ascii="Arial" w:hAnsi="Arial" w:cs="Arial"/>
        </w:rPr>
        <w:t xml:space="preserve"> </w:t>
      </w:r>
      <w:r w:rsidR="008C0F8C" w:rsidRPr="00673EB4">
        <w:rPr>
          <w:rFonts w:ascii="Arial" w:hAnsi="Arial" w:cs="Arial"/>
        </w:rPr>
        <w:fldChar w:fldCharType="begin"/>
      </w:r>
      <w:r w:rsidR="00A42206" w:rsidRPr="00673EB4">
        <w:rPr>
          <w:rFonts w:ascii="Arial" w:hAnsi="Arial" w:cs="Arial"/>
        </w:rPr>
        <w:instrText xml:space="preserve"> ADDIN ZOTERO_ITEM CSL_CITATION {"citationID":"brao119g","properties":{"formattedCitation":"(Trejos, 2009)","plainCitation":"(Trejos, 2009)","noteIndex":0},"citationItems":[{"id":53,"uris":["http://zotero.org/users/10063313/items/M22TC7J5"],"itemData":{"id":53,"type":"chapter","container-title":"Comisión Económica para América Latina y el Caribe (CEPAL","language":"es","title":"Instrumentos para la evaluación del impacto de acuerdos comerciales internacionales: aplicaciones para países pequeños en América Latina","author":[{"family":"Trejos","given":"A"}],"editor":[{"family":"México","given":"D F"}],"issued":{"date-parts":[["2009"]]}}}],"schema":"https://github.com/citation-style-language/schema/raw/master/csl-citation.json"} </w:instrText>
      </w:r>
      <w:r w:rsidR="008C0F8C" w:rsidRPr="00673EB4">
        <w:rPr>
          <w:rFonts w:ascii="Arial" w:hAnsi="Arial" w:cs="Arial"/>
        </w:rPr>
        <w:fldChar w:fldCharType="separate"/>
      </w:r>
      <w:r w:rsidR="008C0F8C" w:rsidRPr="00673EB4">
        <w:rPr>
          <w:rFonts w:ascii="Arial" w:hAnsi="Arial" w:cs="Arial"/>
        </w:rPr>
        <w:t>(Trejos, 2009)</w:t>
      </w:r>
      <w:r w:rsidR="008C0F8C" w:rsidRPr="00673EB4">
        <w:rPr>
          <w:rFonts w:ascii="Arial" w:hAnsi="Arial" w:cs="Arial"/>
        </w:rPr>
        <w:fldChar w:fldCharType="end"/>
      </w:r>
      <w:r w:rsidR="008C0F8C" w:rsidRPr="00673EB4">
        <w:rPr>
          <w:rFonts w:ascii="Arial" w:hAnsi="Arial" w:cs="Arial"/>
          <w:color w:val="000000"/>
        </w:rPr>
        <w:t>.</w:t>
      </w:r>
      <w:r w:rsidRPr="00673EB4">
        <w:rPr>
          <w:rFonts w:ascii="Arial" w:hAnsi="Arial" w:cs="Arial"/>
        </w:rPr>
        <w:t xml:space="preserve"> Con estos modelos se es capaz de cuantificar los cambios en el PIB, el saldo de la balanza comercial, los términos de intercambio, y el bienestar </w:t>
      </w:r>
      <w:r w:rsidR="008C0F8C" w:rsidRPr="00673EB4">
        <w:rPr>
          <w:rFonts w:ascii="Arial" w:hAnsi="Arial" w:cs="Arial"/>
        </w:rPr>
        <w:fldChar w:fldCharType="begin"/>
      </w:r>
      <w:r w:rsidR="00FA3C64" w:rsidRPr="00673EB4">
        <w:rPr>
          <w:rFonts w:ascii="Arial" w:hAnsi="Arial" w:cs="Arial"/>
        </w:rPr>
        <w:instrText xml:space="preserve"> ADDIN ZOTERO_ITEM CSL_CITATION {"citationID":"0y9C0Emy","properties":{"formattedCitation":"(Lalanne &amp; Sanchez, 2019)","plainCitation":"(Lalanne &amp; Sanchez, 2019)","dontUpdate":true,"noteIndex":0},"citationItems":[{"id":25,"uris":["http://zotero.org/users/10063313/items/TUMNDSKY"],"itemData":{"id":25,"type":"report","note":"container-title: Comisión Económica para América Latina y el Caribe (CEPAL)","publisher-place":"Santiago","title":"Evaluación del impacto de acuerdos comerciales: metodologías, experiencias internacionales y aplicaciones para el caso uruguayo","author":[{"family":"Lalanne","given":"A."},{"family":"Sanchez","given":"G."}],"issued":{"date-parts":[["2019"]]}}}],"schema":"https://github.com/citation-style-language/schema/raw/master/csl-citation.json"} </w:instrText>
      </w:r>
      <w:r w:rsidR="008C0F8C" w:rsidRPr="00673EB4">
        <w:rPr>
          <w:rFonts w:ascii="Arial" w:hAnsi="Arial" w:cs="Arial"/>
        </w:rPr>
        <w:fldChar w:fldCharType="separate"/>
      </w:r>
      <w:r w:rsidR="008C0F8C" w:rsidRPr="00673EB4">
        <w:rPr>
          <w:rFonts w:ascii="Arial" w:hAnsi="Arial" w:cs="Arial"/>
        </w:rPr>
        <w:t>(Lalanne et al., 2019)</w:t>
      </w:r>
      <w:r w:rsidR="008C0F8C" w:rsidRPr="00673EB4">
        <w:rPr>
          <w:rFonts w:ascii="Arial" w:hAnsi="Arial" w:cs="Arial"/>
        </w:rPr>
        <w:fldChar w:fldCharType="end"/>
      </w:r>
      <w:r w:rsidR="008C0F8C" w:rsidRPr="00673EB4">
        <w:rPr>
          <w:rFonts w:ascii="Arial" w:hAnsi="Arial" w:cs="Arial"/>
        </w:rPr>
        <w:t>.</w:t>
      </w:r>
    </w:p>
    <w:p w14:paraId="57E3748B" w14:textId="46AC1E16" w:rsidR="00505695" w:rsidRPr="00673EB4" w:rsidRDefault="00505695" w:rsidP="00673EB4">
      <w:pPr>
        <w:pStyle w:val="Prrafodelista"/>
        <w:numPr>
          <w:ilvl w:val="0"/>
          <w:numId w:val="32"/>
        </w:numPr>
        <w:spacing w:after="240" w:line="360" w:lineRule="auto"/>
        <w:jc w:val="both"/>
        <w:rPr>
          <w:rFonts w:ascii="Arial" w:hAnsi="Arial" w:cs="Arial"/>
          <w:lang w:val="es-HN"/>
        </w:rPr>
      </w:pPr>
      <w:r w:rsidRPr="00673EB4">
        <w:rPr>
          <w:rFonts w:ascii="Arial" w:hAnsi="Arial" w:cs="Arial"/>
          <w:i/>
          <w:iCs/>
          <w:lang w:val="es-HN"/>
        </w:rPr>
        <w:t xml:space="preserve">Sustainability Impact Assesment: </w:t>
      </w:r>
      <w:r w:rsidRPr="00673EB4">
        <w:rPr>
          <w:rFonts w:ascii="Arial" w:hAnsi="Arial" w:cs="Arial"/>
          <w:lang w:val="es-HN"/>
        </w:rPr>
        <w:t xml:space="preserve">El </w:t>
      </w:r>
      <w:r w:rsidRPr="00673EB4">
        <w:rPr>
          <w:rFonts w:ascii="Arial" w:hAnsi="Arial" w:cs="Arial"/>
          <w:i/>
          <w:iCs/>
          <w:lang w:val="es-HN"/>
        </w:rPr>
        <w:t>Sustainability Impact Assessment</w:t>
      </w:r>
      <w:r w:rsidRPr="00673EB4">
        <w:rPr>
          <w:rFonts w:ascii="Arial" w:hAnsi="Arial" w:cs="Arial"/>
          <w:lang w:val="es-HN"/>
        </w:rPr>
        <w:t xml:space="preserve"> (SIA) es una herramienta específica para el comercio desarrollada por la Dirección General de Comercio de la Comisión Europea. Su propósito es apoyar las principales negociaciones comerciales realizadas bajo la supervisión del Comisionado de Comercio de la Unión Europea. Los SIAs desempeñan un papel fundamental en la realización de negociaciones comerciales sólidas, basadas en evidencia y caracterizadas por la transparencia</w:t>
      </w:r>
      <w:r w:rsidR="008C0F8C" w:rsidRPr="00673EB4">
        <w:rPr>
          <w:rFonts w:ascii="Arial" w:hAnsi="Arial" w:cs="Arial"/>
          <w:lang w:val="es-HN"/>
        </w:rPr>
        <w:t xml:space="preserve"> </w:t>
      </w:r>
      <w:r w:rsidR="008C0F8C" w:rsidRPr="00673EB4">
        <w:rPr>
          <w:rFonts w:ascii="Arial" w:hAnsi="Arial" w:cs="Arial"/>
          <w:lang w:val="es-HN"/>
        </w:rPr>
        <w:fldChar w:fldCharType="begin"/>
      </w:r>
      <w:r w:rsidR="00A42206" w:rsidRPr="00673EB4">
        <w:rPr>
          <w:rFonts w:ascii="Arial" w:hAnsi="Arial" w:cs="Arial"/>
          <w:lang w:val="es-HN"/>
        </w:rPr>
        <w:instrText xml:space="preserve"> ADDIN ZOTERO_ITEM CSL_CITATION {"citationID":"bImnET7a","properties":{"formattedCitation":"(European Union, 2016)","plainCitation":"(European Union, 2016)","noteIndex":0},"citationItems":[{"id":179,"uris":["http://zotero.org/users/10063313/items/TKX8BQ98"],"itemData":{"id":179,"type":"article-journal","title":"Handbook for trade sustainability impact assessment","author":[{"literal":"European Union"}],"issued":{"date-parts":[["2016"]]}}}],"schema":"https://github.com/citation-style-language/schema/raw/master/csl-citation.json"} </w:instrText>
      </w:r>
      <w:r w:rsidR="008C0F8C" w:rsidRPr="00673EB4">
        <w:rPr>
          <w:rFonts w:ascii="Arial" w:hAnsi="Arial" w:cs="Arial"/>
          <w:lang w:val="es-HN"/>
        </w:rPr>
        <w:fldChar w:fldCharType="separate"/>
      </w:r>
      <w:r w:rsidR="008C0F8C" w:rsidRPr="00673EB4">
        <w:rPr>
          <w:rFonts w:ascii="Arial" w:hAnsi="Arial" w:cs="Arial"/>
        </w:rPr>
        <w:t>(European Union, 2016)</w:t>
      </w:r>
      <w:r w:rsidR="008C0F8C" w:rsidRPr="00673EB4">
        <w:rPr>
          <w:rFonts w:ascii="Arial" w:hAnsi="Arial" w:cs="Arial"/>
          <w:lang w:val="es-HN"/>
        </w:rPr>
        <w:fldChar w:fldCharType="end"/>
      </w:r>
      <w:r w:rsidR="008C0F8C" w:rsidRPr="00673EB4">
        <w:rPr>
          <w:rFonts w:ascii="Arial" w:hAnsi="Arial" w:cs="Arial"/>
          <w:lang w:val="es-HN"/>
        </w:rPr>
        <w:t xml:space="preserve">. </w:t>
      </w:r>
      <w:r w:rsidRPr="00673EB4">
        <w:rPr>
          <w:rFonts w:ascii="Arial" w:hAnsi="Arial" w:cs="Arial"/>
          <w:lang w:val="es-HN"/>
        </w:rPr>
        <w:t xml:space="preserve">Un elemento esencial del estudio consiste en el procedimiento de diálogo y consulta con todas las partes interesadas afectadas por el acuerdo, en cada uno de los países involucrados </w:t>
      </w:r>
      <w:r w:rsidR="008C0F8C" w:rsidRPr="00673EB4">
        <w:rPr>
          <w:rFonts w:ascii="Arial" w:hAnsi="Arial" w:cs="Arial"/>
        </w:rPr>
        <w:fldChar w:fldCharType="begin"/>
      </w:r>
      <w:r w:rsidR="00FA3C64" w:rsidRPr="00673EB4">
        <w:rPr>
          <w:rFonts w:ascii="Arial" w:hAnsi="Arial" w:cs="Arial"/>
        </w:rPr>
        <w:instrText xml:space="preserve"> ADDIN ZOTERO_ITEM CSL_CITATION {"citationID":"RjhXXvh7","properties":{"formattedCitation":"(Lalanne &amp; Sanchez, 2019)","plainCitation":"(Lalanne &amp; Sanchez, 2019)","dontUpdate":true,"noteIndex":0},"citationItems":[{"id":25,"uris":["http://zotero.org/users/10063313/items/TUMNDSKY"],"itemData":{"id":25,"type":"report","note":"container-title: Comisión Económica para América Latina y el Caribe (CEPAL)","publisher-place":"Santiago","title":"Evaluación del impacto de acuerdos comerciales: metodologías, experiencias internacionales y aplicaciones para el caso uruguayo","author":[{"family":"Lalanne","given":"A."},{"family":"Sanchez","given":"G."}],"issued":{"date-parts":[["2019"]]}}}],"schema":"https://github.com/citation-style-language/schema/raw/master/csl-citation.json"} </w:instrText>
      </w:r>
      <w:r w:rsidR="008C0F8C" w:rsidRPr="00673EB4">
        <w:rPr>
          <w:rFonts w:ascii="Arial" w:hAnsi="Arial" w:cs="Arial"/>
        </w:rPr>
        <w:fldChar w:fldCharType="separate"/>
      </w:r>
      <w:r w:rsidR="008C0F8C" w:rsidRPr="00673EB4">
        <w:rPr>
          <w:rFonts w:ascii="Arial" w:hAnsi="Arial" w:cs="Arial"/>
        </w:rPr>
        <w:t>(Lalanne et al., 2019)</w:t>
      </w:r>
      <w:r w:rsidR="008C0F8C" w:rsidRPr="00673EB4">
        <w:rPr>
          <w:rFonts w:ascii="Arial" w:hAnsi="Arial" w:cs="Arial"/>
        </w:rPr>
        <w:fldChar w:fldCharType="end"/>
      </w:r>
      <w:r w:rsidR="008C0F8C" w:rsidRPr="00673EB4">
        <w:rPr>
          <w:rFonts w:ascii="Arial" w:hAnsi="Arial" w:cs="Arial"/>
        </w:rPr>
        <w:t>.</w:t>
      </w:r>
    </w:p>
    <w:p w14:paraId="4BFAEC69" w14:textId="18219091" w:rsidR="00505695" w:rsidRPr="003E0592" w:rsidRDefault="00505695" w:rsidP="00505695">
      <w:pPr>
        <w:spacing w:after="240" w:line="360" w:lineRule="auto"/>
        <w:jc w:val="both"/>
        <w:rPr>
          <w:rFonts w:ascii="Arial" w:hAnsi="Arial" w:cs="Arial"/>
        </w:rPr>
      </w:pPr>
      <w:r w:rsidRPr="003E0592">
        <w:rPr>
          <w:rFonts w:ascii="Arial" w:hAnsi="Arial" w:cs="Arial"/>
          <w:lang w:val="es-HN"/>
        </w:rPr>
        <w:t xml:space="preserve">Las evaluaciones ex ante, aunque útiles, han demostrado </w:t>
      </w:r>
      <w:r w:rsidRPr="003E0592">
        <w:rPr>
          <w:rFonts w:ascii="Arial" w:hAnsi="Arial" w:cs="Arial"/>
        </w:rPr>
        <w:t>subestimar los impactos de los acuerdos, los cuales terminan dejando mejores resultados que las predicciones</w:t>
      </w:r>
      <w:r w:rsidR="008C0F8C" w:rsidRPr="003E0592">
        <w:rPr>
          <w:rFonts w:ascii="Arial" w:hAnsi="Arial" w:cs="Arial"/>
        </w:rPr>
        <w:t xml:space="preserve"> </w:t>
      </w:r>
      <w:r w:rsidR="008C0F8C" w:rsidRPr="003E0592">
        <w:rPr>
          <w:rFonts w:ascii="Arial" w:hAnsi="Arial" w:cs="Arial"/>
        </w:rPr>
        <w:fldChar w:fldCharType="begin"/>
      </w:r>
      <w:r w:rsidR="00A42206">
        <w:rPr>
          <w:rFonts w:ascii="Arial" w:hAnsi="Arial" w:cs="Arial"/>
        </w:rPr>
        <w:instrText xml:space="preserve"> ADDIN ZOTERO_ITEM CSL_CITATION {"citationID":"qWaJXQfv","properties":{"formattedCitation":"(Hannan, 2016)","plainCitation":"(Hannan, 2016)","noteIndex":0},"citationItems":[{"id":45,"uris":["http://zotero.org/users/10063313/items/ZFTUWVPS"],"itemData":{"id":45,"type":"document","language":"en","title":"The Impact of Trade Agreements: New Approach, New Insights","author":[{"family":"Hannan","given":"S A"}],"issued":{"date-parts":[["2016"]]}}}],"schema":"https://github.com/citation-style-language/schema/raw/master/csl-citation.json"} </w:instrText>
      </w:r>
      <w:r w:rsidR="008C0F8C" w:rsidRPr="003E0592">
        <w:rPr>
          <w:rFonts w:ascii="Arial" w:hAnsi="Arial" w:cs="Arial"/>
        </w:rPr>
        <w:fldChar w:fldCharType="separate"/>
      </w:r>
      <w:r w:rsidR="008C0F8C" w:rsidRPr="003E0592">
        <w:rPr>
          <w:rFonts w:ascii="Arial" w:hAnsi="Arial" w:cs="Arial"/>
        </w:rPr>
        <w:t>(Hannan, 2016)</w:t>
      </w:r>
      <w:r w:rsidR="008C0F8C" w:rsidRPr="003E0592">
        <w:rPr>
          <w:rFonts w:ascii="Arial" w:hAnsi="Arial" w:cs="Arial"/>
        </w:rPr>
        <w:fldChar w:fldCharType="end"/>
      </w:r>
      <w:r w:rsidR="008C0F8C" w:rsidRPr="003E0592">
        <w:rPr>
          <w:rFonts w:ascii="Arial" w:hAnsi="Arial" w:cs="Arial"/>
        </w:rPr>
        <w:t xml:space="preserve">. </w:t>
      </w:r>
      <w:r w:rsidRPr="003E0592">
        <w:rPr>
          <w:rFonts w:ascii="Arial" w:hAnsi="Arial" w:cs="Arial"/>
        </w:rPr>
        <w:t xml:space="preserve">Esto indica que las metodologías son excelentes y útiles para una aproximación de los resultados y el posible impacto de un acuerdo comercial, pero no se puede depender por completo en una metodología para predecir todos los resultados de un TLC u otro acuerdo comercial. </w:t>
      </w:r>
    </w:p>
    <w:p w14:paraId="1B224531" w14:textId="77777777" w:rsidR="00505695" w:rsidRPr="003E0592" w:rsidRDefault="00505695" w:rsidP="00505695">
      <w:pPr>
        <w:spacing w:after="240" w:line="360" w:lineRule="auto"/>
        <w:jc w:val="both"/>
        <w:rPr>
          <w:rFonts w:ascii="Arial" w:hAnsi="Arial" w:cs="Arial"/>
          <w:i/>
          <w:iCs/>
          <w:noProof/>
          <w:color w:val="000000"/>
          <w:lang w:val="es-HN"/>
        </w:rPr>
      </w:pPr>
      <w:r w:rsidRPr="003E0592">
        <w:rPr>
          <w:rFonts w:ascii="Arial" w:hAnsi="Arial" w:cs="Arial"/>
          <w:i/>
          <w:iCs/>
          <w:noProof/>
          <w:color w:val="000000"/>
          <w:lang w:val="es-HN"/>
        </w:rPr>
        <w:t>La IED en el contexto de los acuerdos comerciales</w:t>
      </w:r>
    </w:p>
    <w:p w14:paraId="0CC533F5" w14:textId="7EB6F9FD" w:rsidR="00505695" w:rsidRPr="003E0592" w:rsidRDefault="00505695" w:rsidP="00505695">
      <w:pPr>
        <w:spacing w:after="240" w:line="360" w:lineRule="auto"/>
        <w:jc w:val="both"/>
        <w:rPr>
          <w:rFonts w:ascii="Arial" w:hAnsi="Arial" w:cs="Arial"/>
          <w:noProof/>
          <w:color w:val="000000"/>
          <w:lang w:val="es-HN"/>
        </w:rPr>
      </w:pPr>
      <w:r w:rsidRPr="003E0592">
        <w:rPr>
          <w:rFonts w:ascii="Arial" w:hAnsi="Arial" w:cs="Arial"/>
          <w:noProof/>
          <w:color w:val="000000"/>
          <w:lang w:val="es-HN"/>
        </w:rPr>
        <w:t xml:space="preserve">La IED es un aspecto </w:t>
      </w:r>
      <w:r w:rsidR="00694168">
        <w:rPr>
          <w:rFonts w:ascii="Arial" w:hAnsi="Arial" w:cs="Arial"/>
          <w:noProof/>
          <w:color w:val="000000"/>
          <w:lang w:val="es-HN"/>
        </w:rPr>
        <w:t>importante</w:t>
      </w:r>
      <w:r w:rsidRPr="003E0592">
        <w:rPr>
          <w:rFonts w:ascii="Arial" w:hAnsi="Arial" w:cs="Arial"/>
          <w:noProof/>
          <w:color w:val="000000"/>
          <w:lang w:val="es-HN"/>
        </w:rPr>
        <w:t xml:space="preserve"> dentro de la discusión de </w:t>
      </w:r>
      <w:r w:rsidRPr="003E0592">
        <w:rPr>
          <w:rFonts w:ascii="Arial" w:hAnsi="Arial" w:cs="Arial"/>
          <w:i/>
          <w:iCs/>
          <w:noProof/>
          <w:color w:val="000000"/>
          <w:lang w:val="es-HN"/>
        </w:rPr>
        <w:t>acuerdos comerciales</w:t>
      </w:r>
      <w:r w:rsidRPr="003E0592">
        <w:rPr>
          <w:rFonts w:ascii="Arial" w:hAnsi="Arial" w:cs="Arial"/>
          <w:noProof/>
          <w:color w:val="000000"/>
          <w:lang w:val="es-HN"/>
        </w:rPr>
        <w:t xml:space="preserve">, según el Fondo Monetario Internacional </w:t>
      </w:r>
      <w:r w:rsidR="008C0F8C" w:rsidRPr="003E0592">
        <w:rPr>
          <w:rFonts w:ascii="Arial" w:hAnsi="Arial" w:cs="Arial"/>
          <w:noProof/>
          <w:color w:val="000000"/>
          <w:lang w:val="es-HN"/>
        </w:rPr>
        <w:fldChar w:fldCharType="begin"/>
      </w:r>
      <w:r w:rsidR="00FA3C64">
        <w:rPr>
          <w:rFonts w:ascii="Arial" w:hAnsi="Arial" w:cs="Arial"/>
          <w:noProof/>
          <w:color w:val="000000"/>
          <w:lang w:val="es-HN"/>
        </w:rPr>
        <w:instrText xml:space="preserve"> ADDIN ZOTERO_ITEM CSL_CITATION {"citationID":"V4v2TfDp","properties":{"formattedCitation":"(Fondo Monetario Internacional (FMI), 2009)","plainCitation":"(Fondo Monetario Internacional (FMI), 2009)","dontUpdate":true,"noteIndex":0},"citationItems":[{"id":13,"uris":["http://zotero.org/users/10063313/items/A6MFS2N3"],"itemData":{"id":13,"type":"book","publisher-place":"Washington, D.C.","title":"Manual de Balanza de Pagos y Posición de Inversión Internacional","author":[{"literal":"Fondo Monetario Internacional (FMI)"}],"issued":{"date-parts":[["2009"]]}}}],"schema":"https://github.com/citation-style-language/schema/raw/master/csl-citation.json"} </w:instrText>
      </w:r>
      <w:r w:rsidR="008C0F8C" w:rsidRPr="003E0592">
        <w:rPr>
          <w:rFonts w:ascii="Arial" w:hAnsi="Arial" w:cs="Arial"/>
          <w:noProof/>
          <w:color w:val="000000"/>
          <w:lang w:val="es-HN"/>
        </w:rPr>
        <w:fldChar w:fldCharType="separate"/>
      </w:r>
      <w:r w:rsidR="008C0F8C" w:rsidRPr="003E0592">
        <w:rPr>
          <w:rFonts w:ascii="Arial" w:hAnsi="Arial" w:cs="Arial"/>
        </w:rPr>
        <w:t>(FMI, 2009)</w:t>
      </w:r>
      <w:r w:rsidR="008C0F8C" w:rsidRPr="003E0592">
        <w:rPr>
          <w:rFonts w:ascii="Arial" w:hAnsi="Arial" w:cs="Arial"/>
          <w:noProof/>
          <w:color w:val="000000"/>
          <w:lang w:val="es-HN"/>
        </w:rPr>
        <w:fldChar w:fldCharType="end"/>
      </w:r>
      <w:r w:rsidRPr="003E0592">
        <w:rPr>
          <w:rFonts w:ascii="Arial" w:hAnsi="Arial" w:cs="Arial"/>
          <w:noProof/>
          <w:color w:val="000000"/>
          <w:lang w:val="es-HN"/>
        </w:rPr>
        <w:t>:</w:t>
      </w:r>
    </w:p>
    <w:p w14:paraId="0466F89A" w14:textId="77777777" w:rsidR="00505695" w:rsidRPr="003E0592" w:rsidRDefault="00505695" w:rsidP="00AD5786">
      <w:pPr>
        <w:spacing w:after="240" w:line="360" w:lineRule="auto"/>
        <w:ind w:left="708"/>
        <w:rPr>
          <w:rFonts w:ascii="Arial" w:hAnsi="Arial" w:cs="Arial"/>
          <w:noProof/>
          <w:color w:val="000000"/>
          <w:lang w:val="es-HN"/>
        </w:rPr>
      </w:pPr>
      <w:r w:rsidRPr="003E0592">
        <w:rPr>
          <w:rFonts w:ascii="Arial" w:eastAsiaTheme="minorHAnsi" w:hAnsi="Arial" w:cs="Arial"/>
          <w:lang w:val="es-HN" w:eastAsia="en-US"/>
        </w:rPr>
        <w:lastRenderedPageBreak/>
        <w:t>la inversión directa es una categoría de la inversión transfronteriza relacionada con el hecho de que un</w:t>
      </w:r>
      <w:r w:rsidRPr="003E0592">
        <w:rPr>
          <w:rFonts w:ascii="Arial" w:hAnsi="Arial" w:cs="Arial"/>
          <w:noProof/>
          <w:color w:val="000000"/>
          <w:lang w:val="es-HN"/>
        </w:rPr>
        <w:t xml:space="preserve"> </w:t>
      </w:r>
      <w:r w:rsidRPr="003E0592">
        <w:rPr>
          <w:rFonts w:ascii="Arial" w:eastAsiaTheme="minorHAnsi" w:hAnsi="Arial" w:cs="Arial"/>
          <w:lang w:val="es-HN" w:eastAsia="en-US"/>
        </w:rPr>
        <w:t>inversionista residente en una economía ejerce el control o un grado significativo de influencia sobre la gestión de una empresa que es residente en otra economía (p.106).</w:t>
      </w:r>
    </w:p>
    <w:p w14:paraId="7D5BE111" w14:textId="6DD0AF53" w:rsidR="00505695" w:rsidRPr="003E0592" w:rsidRDefault="00505695" w:rsidP="00505695">
      <w:pPr>
        <w:spacing w:after="240" w:line="360" w:lineRule="auto"/>
        <w:jc w:val="both"/>
        <w:rPr>
          <w:rFonts w:ascii="Arial" w:hAnsi="Arial" w:cs="Arial"/>
          <w:noProof/>
          <w:color w:val="000000"/>
          <w:lang w:val="es-HN"/>
        </w:rPr>
      </w:pPr>
      <w:r w:rsidRPr="003E0592">
        <w:rPr>
          <w:rFonts w:ascii="Arial" w:hAnsi="Arial" w:cs="Arial"/>
          <w:noProof/>
          <w:color w:val="000000"/>
          <w:lang w:val="es-HN"/>
        </w:rPr>
        <w:t>En cuanto a las teorías que explican el surgimiento de la IED, dos enfoques principales son el paradigma ecléctico, también conocido como el marco OLI, y el enfoque de las imperfecciones del mercado</w:t>
      </w:r>
      <w:r w:rsidR="008C0F8C" w:rsidRPr="003E0592">
        <w:rPr>
          <w:rFonts w:ascii="Arial" w:hAnsi="Arial" w:cs="Arial"/>
          <w:noProof/>
          <w:color w:val="000000"/>
          <w:lang w:val="es-HN"/>
        </w:rPr>
        <w:t xml:space="preserve"> </w:t>
      </w:r>
      <w:r w:rsidR="008C0F8C" w:rsidRPr="003E0592">
        <w:rPr>
          <w:rFonts w:ascii="Arial" w:hAnsi="Arial" w:cs="Arial"/>
          <w:noProof/>
          <w:color w:val="000000"/>
          <w:lang w:val="es-HN"/>
        </w:rPr>
        <w:fldChar w:fldCharType="begin"/>
      </w:r>
      <w:r w:rsidR="00A42206">
        <w:rPr>
          <w:rFonts w:ascii="Arial" w:hAnsi="Arial" w:cs="Arial"/>
          <w:noProof/>
          <w:color w:val="000000"/>
          <w:lang w:val="es-HN"/>
        </w:rPr>
        <w:instrText xml:space="preserve"> ADDIN ZOTERO_ITEM CSL_CITATION {"citationID":"NnjnVI6V","properties":{"formattedCitation":"(J. H. Dunning, 1988; Hymer, 1976)","plainCitation":"(J. H. Dunning, 1988; Hymer, 1976)","noteIndex":0},"citationItems":[{"id":12,"uris":["http://zotero.org/users/10063313/items/ZZQCCUQD"],"itemData":{"id":12,"type":"article-journal","container-title":"Universityof Reading and Rutgers University","title":"The Eclectic Paradigm of International Production: A Restatement and Some Possible Extensions","author":[{"family":"Dunning","given":"John H."}],"issued":{"date-parts":[["1988"]]}}},{"id":11,"uris":["http://zotero.org/users/10063313/items/PHY3EDXH"],"itemData":{"id":11,"type":"article-journal","title":"The International Operations of National Firms: A Study of Direct Foreign Investment","author":[{"family":"Hymer","given":"Stephen Herbert"}],"issued":{"date-parts":[["1976"]]}}}],"schema":"https://github.com/citation-style-language/schema/raw/master/csl-citation.json"} </w:instrText>
      </w:r>
      <w:r w:rsidR="008C0F8C" w:rsidRPr="003E0592">
        <w:rPr>
          <w:rFonts w:ascii="Arial" w:hAnsi="Arial" w:cs="Arial"/>
          <w:noProof/>
          <w:color w:val="000000"/>
          <w:lang w:val="es-HN"/>
        </w:rPr>
        <w:fldChar w:fldCharType="separate"/>
      </w:r>
      <w:r w:rsidR="008C0F8C" w:rsidRPr="003E0592">
        <w:rPr>
          <w:rFonts w:ascii="Arial" w:hAnsi="Arial" w:cs="Arial"/>
        </w:rPr>
        <w:t>(J. H. Dunning, 1988; Hymer, 1976)</w:t>
      </w:r>
      <w:r w:rsidR="008C0F8C" w:rsidRPr="003E0592">
        <w:rPr>
          <w:rFonts w:ascii="Arial" w:hAnsi="Arial" w:cs="Arial"/>
          <w:noProof/>
          <w:color w:val="000000"/>
          <w:lang w:val="es-HN"/>
        </w:rPr>
        <w:fldChar w:fldCharType="end"/>
      </w:r>
      <w:r w:rsidR="008C0F8C" w:rsidRPr="003E0592">
        <w:rPr>
          <w:rFonts w:ascii="Arial" w:hAnsi="Arial" w:cs="Arial"/>
          <w:noProof/>
          <w:color w:val="000000"/>
          <w:lang w:val="es-HN"/>
        </w:rPr>
        <w:t xml:space="preserve">. </w:t>
      </w:r>
    </w:p>
    <w:p w14:paraId="48D64110" w14:textId="4A98A764" w:rsidR="00505695" w:rsidRPr="003E0592" w:rsidRDefault="00505695" w:rsidP="00505695">
      <w:pPr>
        <w:spacing w:after="240" w:line="360" w:lineRule="auto"/>
        <w:jc w:val="both"/>
        <w:rPr>
          <w:rFonts w:ascii="Arial" w:hAnsi="Arial" w:cs="Arial"/>
          <w:noProof/>
          <w:color w:val="000000"/>
          <w:lang w:val="es-HN"/>
        </w:rPr>
      </w:pPr>
      <w:r w:rsidRPr="003E0592">
        <w:rPr>
          <w:rFonts w:ascii="Arial" w:hAnsi="Arial" w:cs="Arial"/>
          <w:noProof/>
          <w:color w:val="000000"/>
          <w:lang w:val="es-HN"/>
        </w:rPr>
        <w:t>El paradigma ecléctico, también conocido como marco OLI, desarrollado por John Dunning, sostiene que la IED es una función de tres factores: ventajas de propiedad, ventajas de localización y ventajas de internalización</w:t>
      </w:r>
      <w:r w:rsidR="008C0F8C" w:rsidRPr="003E0592">
        <w:rPr>
          <w:rFonts w:ascii="Arial" w:hAnsi="Arial" w:cs="Arial"/>
          <w:noProof/>
          <w:color w:val="000000"/>
          <w:lang w:val="es-HN"/>
        </w:rPr>
        <w:t xml:space="preserve"> </w:t>
      </w:r>
      <w:r w:rsidR="008C0F8C" w:rsidRPr="003E0592">
        <w:rPr>
          <w:rFonts w:ascii="Arial" w:hAnsi="Arial" w:cs="Arial"/>
          <w:noProof/>
          <w:color w:val="000000"/>
          <w:lang w:val="es-HN"/>
        </w:rPr>
        <w:fldChar w:fldCharType="begin"/>
      </w:r>
      <w:r w:rsidR="00A42206">
        <w:rPr>
          <w:rFonts w:ascii="Arial" w:hAnsi="Arial" w:cs="Arial"/>
          <w:noProof/>
          <w:color w:val="000000"/>
          <w:lang w:val="es-HN"/>
        </w:rPr>
        <w:instrText xml:space="preserve"> ADDIN ZOTERO_ITEM CSL_CITATION {"citationID":"gKmC4ONt","properties":{"formattedCitation":"(J. Dunning et\\uc0\\u160{}al., 2008)","plainCitation":"(J. Dunning et al., 2008)","noteIndex":0},"citationItems":[{"id":10,"uris":["http://zotero.org/users/10063313/items/ILSQ69XX"],"itemData":{"id":10,"type":"article-journal","title":"Multinational Enterprises and the Global  Economy","author":[{"family":"Dunning","given":"John"},{"family":"Lundan","given":"Sarianna"},{"family":"Elgard","given":"Edward"}],"issued":{"date-parts":[["2008"]]}}}],"schema":"https://github.com/citation-style-language/schema/raw/master/csl-citation.json"} </w:instrText>
      </w:r>
      <w:r w:rsidR="008C0F8C" w:rsidRPr="003E0592">
        <w:rPr>
          <w:rFonts w:ascii="Arial" w:hAnsi="Arial" w:cs="Arial"/>
          <w:noProof/>
          <w:color w:val="000000"/>
          <w:lang w:val="es-HN"/>
        </w:rPr>
        <w:fldChar w:fldCharType="separate"/>
      </w:r>
      <w:r w:rsidR="008C0F8C" w:rsidRPr="003E0592">
        <w:rPr>
          <w:rFonts w:ascii="Arial" w:hAnsi="Arial" w:cs="Arial"/>
        </w:rPr>
        <w:t>(J. Dunning et al., 2008)</w:t>
      </w:r>
      <w:r w:rsidR="008C0F8C" w:rsidRPr="003E0592">
        <w:rPr>
          <w:rFonts w:ascii="Arial" w:hAnsi="Arial" w:cs="Arial"/>
          <w:noProof/>
          <w:color w:val="000000"/>
          <w:lang w:val="es-HN"/>
        </w:rPr>
        <w:fldChar w:fldCharType="end"/>
      </w:r>
      <w:r w:rsidR="008C0F8C" w:rsidRPr="003E0592">
        <w:rPr>
          <w:rFonts w:ascii="Arial" w:hAnsi="Arial" w:cs="Arial"/>
          <w:noProof/>
          <w:color w:val="000000"/>
          <w:lang w:val="es-HN"/>
        </w:rPr>
        <w:t xml:space="preserve">. </w:t>
      </w:r>
      <w:r w:rsidRPr="003E0592">
        <w:rPr>
          <w:rFonts w:ascii="Arial" w:hAnsi="Arial" w:cs="Arial"/>
          <w:noProof/>
          <w:color w:val="000000"/>
        </w:rPr>
        <w:t>En el enfoque de las imperfecciones del mercado, por otra parte, Hymer</w:t>
      </w:r>
      <w:r w:rsidR="008C0F8C" w:rsidRPr="003E0592">
        <w:rPr>
          <w:rFonts w:ascii="Arial" w:hAnsi="Arial" w:cs="Arial"/>
          <w:noProof/>
          <w:color w:val="000000"/>
        </w:rPr>
        <w:t xml:space="preserve"> </w:t>
      </w:r>
      <w:r w:rsidR="008C0F8C" w:rsidRPr="003E0592">
        <w:rPr>
          <w:rFonts w:ascii="Arial" w:hAnsi="Arial" w:cs="Arial"/>
          <w:noProof/>
          <w:color w:val="000000"/>
        </w:rPr>
        <w:fldChar w:fldCharType="begin"/>
      </w:r>
      <w:r w:rsidR="00A42206">
        <w:rPr>
          <w:rFonts w:ascii="Arial" w:hAnsi="Arial" w:cs="Arial"/>
          <w:noProof/>
          <w:color w:val="000000"/>
        </w:rPr>
        <w:instrText xml:space="preserve"> ADDIN ZOTERO_ITEM CSL_CITATION {"citationID":"xZ0Q4Qay","properties":{"formattedCitation":"(Hymer, 1976)","plainCitation":"(Hymer, 1976)","dontUpdate":true,"noteIndex":0},"citationItems":[{"id":11,"uris":["http://zotero.org/users/10063313/items/PHY3EDXH"],"itemData":{"id":11,"type":"article-journal","title":"The International Operations of National Firms: A Study of Direct Foreign Investment","author":[{"family":"Hymer","given":"Stephen Herbert"}],"issued":{"date-parts":[["1976"]]}}}],"schema":"https://github.com/citation-style-language/schema/raw/master/csl-citation.json"} </w:instrText>
      </w:r>
      <w:r w:rsidR="008C0F8C" w:rsidRPr="003E0592">
        <w:rPr>
          <w:rFonts w:ascii="Arial" w:hAnsi="Arial" w:cs="Arial"/>
          <w:noProof/>
          <w:color w:val="000000"/>
        </w:rPr>
        <w:fldChar w:fldCharType="separate"/>
      </w:r>
      <w:r w:rsidR="008C0F8C" w:rsidRPr="003E0592">
        <w:rPr>
          <w:rFonts w:ascii="Arial" w:hAnsi="Arial" w:cs="Arial"/>
        </w:rPr>
        <w:t>(1976)</w:t>
      </w:r>
      <w:r w:rsidR="008C0F8C" w:rsidRPr="003E0592">
        <w:rPr>
          <w:rFonts w:ascii="Arial" w:hAnsi="Arial" w:cs="Arial"/>
          <w:noProof/>
          <w:color w:val="000000"/>
        </w:rPr>
        <w:fldChar w:fldCharType="end"/>
      </w:r>
      <w:r w:rsidRPr="003E0592">
        <w:rPr>
          <w:rFonts w:ascii="Arial" w:hAnsi="Arial" w:cs="Arial"/>
          <w:noProof/>
          <w:color w:val="000000"/>
        </w:rPr>
        <w:t xml:space="preserve"> parte de la existencia de mercados imperfectos para explicar las razones que inducen a una empresa a invertir en el exterior. Estos mercados imperfectos permiten dotar a las empresas de ventajas específicas (ventajas competitivas), capacidades o habilidades que la colocan en una posición favorable con respecto a sus competidores.</w:t>
      </w:r>
    </w:p>
    <w:p w14:paraId="5E8ACE44" w14:textId="0C2A4930" w:rsidR="00505695" w:rsidRPr="003E0592" w:rsidRDefault="00505695" w:rsidP="00505695">
      <w:pPr>
        <w:spacing w:after="240" w:line="360" w:lineRule="auto"/>
        <w:jc w:val="both"/>
        <w:rPr>
          <w:rFonts w:ascii="Arial" w:hAnsi="Arial" w:cs="Arial"/>
          <w:noProof/>
          <w:color w:val="000000"/>
          <w:lang w:val="es-HN"/>
        </w:rPr>
      </w:pPr>
      <w:r w:rsidRPr="003E0592">
        <w:rPr>
          <w:rFonts w:ascii="Arial" w:hAnsi="Arial" w:cs="Arial"/>
          <w:noProof/>
          <w:color w:val="000000"/>
          <w:lang w:val="es-HN"/>
        </w:rPr>
        <w:t>En el contexto de los acuerdos comerciales, hay varios acercamientos acerca de la relación entre estos y la IED, más espec</w:t>
      </w:r>
      <w:r w:rsidR="000B21E9">
        <w:rPr>
          <w:rFonts w:ascii="Arial" w:hAnsi="Arial" w:cs="Arial"/>
          <w:noProof/>
          <w:color w:val="000000"/>
          <w:lang w:val="es-HN"/>
        </w:rPr>
        <w:t>íf</w:t>
      </w:r>
      <w:r w:rsidRPr="003E0592">
        <w:rPr>
          <w:rFonts w:ascii="Arial" w:hAnsi="Arial" w:cs="Arial"/>
          <w:noProof/>
          <w:color w:val="000000"/>
          <w:lang w:val="es-HN"/>
        </w:rPr>
        <w:t>icamente la causalidad entre los TLC y la IED. Un análisis realizado por Reed et al.</w:t>
      </w:r>
      <w:r w:rsidR="008C0F8C" w:rsidRPr="003E0592">
        <w:rPr>
          <w:rFonts w:ascii="Arial" w:hAnsi="Arial" w:cs="Arial"/>
          <w:noProof/>
          <w:color w:val="000000"/>
          <w:lang w:val="es-HN"/>
        </w:rPr>
        <w:t xml:space="preserve"> </w:t>
      </w:r>
      <w:r w:rsidR="008C0F8C" w:rsidRPr="003E0592">
        <w:rPr>
          <w:rFonts w:ascii="Arial" w:hAnsi="Arial" w:cs="Arial"/>
          <w:noProof/>
          <w:color w:val="000000"/>
          <w:lang w:val="es-HN"/>
        </w:rPr>
        <w:fldChar w:fldCharType="begin"/>
      </w:r>
      <w:r w:rsidR="00A42206">
        <w:rPr>
          <w:rFonts w:ascii="Arial" w:hAnsi="Arial" w:cs="Arial"/>
          <w:noProof/>
          <w:color w:val="000000"/>
          <w:lang w:val="es-HN"/>
        </w:rPr>
        <w:instrText xml:space="preserve"> ADDIN ZOTERO_ITEM CSL_CITATION {"citationID":"5pFRwHBr","properties":{"formattedCitation":"(Reed et\\uc0\\u160{}al., 2016)","plainCitation":"(Reed et al., 2016)","dontUpdate":true,"noteIndex":0},"citationItems":[{"id":9,"uris":["http://zotero.org/users/10063313/items/EFJV29QX"],"itemData":{"id":9,"type":"article-journal","container-title":"Southern Economic Journal","title":"Free Trade Agreements and Foreign Direct Investment: The Role of Endogeneity and Dynamics","author":[{"family":"Reed","given":"Robert"},{"family":"Lira","given":"Christina"},{"family":"Lee","given":"Byung-Ki"},{"family":"Lee","given":"Junsoo"}],"issued":{"date-parts":[["2016"]]}}}],"schema":"https://github.com/citation-style-language/schema/raw/master/csl-citation.json"} </w:instrText>
      </w:r>
      <w:r w:rsidR="008C0F8C" w:rsidRPr="003E0592">
        <w:rPr>
          <w:rFonts w:ascii="Arial" w:hAnsi="Arial" w:cs="Arial"/>
          <w:noProof/>
          <w:color w:val="000000"/>
          <w:lang w:val="es-HN"/>
        </w:rPr>
        <w:fldChar w:fldCharType="separate"/>
      </w:r>
      <w:r w:rsidR="008C0F8C" w:rsidRPr="003E0592">
        <w:rPr>
          <w:rFonts w:ascii="Arial" w:hAnsi="Arial" w:cs="Arial"/>
        </w:rPr>
        <w:t>(2016)</w:t>
      </w:r>
      <w:r w:rsidR="008C0F8C" w:rsidRPr="003E0592">
        <w:rPr>
          <w:rFonts w:ascii="Arial" w:hAnsi="Arial" w:cs="Arial"/>
          <w:noProof/>
          <w:color w:val="000000"/>
          <w:lang w:val="es-HN"/>
        </w:rPr>
        <w:fldChar w:fldCharType="end"/>
      </w:r>
      <w:r w:rsidRPr="003E0592">
        <w:rPr>
          <w:rFonts w:ascii="Arial" w:hAnsi="Arial" w:cs="Arial"/>
          <w:noProof/>
          <w:color w:val="000000"/>
          <w:lang w:val="es-HN"/>
        </w:rPr>
        <w:t xml:space="preserve"> examinó esta relación considerando tanto países miembros como no miembros de la OCDE. Los resultados de su estudio indican que la IED no está relacionada con la participación en un TLC, e incluso en algunos casos, se ve afectada negativamente.</w:t>
      </w:r>
    </w:p>
    <w:p w14:paraId="0E17DD2C" w14:textId="3F085320" w:rsidR="00505695" w:rsidRPr="003E0592" w:rsidRDefault="00505695" w:rsidP="00505695">
      <w:pPr>
        <w:spacing w:after="240" w:line="360" w:lineRule="auto"/>
        <w:jc w:val="both"/>
        <w:rPr>
          <w:rFonts w:ascii="Arial" w:hAnsi="Arial" w:cs="Arial"/>
          <w:lang w:val="es-HN"/>
        </w:rPr>
      </w:pPr>
      <w:r w:rsidRPr="003E0592">
        <w:rPr>
          <w:rFonts w:ascii="Arial" w:hAnsi="Arial" w:cs="Arial"/>
          <w:lang w:val="es-HN"/>
        </w:rPr>
        <w:t xml:space="preserve">Un estudio más cercano es el de </w:t>
      </w:r>
      <w:r w:rsidRPr="003E0592">
        <w:rPr>
          <w:rFonts w:ascii="Arial" w:hAnsi="Arial" w:cs="Arial"/>
          <w:color w:val="000000"/>
          <w:lang w:val="es-HN"/>
        </w:rPr>
        <w:t xml:space="preserve">MacDermott </w:t>
      </w:r>
      <w:r w:rsidR="008C0F8C" w:rsidRPr="003E0592">
        <w:rPr>
          <w:rFonts w:ascii="Arial" w:hAnsi="Arial" w:cs="Arial"/>
          <w:color w:val="000000"/>
          <w:lang w:val="es-HN"/>
        </w:rPr>
        <w:fldChar w:fldCharType="begin"/>
      </w:r>
      <w:r w:rsidR="00A42206">
        <w:rPr>
          <w:rFonts w:ascii="Arial" w:hAnsi="Arial" w:cs="Arial"/>
          <w:color w:val="000000"/>
          <w:lang w:val="es-HN"/>
        </w:rPr>
        <w:instrText xml:space="preserve"> ADDIN ZOTERO_ITEM CSL_CITATION {"citationID":"N1gxvLw2","properties":{"formattedCitation":"(MacDermott, 2007)","plainCitation":"(MacDermott, 2007)","dontUpdate":true,"noteIndex":0},"citationItems":[{"id":7,"uris":["http://zotero.org/users/10063313/items/WCH4VIH2"],"itemData":{"id":7,"type":"article-journal","container-title":"The North American Journal of Economics and Finance","page":"107-116","title":"Regional trade agreement and foreign direct investment","author":[{"family":"MacDermott","given":"Raymond"}],"issued":{"date-parts":[["2007"]]}}}],"schema":"https://github.com/citation-style-language/schema/raw/master/csl-citation.json"} </w:instrText>
      </w:r>
      <w:r w:rsidR="008C0F8C" w:rsidRPr="003E0592">
        <w:rPr>
          <w:rFonts w:ascii="Arial" w:hAnsi="Arial" w:cs="Arial"/>
          <w:color w:val="000000"/>
          <w:lang w:val="es-HN"/>
        </w:rPr>
        <w:fldChar w:fldCharType="separate"/>
      </w:r>
      <w:r w:rsidR="008C0F8C" w:rsidRPr="003E0592">
        <w:rPr>
          <w:rFonts w:ascii="Arial" w:hAnsi="Arial" w:cs="Arial"/>
        </w:rPr>
        <w:t>(2007)</w:t>
      </w:r>
      <w:r w:rsidR="008C0F8C" w:rsidRPr="003E0592">
        <w:rPr>
          <w:rFonts w:ascii="Arial" w:hAnsi="Arial" w:cs="Arial"/>
          <w:color w:val="000000"/>
          <w:lang w:val="es-HN"/>
        </w:rPr>
        <w:fldChar w:fldCharType="end"/>
      </w:r>
      <w:r w:rsidRPr="003E0592">
        <w:rPr>
          <w:rFonts w:ascii="Arial" w:hAnsi="Arial" w:cs="Arial"/>
          <w:lang w:val="es-HN"/>
        </w:rPr>
        <w:t xml:space="preserve">, en este se analiza el impacto del Tratado de Libre Comercio de América del Norte (TLCAN) sobre la IED entre 1980 y 1997 (siendo este uno de los acuerdos que incluía clausulas sobre promoción de inversión por primera vez). Los resultados de esta investigación concluyeron que el TLCAN efectivamente generó mejoras en los flujos de IED entre los países que formaban parte del acuerdo, aunque se </w:t>
      </w:r>
      <w:r w:rsidRPr="003E0592">
        <w:rPr>
          <w:rFonts w:ascii="Arial" w:hAnsi="Arial" w:cs="Arial"/>
          <w:lang w:val="es-HN"/>
        </w:rPr>
        <w:lastRenderedPageBreak/>
        <w:t xml:space="preserve">observó una disminución gradual en el impacto positivo a medida que transcurría el tiempo. </w:t>
      </w:r>
    </w:p>
    <w:p w14:paraId="448CABFD" w14:textId="2A5A2FED" w:rsidR="00505695" w:rsidRPr="003E0592" w:rsidRDefault="00505695" w:rsidP="00505695">
      <w:pPr>
        <w:spacing w:after="240" w:line="360" w:lineRule="auto"/>
        <w:jc w:val="both"/>
        <w:rPr>
          <w:rFonts w:ascii="Arial" w:hAnsi="Arial" w:cs="Arial"/>
          <w:lang w:val="es-HN"/>
        </w:rPr>
      </w:pPr>
      <w:r w:rsidRPr="003E0592">
        <w:rPr>
          <w:rFonts w:ascii="Arial" w:hAnsi="Arial" w:cs="Arial"/>
          <w:color w:val="000000"/>
          <w:lang w:val="es-HN"/>
        </w:rPr>
        <w:t>Bengoa et al.</w:t>
      </w:r>
      <w:r w:rsidR="008C0F8C" w:rsidRPr="003E0592">
        <w:rPr>
          <w:rFonts w:ascii="Arial" w:hAnsi="Arial" w:cs="Arial"/>
          <w:color w:val="000000"/>
          <w:lang w:val="es-HN"/>
        </w:rPr>
        <w:t xml:space="preserve"> </w:t>
      </w:r>
      <w:r w:rsidR="008C0F8C" w:rsidRPr="003E0592">
        <w:rPr>
          <w:rFonts w:ascii="Arial" w:hAnsi="Arial" w:cs="Arial"/>
          <w:color w:val="000000"/>
          <w:lang w:val="es-HN"/>
        </w:rPr>
        <w:fldChar w:fldCharType="begin"/>
      </w:r>
      <w:r w:rsidR="00A42206">
        <w:rPr>
          <w:rFonts w:ascii="Arial" w:hAnsi="Arial" w:cs="Arial"/>
          <w:color w:val="000000"/>
          <w:lang w:val="es-HN"/>
        </w:rPr>
        <w:instrText xml:space="preserve"> ADDIN ZOTERO_ITEM CSL_CITATION {"citationID":"PgaGIygw","properties":{"formattedCitation":"(Bengoa et\\uc0\\u160{}al., 2020)","plainCitation":"(Bengoa et al., 2020)","dontUpdate":true,"noteIndex":0},"citationItems":[{"id":6,"uris":["http://zotero.org/users/10063313/items/VJ4L5UKK"],"itemData":{"id":6,"type":"article-journal","container-title":"Mathematics","title":"Do Trade and Investment Agreements Promote Foreign Direct Investment within Latin America? Evidence from a Structural Gravity Model","author":[{"family":"Bengoa","given":"Marta"},{"family":"Sanchez-Robles","given":"Blanca"},{"family":"Shachmurove","given":"Yochanan"}],"issued":{"date-parts":[["2020"]]}}}],"schema":"https://github.com/citation-style-language/schema/raw/master/csl-citation.json"} </w:instrText>
      </w:r>
      <w:r w:rsidR="008C0F8C" w:rsidRPr="003E0592">
        <w:rPr>
          <w:rFonts w:ascii="Arial" w:hAnsi="Arial" w:cs="Arial"/>
          <w:color w:val="000000"/>
          <w:lang w:val="es-HN"/>
        </w:rPr>
        <w:fldChar w:fldCharType="separate"/>
      </w:r>
      <w:r w:rsidR="008C0F8C" w:rsidRPr="003E0592">
        <w:rPr>
          <w:rFonts w:ascii="Arial" w:hAnsi="Arial" w:cs="Arial"/>
        </w:rPr>
        <w:t>(2020)</w:t>
      </w:r>
      <w:r w:rsidR="008C0F8C" w:rsidRPr="003E0592">
        <w:rPr>
          <w:rFonts w:ascii="Arial" w:hAnsi="Arial" w:cs="Arial"/>
          <w:color w:val="000000"/>
          <w:lang w:val="es-HN"/>
        </w:rPr>
        <w:fldChar w:fldCharType="end"/>
      </w:r>
      <w:r w:rsidRPr="003E0592">
        <w:rPr>
          <w:rFonts w:ascii="Arial" w:hAnsi="Arial" w:cs="Arial"/>
          <w:lang w:val="es-HN"/>
        </w:rPr>
        <w:t xml:space="preserve"> igualmente, encontraron que la suscripción a acuerdos de integración profunda, como Mercosur tiene un fuerte impacto positivo en los flujos de inversión extranjera directa dentro de la región, otro tipo de acuerdos, sin embargo, contribuyen, pero de manera más modesta. </w:t>
      </w:r>
    </w:p>
    <w:p w14:paraId="63AEDBEE" w14:textId="1C0F4278" w:rsidR="00505695" w:rsidRDefault="00505695" w:rsidP="006145A8">
      <w:pPr>
        <w:spacing w:after="240" w:line="360" w:lineRule="auto"/>
        <w:jc w:val="both"/>
        <w:rPr>
          <w:rFonts w:ascii="Arial" w:hAnsi="Arial" w:cs="Arial"/>
          <w:lang w:val="es-HN"/>
        </w:rPr>
      </w:pPr>
      <w:r w:rsidRPr="003E0592">
        <w:rPr>
          <w:rFonts w:ascii="Arial" w:hAnsi="Arial" w:cs="Arial"/>
          <w:lang w:val="es-HN"/>
        </w:rPr>
        <w:t xml:space="preserve">Otro acercamiento realizado por Dávila </w:t>
      </w:r>
      <w:r w:rsidR="008C0F8C" w:rsidRPr="003E0592">
        <w:rPr>
          <w:rFonts w:ascii="Arial" w:hAnsi="Arial" w:cs="Arial"/>
          <w:lang w:val="es-HN"/>
        </w:rPr>
        <w:fldChar w:fldCharType="begin"/>
      </w:r>
      <w:r w:rsidR="00A42206">
        <w:rPr>
          <w:rFonts w:ascii="Arial" w:hAnsi="Arial" w:cs="Arial"/>
          <w:lang w:val="es-HN"/>
        </w:rPr>
        <w:instrText xml:space="preserve"> ADDIN ZOTERO_ITEM CSL_CITATION {"citationID":"2YDwlYDS","properties":{"formattedCitation":"(D\\uc0\\u225{}vila &amp; Orozco, 2015)","plainCitation":"(Dávila &amp; Orozco, 2015)","dontUpdate":true,"noteIndex":0},"citationItems":[{"id":8,"uris":["http://zotero.org/users/10063313/items/4W5S7VL6"],"itemData":{"id":8,"type":"thesis","publisher":"Universidad EAFIT","title":"Efecto de los Tratados de Libre Comercio, Acuerdos Comerciales y Tratados Bilaterales de Inversión sobre los Flujos de Inversión Extranjera Directa: Un Análisis para América Latina entre 2001-2014","author":[{"family":"Dávila","given":"Jimena Alejandra"},{"family":"Orozco","given":"Camilo"}],"issued":{"date-parts":[["2015"]]}}}],"schema":"https://github.com/citation-style-language/schema/raw/master/csl-citation.json"} </w:instrText>
      </w:r>
      <w:r w:rsidR="008C0F8C" w:rsidRPr="003E0592">
        <w:rPr>
          <w:rFonts w:ascii="Arial" w:hAnsi="Arial" w:cs="Arial"/>
          <w:lang w:val="es-HN"/>
        </w:rPr>
        <w:fldChar w:fldCharType="separate"/>
      </w:r>
      <w:r w:rsidR="008C0F8C" w:rsidRPr="003E0592">
        <w:rPr>
          <w:rFonts w:ascii="Arial" w:hAnsi="Arial" w:cs="Arial"/>
        </w:rPr>
        <w:t>(2015)</w:t>
      </w:r>
      <w:r w:rsidR="008C0F8C" w:rsidRPr="003E0592">
        <w:rPr>
          <w:rFonts w:ascii="Arial" w:hAnsi="Arial" w:cs="Arial"/>
          <w:lang w:val="es-HN"/>
        </w:rPr>
        <w:fldChar w:fldCharType="end"/>
      </w:r>
      <w:r w:rsidRPr="003E0592">
        <w:rPr>
          <w:rFonts w:ascii="Arial" w:hAnsi="Arial" w:cs="Arial"/>
          <w:color w:val="000000"/>
          <w:lang w:val="es-HN"/>
        </w:rPr>
        <w:t xml:space="preserve"> </w:t>
      </w:r>
      <w:r w:rsidRPr="003E0592">
        <w:rPr>
          <w:rFonts w:ascii="Arial" w:hAnsi="Arial" w:cs="Arial"/>
          <w:lang w:val="es-HN"/>
        </w:rPr>
        <w:t xml:space="preserve">propone que “los TLC no influyen en los flujos de IED que ingresan a América Latina” (p.21), en los 15 países de la región analizados, el autor sugiere que la presencia de TLC solo es un factor complementario que cobra protagonismo cuando se combina con aspectos como la estabilidad política. </w:t>
      </w:r>
    </w:p>
    <w:p w14:paraId="65959714" w14:textId="76BA48A5" w:rsidR="002B2CA2" w:rsidRDefault="002B2CA2" w:rsidP="006145A8">
      <w:pPr>
        <w:spacing w:after="240" w:line="360" w:lineRule="auto"/>
        <w:jc w:val="both"/>
        <w:rPr>
          <w:rFonts w:ascii="Arial" w:hAnsi="Arial" w:cs="Arial"/>
          <w:lang w:val="es-HN"/>
        </w:rPr>
      </w:pPr>
      <w:r w:rsidRPr="002B2CA2">
        <w:rPr>
          <w:rFonts w:ascii="Arial" w:hAnsi="Arial" w:cs="Arial"/>
          <w:lang w:val="es-HN"/>
        </w:rPr>
        <w:t>Estos y otros estudios econométricos sobre el tema sugieren resultados divergentes según el tipo de acuerdo comercial analizado, la región, el periodo y los sectores involucrados, lo que evidencia que la relación entre la IED y los acuerdos comerciales es compleja y no admite conclusiones generalizables.</w:t>
      </w:r>
      <w:r w:rsidRPr="002B2CA2">
        <w:t xml:space="preserve"> </w:t>
      </w:r>
      <w:r w:rsidRPr="002B2CA2">
        <w:rPr>
          <w:rFonts w:ascii="Arial" w:hAnsi="Arial" w:cs="Arial"/>
          <w:lang w:val="es-HN"/>
        </w:rPr>
        <w:t xml:space="preserve">No obstante, la discusión sobre el vínculo entre acuerdos comerciales e IED no debe limitarse a la dimensión cuantitativa de los flujos; es igualmente necesario analizar la composición y calidad de la inversión que estos acuerdos pueden propiciar. No toda IED genera los mismos efectos sobre la economía receptora: mientras que algunas inversiones se orientan principalmente a la extracción de recursos naturales con escasa articulación con el tejido productivo local, otras promueven la creación de encadenamientos con proveedores nacionales, la transferencia de conocimientos y tecnología, la generación de empleo calificado y la diversificación de la estructura productiva </w:t>
      </w:r>
      <w:r w:rsidR="007B0BE7">
        <w:rPr>
          <w:rFonts w:ascii="Arial" w:hAnsi="Arial" w:cs="Arial"/>
          <w:lang w:val="es-HN"/>
        </w:rPr>
        <w:fldChar w:fldCharType="begin"/>
      </w:r>
      <w:r w:rsidR="007B0BE7">
        <w:rPr>
          <w:rFonts w:ascii="Arial" w:hAnsi="Arial" w:cs="Arial"/>
          <w:lang w:val="es-HN"/>
        </w:rPr>
        <w:instrText xml:space="preserve"> ADDIN ZOTERO_ITEM CSL_CITATION {"citationID":"NgzotxH1","properties":{"unsorted":false,"formattedCitation":"(CEPAL, 2025; J. Dunning et\\uc0\\u160{}al., 2008)","plainCitation":"(CEPAL, 2025; J. Dunning et al., 2008)","noteIndex":0},"citationItems":[{"id":1963,"uris":["http://zotero.org/users/10063313/items/STE6C9EM"],"itemData":{"id":1963,"type":"article-journal","title":"Las relaciones entre América Latina y el Caribe y China: áreas de oportunidad para un desarrollo más productivo, inclusivo y sostenible","author":[{"literal":"CEPAL"}],"issued":{"date-parts":[["2025"]]}}},{"id":10,"uris":["http://zotero.org/users/10063313/items/ILSQ69XX"],"itemData":{"id":10,"type":"article-journal","title":"Multinational Enterprises and the Global  Economy","author":[{"family":"Dunning","given":"John"},{"family":"Lundan","given":"Sarianna"},{"family":"Elgard","given":"Edward"}],"issued":{"date-parts":[["2008"]]}}}],"schema":"https://github.com/citation-style-language/schema/raw/master/csl-citation.json"} </w:instrText>
      </w:r>
      <w:r w:rsidR="007B0BE7">
        <w:rPr>
          <w:rFonts w:ascii="Arial" w:hAnsi="Arial" w:cs="Arial"/>
          <w:lang w:val="es-HN"/>
        </w:rPr>
        <w:fldChar w:fldCharType="separate"/>
      </w:r>
      <w:r w:rsidR="007B0BE7" w:rsidRPr="007B0BE7">
        <w:rPr>
          <w:rFonts w:ascii="Arial" w:eastAsiaTheme="minorHAnsi" w:hAnsi="Arial" w:cs="Arial"/>
          <w:lang w:val="es-MX" w:eastAsia="en-US"/>
          <w14:ligatures w14:val="standardContextual"/>
        </w:rPr>
        <w:t>(CEPAL, 2025; J. Dunning et al., 2008)</w:t>
      </w:r>
      <w:r w:rsidR="007B0BE7">
        <w:rPr>
          <w:rFonts w:ascii="Arial" w:hAnsi="Arial" w:cs="Arial"/>
          <w:lang w:val="es-HN"/>
        </w:rPr>
        <w:fldChar w:fldCharType="end"/>
      </w:r>
      <w:r w:rsidR="007B0BE7">
        <w:rPr>
          <w:rFonts w:ascii="Arial" w:hAnsi="Arial" w:cs="Arial"/>
          <w:lang w:val="es-HN"/>
        </w:rPr>
        <w:t xml:space="preserve">. </w:t>
      </w:r>
      <w:r w:rsidRPr="002B2CA2">
        <w:rPr>
          <w:rFonts w:ascii="Arial" w:hAnsi="Arial" w:cs="Arial"/>
          <w:lang w:val="es-HN"/>
        </w:rPr>
        <w:t>Esta distinción es central para evaluar el impacto de un acuerdo en materia de inversión, ya que un aumento en los flujos de IED no constituye por sí mismo un indicador de desarrollo si la inversión recibida no se integra con las capacidades y necesidades productivas del país.</w:t>
      </w:r>
    </w:p>
    <w:p w14:paraId="4B9C301F" w14:textId="6E4B20F0" w:rsidR="00216CAC" w:rsidRDefault="00E5260D" w:rsidP="006145A8">
      <w:pPr>
        <w:spacing w:after="240" w:line="360" w:lineRule="auto"/>
        <w:jc w:val="both"/>
        <w:rPr>
          <w:rFonts w:ascii="Arial" w:hAnsi="Arial" w:cs="Arial"/>
          <w:lang w:val="es-HN"/>
        </w:rPr>
      </w:pPr>
      <w:r w:rsidRPr="00E5260D">
        <w:rPr>
          <w:rFonts w:ascii="Arial" w:hAnsi="Arial" w:cs="Arial"/>
          <w:lang w:val="es-HN"/>
        </w:rPr>
        <w:t xml:space="preserve">En el caso de la inversión china en América Latina, esta distinción adquiere especial pertinencia. Si bien las inversiones provenientes de China han comenzado a diversificarse hacia sectores como las manufacturas, los servicios </w:t>
      </w:r>
      <w:r w:rsidRPr="00E5260D">
        <w:rPr>
          <w:rFonts w:ascii="Arial" w:hAnsi="Arial" w:cs="Arial"/>
          <w:lang w:val="es-HN"/>
        </w:rPr>
        <w:lastRenderedPageBreak/>
        <w:t xml:space="preserve">y las energías renovables </w:t>
      </w:r>
      <w:r>
        <w:rPr>
          <w:rFonts w:ascii="Arial" w:hAnsi="Arial" w:cs="Arial"/>
          <w:lang w:val="es-HN"/>
        </w:rPr>
        <w:fldChar w:fldCharType="begin"/>
      </w:r>
      <w:r>
        <w:rPr>
          <w:rFonts w:ascii="Arial" w:hAnsi="Arial" w:cs="Arial"/>
          <w:lang w:val="es-HN"/>
        </w:rPr>
        <w:instrText xml:space="preserve"> ADDIN ZOTERO_ITEM CSL_CITATION {"citationID":"aYa20mr8","properties":{"unsorted":false,"formattedCitation":"(CEPAL, 2025)","plainCitation":"(CEPAL, 2025)","noteIndex":0},"citationItems":[{"id":1963,"uris":["http://zotero.org/users/10063313/items/STE6C9EM"],"itemData":{"id":1963,"type":"article-journal","title":"Las relaciones entre América Latina y el Caribe y China: áreas de oportunidad para un desarrollo más productivo, inclusivo y sostenible","author":[{"literal":"CEPAL"}],"issued":{"date-parts":[["2025"]]}}}],"schema":"https://github.com/citation-style-language/schema/raw/master/csl-citation.json"} </w:instrText>
      </w:r>
      <w:r>
        <w:rPr>
          <w:rFonts w:ascii="Arial" w:hAnsi="Arial" w:cs="Arial"/>
          <w:lang w:val="es-HN"/>
        </w:rPr>
        <w:fldChar w:fldCharType="separate"/>
      </w:r>
      <w:r>
        <w:rPr>
          <w:rFonts w:ascii="Arial" w:hAnsi="Arial" w:cs="Arial"/>
          <w:noProof/>
          <w:lang w:val="es-HN"/>
        </w:rPr>
        <w:t>(CEPAL, 2025)</w:t>
      </w:r>
      <w:r>
        <w:rPr>
          <w:rFonts w:ascii="Arial" w:hAnsi="Arial" w:cs="Arial"/>
          <w:lang w:val="es-HN"/>
        </w:rPr>
        <w:fldChar w:fldCharType="end"/>
      </w:r>
      <w:r>
        <w:rPr>
          <w:rFonts w:ascii="Arial" w:hAnsi="Arial" w:cs="Arial"/>
          <w:lang w:val="es-HN"/>
        </w:rPr>
        <w:t xml:space="preserve">, </w:t>
      </w:r>
      <w:r w:rsidRPr="00E5260D">
        <w:rPr>
          <w:rFonts w:ascii="Arial" w:hAnsi="Arial" w:cs="Arial"/>
          <w:lang w:val="es-HN"/>
        </w:rPr>
        <w:t xml:space="preserve">su presencia en la región ha estado históricamente concentrada en actividades vinculadas a recursos naturales, con limitados encadenamientos productivos </w:t>
      </w:r>
      <w:r w:rsidR="009962A2">
        <w:rPr>
          <w:rFonts w:ascii="Arial" w:hAnsi="Arial" w:cs="Arial"/>
          <w:lang w:val="es-HN"/>
        </w:rPr>
        <w:fldChar w:fldCharType="begin"/>
      </w:r>
      <w:r w:rsidR="009962A2">
        <w:rPr>
          <w:rFonts w:ascii="Arial" w:hAnsi="Arial" w:cs="Arial"/>
          <w:lang w:val="es-HN"/>
        </w:rPr>
        <w:instrText xml:space="preserve"> ADDIN ZOTERO_ITEM CSL_CITATION {"citationID":"hhFqmJMh","properties":{"unsorted":false,"formattedCitation":"(Dussel Peters, 2025)","plainCitation":"(Dussel Peters, 2025)","noteIndex":0},"citationItems":[{"id":1965,"uris":["http://zotero.org/users/10063313/items/GPPQDGY7"],"itemData":{"id":1965,"type":"article-journal","note":"Red Académica de\nAmérica Latina y el Caribe sobre China","title":"Monitor de la OFDI china en América Latina y el Caribe 2025","author":[{"literal":"Dussel Peters"}],"issued":{"date-parts":[["2025"]]}}}],"schema":"https://github.com/citation-style-language/schema/raw/master/csl-citation.json"} </w:instrText>
      </w:r>
      <w:r w:rsidR="009962A2">
        <w:rPr>
          <w:rFonts w:ascii="Arial" w:hAnsi="Arial" w:cs="Arial"/>
          <w:lang w:val="es-HN"/>
        </w:rPr>
        <w:fldChar w:fldCharType="separate"/>
      </w:r>
      <w:r w:rsidR="009962A2">
        <w:rPr>
          <w:rFonts w:ascii="Arial" w:hAnsi="Arial" w:cs="Arial"/>
          <w:noProof/>
          <w:lang w:val="es-HN"/>
        </w:rPr>
        <w:t>(Dussel Peters, 2025)</w:t>
      </w:r>
      <w:r w:rsidR="009962A2">
        <w:rPr>
          <w:rFonts w:ascii="Arial" w:hAnsi="Arial" w:cs="Arial"/>
          <w:lang w:val="es-HN"/>
        </w:rPr>
        <w:fldChar w:fldCharType="end"/>
      </w:r>
      <w:r w:rsidRPr="00E5260D">
        <w:rPr>
          <w:rFonts w:ascii="Arial" w:hAnsi="Arial" w:cs="Arial"/>
          <w:lang w:val="es-HN"/>
        </w:rPr>
        <w:t>. Para Honduras, donde los flujos de IED provenientes de China han sido escasos y discontinuos</w:t>
      </w:r>
      <w:r w:rsidR="009962A2">
        <w:rPr>
          <w:rFonts w:ascii="Arial" w:hAnsi="Arial" w:cs="Arial"/>
          <w:lang w:val="es-HN"/>
        </w:rPr>
        <w:t xml:space="preserve"> </w:t>
      </w:r>
      <w:r w:rsidR="009962A2">
        <w:rPr>
          <w:rFonts w:ascii="Arial" w:hAnsi="Arial" w:cs="Arial"/>
          <w:lang w:val="es-HN"/>
        </w:rPr>
        <w:fldChar w:fldCharType="begin"/>
      </w:r>
      <w:r w:rsidR="009962A2">
        <w:rPr>
          <w:rFonts w:ascii="Arial" w:hAnsi="Arial" w:cs="Arial"/>
          <w:lang w:val="es-HN"/>
        </w:rPr>
        <w:instrText xml:space="preserve"> ADDIN ZOTERO_ITEM CSL_CITATION {"citationID":"p0XlWUvK","properties":{"unsorted":false,"formattedCitation":"(Banco Central de Honduras, 2020)","plainCitation":"(Banco Central de Honduras, 2020)","noteIndex":0},"citationItems":[{"id":1897,"uris":["http://zotero.org/users/10063313/items/W7IAKDCM"],"itemData":{"id":1897,"type":"document","title":"Informe de Flujos de Inversión Extranjera Directa en Honduras","author":[{"family":"Banco Central de Honduras","given":""}],"issued":{"date-parts":[["2020",9]]}}}],"schema":"https://github.com/citation-style-language/schema/raw/master/csl-citation.json"} </w:instrText>
      </w:r>
      <w:r w:rsidR="009962A2">
        <w:rPr>
          <w:rFonts w:ascii="Arial" w:hAnsi="Arial" w:cs="Arial"/>
          <w:lang w:val="es-HN"/>
        </w:rPr>
        <w:fldChar w:fldCharType="separate"/>
      </w:r>
      <w:r w:rsidR="009962A2">
        <w:rPr>
          <w:rFonts w:ascii="Arial" w:hAnsi="Arial" w:cs="Arial"/>
          <w:noProof/>
          <w:lang w:val="es-HN"/>
        </w:rPr>
        <w:t>(Banco Central de Honduras, 2020)</w:t>
      </w:r>
      <w:r w:rsidR="009962A2">
        <w:rPr>
          <w:rFonts w:ascii="Arial" w:hAnsi="Arial" w:cs="Arial"/>
          <w:lang w:val="es-HN"/>
        </w:rPr>
        <w:fldChar w:fldCharType="end"/>
      </w:r>
      <w:r w:rsidRPr="00E5260D">
        <w:rPr>
          <w:rFonts w:ascii="Arial" w:hAnsi="Arial" w:cs="Arial"/>
          <w:lang w:val="es-HN"/>
        </w:rPr>
        <w:t xml:space="preserve">, </w:t>
      </w:r>
      <w:r w:rsidR="0060233E" w:rsidRPr="0060233E">
        <w:rPr>
          <w:rFonts w:ascii="Arial" w:hAnsi="Arial" w:cs="Arial"/>
          <w:lang w:val="es-HN"/>
        </w:rPr>
        <w:t xml:space="preserve">la negociación del TLC con China representa una oportunidad relevante en materia de inversión. No obstante, como ha señalado la UNCTAD </w:t>
      </w:r>
      <w:r w:rsidR="0060233E">
        <w:rPr>
          <w:rFonts w:ascii="Arial" w:hAnsi="Arial" w:cs="Arial"/>
          <w:lang w:val="es-HN"/>
        </w:rPr>
        <w:fldChar w:fldCharType="begin"/>
      </w:r>
      <w:r w:rsidR="00E85E78">
        <w:rPr>
          <w:rFonts w:ascii="Arial" w:hAnsi="Arial" w:cs="Arial"/>
          <w:lang w:val="es-HN"/>
        </w:rPr>
        <w:instrText xml:space="preserve"> ADDIN ZOTERO_ITEM CSL_CITATION {"citationID":"MZUKiQMf","properties":{"unsorted":false,"formattedCitation":"(UNCTAD, 2008)","plainCitation":"(UNCTAD, 2008)","dontUpdate":true,"noteIndex":0},"citationItems":[{"id":1981,"uris":["http://zotero.org/users/10063313/items/SCVYND8J"],"itemData":{"id":1981,"type":"book","publisher":"Naciones Unidas","title":"Disposiciones de promoción de la inversión en los acuerdos internacionales de inversión","author":[{"family":"UNCTAD","given":""}],"issued":{"date-parts":[["2008"]]}}}],"schema":"https://github.com/citation-style-language/schema/raw/master/csl-citation.json"} </w:instrText>
      </w:r>
      <w:r w:rsidR="0060233E">
        <w:rPr>
          <w:rFonts w:ascii="Arial" w:hAnsi="Arial" w:cs="Arial"/>
          <w:lang w:val="es-HN"/>
        </w:rPr>
        <w:fldChar w:fldCharType="separate"/>
      </w:r>
      <w:r w:rsidR="0060233E">
        <w:rPr>
          <w:rFonts w:ascii="Arial" w:hAnsi="Arial" w:cs="Arial"/>
          <w:noProof/>
          <w:lang w:val="es-HN"/>
        </w:rPr>
        <w:t>(2008)</w:t>
      </w:r>
      <w:r w:rsidR="0060233E">
        <w:rPr>
          <w:rFonts w:ascii="Arial" w:hAnsi="Arial" w:cs="Arial"/>
          <w:lang w:val="es-HN"/>
        </w:rPr>
        <w:fldChar w:fldCharType="end"/>
      </w:r>
      <w:r w:rsidR="0060233E" w:rsidRPr="0060233E">
        <w:rPr>
          <w:rFonts w:ascii="Arial" w:hAnsi="Arial" w:cs="Arial"/>
          <w:lang w:val="es-HN"/>
        </w:rPr>
        <w:t>, los acuerdos internacionales de inversión tienden a centrar su contenido en la protección de las inversiones, mientras que la promoción activa se aborda como un efecto secundario de dicha protección, y solo una minoría de acuerdos incorpora disposiciones específicas orientadas al fomento de vínculos entre inversores extranjeros y empresas nacionales, la transferencia de tecnología o el fortalecimiento de capacidades productivas locales. Para Honduras, resulta pertinente que el capítulo de inversiones del acuerdo con China trascienda el enfoque de protección e incorpore disposiciones que incentiven una IED con potencial de generar encadenamientos productivos, transferencia de conocimientos y diversificación de la estructura productiva nacional.</w:t>
      </w:r>
    </w:p>
    <w:p w14:paraId="07EFB7C2" w14:textId="77777777" w:rsidR="00216CAC" w:rsidRPr="003E0592" w:rsidRDefault="00216CAC" w:rsidP="00505695">
      <w:pPr>
        <w:spacing w:after="240" w:line="360" w:lineRule="auto"/>
        <w:jc w:val="both"/>
        <w:rPr>
          <w:rFonts w:ascii="Arial" w:hAnsi="Arial" w:cs="Arial"/>
          <w:lang w:val="es-HN"/>
        </w:rPr>
      </w:pPr>
    </w:p>
    <w:p w14:paraId="21DD26E7" w14:textId="77777777" w:rsidR="00505695" w:rsidRDefault="00505695">
      <w:pPr>
        <w:pStyle w:val="Ttulo4"/>
        <w:numPr>
          <w:ilvl w:val="3"/>
          <w:numId w:val="20"/>
        </w:numPr>
        <w:spacing w:line="360" w:lineRule="auto"/>
        <w:rPr>
          <w:rFonts w:ascii="Arial" w:hAnsi="Arial" w:cs="Arial"/>
          <w:color w:val="auto"/>
        </w:rPr>
      </w:pPr>
      <w:r w:rsidRPr="003E0592">
        <w:rPr>
          <w:rFonts w:ascii="Arial" w:hAnsi="Arial" w:cs="Arial"/>
          <w:color w:val="auto"/>
        </w:rPr>
        <w:t xml:space="preserve">Oportunidades y desafíos en el comercio bilateral </w:t>
      </w:r>
    </w:p>
    <w:p w14:paraId="33E579DC" w14:textId="77777777" w:rsidR="0009231A" w:rsidRDefault="0009231A" w:rsidP="0009231A"/>
    <w:p w14:paraId="397E0B31" w14:textId="77777777" w:rsidR="0009231A" w:rsidRDefault="0009231A" w:rsidP="0009231A"/>
    <w:p w14:paraId="66599928" w14:textId="41943996" w:rsidR="001F04F6" w:rsidRPr="001F04F6" w:rsidRDefault="001F04F6" w:rsidP="001F04F6">
      <w:pPr>
        <w:spacing w:after="240" w:line="360" w:lineRule="auto"/>
        <w:jc w:val="both"/>
        <w:rPr>
          <w:rFonts w:ascii="Arial" w:hAnsi="Arial" w:cs="Arial"/>
        </w:rPr>
      </w:pPr>
      <w:r w:rsidRPr="001F04F6">
        <w:rPr>
          <w:rFonts w:ascii="Arial" w:hAnsi="Arial" w:cs="Arial"/>
        </w:rPr>
        <w:t xml:space="preserve">Aunque existen numerosas evaluaciones de acuerdos comerciales orientadas a identificar oportunidades y desafíos, no existe un consenso en la literatura académica sobre lo que ambas categorías implican de manera precisa. Diversos estudios </w:t>
      </w:r>
      <w:r w:rsidRPr="003E0592">
        <w:rPr>
          <w:rFonts w:ascii="Arial" w:hAnsi="Arial" w:cs="Arial"/>
        </w:rPr>
        <w:fldChar w:fldCharType="begin"/>
      </w:r>
      <w:r>
        <w:rPr>
          <w:rFonts w:ascii="Arial" w:hAnsi="Arial" w:cs="Arial"/>
        </w:rPr>
        <w:instrText xml:space="preserve"> ADDIN ZOTERO_ITEM CSL_CITATION {"citationID":"IYsnYZgp","properties":{"formattedCitation":"(Ajewole et\\uc0\\u160{}al., 2022; Esquivel, 2020; Monge-Gonz\\uc0\\u225{}lez et\\uc0\\u160{}al., 2003; Vicarioli, 2011; Zhiltsov et\\uc0\\u160{}al., 2022)","plainCitation":"(Ajewole et al., 2022; Esquivel, 2020; Monge-González et al., 2003; Vicarioli, 2011; Zhiltsov et al., 2022)","noteIndex":0},"citationItems":[{"id":63,"uris":["http://zotero.org/users/10063313/items/86BC6JSD"],"itemData":{"id":63,"type":"article-journal","container-title":"Economic Research Service","title":"Do Free Trade Agreements Benefit Developing Countries? An Examination of U.S. Agreements","author":[{"family":"Ajewole","given":"Kayode"},{"family":"Beckman","given":"Jayson"},{"family":"Gerval","given":"Adam"},{"family":"Johnson","given":"William"},{"family":"Morgan","given":"Stephen"},{"family":"Sabala","given":"Ethan"}],"issued":{"date-parts":[["2022",9]]}}},{"id":67,"uris":["http://zotero.org/users/10063313/items/LS5PA5I5"],"itemData":{"id":67,"type":"thesis","publisher-place":"Heredia","title":"El Acuerdo de Asociación entre Centroamerica y la Unión Europea (AACUE): Retos y Oportunidades para Costa Rica)","author":[{"family":"Esquivel","given":"Brenda González"}],"issued":{"date-parts":[["2020"]]}}},{"id":66,"uris":["http://zotero.org/users/10063313/items/2CMWHP4H"],"itemData":{"id":66,"type":"report","publisher":"Banco Mundial","title":"Retos y Oportunidades para los Sectores Agropecuario y Agroindustrial de Centro América ante un Tratado de Libre Comercio con los Estados Unidos","author":[{"family":"Monge-González","given":"Ricardo"},{"family":"Loría-Sagot","given":"Miguel"},{"family":"González-Vega","given":"Claudio"}],"issued":{"date-parts":[["2003"]]}}},{"id":65,"uris":["http://zotero.org/users/10063313/items/YX35DDY3"],"itemData":{"id":65,"type":"article-journal","container-title":"Revista de Ciencias Jurídicas","page":"13-30","title":"Oportunidades y desafíos del Acuerdo de Asociación con la Unión Europea","author":[{"family":"Vicarioli","given":"Velia Govaere"}],"issued":{"date-parts":[["2011",8]]}}},{"id":64,"uris":["http://zotero.org/users/10063313/items/NL7999XV"],"itemData":{"id":64,"type":"article-journal","container-title":"Iberoamérica","page":"148-174","title":"Relaciones de los países de América Latina y la República Popular de China: Oportunidades y Retos","volume":"2","author":[{"family":"Zhiltsov","given":"Sergey S."},{"family":"Petrenko","given":"Elizaveta Yu"},{"family":"Carreras","given":"Manuel Ignacio"}],"issued":{"date-parts":[["2022"]]}}}],"schema":"https://github.com/citation-style-language/schema/raw/master/csl-citation.json"} </w:instrText>
      </w:r>
      <w:r w:rsidRPr="003E0592">
        <w:rPr>
          <w:rFonts w:ascii="Arial" w:hAnsi="Arial" w:cs="Arial"/>
        </w:rPr>
        <w:fldChar w:fldCharType="separate"/>
      </w:r>
      <w:r w:rsidRPr="003E0592">
        <w:rPr>
          <w:rFonts w:ascii="Arial" w:hAnsi="Arial" w:cs="Arial"/>
        </w:rPr>
        <w:t>(Ajewole et al., 2022; Esquivel, 2020; Monge-González et al., 2003; Vicarioli, 2011; Zhiltsov et al., 2022)</w:t>
      </w:r>
      <w:r w:rsidRPr="003E0592">
        <w:rPr>
          <w:rFonts w:ascii="Arial" w:hAnsi="Arial" w:cs="Arial"/>
        </w:rPr>
        <w:fldChar w:fldCharType="end"/>
      </w:r>
      <w:r w:rsidRPr="003E0592">
        <w:rPr>
          <w:rFonts w:ascii="Arial" w:hAnsi="Arial" w:cs="Arial"/>
        </w:rPr>
        <w:t xml:space="preserve"> </w:t>
      </w:r>
      <w:r w:rsidRPr="001F04F6">
        <w:rPr>
          <w:rFonts w:ascii="Arial" w:hAnsi="Arial" w:cs="Arial"/>
        </w:rPr>
        <w:t xml:space="preserve">entienden las oportunidades como los potenciales efectos positivos derivados de un acuerdo, tales como el incremento de los flujos comerciales </w:t>
      </w:r>
      <w:r w:rsidRPr="003E0592">
        <w:rPr>
          <w:rFonts w:ascii="Arial" w:hAnsi="Arial" w:cs="Arial"/>
          <w:lang w:val="es-HN"/>
        </w:rPr>
        <w:fldChar w:fldCharType="begin"/>
      </w:r>
      <w:r>
        <w:rPr>
          <w:rFonts w:ascii="Arial" w:hAnsi="Arial" w:cs="Arial"/>
          <w:lang w:val="es-HN"/>
        </w:rPr>
        <w:instrText xml:space="preserve"> ADDIN ZOTERO_ITEM CSL_CITATION {"citationID":"aCQBIK3u","properties":{"formattedCitation":"(Jim\\uc0\\u233{}nez &amp; Narbona, 2010)","plainCitation":"(Jiménez &amp; Narbona, 2010)","dontUpdate":true,"noteIndex":0},"citationItems":[{"id":62,"uris":["http://zotero.org/users/10063313/items/84X69PSK"],"itemData":{"id":62,"type":"article-journal","container-title":"Revista de Economía Mundial","page":"23-48","title":"Los factores institucionales como determinantes de los flujos comerciales internacionales","volume":"24","author":[{"family":"Jiménez","given":"Juan Carlos"},{"family":"Narbona","given":"Aránzazu"}],"issued":{"date-parts":[["2010"]]}}}],"schema":"https://github.com/citation-style-language/schema/raw/master/csl-citation.json"} </w:instrText>
      </w:r>
      <w:r w:rsidRPr="003E0592">
        <w:rPr>
          <w:rFonts w:ascii="Arial" w:hAnsi="Arial" w:cs="Arial"/>
          <w:lang w:val="es-HN"/>
        </w:rPr>
        <w:fldChar w:fldCharType="separate"/>
      </w:r>
      <w:r w:rsidRPr="003E0592">
        <w:rPr>
          <w:rFonts w:ascii="Arial" w:hAnsi="Arial" w:cs="Arial"/>
        </w:rPr>
        <w:t>(Jiménez et al., 2010)</w:t>
      </w:r>
      <w:r w:rsidRPr="003E0592">
        <w:rPr>
          <w:rFonts w:ascii="Arial" w:hAnsi="Arial" w:cs="Arial"/>
          <w:lang w:val="es-HN"/>
        </w:rPr>
        <w:fldChar w:fldCharType="end"/>
      </w:r>
      <w:r>
        <w:rPr>
          <w:rFonts w:ascii="Arial" w:hAnsi="Arial" w:cs="Arial"/>
          <w:lang w:val="es-HN"/>
        </w:rPr>
        <w:t xml:space="preserve">, </w:t>
      </w:r>
      <w:r w:rsidRPr="001F04F6">
        <w:rPr>
          <w:rFonts w:ascii="Arial" w:hAnsi="Arial" w:cs="Arial"/>
        </w:rPr>
        <w:t>el acceso preferencial a nuevos mercados, el crecimiento de sectores productivos y la mayor atracción de inversión extranjera directa</w:t>
      </w:r>
      <w:r>
        <w:rPr>
          <w:rFonts w:ascii="Arial" w:hAnsi="Arial" w:cs="Arial"/>
        </w:rPr>
        <w:t xml:space="preserve"> </w:t>
      </w:r>
      <w:r w:rsidRPr="003E0592">
        <w:rPr>
          <w:rFonts w:ascii="Arial" w:hAnsi="Arial" w:cs="Arial"/>
        </w:rPr>
        <w:t>(Ajewole et al., 2022; Esquivel, 2020</w:t>
      </w:r>
      <w:r>
        <w:rPr>
          <w:rFonts w:ascii="Arial" w:hAnsi="Arial" w:cs="Arial"/>
        </w:rPr>
        <w:t xml:space="preserve">). </w:t>
      </w:r>
      <w:r w:rsidRPr="001F04F6">
        <w:rPr>
          <w:rFonts w:ascii="Arial" w:hAnsi="Arial" w:cs="Arial"/>
        </w:rPr>
        <w:t>Los desafíos, por su parte, se asocian con los obstáculos que enfrenta un país en la negociación o implementación de un acuerdo, o con los efectos adversos que pueden surgir una vez este entra en vigor.</w:t>
      </w:r>
    </w:p>
    <w:p w14:paraId="16557F6E" w14:textId="0A5F0C5B" w:rsidR="001F04F6" w:rsidRPr="001F04F6" w:rsidRDefault="001F04F6" w:rsidP="001F04F6">
      <w:pPr>
        <w:spacing w:after="240" w:line="360" w:lineRule="auto"/>
        <w:jc w:val="both"/>
        <w:rPr>
          <w:rFonts w:ascii="Arial" w:hAnsi="Arial" w:cs="Arial"/>
        </w:rPr>
      </w:pPr>
      <w:r w:rsidRPr="001F04F6">
        <w:rPr>
          <w:rFonts w:ascii="Arial" w:hAnsi="Arial" w:cs="Arial"/>
        </w:rPr>
        <w:lastRenderedPageBreak/>
        <w:t xml:space="preserve">No obstante, la distinción entre oportunidades y desafíos no debe entenderse como una separación nítida entre resultados positivos y negativos, sino como dimensiones interdependientes de un mismo proceso. Una oportunidad de acceso a un mercado de gran escala, como el chino, solo se concreta si el país exportador cuenta con las condiciones necesarias para aprovecharla. Trejos </w:t>
      </w:r>
      <w:r>
        <w:rPr>
          <w:rFonts w:ascii="Arial" w:hAnsi="Arial" w:cs="Arial"/>
        </w:rPr>
        <w:fldChar w:fldCharType="begin"/>
      </w:r>
      <w:r>
        <w:rPr>
          <w:rFonts w:ascii="Arial" w:hAnsi="Arial" w:cs="Arial"/>
        </w:rPr>
        <w:instrText xml:space="preserve"> ADDIN ZOTERO_ITEM CSL_CITATION {"citationID":"xAIb4bk7","properties":{"formattedCitation":"(Trejos, 2009)","plainCitation":"(Trejos, 2009)","dontUpdate":true,"noteIndex":0},"citationItems":[{"id":53,"uris":["http://zotero.org/users/10063313/items/M22TC7J5"],"itemData":{"id":53,"type":"chapter","container-title":"Comisión Económica para América Latina y el Caribe (CEPAL","language":"es","title":"Instrumentos para la evaluación del impacto de acuerdos comerciales internacionales: aplicaciones para países pequeños en América Latina","author":[{"family":"Trejos","given":"A"}],"editor":[{"family":"México","given":"D F"}],"issued":{"date-parts":[["2009"]]}}}],"schema":"https://github.com/citation-style-language/schema/raw/master/csl-citation.json"} </w:instrText>
      </w:r>
      <w:r>
        <w:rPr>
          <w:rFonts w:ascii="Arial" w:hAnsi="Arial" w:cs="Arial"/>
        </w:rPr>
        <w:fldChar w:fldCharType="separate"/>
      </w:r>
      <w:r w:rsidRPr="003A0730">
        <w:rPr>
          <w:rFonts w:ascii="Arial" w:hAnsi="Arial" w:cs="Arial"/>
        </w:rPr>
        <w:t>(2009)</w:t>
      </w:r>
      <w:r>
        <w:rPr>
          <w:rFonts w:ascii="Arial" w:hAnsi="Arial" w:cs="Arial"/>
        </w:rPr>
        <w:fldChar w:fldCharType="end"/>
      </w:r>
      <w:r w:rsidRPr="001F04F6">
        <w:rPr>
          <w:rFonts w:ascii="Arial" w:hAnsi="Arial" w:cs="Arial"/>
        </w:rPr>
        <w:t xml:space="preserve"> señala que el aprovechamiento efectivo de un TLC va más allá de la reducción arancelaria y plantea la necesidad de evaluar las condiciones bajo las cuales los países pequeños pueden beneficiarse de estos acuerdos. Entre las condiciones que la literatura identifica como determinantes del aprovechamiento se encuentran la capacidad productiva, la infraestructura logística, el acceso a financiamiento, la información comercial oportuna y el cumplimiento de los requisitos del mercado destino</w:t>
      </w:r>
      <w:r>
        <w:rPr>
          <w:rFonts w:ascii="Arial" w:hAnsi="Arial" w:cs="Arial"/>
        </w:rPr>
        <w:t xml:space="preserve"> </w:t>
      </w:r>
      <w:r>
        <w:rPr>
          <w:rFonts w:ascii="Arial" w:hAnsi="Arial" w:cs="Arial"/>
        </w:rPr>
        <w:fldChar w:fldCharType="begin"/>
      </w:r>
      <w:r w:rsidR="00E85E78">
        <w:rPr>
          <w:rFonts w:ascii="Arial" w:hAnsi="Arial" w:cs="Arial"/>
        </w:rPr>
        <w:instrText xml:space="preserve"> ADDIN ZOTERO_ITEM CSL_CITATION {"citationID":"cj6zZ6rs","properties":{"unsorted":false,"formattedCitation":"(Divisi\\uc0\\u243{}n de Comercio Internacional e Integraci\\uc0\\u243{}n de la Comisi\\uc0\\u243{}n Econ\\uc0\\u243{}mica para Am\\uc0\\u233{}rica Latina y el Caribe (CEPAL), 2023; Monge-Gonz\\uc0\\u225{}lez et\\uc0\\u160{}al., 2003)","plainCitation":"(División de Comercio Internacional e Integración de la Comisión Económica para América Latina y el Caribe (CEPAL), 2023; Monge-González et al., 2003)","dontUpdate":true,"noteIndex":0},"citationItems":[{"id":1923,"uris":["http://zotero.org/users/10063313/items/Y7RFKDK9"],"itemData":{"id":1923,"type":"article-journal","language":"es","source":"Zotero","title":"Perspectivas del Comercio Internacional de América Latina y el Caribe, 2023","author":[{"literal":"División de Comercio Internacional e Integración de la Comisión Económica para América Latina y el Caribe (CEPAL)"}],"issued":{"date-parts":[["2023"]]}}},{"id":66,"uris":["http://zotero.org/users/10063313/items/2CMWHP4H"],"itemData":{"id":66,"type":"report","publisher":"Banco Mundial","title":"Retos y Oportunidades para los Sectores Agropecuario y Agroindustrial de Centro América ante un Tratado de Libre Comercio con los Estados Unidos","author":[{"family":"Monge-González","given":"Ricardo"},{"family":"Loría-Sagot","given":"Miguel"},{"family":"González-Vega","given":"Claudio"}],"issued":{"date-parts":[["2003"]]}}}],"schema":"https://github.com/citation-style-language/schema/raw/master/csl-citation.json"} </w:instrText>
      </w:r>
      <w:r>
        <w:rPr>
          <w:rFonts w:ascii="Arial" w:hAnsi="Arial" w:cs="Arial"/>
        </w:rPr>
        <w:fldChar w:fldCharType="separate"/>
      </w:r>
      <w:r w:rsidRPr="001F04F6">
        <w:rPr>
          <w:rFonts w:ascii="Arial" w:eastAsiaTheme="minorHAnsi" w:hAnsi="Arial" w:cs="Arial"/>
          <w:lang w:val="es-MX" w:eastAsia="en-US"/>
          <w14:ligatures w14:val="standardContextual"/>
        </w:rPr>
        <w:t>(CEPAL, 2023; Monge-González et al., 2003)</w:t>
      </w:r>
      <w:r>
        <w:rPr>
          <w:rFonts w:ascii="Arial" w:hAnsi="Arial" w:cs="Arial"/>
        </w:rPr>
        <w:fldChar w:fldCharType="end"/>
      </w:r>
      <w:r w:rsidRPr="001F04F6">
        <w:rPr>
          <w:rFonts w:ascii="Arial" w:hAnsi="Arial" w:cs="Arial"/>
        </w:rPr>
        <w:t>. La experiencia de países latinoamericanos con TLC vigentes con China ha demostrado que el acceso preferencial no se traduce automáticamente en un incremento sostenido de las exportaciones cuando estas condiciones no están resueltas</w:t>
      </w:r>
      <w:r>
        <w:rPr>
          <w:rFonts w:ascii="Arial" w:hAnsi="Arial" w:cs="Arial"/>
        </w:rPr>
        <w:t xml:space="preserve"> </w:t>
      </w:r>
      <w:r>
        <w:rPr>
          <w:rFonts w:ascii="Arial" w:hAnsi="Arial" w:cs="Arial"/>
        </w:rPr>
        <w:fldChar w:fldCharType="begin"/>
      </w:r>
      <w:r w:rsidR="00E85E78">
        <w:rPr>
          <w:rFonts w:ascii="Arial" w:hAnsi="Arial" w:cs="Arial"/>
        </w:rPr>
        <w:instrText xml:space="preserve"> ADDIN ZOTERO_ITEM CSL_CITATION {"citationID":"7oKuVIsc","properties":{"unsorted":false,"formattedCitation":"(Divisi\\uc0\\u243{}n de Comercio Internacional e Integraci\\uc0\\u243{}n de la Comisi\\uc0\\u243{}n Econ\\uc0\\u243{}mica para Am\\uc0\\u233{}rica Latina y el Caribe (CEPAL), 2023)","plainCitation":"(División de Comercio Internacional e Integración de la Comisión Económica para América Latina y el Caribe (CEPAL), 2023)","dontUpdate":true,"noteIndex":0},"citationItems":[{"id":1923,"uris":["http://zotero.org/users/10063313/items/Y7RFKDK9"],"itemData":{"id":1923,"type":"article-journal","language":"es","source":"Zotero","title":"Perspectivas del Comercio Internacional de América Latina y el Caribe, 2023","author":[{"literal":"División de Comercio Internacional e Integración de la Comisión Económica para América Latina y el Caribe (CEPAL)"}],"issued":{"date-parts":[["2023"]]}}}],"schema":"https://github.com/citation-style-language/schema/raw/master/csl-citation.json"} </w:instrText>
      </w:r>
      <w:r>
        <w:rPr>
          <w:rFonts w:ascii="Arial" w:hAnsi="Arial" w:cs="Arial"/>
        </w:rPr>
        <w:fldChar w:fldCharType="separate"/>
      </w:r>
      <w:r w:rsidRPr="001F04F6">
        <w:rPr>
          <w:rFonts w:ascii="Arial" w:eastAsiaTheme="minorHAnsi" w:hAnsi="Arial" w:cs="Arial"/>
          <w:lang w:val="es-MX" w:eastAsia="en-US"/>
          <w14:ligatures w14:val="standardContextual"/>
        </w:rPr>
        <w:t>(CEPAL, 2023)</w:t>
      </w:r>
      <w:r>
        <w:rPr>
          <w:rFonts w:ascii="Arial" w:hAnsi="Arial" w:cs="Arial"/>
        </w:rPr>
        <w:fldChar w:fldCharType="end"/>
      </w:r>
      <w:r>
        <w:rPr>
          <w:rFonts w:ascii="Arial" w:hAnsi="Arial" w:cs="Arial"/>
        </w:rPr>
        <w:t xml:space="preserve">. </w:t>
      </w:r>
      <w:r w:rsidRPr="001F04F6">
        <w:rPr>
          <w:rFonts w:ascii="Arial" w:hAnsi="Arial" w:cs="Arial"/>
        </w:rPr>
        <w:t>En este sentido, el aprovechamiento debe comprenderse como un proceso activo que requiere políticas complementarias de fortalecimiento institucional y productivo, no como un resultado natural de la apertura comercial.</w:t>
      </w:r>
    </w:p>
    <w:p w14:paraId="69066804" w14:textId="4D6583EE" w:rsidR="001F04F6" w:rsidRPr="001F04F6" w:rsidRDefault="001F04F6" w:rsidP="001F04F6">
      <w:pPr>
        <w:spacing w:after="240" w:line="360" w:lineRule="auto"/>
        <w:jc w:val="both"/>
        <w:rPr>
          <w:rFonts w:ascii="Arial" w:hAnsi="Arial" w:cs="Arial"/>
        </w:rPr>
      </w:pPr>
      <w:r w:rsidRPr="001F04F6">
        <w:rPr>
          <w:rFonts w:ascii="Arial" w:hAnsi="Arial" w:cs="Arial"/>
        </w:rPr>
        <w:t>Estrechamente vinculada al aprovechamiento se encuentra la cuestión de la capacidad productiva, entendida como la aptitud de un país para producir bienes en las cantidades, estándares de calidad y condiciones de regularidad que exige un mercado determinado. Para economías cuya oferta exportable se concentra en un número reducido de productos primarios, como ha documentado la CEPAL en relación con América Latina y China</w:t>
      </w:r>
      <w:r>
        <w:rPr>
          <w:rFonts w:ascii="Arial" w:hAnsi="Arial" w:cs="Arial"/>
        </w:rPr>
        <w:t xml:space="preserve"> </w:t>
      </w:r>
      <w:r>
        <w:rPr>
          <w:rFonts w:ascii="Arial" w:hAnsi="Arial" w:cs="Arial"/>
        </w:rPr>
        <w:fldChar w:fldCharType="begin"/>
      </w:r>
      <w:r>
        <w:rPr>
          <w:rFonts w:ascii="Arial" w:hAnsi="Arial" w:cs="Arial"/>
        </w:rPr>
        <w:instrText xml:space="preserve"> ADDIN ZOTERO_ITEM CSL_CITATION {"citationID":"OmL12IUW","properties":{"unsorted":false,"formattedCitation":"(Dur\\uc0\\u225{}n &amp; Pellandra, 2017)","plainCitation":"(Durán &amp; Pellandra, 2017)","noteIndex":0},"citationItems":[{"id":5,"uris":["http://zotero.org/users/10063313/items/CW94AJIV"],"itemData":{"id":5,"type":"report","publisher":"Naciones Unidas","publisher-place":"Santiago","title":"La irrupción de China y su impacto sobre la estructura productiva y comercial en América Latina y el Caribe","author":[{"family":"Durán","given":"José"},{"family":"Pellandra","given":"Andrea"}],"issued":{"date-parts":[["2017"]]}}}],"schema":"https://github.com/citation-style-language/schema/raw/master/csl-citation.json"} </w:instrText>
      </w:r>
      <w:r>
        <w:rPr>
          <w:rFonts w:ascii="Arial" w:hAnsi="Arial" w:cs="Arial"/>
        </w:rPr>
        <w:fldChar w:fldCharType="separate"/>
      </w:r>
      <w:r w:rsidRPr="001F04F6">
        <w:rPr>
          <w:rFonts w:ascii="Arial" w:eastAsiaTheme="minorHAnsi" w:hAnsi="Arial" w:cs="Arial"/>
          <w:lang w:val="es-MX" w:eastAsia="en-US"/>
          <w14:ligatures w14:val="standardContextual"/>
        </w:rPr>
        <w:t>(Durán &amp; Pellandra, 2017)</w:t>
      </w:r>
      <w:r>
        <w:rPr>
          <w:rFonts w:ascii="Arial" w:hAnsi="Arial" w:cs="Arial"/>
        </w:rPr>
        <w:fldChar w:fldCharType="end"/>
      </w:r>
      <w:r w:rsidRPr="001F04F6">
        <w:rPr>
          <w:rFonts w:ascii="Arial" w:hAnsi="Arial" w:cs="Arial"/>
        </w:rPr>
        <w:t>, la capacidad de responder a la demanda de un mercado de gran dimensión requiere no solo aumentar volúmenes de producción, sino también avanzar hacia eslabones de mayor valor dentro de las cadenas productivas, lo cual implica inversión en infraestructura, tecnología, capacitación y certificaciones. Sin estas condiciones, las oportunidades identificadas en un análisis comercial corren el riesgo de permanecer como potencialidades teóricas.</w:t>
      </w:r>
    </w:p>
    <w:p w14:paraId="35D13F1D" w14:textId="3038E4A1" w:rsidR="001F04F6" w:rsidRPr="001F04F6" w:rsidRDefault="001F04F6" w:rsidP="001F04F6">
      <w:pPr>
        <w:spacing w:after="240" w:line="360" w:lineRule="auto"/>
        <w:jc w:val="both"/>
        <w:rPr>
          <w:rFonts w:ascii="Arial" w:hAnsi="Arial" w:cs="Arial"/>
        </w:rPr>
      </w:pPr>
      <w:r w:rsidRPr="001F04F6">
        <w:rPr>
          <w:rFonts w:ascii="Arial" w:hAnsi="Arial" w:cs="Arial"/>
        </w:rPr>
        <w:t xml:space="preserve">En la misma línea, la diversificación exportadora constituye un factor determinante para que un acuerdo comercial genere beneficios sostenibles. La </w:t>
      </w:r>
      <w:r w:rsidRPr="001F04F6">
        <w:rPr>
          <w:rFonts w:ascii="Arial" w:hAnsi="Arial" w:cs="Arial"/>
        </w:rPr>
        <w:lastRenderedPageBreak/>
        <w:t>CEPA</w:t>
      </w:r>
      <w:r w:rsidR="00FC7779">
        <w:rPr>
          <w:rFonts w:ascii="Arial" w:hAnsi="Arial" w:cs="Arial"/>
        </w:rPr>
        <w:t xml:space="preserve">L </w:t>
      </w:r>
      <w:r w:rsidR="00FC7779">
        <w:rPr>
          <w:rFonts w:ascii="Arial" w:hAnsi="Arial" w:cs="Arial"/>
        </w:rPr>
        <w:fldChar w:fldCharType="begin"/>
      </w:r>
      <w:r w:rsidR="00E85E78">
        <w:rPr>
          <w:rFonts w:ascii="Arial" w:hAnsi="Arial" w:cs="Arial"/>
        </w:rPr>
        <w:instrText xml:space="preserve"> ADDIN ZOTERO_ITEM CSL_CITATION {"citationID":"vVThRsn9","properties":{"unsorted":false,"formattedCitation":"(CEPAL, 2025)","plainCitation":"(CEPAL, 2025)","dontUpdate":true,"noteIndex":0},"citationItems":[{"id":1963,"uris":["http://zotero.org/users/10063313/items/STE6C9EM"],"itemData":{"id":1963,"type":"article-journal","title":"Las relaciones entre América Latina y el Caribe y China: áreas de oportunidad para un desarrollo más productivo, inclusivo y sostenible","author":[{"literal":"CEPAL"}],"issued":{"date-parts":[["2025"]]}}}],"schema":"https://github.com/citation-style-language/schema/raw/master/csl-citation.json"} </w:instrText>
      </w:r>
      <w:r w:rsidR="00FC7779">
        <w:rPr>
          <w:rFonts w:ascii="Arial" w:hAnsi="Arial" w:cs="Arial"/>
        </w:rPr>
        <w:fldChar w:fldCharType="separate"/>
      </w:r>
      <w:r w:rsidR="00FC7779">
        <w:rPr>
          <w:rFonts w:ascii="Arial" w:hAnsi="Arial" w:cs="Arial"/>
          <w:noProof/>
        </w:rPr>
        <w:t>(2025)</w:t>
      </w:r>
      <w:r w:rsidR="00FC7779">
        <w:rPr>
          <w:rFonts w:ascii="Arial" w:hAnsi="Arial" w:cs="Arial"/>
        </w:rPr>
        <w:fldChar w:fldCharType="end"/>
      </w:r>
      <w:r w:rsidR="00FC7779">
        <w:rPr>
          <w:rFonts w:ascii="Arial" w:hAnsi="Arial" w:cs="Arial"/>
        </w:rPr>
        <w:t xml:space="preserve"> </w:t>
      </w:r>
      <w:r w:rsidRPr="001F04F6">
        <w:rPr>
          <w:rFonts w:ascii="Arial" w:hAnsi="Arial" w:cs="Arial"/>
        </w:rPr>
        <w:t>ha señalado que la concentración de las exportaciones latinoamericanas en bienes primarios, que representaron el 74% de las ventas a China entre 2000 y 2023, constituye un factor de vulnerabilidad frente a la volatilidad de precios y a los cambios en la demanda del mercado chino. La incorporación de valor agregado a los productos exportados, mediante procesos de transformación, diferenciación o certificación, puede contribuir a mejorar los términos de intercambio y a reducir la dependencia de exportaciones sin procesamiento. En este contexto, la diversificación no solo implica ampliar la variedad de productos exportados, sino también transitar de una inserción basada exclusivamente en ventajas naturales hacia una que incorpore capacidades productivas y diferenciación de mercado.</w:t>
      </w:r>
    </w:p>
    <w:p w14:paraId="376F1753" w14:textId="4AC2E26B" w:rsidR="001F04F6" w:rsidRPr="001F04F6" w:rsidRDefault="001F04F6" w:rsidP="001F04F6">
      <w:pPr>
        <w:spacing w:after="240" w:line="360" w:lineRule="auto"/>
        <w:jc w:val="both"/>
        <w:rPr>
          <w:rFonts w:ascii="Arial" w:hAnsi="Arial" w:cs="Arial"/>
        </w:rPr>
      </w:pPr>
      <w:r w:rsidRPr="001F04F6">
        <w:rPr>
          <w:rFonts w:ascii="Arial" w:hAnsi="Arial" w:cs="Arial"/>
        </w:rPr>
        <w:t xml:space="preserve">A los desafíos de carácter productivo se suman los de naturaleza regulatoria e institucional. Monge et al. </w:t>
      </w:r>
      <w:r w:rsidR="00FC7779">
        <w:rPr>
          <w:rFonts w:ascii="Arial" w:hAnsi="Arial" w:cs="Arial"/>
        </w:rPr>
        <w:fldChar w:fldCharType="begin"/>
      </w:r>
      <w:r w:rsidR="00E85E78">
        <w:rPr>
          <w:rFonts w:ascii="Arial" w:hAnsi="Arial" w:cs="Arial"/>
        </w:rPr>
        <w:instrText xml:space="preserve"> ADDIN ZOTERO_ITEM CSL_CITATION {"citationID":"MbXmZT2V","properties":{"unsorted":false,"formattedCitation":"(Monge-Gonz\\uc0\\u225{}lez et\\uc0\\u160{}al., 2003)","plainCitation":"(Monge-González et al., 2003)","dontUpdate":true,"noteIndex":0},"citationItems":[{"id":66,"uris":["http://zotero.org/users/10063313/items/2CMWHP4H"],"itemData":{"id":66,"type":"report","publisher":"Banco Mundial","title":"Retos y Oportunidades para los Sectores Agropecuario y Agroindustrial de Centro América ante un Tratado de Libre Comercio con los Estados Unidos","author":[{"family":"Monge-González","given":"Ricardo"},{"family":"Loría-Sagot","given":"Miguel"},{"family":"González-Vega","given":"Claudio"}],"issued":{"date-parts":[["2003"]]}}}],"schema":"https://github.com/citation-style-language/schema/raw/master/csl-citation.json"} </w:instrText>
      </w:r>
      <w:r w:rsidR="00FC7779">
        <w:rPr>
          <w:rFonts w:ascii="Arial" w:hAnsi="Arial" w:cs="Arial"/>
        </w:rPr>
        <w:fldChar w:fldCharType="separate"/>
      </w:r>
      <w:r w:rsidR="00FC7779" w:rsidRPr="00FC7779">
        <w:rPr>
          <w:rFonts w:ascii="Arial" w:eastAsiaTheme="minorHAnsi" w:hAnsi="Arial" w:cs="Arial"/>
          <w:lang w:val="es-MX" w:eastAsia="en-US"/>
          <w14:ligatures w14:val="standardContextual"/>
        </w:rPr>
        <w:t>(2003)</w:t>
      </w:r>
      <w:r w:rsidR="00FC7779">
        <w:rPr>
          <w:rFonts w:ascii="Arial" w:hAnsi="Arial" w:cs="Arial"/>
        </w:rPr>
        <w:fldChar w:fldCharType="end"/>
      </w:r>
      <w:r w:rsidR="00FC7779">
        <w:rPr>
          <w:rFonts w:ascii="Arial" w:hAnsi="Arial" w:cs="Arial"/>
        </w:rPr>
        <w:t xml:space="preserve"> </w:t>
      </w:r>
      <w:r w:rsidRPr="001F04F6">
        <w:rPr>
          <w:rFonts w:ascii="Arial" w:hAnsi="Arial" w:cs="Arial"/>
        </w:rPr>
        <w:t>advierte que</w:t>
      </w:r>
      <w:r w:rsidR="00673EB4">
        <w:rPr>
          <w:rFonts w:ascii="Arial" w:hAnsi="Arial" w:cs="Arial"/>
        </w:rPr>
        <w:t>,</w:t>
      </w:r>
      <w:r w:rsidRPr="001F04F6">
        <w:rPr>
          <w:rFonts w:ascii="Arial" w:hAnsi="Arial" w:cs="Arial"/>
        </w:rPr>
        <w:t xml:space="preserve"> al eliminar aranceles y barreras comerciales, se debe evitar que las reglas de origen, normas técnicas y requisitos sanitarios y fitosanitarios se conviertan en obstáculos frente al comercio con el mercado destino. Asimismo, la armonización institucional en áreas como la propiedad intelectual y los estándares técnicos exigidos por los países más desarrollados puede ralentizar el acceso efectivo a sus mercados </w:t>
      </w:r>
      <w:r w:rsidR="00FC7779">
        <w:rPr>
          <w:rFonts w:ascii="Arial" w:hAnsi="Arial" w:cs="Arial"/>
        </w:rPr>
        <w:fldChar w:fldCharType="begin"/>
      </w:r>
      <w:r w:rsidR="00B63473">
        <w:rPr>
          <w:rFonts w:ascii="Arial" w:hAnsi="Arial" w:cs="Arial"/>
        </w:rPr>
        <w:instrText xml:space="preserve"> ADDIN ZOTERO_ITEM CSL_CITATION {"citationID":"5pEvLv7t","properties":{"unsorted":false,"formattedCitation":"(Banco Mundial, 2002)","plainCitation":"(Banco Mundial, 2002)","noteIndex":0},"citationItems":[{"id":68,"uris":["http://zotero.org/users/10063313/items/JGVWSLSX"],"itemData":{"id":68,"type":"report","publisher":"A World Bank Policy Research Report","publisher-place":"Washington","title":"Globalization, Growth, and Poverty","author":[{"literal":"Banco Mundial"}],"issued":{"date-parts":[["2002"]]}}}],"schema":"https://github.com/citation-style-language/schema/raw/master/csl-citation.json"} </w:instrText>
      </w:r>
      <w:r w:rsidR="00FC7779">
        <w:rPr>
          <w:rFonts w:ascii="Arial" w:hAnsi="Arial" w:cs="Arial"/>
        </w:rPr>
        <w:fldChar w:fldCharType="separate"/>
      </w:r>
      <w:r w:rsidR="00B63473">
        <w:rPr>
          <w:rFonts w:ascii="Arial" w:hAnsi="Arial" w:cs="Arial"/>
          <w:noProof/>
        </w:rPr>
        <w:t>(Banco Mundial, 2002)</w:t>
      </w:r>
      <w:r w:rsidR="00FC7779">
        <w:rPr>
          <w:rFonts w:ascii="Arial" w:hAnsi="Arial" w:cs="Arial"/>
        </w:rPr>
        <w:fldChar w:fldCharType="end"/>
      </w:r>
      <w:r w:rsidR="00B63473">
        <w:rPr>
          <w:rFonts w:ascii="Arial" w:hAnsi="Arial" w:cs="Arial"/>
        </w:rPr>
        <w:t xml:space="preserve">. </w:t>
      </w:r>
      <w:r w:rsidRPr="001F04F6">
        <w:rPr>
          <w:rFonts w:ascii="Arial" w:hAnsi="Arial" w:cs="Arial"/>
        </w:rPr>
        <w:t>En el caso de un acuerdo con China, estos desafíos adquieren particular relevancia dada la complejidad del sistema regulatorio chino y las diferencias institucionales entre ambos países.</w:t>
      </w:r>
    </w:p>
    <w:p w14:paraId="7411ACD2" w14:textId="04F5565D" w:rsidR="009F235B" w:rsidRDefault="001F04F6" w:rsidP="003E0592">
      <w:pPr>
        <w:spacing w:after="240" w:line="360" w:lineRule="auto"/>
        <w:jc w:val="both"/>
        <w:rPr>
          <w:rFonts w:ascii="Arial" w:hAnsi="Arial" w:cs="Arial"/>
        </w:rPr>
      </w:pPr>
      <w:r w:rsidRPr="001F04F6">
        <w:rPr>
          <w:rFonts w:ascii="Arial" w:hAnsi="Arial" w:cs="Arial"/>
        </w:rPr>
        <w:t>La identificación temprana de estas oportunidades y desafíos, incluso desde la fase de negociación, resulta esencial para que ambos países tomen decisiones informadas y para que se puedan diseñar políticas que fortalezcan las condiciones de aprovechamiento del acuerdo, defendiendo los intereses de consumidores, productores y el Estado.</w:t>
      </w:r>
    </w:p>
    <w:p w14:paraId="09580617" w14:textId="40A84004" w:rsidR="00584EDA" w:rsidRPr="00D91455" w:rsidRDefault="004B152A">
      <w:pPr>
        <w:numPr>
          <w:ilvl w:val="2"/>
          <w:numId w:val="20"/>
        </w:numPr>
        <w:spacing w:after="240" w:line="360" w:lineRule="auto"/>
        <w:jc w:val="both"/>
        <w:rPr>
          <w:rFonts w:ascii="Arial" w:hAnsi="Arial" w:cs="Arial"/>
          <w:i/>
          <w:iCs/>
          <w:lang w:val="es-HN"/>
        </w:rPr>
      </w:pPr>
      <w:r w:rsidRPr="00D91455">
        <w:rPr>
          <w:rFonts w:ascii="Arial" w:hAnsi="Arial" w:cs="Arial"/>
          <w:i/>
          <w:iCs/>
          <w:lang w:val="es-HN"/>
        </w:rPr>
        <w:t>Creación y desviación del comercio</w:t>
      </w:r>
    </w:p>
    <w:p w14:paraId="33BD7FAC" w14:textId="4D467B25" w:rsidR="00931B1B" w:rsidRDefault="002F2E58" w:rsidP="00931B1B">
      <w:pPr>
        <w:spacing w:after="240" w:line="360" w:lineRule="auto"/>
        <w:jc w:val="both"/>
        <w:rPr>
          <w:rFonts w:ascii="Arial" w:hAnsi="Arial" w:cs="Arial"/>
          <w:lang w:val="es-HN"/>
        </w:rPr>
      </w:pPr>
      <w:r>
        <w:rPr>
          <w:rFonts w:ascii="Arial" w:hAnsi="Arial" w:cs="Arial"/>
          <w:lang w:val="es-HN"/>
        </w:rPr>
        <w:t xml:space="preserve">Autores como Hitzemann </w:t>
      </w:r>
      <w:r w:rsidR="001511B8">
        <w:rPr>
          <w:rFonts w:ascii="Arial" w:hAnsi="Arial" w:cs="Arial"/>
          <w:lang w:val="es-HN"/>
        </w:rPr>
        <w:t xml:space="preserve">(2016) </w:t>
      </w:r>
      <w:r>
        <w:rPr>
          <w:rFonts w:ascii="Arial" w:hAnsi="Arial" w:cs="Arial"/>
          <w:lang w:val="es-HN"/>
        </w:rPr>
        <w:t xml:space="preserve">y </w:t>
      </w:r>
      <w:r w:rsidRPr="002F2E58">
        <w:rPr>
          <w:rFonts w:ascii="Arial" w:hAnsi="Arial" w:cs="Arial"/>
          <w:lang w:val="es-HN"/>
        </w:rPr>
        <w:t>Marzábal</w:t>
      </w:r>
      <w:r>
        <w:rPr>
          <w:rFonts w:ascii="Arial" w:hAnsi="Arial" w:cs="Arial"/>
          <w:lang w:val="es-HN"/>
        </w:rPr>
        <w:t xml:space="preserve"> et al. </w:t>
      </w:r>
      <w:r w:rsidR="001511B8">
        <w:rPr>
          <w:rFonts w:ascii="Arial" w:hAnsi="Arial" w:cs="Arial"/>
          <w:lang w:val="es-HN"/>
        </w:rPr>
        <w:fldChar w:fldCharType="begin"/>
      </w:r>
      <w:r w:rsidR="00A42206">
        <w:rPr>
          <w:rFonts w:ascii="Arial" w:hAnsi="Arial" w:cs="Arial"/>
          <w:lang w:val="es-HN"/>
        </w:rPr>
        <w:instrText xml:space="preserve"> ADDIN ZOTERO_ITEM CSL_CITATION {"citationID":"fvL8jGTo","properties":{"formattedCitation":"(Marz\\uc0\\u225{}bal &amp; L\\uc0\\u243{}pez, Jorge Alberto, 2009)","plainCitation":"(Marzábal &amp; López, Jorge Alberto, 2009)","dontUpdate":true,"noteIndex":0},"citationItems":[{"id":91,"uris":["http://zotero.org/users/10063313/items/7G58XIJJ"],"itemData":{"id":91,"type":"document","title":"Efectos del Tratado de Libre Comerci o de América del Norte sobre el comercio de México: creación de comercio y especialización intraindustrial","author":[{"family":"Marzábal","given":"Óscar Rodil"},{"family":"López, Jorge Alberto","given":""}],"issued":{"date-parts":[["2009"]]}}}],"schema":"https://github.com/citation-style-language/schema/raw/master/csl-citation.json"} </w:instrText>
      </w:r>
      <w:r w:rsidR="001511B8">
        <w:rPr>
          <w:rFonts w:ascii="Arial" w:hAnsi="Arial" w:cs="Arial"/>
          <w:lang w:val="es-HN"/>
        </w:rPr>
        <w:fldChar w:fldCharType="separate"/>
      </w:r>
      <w:r w:rsidR="001511B8">
        <w:rPr>
          <w:rFonts w:ascii="Arial" w:hAnsi="Arial" w:cs="Arial"/>
        </w:rPr>
        <w:t>(</w:t>
      </w:r>
      <w:r w:rsidR="001511B8" w:rsidRPr="001511B8">
        <w:rPr>
          <w:rFonts w:ascii="Arial" w:hAnsi="Arial" w:cs="Arial"/>
        </w:rPr>
        <w:t>2009)</w:t>
      </w:r>
      <w:r w:rsidR="001511B8">
        <w:rPr>
          <w:rFonts w:ascii="Arial" w:hAnsi="Arial" w:cs="Arial"/>
          <w:lang w:val="es-HN"/>
        </w:rPr>
        <w:fldChar w:fldCharType="end"/>
      </w:r>
      <w:r w:rsidR="001511B8">
        <w:rPr>
          <w:rFonts w:ascii="Arial" w:hAnsi="Arial" w:cs="Arial"/>
          <w:lang w:val="es-HN"/>
        </w:rPr>
        <w:t xml:space="preserve"> </w:t>
      </w:r>
      <w:r>
        <w:rPr>
          <w:rFonts w:ascii="Arial" w:hAnsi="Arial" w:cs="Arial"/>
          <w:lang w:val="es-HN"/>
        </w:rPr>
        <w:t>cita</w:t>
      </w:r>
      <w:r w:rsidR="000B21E9">
        <w:rPr>
          <w:rFonts w:ascii="Arial" w:hAnsi="Arial" w:cs="Arial"/>
          <w:lang w:val="es-HN"/>
        </w:rPr>
        <w:t>n</w:t>
      </w:r>
      <w:r>
        <w:rPr>
          <w:rFonts w:ascii="Arial" w:hAnsi="Arial" w:cs="Arial"/>
          <w:lang w:val="es-HN"/>
        </w:rPr>
        <w:t xml:space="preserve"> a Viner (1950) y a Balassa (1967) como pioneros en la discusión sobre integración económica, específicamente con los conceptos de creación y desviación de comercio, que inevitablemente surgen en el estudio de acuerdos comerciales. </w:t>
      </w:r>
    </w:p>
    <w:p w14:paraId="28B869C9" w14:textId="53533047" w:rsidR="00D91455" w:rsidRDefault="00D91455" w:rsidP="00D91455">
      <w:pPr>
        <w:spacing w:after="240" w:line="360" w:lineRule="auto"/>
        <w:jc w:val="both"/>
        <w:rPr>
          <w:rFonts w:ascii="Arial" w:hAnsi="Arial" w:cs="Arial"/>
          <w:lang w:val="es-HN"/>
        </w:rPr>
      </w:pPr>
      <w:r>
        <w:rPr>
          <w:rFonts w:ascii="Arial" w:hAnsi="Arial" w:cs="Arial"/>
          <w:lang w:val="es-HN"/>
        </w:rPr>
        <w:lastRenderedPageBreak/>
        <w:t>Comenzando por la creación, esta es definida por Marzábal como:</w:t>
      </w:r>
    </w:p>
    <w:p w14:paraId="43B3642B" w14:textId="66C2603A" w:rsidR="0064385C" w:rsidRPr="00584EDA" w:rsidRDefault="00D91455" w:rsidP="00D91455">
      <w:pPr>
        <w:spacing w:after="240" w:line="360" w:lineRule="auto"/>
        <w:ind w:left="708"/>
        <w:jc w:val="both"/>
        <w:rPr>
          <w:rFonts w:ascii="Arial" w:hAnsi="Arial" w:cs="Arial"/>
          <w:lang w:val="es-HN"/>
        </w:rPr>
      </w:pPr>
      <w:r>
        <w:rPr>
          <w:rFonts w:ascii="Arial" w:hAnsi="Arial" w:cs="Arial"/>
          <w:lang w:val="es-HN"/>
        </w:rPr>
        <w:t>l</w:t>
      </w:r>
      <w:r w:rsidRPr="00D91455">
        <w:rPr>
          <w:rFonts w:ascii="Arial" w:hAnsi="Arial" w:cs="Arial"/>
          <w:lang w:val="es-HN"/>
        </w:rPr>
        <w:t>a creación de comercio</w:t>
      </w:r>
      <w:r>
        <w:rPr>
          <w:rFonts w:ascii="Arial" w:hAnsi="Arial" w:cs="Arial"/>
          <w:lang w:val="es-HN"/>
        </w:rPr>
        <w:t xml:space="preserve"> </w:t>
      </w:r>
      <w:r w:rsidRPr="00D91455">
        <w:rPr>
          <w:rFonts w:ascii="Arial" w:hAnsi="Arial" w:cs="Arial"/>
          <w:lang w:val="es-HN"/>
        </w:rPr>
        <w:t>se refiere, como su propio nombre indica, a una intensificación de los flujos</w:t>
      </w:r>
      <w:r>
        <w:rPr>
          <w:rFonts w:ascii="Arial" w:hAnsi="Arial" w:cs="Arial"/>
          <w:lang w:val="es-HN"/>
        </w:rPr>
        <w:t xml:space="preserve"> </w:t>
      </w:r>
      <w:r w:rsidRPr="00D91455">
        <w:rPr>
          <w:rFonts w:ascii="Arial" w:hAnsi="Arial" w:cs="Arial"/>
          <w:lang w:val="es-HN"/>
        </w:rPr>
        <w:t>de comercio que puede venir motivada bien por la sustitución de producción</w:t>
      </w:r>
      <w:r>
        <w:rPr>
          <w:rFonts w:ascii="Arial" w:hAnsi="Arial" w:cs="Arial"/>
          <w:lang w:val="es-HN"/>
        </w:rPr>
        <w:t xml:space="preserve"> </w:t>
      </w:r>
      <w:r w:rsidRPr="00D91455">
        <w:rPr>
          <w:rFonts w:ascii="Arial" w:hAnsi="Arial" w:cs="Arial"/>
          <w:lang w:val="es-HN"/>
        </w:rPr>
        <w:t>propia por importaciones procedentes de un país socio debido al menor coste</w:t>
      </w:r>
      <w:r>
        <w:rPr>
          <w:rFonts w:ascii="Arial" w:hAnsi="Arial" w:cs="Arial"/>
          <w:lang w:val="es-HN"/>
        </w:rPr>
        <w:t xml:space="preserve"> </w:t>
      </w:r>
      <w:r w:rsidRPr="00D91455">
        <w:rPr>
          <w:rFonts w:ascii="Arial" w:hAnsi="Arial" w:cs="Arial"/>
          <w:lang w:val="es-HN"/>
        </w:rPr>
        <w:t>que implica la eliminación de las barreras al comercio (efecto producción) o</w:t>
      </w:r>
      <w:r>
        <w:rPr>
          <w:rFonts w:ascii="Arial" w:hAnsi="Arial" w:cs="Arial"/>
          <w:lang w:val="es-HN"/>
        </w:rPr>
        <w:t xml:space="preserve"> </w:t>
      </w:r>
      <w:r w:rsidRPr="00D91455">
        <w:rPr>
          <w:rFonts w:ascii="Arial" w:hAnsi="Arial" w:cs="Arial"/>
          <w:lang w:val="es-HN"/>
        </w:rPr>
        <w:t>bien por la ampliación de los niveles de consumo por efecto de la reducción</w:t>
      </w:r>
      <w:r>
        <w:rPr>
          <w:rFonts w:ascii="Arial" w:hAnsi="Arial" w:cs="Arial"/>
          <w:lang w:val="es-HN"/>
        </w:rPr>
        <w:t xml:space="preserve"> </w:t>
      </w:r>
      <w:r w:rsidRPr="00D91455">
        <w:rPr>
          <w:rFonts w:ascii="Arial" w:hAnsi="Arial" w:cs="Arial"/>
          <w:lang w:val="es-HN"/>
        </w:rPr>
        <w:t>de los precios (efecto consumo)</w:t>
      </w:r>
      <w:r>
        <w:rPr>
          <w:rFonts w:ascii="Arial" w:hAnsi="Arial" w:cs="Arial"/>
          <w:lang w:val="es-HN"/>
        </w:rPr>
        <w:t xml:space="preserve"> </w:t>
      </w:r>
      <w:r w:rsidRPr="002F2E58">
        <w:rPr>
          <w:rFonts w:ascii="Arial" w:hAnsi="Arial" w:cs="Arial"/>
          <w:lang w:val="es-HN"/>
        </w:rPr>
        <w:t>Marzábal</w:t>
      </w:r>
      <w:r>
        <w:rPr>
          <w:rFonts w:ascii="Arial" w:hAnsi="Arial" w:cs="Arial"/>
          <w:lang w:val="es-HN"/>
        </w:rPr>
        <w:t xml:space="preserve"> et al. </w:t>
      </w:r>
      <w:r>
        <w:rPr>
          <w:rFonts w:ascii="Arial" w:hAnsi="Arial" w:cs="Arial"/>
          <w:lang w:val="es-HN"/>
        </w:rPr>
        <w:fldChar w:fldCharType="begin"/>
      </w:r>
      <w:r w:rsidR="00A42206">
        <w:rPr>
          <w:rFonts w:ascii="Arial" w:hAnsi="Arial" w:cs="Arial"/>
          <w:lang w:val="es-HN"/>
        </w:rPr>
        <w:instrText xml:space="preserve"> ADDIN ZOTERO_ITEM CSL_CITATION {"citationID":"Tje5JLFw","properties":{"formattedCitation":"(Marz\\uc0\\u225{}bal &amp; L\\uc0\\u243{}pez, Jorge Alberto, 2009)","plainCitation":"(Marzábal &amp; López, Jorge Alberto, 2009)","dontUpdate":true,"noteIndex":0},"citationItems":[{"id":91,"uris":["http://zotero.org/users/10063313/items/7G58XIJJ"],"itemData":{"id":91,"type":"document","title":"Efectos del Tratado de Libre Comerci o de América del Norte sobre el comercio de México: creación de comercio y especialización intraindustrial","author":[{"family":"Marzábal","given":"Óscar Rodil"},{"family":"López, Jorge Alberto","given":""}],"issued":{"date-parts":[["2009"]]}}}],"schema":"https://github.com/citation-style-language/schema/raw/master/csl-citation.json"} </w:instrText>
      </w:r>
      <w:r>
        <w:rPr>
          <w:rFonts w:ascii="Arial" w:hAnsi="Arial" w:cs="Arial"/>
          <w:lang w:val="es-HN"/>
        </w:rPr>
        <w:fldChar w:fldCharType="separate"/>
      </w:r>
      <w:r>
        <w:rPr>
          <w:rFonts w:ascii="Arial" w:hAnsi="Arial" w:cs="Arial"/>
        </w:rPr>
        <w:t>(</w:t>
      </w:r>
      <w:r w:rsidRPr="001511B8">
        <w:rPr>
          <w:rFonts w:ascii="Arial" w:hAnsi="Arial" w:cs="Arial"/>
        </w:rPr>
        <w:t>2009</w:t>
      </w:r>
      <w:r>
        <w:rPr>
          <w:rFonts w:ascii="Arial" w:hAnsi="Arial" w:cs="Arial"/>
        </w:rPr>
        <w:t xml:space="preserve"> </w:t>
      </w:r>
      <w:r>
        <w:rPr>
          <w:rFonts w:ascii="Arial" w:hAnsi="Arial" w:cs="Arial"/>
          <w:lang w:val="es-HN"/>
        </w:rPr>
        <w:fldChar w:fldCharType="end"/>
      </w:r>
      <w:r>
        <w:rPr>
          <w:rFonts w:ascii="Arial" w:hAnsi="Arial" w:cs="Arial"/>
          <w:lang w:val="es-HN"/>
        </w:rPr>
        <w:t>, p.255)</w:t>
      </w:r>
      <w:r w:rsidRPr="00D91455">
        <w:rPr>
          <w:rFonts w:ascii="Arial" w:hAnsi="Arial" w:cs="Arial"/>
          <w:lang w:val="es-HN"/>
        </w:rPr>
        <w:t>.</w:t>
      </w:r>
    </w:p>
    <w:p w14:paraId="3DBF8C2A" w14:textId="77777777" w:rsidR="00D91455" w:rsidRDefault="00D91455" w:rsidP="00584EDA">
      <w:pPr>
        <w:spacing w:after="240" w:line="360" w:lineRule="auto"/>
        <w:jc w:val="both"/>
        <w:rPr>
          <w:rFonts w:ascii="Arial" w:hAnsi="Arial" w:cs="Arial"/>
          <w:lang w:val="es-HN"/>
        </w:rPr>
      </w:pPr>
      <w:r>
        <w:rPr>
          <w:rFonts w:ascii="Arial" w:hAnsi="Arial" w:cs="Arial"/>
          <w:lang w:val="es-HN"/>
        </w:rPr>
        <w:t xml:space="preserve">Denotando a la creación como un resultado positivo de diferentes actividades que causen cambios en el comercio, incluyendo la vigencia de uniones aduaneras o acuerdos comerciales de otro tipo. </w:t>
      </w:r>
    </w:p>
    <w:p w14:paraId="23C3F148" w14:textId="5E740D13" w:rsidR="00FE0986" w:rsidRDefault="00584EDA" w:rsidP="00584EDA">
      <w:pPr>
        <w:spacing w:after="240" w:line="360" w:lineRule="auto"/>
        <w:jc w:val="both"/>
        <w:rPr>
          <w:rFonts w:ascii="Arial" w:hAnsi="Arial" w:cs="Arial"/>
          <w:lang w:val="es-HN"/>
        </w:rPr>
      </w:pPr>
      <w:r w:rsidRPr="00584EDA">
        <w:rPr>
          <w:rFonts w:ascii="Arial" w:hAnsi="Arial" w:cs="Arial"/>
          <w:lang w:val="es-HN"/>
        </w:rPr>
        <w:t>La desviación del comercio, tal como la definió Viner</w:t>
      </w:r>
      <w:r w:rsidR="00392B3E">
        <w:rPr>
          <w:rFonts w:ascii="Arial" w:hAnsi="Arial" w:cs="Arial"/>
          <w:lang w:val="es-HN"/>
        </w:rPr>
        <w:t xml:space="preserve">, </w:t>
      </w:r>
      <w:r w:rsidR="001213F7">
        <w:rPr>
          <w:rFonts w:ascii="Arial" w:hAnsi="Arial" w:cs="Arial"/>
          <w:lang w:val="es-HN"/>
        </w:rPr>
        <w:t>1950 (</w:t>
      </w:r>
      <w:r>
        <w:rPr>
          <w:rFonts w:ascii="Arial" w:hAnsi="Arial" w:cs="Arial"/>
          <w:lang w:val="es-HN"/>
        </w:rPr>
        <w:t xml:space="preserve">citado </w:t>
      </w:r>
      <w:r w:rsidRPr="00604281">
        <w:rPr>
          <w:rFonts w:ascii="Arial" w:hAnsi="Arial" w:cs="Arial"/>
          <w:lang w:val="es-HN"/>
        </w:rPr>
        <w:t>por</w:t>
      </w:r>
      <w:r>
        <w:rPr>
          <w:rFonts w:ascii="Arial" w:hAnsi="Arial" w:cs="Arial"/>
          <w:lang w:val="es-HN"/>
        </w:rPr>
        <w:t xml:space="preserve"> </w:t>
      </w:r>
      <w:r w:rsidR="003108F3">
        <w:rPr>
          <w:rFonts w:ascii="Arial" w:hAnsi="Arial" w:cs="Arial"/>
          <w:lang w:val="es-HN"/>
        </w:rPr>
        <w:fldChar w:fldCharType="begin"/>
      </w:r>
      <w:r w:rsidR="00A42206">
        <w:rPr>
          <w:rFonts w:ascii="Arial" w:hAnsi="Arial" w:cs="Arial"/>
          <w:lang w:val="es-HN"/>
        </w:rPr>
        <w:instrText xml:space="preserve"> ADDIN ZOTERO_ITEM CSL_CITATION {"citationID":"RtwivowO","properties":{"formattedCitation":"(Hitzemann, 2016)","plainCitation":"(Hitzemann, 2016)","dontUpdate":true,"noteIndex":0},"citationItems":[{"id":98,"uris":["http://zotero.org/users/10063313/items/CXKJBW8M"],"itemData":{"id":98,"type":"document","title":"Trade creation and trade diversion resulting from bilateral trade agreements: An empirical analysis of European Association Agreements","author":[{"family":"Hitzemann","given":"Richard"}],"issued":{"date-parts":[["2016"]]}}}],"schema":"https://github.com/citation-style-language/schema/raw/master/csl-citation.json"} </w:instrText>
      </w:r>
      <w:r w:rsidR="003108F3">
        <w:rPr>
          <w:rFonts w:ascii="Arial" w:hAnsi="Arial" w:cs="Arial"/>
          <w:lang w:val="es-HN"/>
        </w:rPr>
        <w:fldChar w:fldCharType="separate"/>
      </w:r>
      <w:r w:rsidR="003108F3" w:rsidRPr="003108F3">
        <w:rPr>
          <w:rFonts w:ascii="Arial" w:hAnsi="Arial" w:cs="Arial"/>
        </w:rPr>
        <w:t>Hitzemann, 2016)</w:t>
      </w:r>
      <w:r w:rsidR="003108F3">
        <w:rPr>
          <w:rFonts w:ascii="Arial" w:hAnsi="Arial" w:cs="Arial"/>
          <w:lang w:val="es-HN"/>
        </w:rPr>
        <w:fldChar w:fldCharType="end"/>
      </w:r>
      <w:r w:rsidR="00604281">
        <w:rPr>
          <w:rFonts w:ascii="Arial" w:hAnsi="Arial" w:cs="Arial"/>
          <w:lang w:val="es-HN"/>
        </w:rPr>
        <w:t xml:space="preserve"> </w:t>
      </w:r>
      <w:r w:rsidRPr="00584EDA">
        <w:rPr>
          <w:rFonts w:ascii="Arial" w:hAnsi="Arial" w:cs="Arial"/>
          <w:lang w:val="es-HN"/>
        </w:rPr>
        <w:t>se refiere a un fenómeno en el que los aranceles y las barreras comerciale</w:t>
      </w:r>
      <w:r w:rsidR="00FE0986">
        <w:rPr>
          <w:rFonts w:ascii="Arial" w:hAnsi="Arial" w:cs="Arial"/>
          <w:lang w:val="es-HN"/>
        </w:rPr>
        <w:t xml:space="preserve">s e incluso diferentes acuerdos comerciales </w:t>
      </w:r>
      <w:r w:rsidRPr="00584EDA">
        <w:rPr>
          <w:rFonts w:ascii="Arial" w:hAnsi="Arial" w:cs="Arial"/>
          <w:lang w:val="es-HN"/>
        </w:rPr>
        <w:t xml:space="preserve">pueden cambiar los flujos comerciales entre países de una manera que desvía el comercio de sus canales naturales. </w:t>
      </w:r>
    </w:p>
    <w:p w14:paraId="159F04AE" w14:textId="0174D49D" w:rsidR="00FE0986" w:rsidRDefault="00FE0986" w:rsidP="00584EDA">
      <w:pPr>
        <w:spacing w:after="240" w:line="360" w:lineRule="auto"/>
        <w:jc w:val="both"/>
        <w:rPr>
          <w:rFonts w:ascii="Arial" w:hAnsi="Arial" w:cs="Arial"/>
          <w:lang w:val="es-HN"/>
        </w:rPr>
      </w:pPr>
      <w:r>
        <w:rPr>
          <w:rFonts w:ascii="Arial" w:hAnsi="Arial" w:cs="Arial"/>
          <w:lang w:val="es-HN"/>
        </w:rPr>
        <w:t>Como lo indica Hitzemann (2016), e</w:t>
      </w:r>
      <w:r w:rsidR="00584EDA" w:rsidRPr="00584EDA">
        <w:rPr>
          <w:rFonts w:ascii="Arial" w:hAnsi="Arial" w:cs="Arial"/>
          <w:lang w:val="es-HN"/>
        </w:rPr>
        <w:t>sta discusión sobre la desviación del comercio ha estado presente en la literatura económica desde el siglo XX y ha continuado siendo un tema de discusión en la actualidad</w:t>
      </w:r>
      <w:r>
        <w:rPr>
          <w:rFonts w:ascii="Arial" w:hAnsi="Arial" w:cs="Arial"/>
          <w:lang w:val="es-HN"/>
        </w:rPr>
        <w:t>, esto debido al impacto en la eficiencia y el bienestar económico de los países inv</w:t>
      </w:r>
      <w:r w:rsidR="0064385C">
        <w:rPr>
          <w:rFonts w:ascii="Arial" w:hAnsi="Arial" w:cs="Arial"/>
          <w:lang w:val="es-HN"/>
        </w:rPr>
        <w:t>o</w:t>
      </w:r>
      <w:r>
        <w:rPr>
          <w:rFonts w:ascii="Arial" w:hAnsi="Arial" w:cs="Arial"/>
          <w:lang w:val="es-HN"/>
        </w:rPr>
        <w:t xml:space="preserve">lucrados en un acuerdo comercial, como los son los TLC. </w:t>
      </w:r>
    </w:p>
    <w:p w14:paraId="442052BC" w14:textId="54169592" w:rsidR="004B152A" w:rsidRDefault="00584EDA" w:rsidP="00584EDA">
      <w:pPr>
        <w:spacing w:after="240" w:line="360" w:lineRule="auto"/>
        <w:jc w:val="both"/>
        <w:rPr>
          <w:rFonts w:ascii="Arial" w:hAnsi="Arial" w:cs="Arial"/>
          <w:lang w:val="es-HN"/>
        </w:rPr>
      </w:pPr>
      <w:r w:rsidRPr="00584EDA">
        <w:rPr>
          <w:rFonts w:ascii="Arial" w:hAnsi="Arial" w:cs="Arial"/>
          <w:lang w:val="es-HN"/>
        </w:rPr>
        <w:t>Como lo ilustra el modelo de Viner, la desviación del comercio puede resultar en una asignación subóptima de los recursos de producción a nivel global, lo que puede llevar a pérdidas de bienestar, tanto para los países miembros como para el mundo en su conjunto. Por lo tanto, la consideración de la desviación del comercio es esencial para evaluar de manera más completa los efectos de los acuerdos comerciales en la economía global y la eficiencia en la asignación de recursos.</w:t>
      </w:r>
    </w:p>
    <w:p w14:paraId="0DCF68B4" w14:textId="77777777" w:rsidR="00580BA9" w:rsidRDefault="00580BA9" w:rsidP="00584EDA">
      <w:pPr>
        <w:spacing w:after="240" w:line="360" w:lineRule="auto"/>
        <w:jc w:val="both"/>
        <w:rPr>
          <w:rFonts w:ascii="Arial" w:hAnsi="Arial" w:cs="Arial"/>
          <w:lang w:val="es-HN"/>
        </w:rPr>
      </w:pPr>
    </w:p>
    <w:p w14:paraId="6EA5D8F4" w14:textId="77777777" w:rsidR="00580BA9" w:rsidRPr="004B152A" w:rsidRDefault="00580BA9" w:rsidP="00584EDA">
      <w:pPr>
        <w:spacing w:after="240" w:line="360" w:lineRule="auto"/>
        <w:jc w:val="both"/>
        <w:rPr>
          <w:rFonts w:ascii="Arial" w:hAnsi="Arial" w:cs="Arial"/>
          <w:lang w:val="es-HN"/>
        </w:rPr>
      </w:pPr>
    </w:p>
    <w:p w14:paraId="0E17551A" w14:textId="77777777" w:rsidR="00950687" w:rsidRDefault="004B152A" w:rsidP="00950687">
      <w:pPr>
        <w:numPr>
          <w:ilvl w:val="2"/>
          <w:numId w:val="20"/>
        </w:numPr>
        <w:spacing w:after="240" w:line="360" w:lineRule="auto"/>
        <w:jc w:val="both"/>
        <w:rPr>
          <w:rFonts w:ascii="Arial" w:hAnsi="Arial" w:cs="Arial"/>
          <w:i/>
          <w:iCs/>
          <w:lang w:val="es-HN"/>
        </w:rPr>
      </w:pPr>
      <w:r w:rsidRPr="00DA2EB3">
        <w:rPr>
          <w:rFonts w:ascii="Arial" w:hAnsi="Arial" w:cs="Arial"/>
          <w:i/>
          <w:iCs/>
          <w:lang w:val="es-HN"/>
        </w:rPr>
        <w:lastRenderedPageBreak/>
        <w:t>Teoría de dependencia</w:t>
      </w:r>
      <w:r w:rsidR="00950687">
        <w:rPr>
          <w:rFonts w:ascii="Arial" w:hAnsi="Arial" w:cs="Arial"/>
          <w:i/>
          <w:iCs/>
          <w:lang w:val="es-HN"/>
        </w:rPr>
        <w:t>, asimetría comercial y reprimarización</w:t>
      </w:r>
    </w:p>
    <w:p w14:paraId="21686047" w14:textId="2455EEFE" w:rsidR="00950687" w:rsidRPr="00950687" w:rsidRDefault="00950687" w:rsidP="00950687">
      <w:pPr>
        <w:spacing w:after="240" w:line="360" w:lineRule="auto"/>
        <w:jc w:val="both"/>
        <w:rPr>
          <w:rFonts w:ascii="Arial" w:hAnsi="Arial" w:cs="Arial"/>
        </w:rPr>
      </w:pPr>
      <w:r w:rsidRPr="00950687">
        <w:rPr>
          <w:rFonts w:ascii="Arial" w:hAnsi="Arial" w:cs="Arial"/>
        </w:rPr>
        <w:t>La teoría de la dependencia ofrece una perspectiva crítica sobre las relaciones económicas entre países desarrollados y en desarrollo, particularmente relevante para el análisis de vínculos comerciales marcados por desequilibrios estructurales. Este enfoque teórico tuvo sus raíces en América Latina en la década de 1950 y alcanzó su mayor apogeo en la década de 1970</w:t>
      </w:r>
      <w:r>
        <w:rPr>
          <w:rFonts w:ascii="Arial" w:hAnsi="Arial" w:cs="Arial"/>
        </w:rPr>
        <w:t xml:space="preserve"> </w:t>
      </w:r>
      <w:r>
        <w:rPr>
          <w:rFonts w:ascii="Arial" w:hAnsi="Arial" w:cs="Arial"/>
        </w:rPr>
        <w:fldChar w:fldCharType="begin"/>
      </w:r>
      <w:r>
        <w:rPr>
          <w:rFonts w:ascii="Arial" w:hAnsi="Arial" w:cs="Arial"/>
        </w:rPr>
        <w:instrText xml:space="preserve"> ADDIN ZOTERO_ITEM CSL_CITATION {"citationID":"HrO1mSzx","properties":{"unsorted":false,"formattedCitation":"(Crichigno, 1992; James, 1997; Vernengo, 2004)","plainCitation":"(Crichigno, 1992; James, 1997; Vernengo, 2004)","noteIndex":0},"citationItems":[{"id":87,"uris":["http://zotero.org/users/10063313/items/WTSJXE6A"],"itemData":{"id":87,"type":"webpage","title":"Teorías Sobre Población y Desarrollo: Ideas Contemporáneas Sobre el Desarrollo","URL":"https://repositorio.cepal.org/server/api/core/bitstreams/b9b51996-fd72-4003-ba53-233762eebe50/content","author":[{"family":"Crichigno","given":"Patricio"}],"accessed":{"date-parts":[["2023",10,17]]},"issued":{"date-parts":[["1992"]]}}},{"id":89,"uris":["http://zotero.org/users/10063313/items/3VVNQD8C"],"itemData":{"id":89,"type":"article-journal","abstract":"Despite an increasing global division of wealth and poverty, dependency theory with its thesis about the structural domination of the capitalist West over the Third World, is all but dead. Its passing has been slow and faltering, but inexorable. In","container-title":"Alternatives: Social Transformation and Human Governance","language":"en","source":"www.academia.edu","title":"‘Post-Dependency: The Third World in an Era of Globalism and Late Capitalism’ (1997)","title-short":"‘Post-Dependency","URL":"https://www.academia.edu/7311042/_Post_Dependency_The_Third_World_in_an_Era_of_Globalism_and_Late_Capitalism_1997_","author":[{"family":"James","given":"Paul"}],"accessed":{"date-parts":[["2023",10,17]]},"issued":{"date-parts":[["1997",1,1]]}}},{"id":88,"uris":["http://zotero.org/users/10063313/items/M5KMLIAW"],"itemData":{"id":88,"type":"webpage","title":"Technology, Finance and Dependency: Latin American Radical Political Economy in Retrospect","URL":"https://web.archive.org/web/20120317085658/http://www.econ.utah.edu/activities/papers/2004_06.pdf","author":[{"family":"Vernengo","given":"Matias"}],"accessed":{"date-parts":[["2023",10,17]]},"issued":{"date-parts":[["2004"]]}}}],"schema":"https://github.com/citation-style-language/schema/raw/master/csl-citation.json"} </w:instrText>
      </w:r>
      <w:r>
        <w:rPr>
          <w:rFonts w:ascii="Arial" w:hAnsi="Arial" w:cs="Arial"/>
        </w:rPr>
        <w:fldChar w:fldCharType="separate"/>
      </w:r>
      <w:r>
        <w:rPr>
          <w:rFonts w:ascii="Arial" w:hAnsi="Arial" w:cs="Arial"/>
          <w:noProof/>
        </w:rPr>
        <w:t>(Crichigno, 1992; James, 1997; Vernengo, 2004)</w:t>
      </w:r>
      <w:r>
        <w:rPr>
          <w:rFonts w:ascii="Arial" w:hAnsi="Arial" w:cs="Arial"/>
        </w:rPr>
        <w:fldChar w:fldCharType="end"/>
      </w:r>
      <w:r w:rsidRPr="00950687">
        <w:rPr>
          <w:rFonts w:ascii="Arial" w:hAnsi="Arial" w:cs="Arial"/>
        </w:rPr>
        <w:t xml:space="preserve">. Según Crichigno </w:t>
      </w:r>
      <w:r>
        <w:rPr>
          <w:rFonts w:ascii="Arial" w:hAnsi="Arial" w:cs="Arial"/>
        </w:rPr>
        <w:fldChar w:fldCharType="begin"/>
      </w:r>
      <w:r w:rsidR="00E85E78">
        <w:rPr>
          <w:rFonts w:ascii="Arial" w:hAnsi="Arial" w:cs="Arial"/>
        </w:rPr>
        <w:instrText xml:space="preserve"> ADDIN ZOTERO_ITEM CSL_CITATION {"citationID":"nQ3rClGk","properties":{"unsorted":false,"formattedCitation":"(Crichigno, 1992)","plainCitation":"(Crichigno, 1992)","dontUpdate":true,"noteIndex":0},"citationItems":[{"id":87,"uris":["http://zotero.org/users/10063313/items/WTSJXE6A"],"itemData":{"id":87,"type":"webpage","title":"Teorías Sobre Población y Desarrollo: Ideas Contemporáneas Sobre el Desarrollo","URL":"https://repositorio.cepal.org/server/api/core/bitstreams/b9b51996-fd72-4003-ba53-233762eebe50/content","author":[{"family":"Crichigno","given":"Patricio"}],"accessed":{"date-parts":[["2023",10,17]]},"issued":{"date-parts":[["1992"]]}}}],"schema":"https://github.com/citation-style-language/schema/raw/master/csl-citation.json"} </w:instrText>
      </w:r>
      <w:r>
        <w:rPr>
          <w:rFonts w:ascii="Arial" w:hAnsi="Arial" w:cs="Arial"/>
        </w:rPr>
        <w:fldChar w:fldCharType="separate"/>
      </w:r>
      <w:r>
        <w:rPr>
          <w:rFonts w:ascii="Arial" w:hAnsi="Arial" w:cs="Arial"/>
          <w:noProof/>
        </w:rPr>
        <w:t>(1992)</w:t>
      </w:r>
      <w:r>
        <w:rPr>
          <w:rFonts w:ascii="Arial" w:hAnsi="Arial" w:cs="Arial"/>
        </w:rPr>
        <w:fldChar w:fldCharType="end"/>
      </w:r>
      <w:r w:rsidRPr="00950687">
        <w:rPr>
          <w:rFonts w:ascii="Arial" w:hAnsi="Arial" w:cs="Arial"/>
        </w:rPr>
        <w:t xml:space="preserve">, la teoría planteaba que la dinámica del sistema capitalista mundial conducía a una permanente concentración de capital en los países del centro y a su ausencia en los países periféricos, limitando las posibilidades de desarrollo de estos últimos. No obstante, esta perspectiva también ha sido objeto de críticas relevantes. James </w:t>
      </w:r>
      <w:r w:rsidR="00C5160B">
        <w:rPr>
          <w:rFonts w:ascii="Arial" w:hAnsi="Arial" w:cs="Arial"/>
        </w:rPr>
        <w:fldChar w:fldCharType="begin"/>
      </w:r>
      <w:r w:rsidR="00E85E78">
        <w:rPr>
          <w:rFonts w:ascii="Arial" w:hAnsi="Arial" w:cs="Arial"/>
        </w:rPr>
        <w:instrText xml:space="preserve"> ADDIN ZOTERO_ITEM CSL_CITATION {"citationID":"pHm6GQSv","properties":{"unsorted":false,"formattedCitation":"(James, 1997)","plainCitation":"(James, 1997)","dontUpdate":true,"noteIndex":0},"citationItems":[{"id":89,"uris":["http://zotero.org/users/10063313/items/3VVNQD8C"],"itemData":{"id":89,"type":"article-journal","abstract":"Despite an increasing global division of wealth and poverty, dependency theory with its thesis about the structural domination of the capitalist West over the Third World, is all but dead. Its passing has been slow and faltering, but inexorable. In","container-title":"Alternatives: Social Transformation and Human Governance","language":"en","source":"www.academia.edu","title":"‘Post-Dependency: The Third World in an Era of Globalism and Late Capitalism’ (1997)","title-short":"‘Post-Dependency","URL":"https://www.academia.edu/7311042/_Post_Dependency_The_Third_World_in_an_Era_of_Globalism_and_Late_Capitalism_1997_","author":[{"family":"James","given":"Paul"}],"accessed":{"date-parts":[["2023",10,17]]},"issued":{"date-parts":[["1997",1,1]]}}}],"schema":"https://github.com/citation-style-language/schema/raw/master/csl-citation.json"} </w:instrText>
      </w:r>
      <w:r w:rsidR="00C5160B">
        <w:rPr>
          <w:rFonts w:ascii="Arial" w:hAnsi="Arial" w:cs="Arial"/>
        </w:rPr>
        <w:fldChar w:fldCharType="separate"/>
      </w:r>
      <w:r w:rsidR="00C5160B">
        <w:rPr>
          <w:rFonts w:ascii="Arial" w:hAnsi="Arial" w:cs="Arial"/>
          <w:noProof/>
        </w:rPr>
        <w:t>(1997)</w:t>
      </w:r>
      <w:r w:rsidR="00C5160B">
        <w:rPr>
          <w:rFonts w:ascii="Arial" w:hAnsi="Arial" w:cs="Arial"/>
        </w:rPr>
        <w:fldChar w:fldCharType="end"/>
      </w:r>
      <w:r w:rsidRPr="00950687">
        <w:rPr>
          <w:rFonts w:ascii="Arial" w:hAnsi="Arial" w:cs="Arial"/>
        </w:rPr>
        <w:t xml:space="preserve">, cuestiona la atribución del subdesarrollo únicamente al papel de estas economías en el comercio internacional, argumentando que este es resultado de una compleja interacción de factores sociales, políticos y geográficos, posición que la propia CEPAL ha respaldado al abogar por enfoques más holísticos del desarrollo </w:t>
      </w:r>
      <w:r w:rsidR="00C5160B">
        <w:rPr>
          <w:rFonts w:ascii="Arial" w:hAnsi="Arial" w:cs="Arial"/>
        </w:rPr>
        <w:fldChar w:fldCharType="begin"/>
      </w:r>
      <w:r w:rsidR="00C5160B">
        <w:rPr>
          <w:rFonts w:ascii="Arial" w:hAnsi="Arial" w:cs="Arial"/>
        </w:rPr>
        <w:instrText xml:space="preserve"> ADDIN ZOTERO_ITEM CSL_CITATION {"citationID":"jH3JfMn0","properties":{"unsorted":false,"formattedCitation":"(Crichigno, 1992)","plainCitation":"(Crichigno, 1992)","noteIndex":0},"citationItems":[{"id":87,"uris":["http://zotero.org/users/10063313/items/WTSJXE6A"],"itemData":{"id":87,"type":"webpage","title":"Teorías Sobre Población y Desarrollo: Ideas Contemporáneas Sobre el Desarrollo","URL":"https://repositorio.cepal.org/server/api/core/bitstreams/b9b51996-fd72-4003-ba53-233762eebe50/content","author":[{"family":"Crichigno","given":"Patricio"}],"accessed":{"date-parts":[["2023",10,17]]},"issued":{"date-parts":[["1992"]]}}}],"schema":"https://github.com/citation-style-language/schema/raw/master/csl-citation.json"} </w:instrText>
      </w:r>
      <w:r w:rsidR="00C5160B">
        <w:rPr>
          <w:rFonts w:ascii="Arial" w:hAnsi="Arial" w:cs="Arial"/>
        </w:rPr>
        <w:fldChar w:fldCharType="separate"/>
      </w:r>
      <w:r w:rsidR="00C5160B">
        <w:rPr>
          <w:rFonts w:ascii="Arial" w:hAnsi="Arial" w:cs="Arial"/>
          <w:noProof/>
        </w:rPr>
        <w:t>(Crichigno, 1992)</w:t>
      </w:r>
      <w:r w:rsidR="00C5160B">
        <w:rPr>
          <w:rFonts w:ascii="Arial" w:hAnsi="Arial" w:cs="Arial"/>
        </w:rPr>
        <w:fldChar w:fldCharType="end"/>
      </w:r>
      <w:r w:rsidR="00D65E4E">
        <w:rPr>
          <w:rFonts w:ascii="Arial" w:hAnsi="Arial" w:cs="Arial"/>
        </w:rPr>
        <w:t xml:space="preserve">. </w:t>
      </w:r>
    </w:p>
    <w:p w14:paraId="3C424EF2" w14:textId="67A05FDA" w:rsidR="00950687" w:rsidRPr="00950687" w:rsidRDefault="00950687" w:rsidP="00950687">
      <w:pPr>
        <w:spacing w:after="240" w:line="360" w:lineRule="auto"/>
        <w:jc w:val="both"/>
        <w:rPr>
          <w:rFonts w:ascii="Arial" w:hAnsi="Arial" w:cs="Arial"/>
        </w:rPr>
      </w:pPr>
      <w:r w:rsidRPr="00950687">
        <w:rPr>
          <w:rFonts w:ascii="Arial" w:hAnsi="Arial" w:cs="Arial"/>
        </w:rPr>
        <w:t xml:space="preserve">Con independencia de estas limitaciones, ciertos planteamientos de la teoría de la dependencia han adquirido nueva relevancia a partir de la evidencia empírica sobre la relación comercial entre China y América Latina. </w:t>
      </w:r>
      <w:proofErr w:type="spellStart"/>
      <w:r w:rsidRPr="00950687">
        <w:rPr>
          <w:rFonts w:ascii="Arial" w:hAnsi="Arial" w:cs="Arial"/>
        </w:rPr>
        <w:t>Lopes</w:t>
      </w:r>
      <w:proofErr w:type="spellEnd"/>
      <w:r w:rsidRPr="00950687">
        <w:rPr>
          <w:rFonts w:ascii="Arial" w:hAnsi="Arial" w:cs="Arial"/>
        </w:rPr>
        <w:t xml:space="preserve"> et al. </w:t>
      </w:r>
      <w:r w:rsidR="00D65E4E">
        <w:rPr>
          <w:rFonts w:ascii="Arial" w:hAnsi="Arial" w:cs="Arial"/>
        </w:rPr>
        <w:fldChar w:fldCharType="begin"/>
      </w:r>
      <w:r w:rsidR="00E85E78">
        <w:rPr>
          <w:rFonts w:ascii="Arial" w:hAnsi="Arial" w:cs="Arial"/>
        </w:rPr>
        <w:instrText xml:space="preserve"> ADDIN ZOTERO_ITEM CSL_CITATION {"citationID":"CxmRIcMW","properties":{"unsorted":false,"formattedCitation":"(Damares Lopes Afonso et\\uc0\\u160{}al., 2022)","plainCitation":"(Damares Lopes Afonso et al., 2022)","dontUpdate":true,"noteIndex":0},"citationItems":[{"id":86,"uris":["http://zotero.org/users/10063313/items/8C5PBNF2"],"itemData":{"id":86,"type":"article-journal","container-title":"Revista de la CEPAL","DOI":"10.18356/16820908-2021-135-7","ISSN":"16820908","issue":"135","language":"es","page":"159-176","source":"DOI.org (Crossref)","title":"América Latina y China: ¿beneficio mutuo o dependencia?","title-short":"América Latina y China","volume":"2021","author":[{"literal":"Damares Lopes Afonso"},{"literal":"Suzana Quinet de Andrade Bastos"},{"literal":"Fernando Salgueiro Perobelli"}],"issued":{"date-parts":[["2022",5,31]]}}}],"schema":"https://github.com/citation-style-language/schema/raw/master/csl-citation.json"} </w:instrText>
      </w:r>
      <w:r w:rsidR="00D65E4E">
        <w:rPr>
          <w:rFonts w:ascii="Arial" w:hAnsi="Arial" w:cs="Arial"/>
        </w:rPr>
        <w:fldChar w:fldCharType="separate"/>
      </w:r>
      <w:r w:rsidR="00D65E4E" w:rsidRPr="00D65E4E">
        <w:rPr>
          <w:rFonts w:ascii="Arial" w:eastAsiaTheme="minorHAnsi" w:hAnsi="Arial" w:cs="Arial"/>
          <w:lang w:val="es-MX" w:eastAsia="en-US"/>
          <w14:ligatures w14:val="standardContextual"/>
        </w:rPr>
        <w:t>(2022)</w:t>
      </w:r>
      <w:r w:rsidR="00D65E4E">
        <w:rPr>
          <w:rFonts w:ascii="Arial" w:hAnsi="Arial" w:cs="Arial"/>
        </w:rPr>
        <w:fldChar w:fldCharType="end"/>
      </w:r>
      <w:r w:rsidRPr="00950687">
        <w:rPr>
          <w:rFonts w:ascii="Arial" w:hAnsi="Arial" w:cs="Arial"/>
        </w:rPr>
        <w:t xml:space="preserve"> se preguntan directamente si esta relación constituye un beneficio mutuo o una forma de dependencia, y encuentran que el patrón de intercambio reproduce una estructura en la que la región exporta predominantemente bienes primarios e importa manufacturas con alto contenido tecnológico. Este tipo de desequilibrio estructural en la composición de los flujos comerciales entre dos socios es lo que la literatura denomina asimetría comercial </w:t>
      </w:r>
      <w:r w:rsidR="00D65E4E">
        <w:rPr>
          <w:rFonts w:ascii="Arial" w:hAnsi="Arial" w:cs="Arial"/>
        </w:rPr>
        <w:fldChar w:fldCharType="begin"/>
      </w:r>
      <w:r w:rsidR="00E85E78">
        <w:rPr>
          <w:rFonts w:ascii="Arial" w:hAnsi="Arial" w:cs="Arial"/>
        </w:rPr>
        <w:instrText xml:space="preserve"> ADDIN ZOTERO_ITEM CSL_CITATION {"citationID":"UeAbVssh","properties":{"unsorted":false,"formattedCitation":"(CEPAL, 2025; Damares Lopes Afonso et\\uc0\\u160{}al., 2022)","plainCitation":"(CEPAL, 2025; Damares Lopes Afonso et al., 2022)","dontUpdate":true,"noteIndex":0},"citationItems":[{"id":1963,"uris":["http://zotero.org/users/10063313/items/STE6C9EM"],"itemData":{"id":1963,"type":"article-journal","title":"Las relaciones entre América Latina y el Caribe y China: áreas de oportunidad para un desarrollo más productivo, inclusivo y sostenible","author":[{"literal":"CEPAL"}],"issued":{"date-parts":[["2025"]]}}},{"id":86,"uris":["http://zotero.org/users/10063313/items/8C5PBNF2"],"itemData":{"id":86,"type":"article-journal","container-title":"Revista de la CEPAL","DOI":"10.18356/16820908-2021-135-7","ISSN":"16820908","issue":"135","language":"es","page":"159-176","source":"DOI.org (Crossref)","title":"América Latina y China: ¿beneficio mutuo o dependencia?","title-short":"América Latina y China","volume":"2021","author":[{"literal":"Damares Lopes Afonso"},{"literal":"Suzana Quinet de Andrade Bastos"},{"literal":"Fernando Salgueiro Perobelli"}],"issued":{"date-parts":[["2022",5,31]]}}}],"schema":"https://github.com/citation-style-language/schema/raw/master/csl-citation.json"} </w:instrText>
      </w:r>
      <w:r w:rsidR="00D65E4E">
        <w:rPr>
          <w:rFonts w:ascii="Arial" w:hAnsi="Arial" w:cs="Arial"/>
        </w:rPr>
        <w:fldChar w:fldCharType="separate"/>
      </w:r>
      <w:r w:rsidR="00D65E4E" w:rsidRPr="00D65E4E">
        <w:rPr>
          <w:rFonts w:ascii="Arial" w:eastAsiaTheme="minorHAnsi" w:hAnsi="Arial" w:cs="Arial"/>
          <w:lang w:val="es-MX" w:eastAsia="en-US"/>
          <w14:ligatures w14:val="standardContextual"/>
        </w:rPr>
        <w:t>(CEPAL, 2025; Lopes et al., 2022)</w:t>
      </w:r>
      <w:r w:rsidR="00D65E4E">
        <w:rPr>
          <w:rFonts w:ascii="Arial" w:hAnsi="Arial" w:cs="Arial"/>
        </w:rPr>
        <w:fldChar w:fldCharType="end"/>
      </w:r>
      <w:r w:rsidRPr="00950687">
        <w:rPr>
          <w:rFonts w:ascii="Arial" w:hAnsi="Arial" w:cs="Arial"/>
        </w:rPr>
        <w:t xml:space="preserve">, y constituye una de las características más documentadas de la relación sino-latinoamericana. Los datos de la CEPAL </w:t>
      </w:r>
      <w:r w:rsidR="00D65E4E">
        <w:rPr>
          <w:rFonts w:ascii="Arial" w:hAnsi="Arial" w:cs="Arial"/>
        </w:rPr>
        <w:fldChar w:fldCharType="begin"/>
      </w:r>
      <w:r w:rsidR="00E85E78">
        <w:rPr>
          <w:rFonts w:ascii="Arial" w:hAnsi="Arial" w:cs="Arial"/>
        </w:rPr>
        <w:instrText xml:space="preserve"> ADDIN ZOTERO_ITEM CSL_CITATION {"citationID":"7w26y5vy","properties":{"unsorted":false,"formattedCitation":"(CEPAL, 2025)","plainCitation":"(CEPAL, 2025)","dontUpdate":true,"noteIndex":0},"citationItems":[{"id":1963,"uris":["http://zotero.org/users/10063313/items/STE6C9EM"],"itemData":{"id":1963,"type":"article-journal","title":"Las relaciones entre América Latina y el Caribe y China: áreas de oportunidad para un desarrollo más productivo, inclusivo y sostenible","author":[{"literal":"CEPAL"}],"issued":{"date-parts":[["2025"]]}}}],"schema":"https://github.com/citation-style-language/schema/raw/master/csl-citation.json"} </w:instrText>
      </w:r>
      <w:r w:rsidR="00D65E4E">
        <w:rPr>
          <w:rFonts w:ascii="Arial" w:hAnsi="Arial" w:cs="Arial"/>
        </w:rPr>
        <w:fldChar w:fldCharType="separate"/>
      </w:r>
      <w:r w:rsidR="00D65E4E">
        <w:rPr>
          <w:rFonts w:ascii="Arial" w:hAnsi="Arial" w:cs="Arial"/>
          <w:noProof/>
        </w:rPr>
        <w:t>(2025)</w:t>
      </w:r>
      <w:r w:rsidR="00D65E4E">
        <w:rPr>
          <w:rFonts w:ascii="Arial" w:hAnsi="Arial" w:cs="Arial"/>
        </w:rPr>
        <w:fldChar w:fldCharType="end"/>
      </w:r>
      <w:r w:rsidR="00D65E4E">
        <w:rPr>
          <w:rFonts w:ascii="Arial" w:hAnsi="Arial" w:cs="Arial"/>
        </w:rPr>
        <w:t xml:space="preserve"> </w:t>
      </w:r>
      <w:r w:rsidRPr="00950687">
        <w:rPr>
          <w:rFonts w:ascii="Arial" w:hAnsi="Arial" w:cs="Arial"/>
        </w:rPr>
        <w:t>confirman esta tendencia: mientras las exportaciones regionales hacia China se han concentrado de manera sostenida en recursos naturales y productos sin procesamiento, las importaciones desde el país asiático han estado dominadas por bienes manufacturados de media y alta tecnología, configurando un intercambio que se ha profundizado en las últimas dos décadas.</w:t>
      </w:r>
    </w:p>
    <w:p w14:paraId="56DB7ADF" w14:textId="18711EA0" w:rsidR="00950687" w:rsidRPr="00950687" w:rsidRDefault="00950687" w:rsidP="00950687">
      <w:pPr>
        <w:spacing w:after="240" w:line="360" w:lineRule="auto"/>
        <w:jc w:val="both"/>
        <w:rPr>
          <w:rFonts w:ascii="Arial" w:hAnsi="Arial" w:cs="Arial"/>
        </w:rPr>
      </w:pPr>
      <w:r w:rsidRPr="00950687">
        <w:rPr>
          <w:rFonts w:ascii="Arial" w:hAnsi="Arial" w:cs="Arial"/>
        </w:rPr>
        <w:lastRenderedPageBreak/>
        <w:t xml:space="preserve">Esta asimetría ha derivado, en algunos casos, en un proceso de </w:t>
      </w:r>
      <w:proofErr w:type="spellStart"/>
      <w:r w:rsidRPr="00950687">
        <w:rPr>
          <w:rFonts w:ascii="Arial" w:hAnsi="Arial" w:cs="Arial"/>
        </w:rPr>
        <w:t>reprimarización</w:t>
      </w:r>
      <w:proofErr w:type="spellEnd"/>
      <w:r w:rsidRPr="00950687">
        <w:rPr>
          <w:rFonts w:ascii="Arial" w:hAnsi="Arial" w:cs="Arial"/>
        </w:rPr>
        <w:t xml:space="preserve"> exportadora. </w:t>
      </w:r>
      <w:proofErr w:type="spellStart"/>
      <w:r w:rsidRPr="00950687">
        <w:rPr>
          <w:rFonts w:ascii="Arial" w:hAnsi="Arial" w:cs="Arial"/>
        </w:rPr>
        <w:t>Lopes</w:t>
      </w:r>
      <w:proofErr w:type="spellEnd"/>
      <w:r w:rsidRPr="00950687">
        <w:rPr>
          <w:rFonts w:ascii="Arial" w:hAnsi="Arial" w:cs="Arial"/>
        </w:rPr>
        <w:t xml:space="preserve"> et al. </w:t>
      </w:r>
      <w:r w:rsidR="00D65E4E">
        <w:rPr>
          <w:rFonts w:ascii="Arial" w:hAnsi="Arial" w:cs="Arial"/>
        </w:rPr>
        <w:fldChar w:fldCharType="begin"/>
      </w:r>
      <w:r w:rsidR="00E85E78">
        <w:rPr>
          <w:rFonts w:ascii="Arial" w:hAnsi="Arial" w:cs="Arial"/>
        </w:rPr>
        <w:instrText xml:space="preserve"> ADDIN ZOTERO_ITEM CSL_CITATION {"citationID":"5ouidSfZ","properties":{"unsorted":false,"formattedCitation":"(Damares Lopes Afonso et\\uc0\\u160{}al., 2022)","plainCitation":"(Damares Lopes Afonso et al., 2022)","dontUpdate":true,"noteIndex":0},"citationItems":[{"id":86,"uris":["http://zotero.org/users/10063313/items/8C5PBNF2"],"itemData":{"id":86,"type":"article-journal","container-title":"Revista de la CEPAL","DOI":"10.18356/16820908-2021-135-7","ISSN":"16820908","issue":"135","language":"es","page":"159-176","source":"DOI.org (Crossref)","title":"América Latina y China: ¿beneficio mutuo o dependencia?","title-short":"América Latina y China","volume":"2021","author":[{"literal":"Damares Lopes Afonso"},{"literal":"Suzana Quinet de Andrade Bastos"},{"literal":"Fernando Salgueiro Perobelli"}],"issued":{"date-parts":[["2022",5,31]]}}}],"schema":"https://github.com/citation-style-language/schema/raw/master/csl-citation.json"} </w:instrText>
      </w:r>
      <w:r w:rsidR="00D65E4E">
        <w:rPr>
          <w:rFonts w:ascii="Arial" w:hAnsi="Arial" w:cs="Arial"/>
        </w:rPr>
        <w:fldChar w:fldCharType="separate"/>
      </w:r>
      <w:r w:rsidR="00D65E4E" w:rsidRPr="00D65E4E">
        <w:rPr>
          <w:rFonts w:ascii="Arial" w:eastAsiaTheme="minorHAnsi" w:hAnsi="Arial" w:cs="Arial"/>
          <w:lang w:val="es-MX" w:eastAsia="en-US"/>
          <w14:ligatures w14:val="standardContextual"/>
        </w:rPr>
        <w:t>(2022)</w:t>
      </w:r>
      <w:r w:rsidR="00D65E4E">
        <w:rPr>
          <w:rFonts w:ascii="Arial" w:hAnsi="Arial" w:cs="Arial"/>
        </w:rPr>
        <w:fldChar w:fldCharType="end"/>
      </w:r>
      <w:r w:rsidRPr="00950687">
        <w:rPr>
          <w:rFonts w:ascii="Arial" w:hAnsi="Arial" w:cs="Arial"/>
        </w:rPr>
        <w:t xml:space="preserve">, mediante un modelo de equilibrio general computable, identificaron una reducción de la actividad industrial en los países latinoamericanos analizados, especialmente en los sectores de alta tecnología, como consecuencia de la creciente demanda china de materias primas. Es decir, la relación comercial con China no solo mantuvo la especialización primaria de la región, sino que en ciertos contextos la acentuó, debilitando la base manufacturera preexistente. Si bien los autores reconocen que esta dinámica incrementó el bienestar general durante la década de 2000 por el auge en los precios de los productos básicos, advierten que las señales de desindustrialización representan un riesgo para el desarrollo de largo plazo. Durán y </w:t>
      </w:r>
      <w:proofErr w:type="spellStart"/>
      <w:r w:rsidRPr="00950687">
        <w:rPr>
          <w:rFonts w:ascii="Arial" w:hAnsi="Arial" w:cs="Arial"/>
        </w:rPr>
        <w:t>Pellandra</w:t>
      </w:r>
      <w:proofErr w:type="spellEnd"/>
      <w:r w:rsidRPr="00950687">
        <w:rPr>
          <w:rFonts w:ascii="Arial" w:hAnsi="Arial" w:cs="Arial"/>
        </w:rPr>
        <w:t xml:space="preserve"> </w:t>
      </w:r>
      <w:r w:rsidR="00FC0ECB">
        <w:rPr>
          <w:rFonts w:ascii="Arial" w:hAnsi="Arial" w:cs="Arial"/>
        </w:rPr>
        <w:fldChar w:fldCharType="begin"/>
      </w:r>
      <w:r w:rsidR="00E85E78">
        <w:rPr>
          <w:rFonts w:ascii="Arial" w:hAnsi="Arial" w:cs="Arial"/>
        </w:rPr>
        <w:instrText xml:space="preserve"> ADDIN ZOTERO_ITEM CSL_CITATION {"citationID":"IjDF6M5i","properties":{"unsorted":false,"formattedCitation":"(Dur\\uc0\\u225{}n &amp; Pellandra, 2017)","plainCitation":"(Durán &amp; Pellandra, 2017)","dontUpdate":true,"noteIndex":0},"citationItems":[{"id":5,"uris":["http://zotero.org/users/10063313/items/CW94AJIV"],"itemData":{"id":5,"type":"report","publisher":"Naciones Unidas","publisher-place":"Santiago","title":"La irrupción de China y su impacto sobre la estructura productiva y comercial en América Latina y el Caribe","author":[{"family":"Durán","given":"José"},{"family":"Pellandra","given":"Andrea"}],"issued":{"date-parts":[["2017"]]}}}],"schema":"https://github.com/citation-style-language/schema/raw/master/csl-citation.json"} </w:instrText>
      </w:r>
      <w:r w:rsidR="00FC0ECB">
        <w:rPr>
          <w:rFonts w:ascii="Arial" w:hAnsi="Arial" w:cs="Arial"/>
        </w:rPr>
        <w:fldChar w:fldCharType="separate"/>
      </w:r>
      <w:r w:rsidR="00FC0ECB" w:rsidRPr="00FC0ECB">
        <w:rPr>
          <w:rFonts w:ascii="Arial" w:eastAsiaTheme="minorHAnsi" w:hAnsi="Arial" w:cs="Arial"/>
          <w:lang w:val="es-MX" w:eastAsia="en-US"/>
          <w14:ligatures w14:val="standardContextual"/>
        </w:rPr>
        <w:t>(2017)</w:t>
      </w:r>
      <w:r w:rsidR="00FC0ECB">
        <w:rPr>
          <w:rFonts w:ascii="Arial" w:hAnsi="Arial" w:cs="Arial"/>
        </w:rPr>
        <w:fldChar w:fldCharType="end"/>
      </w:r>
      <w:r w:rsidR="00FC0ECB">
        <w:rPr>
          <w:rFonts w:ascii="Arial" w:hAnsi="Arial" w:cs="Arial"/>
        </w:rPr>
        <w:t xml:space="preserve"> </w:t>
      </w:r>
      <w:r w:rsidRPr="00950687">
        <w:rPr>
          <w:rFonts w:ascii="Arial" w:hAnsi="Arial" w:cs="Arial"/>
        </w:rPr>
        <w:t xml:space="preserve">refuerzan esta </w:t>
      </w:r>
      <w:r w:rsidR="006145A8">
        <w:rPr>
          <w:rFonts w:ascii="Arial" w:hAnsi="Arial" w:cs="Arial"/>
        </w:rPr>
        <w:t xml:space="preserve">idea </w:t>
      </w:r>
      <w:r w:rsidRPr="00950687">
        <w:rPr>
          <w:rFonts w:ascii="Arial" w:hAnsi="Arial" w:cs="Arial"/>
        </w:rPr>
        <w:t>al señalar que la dependencia excesiva de exportaciones primarias puede desincentivar la producción manufacturera local y erosionar la competitividad de los productores nacionales tanto en sus propios mercados como en terceros destinos.</w:t>
      </w:r>
    </w:p>
    <w:p w14:paraId="2F472DEB" w14:textId="6D091155" w:rsidR="007C2AB6" w:rsidRDefault="00950687" w:rsidP="00950687">
      <w:pPr>
        <w:spacing w:after="240" w:line="360" w:lineRule="auto"/>
        <w:jc w:val="both"/>
        <w:rPr>
          <w:rFonts w:ascii="Arial" w:hAnsi="Arial" w:cs="Arial"/>
        </w:rPr>
      </w:pPr>
      <w:r w:rsidRPr="00950687">
        <w:rPr>
          <w:rFonts w:ascii="Arial" w:hAnsi="Arial" w:cs="Arial"/>
        </w:rPr>
        <w:t xml:space="preserve">En el caso de Honduras, esta discusión adquiere relevancia concreta. La estructura exportadora del país hacia China se ha concentrado en productos como café, camarón, minerales de zinc y productos de origen animal </w:t>
      </w:r>
      <w:r w:rsidR="00FC0ECB">
        <w:rPr>
          <w:rFonts w:ascii="Arial" w:hAnsi="Arial" w:cs="Arial"/>
        </w:rPr>
        <w:fldChar w:fldCharType="begin"/>
      </w:r>
      <w:r w:rsidR="00E85E78">
        <w:rPr>
          <w:rFonts w:ascii="Arial" w:hAnsi="Arial" w:cs="Arial"/>
        </w:rPr>
        <w:instrText xml:space="preserve"> ADDIN ZOTERO_ITEM CSL_CITATION {"citationID":"ar6VCg4c","properties":{"unsorted":false,"formattedCitation":"(International Trade Center (ITC), 2023)","plainCitation":"(International Trade Center (ITC), 2023)","dontUpdate":true,"noteIndex":0},"citationItems":[{"id":33,"uris":["http://zotero.org/users/10063313/items/D82IGMAY"],"itemData":{"id":33,"type":"webpage","title":"Trade Map","URL":"https://www.trademap.org/","author":[{"literal":"International Trade Center (ITC)"}],"accessed":{"date-parts":[["2023",7,26]]},"issued":{"date-parts":[["2023"]]}}}],"schema":"https://github.com/citation-style-language/schema/raw/master/csl-citation.json"} </w:instrText>
      </w:r>
      <w:r w:rsidR="00FC0ECB">
        <w:rPr>
          <w:rFonts w:ascii="Arial" w:hAnsi="Arial" w:cs="Arial"/>
        </w:rPr>
        <w:fldChar w:fldCharType="separate"/>
      </w:r>
      <w:r w:rsidR="00FC0ECB">
        <w:rPr>
          <w:rFonts w:ascii="Arial" w:hAnsi="Arial" w:cs="Arial"/>
          <w:noProof/>
        </w:rPr>
        <w:t>(ITC, 2023)</w:t>
      </w:r>
      <w:r w:rsidR="00FC0ECB">
        <w:rPr>
          <w:rFonts w:ascii="Arial" w:hAnsi="Arial" w:cs="Arial"/>
        </w:rPr>
        <w:fldChar w:fldCharType="end"/>
      </w:r>
      <w:r w:rsidR="00FC0ECB">
        <w:rPr>
          <w:rFonts w:ascii="Arial" w:hAnsi="Arial" w:cs="Arial"/>
        </w:rPr>
        <w:t xml:space="preserve">, </w:t>
      </w:r>
      <w:r w:rsidRPr="00950687">
        <w:rPr>
          <w:rFonts w:ascii="Arial" w:hAnsi="Arial" w:cs="Arial"/>
        </w:rPr>
        <w:t xml:space="preserve">mientras que las importaciones desde el país asiático están compuestas predominantemente por manufacturas y productos tecnológicos. Este patrón reproduce la asimetría identificada a nivel regional y plantea interrogantes sobre los posibles efectos del TLC en la estructura productiva hondureña. Por tanto, la teoría de la dependencia, actualizada a través de los conceptos de asimetría comercial y </w:t>
      </w:r>
      <w:proofErr w:type="spellStart"/>
      <w:r w:rsidRPr="00950687">
        <w:rPr>
          <w:rFonts w:ascii="Arial" w:hAnsi="Arial" w:cs="Arial"/>
        </w:rPr>
        <w:t>reprimarización</w:t>
      </w:r>
      <w:proofErr w:type="spellEnd"/>
      <w:r w:rsidRPr="00950687">
        <w:rPr>
          <w:rFonts w:ascii="Arial" w:hAnsi="Arial" w:cs="Arial"/>
        </w:rPr>
        <w:t>, se emplea en esta investigación como una herramienta analítica que permite identificar los riesgos asociados a la profundización de esta dinámica y, al mismo tiempo, evaluar las condiciones bajo las cuales Honduras podría avanzar hacia una inserción comercial con mayor equilibrio</w:t>
      </w:r>
      <w:r w:rsidR="007C2AB6" w:rsidRPr="00950687">
        <w:rPr>
          <w:rFonts w:ascii="Arial" w:hAnsi="Arial" w:cs="Arial"/>
        </w:rPr>
        <w:t xml:space="preserve">. </w:t>
      </w:r>
    </w:p>
    <w:p w14:paraId="2DDEECB2" w14:textId="4F190CD5" w:rsidR="00731CE2" w:rsidRPr="00731CE2" w:rsidRDefault="00731CE2" w:rsidP="00731CE2">
      <w:pPr>
        <w:spacing w:after="240" w:line="360" w:lineRule="auto"/>
        <w:jc w:val="both"/>
        <w:rPr>
          <w:rFonts w:ascii="Arial" w:hAnsi="Arial" w:cs="Arial"/>
        </w:rPr>
      </w:pPr>
      <w:r w:rsidRPr="00731CE2">
        <w:rPr>
          <w:rFonts w:ascii="Arial" w:hAnsi="Arial" w:cs="Arial"/>
          <w:i/>
          <w:iCs/>
          <w:lang w:val="es-HN"/>
        </w:rPr>
        <w:t>2.1.9 Síntesis del marco analítico</w:t>
      </w:r>
    </w:p>
    <w:p w14:paraId="5C2B3B29" w14:textId="77777777" w:rsidR="00731CE2" w:rsidRPr="00731CE2" w:rsidRDefault="00731CE2" w:rsidP="00731CE2">
      <w:pPr>
        <w:spacing w:after="240" w:line="360" w:lineRule="auto"/>
        <w:jc w:val="both"/>
        <w:rPr>
          <w:rFonts w:ascii="Arial" w:hAnsi="Arial" w:cs="Arial"/>
        </w:rPr>
      </w:pPr>
      <w:r w:rsidRPr="00731CE2">
        <w:rPr>
          <w:rFonts w:ascii="Arial" w:hAnsi="Arial" w:cs="Arial"/>
        </w:rPr>
        <w:t xml:space="preserve">La revisión teórica presentada en este capítulo permite construir un marco analítico integrado para interpretar el TLC Honduras-China no únicamente como un instrumento de apertura arancelaria, sino como un proceso cuyo impacto está </w:t>
      </w:r>
      <w:r w:rsidRPr="00731CE2">
        <w:rPr>
          <w:rFonts w:ascii="Arial" w:hAnsi="Arial" w:cs="Arial"/>
        </w:rPr>
        <w:lastRenderedPageBreak/>
        <w:t>condicionado por la estructura productiva hondureña, la asimetría económica entre las partes, las capacidades institucionales del país y los requisitos de acceso efectivo al mercado chino.</w:t>
      </w:r>
    </w:p>
    <w:p w14:paraId="01896D37" w14:textId="77777777" w:rsidR="00731CE2" w:rsidRPr="00731CE2" w:rsidRDefault="00731CE2" w:rsidP="00731CE2">
      <w:pPr>
        <w:spacing w:after="240" w:line="360" w:lineRule="auto"/>
        <w:jc w:val="both"/>
        <w:rPr>
          <w:rFonts w:ascii="Arial" w:hAnsi="Arial" w:cs="Arial"/>
        </w:rPr>
      </w:pPr>
      <w:r w:rsidRPr="00731CE2">
        <w:rPr>
          <w:rFonts w:ascii="Arial" w:hAnsi="Arial" w:cs="Arial"/>
        </w:rPr>
        <w:t>El punto de partida del análisis lo constituyen las teorías clásicas del comercio internacional, que permiten identificar la base de la especialización exportadora de Honduras frente a China a partir de las diferencias en costos relativos y dotaciones factoriales. Sin embargo, como se ha argumentado a lo largo de este capítulo, la identificación del potencial exportador es condición necesaria pero no suficiente para que un acuerdo comercial genere beneficios sostenibles. La literatura sobre aprovechamiento de acuerdos comerciales, capacidad productiva y diversificación exportadora ha evidenciado que entre el potencial teórico y su materialización media un conjunto de condiciones estructurales que determinan si las oportunidades identificadas se traducen en resultados concretos o permanecen como posibilidades no realizadas. Esta tensión entre potencial y aprovechamiento constituye uno de los ejes interpretativos centrales de la investigación.</w:t>
      </w:r>
    </w:p>
    <w:p w14:paraId="102F77E1" w14:textId="77777777" w:rsidR="00731CE2" w:rsidRPr="00731CE2" w:rsidRDefault="00731CE2" w:rsidP="00731CE2">
      <w:pPr>
        <w:spacing w:after="240" w:line="360" w:lineRule="auto"/>
        <w:jc w:val="both"/>
        <w:rPr>
          <w:rFonts w:ascii="Arial" w:hAnsi="Arial" w:cs="Arial"/>
        </w:rPr>
      </w:pPr>
      <w:r w:rsidRPr="00731CE2">
        <w:rPr>
          <w:rFonts w:ascii="Arial" w:hAnsi="Arial" w:cs="Arial"/>
        </w:rPr>
        <w:t>El segundo eje lo configura la relación entre acceso formal y acceso efectivo al mercado. La negociación arancelaria del TLC otorgaría a Honduras condiciones preferenciales de entrada al mercado chino; no obstante, el marco teórico ha puesto en evidencia que la reducción de aranceles no opera de manera aislada, sino en interacción con un conjunto de barreras no arancelarias cuya incidencia puede condicionar de manera decisiva el alcance real del acceso negociado. Esta distinción entre lo pactado en el acuerdo y lo efectivamente alcanzable constituye una categoría analítica que orienta tanto la evaluación del potencial exportador como la identificación de los desafíos que enfrenta Honduras de cara al acuerdo.</w:t>
      </w:r>
    </w:p>
    <w:p w14:paraId="08169C41" w14:textId="77777777" w:rsidR="00731CE2" w:rsidRPr="00731CE2" w:rsidRDefault="00731CE2" w:rsidP="00731CE2">
      <w:pPr>
        <w:spacing w:after="240" w:line="360" w:lineRule="auto"/>
        <w:jc w:val="both"/>
        <w:rPr>
          <w:rFonts w:ascii="Arial" w:hAnsi="Arial" w:cs="Arial"/>
        </w:rPr>
      </w:pPr>
      <w:r w:rsidRPr="00731CE2">
        <w:rPr>
          <w:rFonts w:ascii="Arial" w:hAnsi="Arial" w:cs="Arial"/>
        </w:rPr>
        <w:t xml:space="preserve">El tercer eje, de carácter más estructural, se fundamenta en los conceptos de asimetría comercial y </w:t>
      </w:r>
      <w:proofErr w:type="spellStart"/>
      <w:r w:rsidRPr="00731CE2">
        <w:rPr>
          <w:rFonts w:ascii="Arial" w:hAnsi="Arial" w:cs="Arial"/>
        </w:rPr>
        <w:t>reprimarización</w:t>
      </w:r>
      <w:proofErr w:type="spellEnd"/>
      <w:r w:rsidRPr="00731CE2">
        <w:rPr>
          <w:rFonts w:ascii="Arial" w:hAnsi="Arial" w:cs="Arial"/>
        </w:rPr>
        <w:t xml:space="preserve"> derivados de la teoría de la dependencia. Estos conceptos permiten situar la relación Honduras-China dentro de un patrón regional más amplio, en el que las economías latinoamericanas han tendido a profundizar su especialización primaria como consecuencia de la creciente demanda china de materias primas. Este lente crítico no se adopta como un </w:t>
      </w:r>
      <w:r w:rsidRPr="00731CE2">
        <w:rPr>
          <w:rFonts w:ascii="Arial" w:hAnsi="Arial" w:cs="Arial"/>
        </w:rPr>
        <w:lastRenderedPageBreak/>
        <w:t>determinismo que descarte los beneficios potenciales del acuerdo, sino como un marco que obliga a evaluar simultáneamente las oportunidades de corto plazo y los riesgos de consolidar una inserción comercial de bajo valor agregado en el largo plazo. En la misma línea, la distinción entre inversión extractiva e inversión orientada al desarrollo permite extender este análisis al ámbito de la IED, evaluando si las condiciones del acuerdo favorecerían una inversión que fortalezca el aparato productivo nacional o que se limite a la extracción de recursos sin vinculación con la economía local.</w:t>
      </w:r>
    </w:p>
    <w:p w14:paraId="5EB581AE" w14:textId="390957B6" w:rsidR="00731CE2" w:rsidRPr="00731CE2" w:rsidRDefault="00731CE2" w:rsidP="00950687">
      <w:pPr>
        <w:spacing w:after="240" w:line="360" w:lineRule="auto"/>
        <w:jc w:val="both"/>
        <w:rPr>
          <w:rFonts w:ascii="Arial" w:hAnsi="Arial" w:cs="Arial"/>
        </w:rPr>
      </w:pPr>
      <w:r w:rsidRPr="00731CE2">
        <w:rPr>
          <w:rFonts w:ascii="Arial" w:hAnsi="Arial" w:cs="Arial"/>
        </w:rPr>
        <w:t>Estos ejes analíticos se operacionalizan a través del diseño metodológico descrito en la siguiente sección, el cual articula herramientas cuantitativas y cualitativas que permiten contrastar el marco teórico con la evidencia empírica disponible y con las condiciones reales del contexto hondureño.</w:t>
      </w:r>
    </w:p>
    <w:p w14:paraId="024B4475" w14:textId="7028F23A" w:rsidR="003E0592" w:rsidRPr="003927B6" w:rsidRDefault="007C61A3">
      <w:pPr>
        <w:pStyle w:val="Prrafodelista"/>
        <w:numPr>
          <w:ilvl w:val="1"/>
          <w:numId w:val="20"/>
        </w:numPr>
        <w:spacing w:line="360" w:lineRule="auto"/>
        <w:jc w:val="both"/>
        <w:rPr>
          <w:rFonts w:ascii="Arial" w:eastAsiaTheme="majorEastAsia" w:hAnsi="Arial" w:cs="Arial"/>
          <w:sz w:val="28"/>
          <w:szCs w:val="28"/>
        </w:rPr>
      </w:pPr>
      <w:bookmarkStart w:id="28" w:name="_Toc236232342"/>
      <w:r w:rsidRPr="003927B6">
        <w:rPr>
          <w:rStyle w:val="Ttulo2Car"/>
          <w:rFonts w:ascii="Arial" w:hAnsi="Arial" w:cs="Arial"/>
          <w:color w:val="auto"/>
          <w:sz w:val="28"/>
          <w:szCs w:val="28"/>
        </w:rPr>
        <w:t>Marco metodológico</w:t>
      </w:r>
      <w:bookmarkEnd w:id="28"/>
    </w:p>
    <w:p w14:paraId="5015FCFB" w14:textId="77777777" w:rsidR="003B5084" w:rsidRPr="003B5084" w:rsidRDefault="003B5084" w:rsidP="003B5084"/>
    <w:p w14:paraId="3E5383A9" w14:textId="4F08F5E8" w:rsidR="003B5084" w:rsidRPr="003B5084" w:rsidRDefault="00044A23" w:rsidP="003B5084">
      <w:pPr>
        <w:pStyle w:val="Ttulo3"/>
        <w:numPr>
          <w:ilvl w:val="2"/>
          <w:numId w:val="20"/>
        </w:numPr>
        <w:rPr>
          <w:rFonts w:cs="Arial"/>
        </w:rPr>
      </w:pPr>
      <w:r>
        <w:rPr>
          <w:rFonts w:cs="Arial"/>
        </w:rPr>
        <w:t xml:space="preserve"> </w:t>
      </w:r>
      <w:bookmarkStart w:id="29" w:name="_Toc236232343"/>
      <w:r w:rsidR="007C61A3" w:rsidRPr="009F5558">
        <w:rPr>
          <w:rFonts w:cs="Arial"/>
        </w:rPr>
        <w:t>Enfoque de la investigació</w:t>
      </w:r>
      <w:r w:rsidR="003B5084">
        <w:rPr>
          <w:rFonts w:cs="Arial"/>
        </w:rPr>
        <w:t>n</w:t>
      </w:r>
      <w:bookmarkEnd w:id="29"/>
    </w:p>
    <w:p w14:paraId="4E9934DF" w14:textId="77777777" w:rsidR="003B5084" w:rsidRDefault="003B5084" w:rsidP="003B5084"/>
    <w:p w14:paraId="70E5FD6C" w14:textId="77777777" w:rsidR="003B5084" w:rsidRDefault="003B5084" w:rsidP="003B5084">
      <w:pPr>
        <w:spacing w:line="360" w:lineRule="auto"/>
        <w:jc w:val="both"/>
        <w:rPr>
          <w:rFonts w:ascii="Arial" w:hAnsi="Arial" w:cs="Arial"/>
        </w:rPr>
      </w:pPr>
      <w:r w:rsidRPr="003B5084">
        <w:rPr>
          <w:rFonts w:ascii="Arial" w:hAnsi="Arial" w:cs="Arial"/>
        </w:rPr>
        <w:t>Un elemento vital de toda investigación es su enfoque, el cual puede ser</w:t>
      </w:r>
      <w:r>
        <w:rPr>
          <w:rFonts w:ascii="Arial" w:hAnsi="Arial" w:cs="Arial"/>
        </w:rPr>
        <w:t xml:space="preserve"> </w:t>
      </w:r>
      <w:r w:rsidRPr="003B5084">
        <w:rPr>
          <w:rFonts w:ascii="Arial" w:hAnsi="Arial" w:cs="Arial"/>
        </w:rPr>
        <w:t>cualitativo, cuantitativo o mixto (Hernández Sampieri et al., 2014). La presente</w:t>
      </w:r>
      <w:r>
        <w:rPr>
          <w:rFonts w:ascii="Arial" w:hAnsi="Arial" w:cs="Arial"/>
        </w:rPr>
        <w:t xml:space="preserve"> </w:t>
      </w:r>
      <w:r w:rsidRPr="003B5084">
        <w:rPr>
          <w:rFonts w:ascii="Arial" w:hAnsi="Arial" w:cs="Arial"/>
        </w:rPr>
        <w:t>investigación se desarrolla desde un enfoque mixto con predominio cualitativo.</w:t>
      </w:r>
      <w:r>
        <w:rPr>
          <w:rFonts w:ascii="Arial" w:hAnsi="Arial" w:cs="Arial"/>
        </w:rPr>
        <w:t xml:space="preserve"> </w:t>
      </w:r>
      <w:r w:rsidRPr="003B5084">
        <w:rPr>
          <w:rFonts w:ascii="Arial" w:hAnsi="Arial" w:cs="Arial"/>
        </w:rPr>
        <w:t>Esta decisión metodológica responde a la naturaleza del objeto de estudio: el</w:t>
      </w:r>
      <w:r>
        <w:rPr>
          <w:rFonts w:ascii="Arial" w:hAnsi="Arial" w:cs="Arial"/>
        </w:rPr>
        <w:t xml:space="preserve"> </w:t>
      </w:r>
      <w:r w:rsidRPr="003B5084">
        <w:rPr>
          <w:rFonts w:ascii="Arial" w:hAnsi="Arial" w:cs="Arial"/>
        </w:rPr>
        <w:t>análisis de las negociaciones comerciales entre Honduras y la República Popular</w:t>
      </w:r>
      <w:r>
        <w:rPr>
          <w:rFonts w:ascii="Arial" w:hAnsi="Arial" w:cs="Arial"/>
        </w:rPr>
        <w:t xml:space="preserve"> </w:t>
      </w:r>
      <w:r w:rsidRPr="003B5084">
        <w:rPr>
          <w:rFonts w:ascii="Arial" w:hAnsi="Arial" w:cs="Arial"/>
        </w:rPr>
        <w:t>de China y sus posibles implicaciones para el sector exportador hondureño y la</w:t>
      </w:r>
      <w:r>
        <w:rPr>
          <w:rFonts w:ascii="Arial" w:hAnsi="Arial" w:cs="Arial"/>
        </w:rPr>
        <w:t xml:space="preserve"> </w:t>
      </w:r>
      <w:r w:rsidRPr="003B5084">
        <w:rPr>
          <w:rFonts w:ascii="Arial" w:hAnsi="Arial" w:cs="Arial"/>
        </w:rPr>
        <w:t>inversión extranjera directa. El fenómeno no puede comprenderse únicamente</w:t>
      </w:r>
      <w:r>
        <w:rPr>
          <w:rFonts w:ascii="Arial" w:hAnsi="Arial" w:cs="Arial"/>
        </w:rPr>
        <w:t xml:space="preserve"> </w:t>
      </w:r>
      <w:r w:rsidRPr="003B5084">
        <w:rPr>
          <w:rFonts w:ascii="Arial" w:hAnsi="Arial" w:cs="Arial"/>
        </w:rPr>
        <w:t>mediante cifras de comercio exterior, ya que involucra percepciones,</w:t>
      </w:r>
      <w:r>
        <w:rPr>
          <w:rFonts w:ascii="Arial" w:hAnsi="Arial" w:cs="Arial"/>
        </w:rPr>
        <w:t xml:space="preserve"> </w:t>
      </w:r>
      <w:r w:rsidRPr="003B5084">
        <w:rPr>
          <w:rFonts w:ascii="Arial" w:hAnsi="Arial" w:cs="Arial"/>
        </w:rPr>
        <w:t>expectativas, capacidades productivas, condiciones institucionales, asimetrías</w:t>
      </w:r>
      <w:r>
        <w:rPr>
          <w:rFonts w:ascii="Arial" w:hAnsi="Arial" w:cs="Arial"/>
        </w:rPr>
        <w:t xml:space="preserve"> </w:t>
      </w:r>
      <w:r w:rsidRPr="003B5084">
        <w:rPr>
          <w:rFonts w:ascii="Arial" w:hAnsi="Arial" w:cs="Arial"/>
        </w:rPr>
        <w:t>comerciales y valoraciones estratégicas de los actores vinculados con el</w:t>
      </w:r>
      <w:r>
        <w:rPr>
          <w:rFonts w:ascii="Arial" w:hAnsi="Arial" w:cs="Arial"/>
        </w:rPr>
        <w:t xml:space="preserve"> </w:t>
      </w:r>
      <w:r w:rsidRPr="003B5084">
        <w:rPr>
          <w:rFonts w:ascii="Arial" w:hAnsi="Arial" w:cs="Arial"/>
        </w:rPr>
        <w:t>comercio internacional; pero tampoco puede analizarse solo desde los</w:t>
      </w:r>
      <w:r>
        <w:rPr>
          <w:rFonts w:ascii="Arial" w:hAnsi="Arial" w:cs="Arial"/>
        </w:rPr>
        <w:t xml:space="preserve"> </w:t>
      </w:r>
      <w:r w:rsidRPr="003B5084">
        <w:rPr>
          <w:rFonts w:ascii="Arial" w:hAnsi="Arial" w:cs="Arial"/>
        </w:rPr>
        <w:t>testimonios, ya que la posición comercial de Honduras frente a China constituye</w:t>
      </w:r>
      <w:r>
        <w:rPr>
          <w:rFonts w:ascii="Arial" w:hAnsi="Arial" w:cs="Arial"/>
        </w:rPr>
        <w:t xml:space="preserve"> </w:t>
      </w:r>
      <w:r w:rsidRPr="003B5084">
        <w:rPr>
          <w:rFonts w:ascii="Arial" w:hAnsi="Arial" w:cs="Arial"/>
        </w:rPr>
        <w:t>un hecho medible que requiere evidencia estadística.</w:t>
      </w:r>
      <w:r>
        <w:rPr>
          <w:rFonts w:ascii="Arial" w:hAnsi="Arial" w:cs="Arial"/>
        </w:rPr>
        <w:t xml:space="preserve"> </w:t>
      </w:r>
    </w:p>
    <w:p w14:paraId="0D14DF0C" w14:textId="77777777" w:rsidR="003B5084" w:rsidRDefault="003B5084" w:rsidP="003B5084">
      <w:pPr>
        <w:spacing w:line="360" w:lineRule="auto"/>
        <w:jc w:val="both"/>
        <w:rPr>
          <w:rFonts w:ascii="Arial" w:hAnsi="Arial" w:cs="Arial"/>
        </w:rPr>
      </w:pPr>
    </w:p>
    <w:p w14:paraId="4E209DC0" w14:textId="1FC2BE8D" w:rsidR="003B5084" w:rsidRPr="003B5084" w:rsidRDefault="003B5084" w:rsidP="003B5084">
      <w:pPr>
        <w:spacing w:line="360" w:lineRule="auto"/>
        <w:jc w:val="both"/>
        <w:rPr>
          <w:rFonts w:ascii="Arial" w:hAnsi="Arial" w:cs="Arial"/>
        </w:rPr>
      </w:pPr>
      <w:r w:rsidRPr="003B5084">
        <w:rPr>
          <w:rFonts w:ascii="Arial" w:hAnsi="Arial" w:cs="Arial"/>
        </w:rPr>
        <w:t>En el enfoque cualitativo, según Otero Ortega (2018), “se estudia la realidad en</w:t>
      </w:r>
      <w:r>
        <w:rPr>
          <w:rFonts w:ascii="Arial" w:hAnsi="Arial" w:cs="Arial"/>
        </w:rPr>
        <w:t xml:space="preserve"> </w:t>
      </w:r>
      <w:r w:rsidRPr="003B5084">
        <w:rPr>
          <w:rFonts w:ascii="Arial" w:hAnsi="Arial" w:cs="Arial"/>
        </w:rPr>
        <w:t>su contexto natural tal y como sucede”. Hernández Sampieri et al. (2014) amplían</w:t>
      </w:r>
      <w:r>
        <w:rPr>
          <w:rFonts w:ascii="Arial" w:hAnsi="Arial" w:cs="Arial"/>
        </w:rPr>
        <w:t xml:space="preserve"> </w:t>
      </w:r>
      <w:r w:rsidRPr="003B5084">
        <w:rPr>
          <w:rFonts w:ascii="Arial" w:hAnsi="Arial" w:cs="Arial"/>
        </w:rPr>
        <w:t>esta noción y señalan que dicho enfoque “proporciona profundidad a los datos,</w:t>
      </w:r>
      <w:r>
        <w:rPr>
          <w:rFonts w:ascii="Arial" w:hAnsi="Arial" w:cs="Arial"/>
        </w:rPr>
        <w:t xml:space="preserve"> </w:t>
      </w:r>
      <w:r w:rsidRPr="003B5084">
        <w:rPr>
          <w:rFonts w:ascii="Arial" w:hAnsi="Arial" w:cs="Arial"/>
        </w:rPr>
        <w:lastRenderedPageBreak/>
        <w:t>dispersión, riqueza interpretativa, contextualización del ambiente o entorno,</w:t>
      </w:r>
      <w:r>
        <w:rPr>
          <w:rFonts w:ascii="Arial" w:hAnsi="Arial" w:cs="Arial"/>
        </w:rPr>
        <w:t xml:space="preserve"> </w:t>
      </w:r>
      <w:r w:rsidRPr="003B5084">
        <w:rPr>
          <w:rFonts w:ascii="Arial" w:hAnsi="Arial" w:cs="Arial"/>
        </w:rPr>
        <w:t>detalles y experiencias únicas. Asimismo, aporta un punto de vista ‘fresco,</w:t>
      </w:r>
      <w:r>
        <w:rPr>
          <w:rFonts w:ascii="Arial" w:hAnsi="Arial" w:cs="Arial"/>
        </w:rPr>
        <w:t xml:space="preserve"> </w:t>
      </w:r>
      <w:r w:rsidRPr="003B5084">
        <w:rPr>
          <w:rFonts w:ascii="Arial" w:hAnsi="Arial" w:cs="Arial"/>
        </w:rPr>
        <w:t>natural y holístico’ de los fenómenos, así como flexibilidad” (p. 16). En cuanto al</w:t>
      </w:r>
      <w:r>
        <w:rPr>
          <w:rFonts w:ascii="Arial" w:hAnsi="Arial" w:cs="Arial"/>
        </w:rPr>
        <w:t xml:space="preserve"> </w:t>
      </w:r>
      <w:r w:rsidRPr="003B5084">
        <w:rPr>
          <w:rFonts w:ascii="Arial" w:hAnsi="Arial" w:cs="Arial"/>
        </w:rPr>
        <w:t>método cuantitativo, los mismos autores indican que este “pretende ‘acotar’</w:t>
      </w:r>
      <w:r>
        <w:rPr>
          <w:rFonts w:ascii="Arial" w:hAnsi="Arial" w:cs="Arial"/>
        </w:rPr>
        <w:t xml:space="preserve"> </w:t>
      </w:r>
      <w:r w:rsidRPr="003B5084">
        <w:rPr>
          <w:rFonts w:ascii="Arial" w:hAnsi="Arial" w:cs="Arial"/>
        </w:rPr>
        <w:t>intencionalmente la información (medir con precisión las variables del estudio)”</w:t>
      </w:r>
      <w:r>
        <w:rPr>
          <w:rFonts w:ascii="Arial" w:hAnsi="Arial" w:cs="Arial"/>
        </w:rPr>
        <w:t xml:space="preserve"> </w:t>
      </w:r>
      <w:r w:rsidRPr="003B5084">
        <w:rPr>
          <w:rFonts w:ascii="Arial" w:hAnsi="Arial" w:cs="Arial"/>
        </w:rPr>
        <w:t>(p. 10), apoyándose mayoritariamente en mediciones numéricas. Finalmente, el</w:t>
      </w:r>
      <w:r>
        <w:rPr>
          <w:rFonts w:ascii="Arial" w:hAnsi="Arial" w:cs="Arial"/>
        </w:rPr>
        <w:t xml:space="preserve"> </w:t>
      </w:r>
      <w:r w:rsidRPr="003B5084">
        <w:rPr>
          <w:rFonts w:ascii="Arial" w:hAnsi="Arial" w:cs="Arial"/>
        </w:rPr>
        <w:t>enfoque mixto es la integración de los dos primeros y surge, de acuerdo con</w:t>
      </w:r>
      <w:r>
        <w:rPr>
          <w:rFonts w:ascii="Arial" w:hAnsi="Arial" w:cs="Arial"/>
        </w:rPr>
        <w:t xml:space="preserve"> </w:t>
      </w:r>
      <w:r w:rsidRPr="003B5084">
        <w:rPr>
          <w:rFonts w:ascii="Arial" w:hAnsi="Arial" w:cs="Arial"/>
        </w:rPr>
        <w:t>Otero Ortega (2018), como respuesta a la necesidad de abordar la complejidad</w:t>
      </w:r>
      <w:r>
        <w:rPr>
          <w:rFonts w:ascii="Arial" w:hAnsi="Arial" w:cs="Arial"/>
        </w:rPr>
        <w:t xml:space="preserve"> </w:t>
      </w:r>
      <w:r w:rsidRPr="003B5084">
        <w:rPr>
          <w:rFonts w:ascii="Arial" w:hAnsi="Arial" w:cs="Arial"/>
        </w:rPr>
        <w:t>de los problemas de investigación que se plantean en diversas disciplinas y de</w:t>
      </w:r>
      <w:r>
        <w:rPr>
          <w:rFonts w:ascii="Arial" w:hAnsi="Arial" w:cs="Arial"/>
        </w:rPr>
        <w:t xml:space="preserve"> </w:t>
      </w:r>
      <w:r w:rsidRPr="003B5084">
        <w:rPr>
          <w:rFonts w:ascii="Arial" w:hAnsi="Arial" w:cs="Arial"/>
        </w:rPr>
        <w:t>enfocarlos de manera integral.</w:t>
      </w:r>
    </w:p>
    <w:p w14:paraId="2AF54E1F" w14:textId="77777777" w:rsidR="003B5084" w:rsidRDefault="003B5084" w:rsidP="003B5084">
      <w:pPr>
        <w:spacing w:line="360" w:lineRule="auto"/>
        <w:jc w:val="both"/>
        <w:rPr>
          <w:rFonts w:ascii="Arial" w:hAnsi="Arial" w:cs="Arial"/>
        </w:rPr>
      </w:pPr>
    </w:p>
    <w:p w14:paraId="28A9CB42" w14:textId="173C7B5C" w:rsidR="003B5084" w:rsidRDefault="003B5084" w:rsidP="003B5084">
      <w:pPr>
        <w:spacing w:line="360" w:lineRule="auto"/>
        <w:jc w:val="both"/>
        <w:rPr>
          <w:rFonts w:ascii="Arial" w:hAnsi="Arial" w:cs="Arial"/>
        </w:rPr>
      </w:pPr>
      <w:r w:rsidRPr="003B5084">
        <w:rPr>
          <w:rFonts w:ascii="Arial" w:hAnsi="Arial" w:cs="Arial"/>
        </w:rPr>
        <w:t>La selección del enfoque mixto responde a la estructura de los objetivos</w:t>
      </w:r>
      <w:r>
        <w:rPr>
          <w:rFonts w:ascii="Arial" w:hAnsi="Arial" w:cs="Arial"/>
        </w:rPr>
        <w:t xml:space="preserve"> </w:t>
      </w:r>
      <w:r w:rsidRPr="003B5084">
        <w:rPr>
          <w:rFonts w:ascii="Arial" w:hAnsi="Arial" w:cs="Arial"/>
        </w:rPr>
        <w:t>específicos de la investigación. El primer objetivo, referido a explicar la actual</w:t>
      </w:r>
      <w:r>
        <w:rPr>
          <w:rFonts w:ascii="Arial" w:hAnsi="Arial" w:cs="Arial"/>
        </w:rPr>
        <w:t xml:space="preserve"> </w:t>
      </w:r>
      <w:r w:rsidRPr="003B5084">
        <w:rPr>
          <w:rFonts w:ascii="Arial" w:hAnsi="Arial" w:cs="Arial"/>
        </w:rPr>
        <w:t>relación económica entre China y Honduras, exige evidencia numérica sobre</w:t>
      </w:r>
      <w:r>
        <w:rPr>
          <w:rFonts w:ascii="Arial" w:hAnsi="Arial" w:cs="Arial"/>
        </w:rPr>
        <w:t xml:space="preserve"> </w:t>
      </w:r>
      <w:r w:rsidRPr="003B5084">
        <w:rPr>
          <w:rFonts w:ascii="Arial" w:hAnsi="Arial" w:cs="Arial"/>
        </w:rPr>
        <w:t>exportaciones, importaciones, balanza comercial e inversión extranjera directa,</w:t>
      </w:r>
      <w:r>
        <w:rPr>
          <w:rFonts w:ascii="Arial" w:hAnsi="Arial" w:cs="Arial"/>
        </w:rPr>
        <w:t xml:space="preserve"> </w:t>
      </w:r>
      <w:r w:rsidRPr="003B5084">
        <w:rPr>
          <w:rFonts w:ascii="Arial" w:hAnsi="Arial" w:cs="Arial"/>
        </w:rPr>
        <w:t>así como el cálculo de indicadores comerciales. El segundo objetivo, orientado</w:t>
      </w:r>
      <w:r>
        <w:rPr>
          <w:rFonts w:ascii="Arial" w:hAnsi="Arial" w:cs="Arial"/>
        </w:rPr>
        <w:t xml:space="preserve"> </w:t>
      </w:r>
      <w:r w:rsidRPr="003B5084">
        <w:rPr>
          <w:rFonts w:ascii="Arial" w:hAnsi="Arial" w:cs="Arial"/>
        </w:rPr>
        <w:t>a contrastar la experiencia de otros países de América Latina que han firmado</w:t>
      </w:r>
      <w:r>
        <w:rPr>
          <w:rFonts w:ascii="Arial" w:hAnsi="Arial" w:cs="Arial"/>
        </w:rPr>
        <w:t xml:space="preserve"> </w:t>
      </w:r>
      <w:r w:rsidRPr="003B5084">
        <w:rPr>
          <w:rFonts w:ascii="Arial" w:hAnsi="Arial" w:cs="Arial"/>
        </w:rPr>
        <w:t>un tratado de libre comercio con China, combina la revisión de evaluaciones</w:t>
      </w:r>
      <w:r>
        <w:rPr>
          <w:rFonts w:ascii="Arial" w:hAnsi="Arial" w:cs="Arial"/>
        </w:rPr>
        <w:t xml:space="preserve"> </w:t>
      </w:r>
      <w:r w:rsidRPr="003B5084">
        <w:rPr>
          <w:rFonts w:ascii="Arial" w:hAnsi="Arial" w:cs="Arial"/>
        </w:rPr>
        <w:t>existentes con la comparación de series estadísticas anteriores y posteriores a</w:t>
      </w:r>
      <w:r>
        <w:rPr>
          <w:rFonts w:ascii="Arial" w:hAnsi="Arial" w:cs="Arial"/>
        </w:rPr>
        <w:t xml:space="preserve"> </w:t>
      </w:r>
      <w:r w:rsidRPr="003B5084">
        <w:rPr>
          <w:rFonts w:ascii="Arial" w:hAnsi="Arial" w:cs="Arial"/>
        </w:rPr>
        <w:t>la entrada en vigor de dichos acuerdos. El tercer objetivo, dirigido a determinar</w:t>
      </w:r>
      <w:r>
        <w:rPr>
          <w:rFonts w:ascii="Arial" w:hAnsi="Arial" w:cs="Arial"/>
        </w:rPr>
        <w:t xml:space="preserve"> </w:t>
      </w:r>
      <w:r w:rsidRPr="003B5084">
        <w:rPr>
          <w:rFonts w:ascii="Arial" w:hAnsi="Arial" w:cs="Arial"/>
        </w:rPr>
        <w:t>las oportunidades y desafíos del tratado para el sector exportador y para la</w:t>
      </w:r>
      <w:r>
        <w:rPr>
          <w:rFonts w:ascii="Arial" w:hAnsi="Arial" w:cs="Arial"/>
        </w:rPr>
        <w:t xml:space="preserve"> </w:t>
      </w:r>
      <w:r w:rsidRPr="003B5084">
        <w:rPr>
          <w:rFonts w:ascii="Arial" w:hAnsi="Arial" w:cs="Arial"/>
        </w:rPr>
        <w:t>inversión extranjera directa, solo puede alcanzarse mediante la interpretación de</w:t>
      </w:r>
      <w:r>
        <w:rPr>
          <w:rFonts w:ascii="Arial" w:hAnsi="Arial" w:cs="Arial"/>
        </w:rPr>
        <w:t xml:space="preserve"> </w:t>
      </w:r>
      <w:r w:rsidRPr="003B5084">
        <w:rPr>
          <w:rFonts w:ascii="Arial" w:hAnsi="Arial" w:cs="Arial"/>
        </w:rPr>
        <w:t>las valoraciones de los actores involucrados. Esta combinación coincide con lo</w:t>
      </w:r>
      <w:r>
        <w:rPr>
          <w:rFonts w:ascii="Arial" w:hAnsi="Arial" w:cs="Arial"/>
        </w:rPr>
        <w:t xml:space="preserve"> </w:t>
      </w:r>
      <w:r w:rsidRPr="003B5084">
        <w:rPr>
          <w:rFonts w:ascii="Arial" w:hAnsi="Arial" w:cs="Arial"/>
        </w:rPr>
        <w:t>señalado por Lalanne y Sánchez (2019), quienes advierten que la evaluación de</w:t>
      </w:r>
      <w:r>
        <w:rPr>
          <w:rFonts w:ascii="Arial" w:hAnsi="Arial" w:cs="Arial"/>
        </w:rPr>
        <w:t xml:space="preserve"> </w:t>
      </w:r>
      <w:r w:rsidRPr="003B5084">
        <w:rPr>
          <w:rFonts w:ascii="Arial" w:hAnsi="Arial" w:cs="Arial"/>
        </w:rPr>
        <w:t>acuerdos comerciales requiere articular el análisis de indicadores con el</w:t>
      </w:r>
      <w:r>
        <w:rPr>
          <w:rFonts w:ascii="Arial" w:hAnsi="Arial" w:cs="Arial"/>
        </w:rPr>
        <w:t xml:space="preserve"> </w:t>
      </w:r>
      <w:r w:rsidRPr="003B5084">
        <w:rPr>
          <w:rFonts w:ascii="Arial" w:hAnsi="Arial" w:cs="Arial"/>
        </w:rPr>
        <w:t>intercambio con los grupos involucrados y con las entrevistas a expertos.</w:t>
      </w:r>
      <w:r>
        <w:rPr>
          <w:rFonts w:ascii="Arial" w:hAnsi="Arial" w:cs="Arial"/>
        </w:rPr>
        <w:t xml:space="preserve"> </w:t>
      </w:r>
      <w:r w:rsidRPr="003B5084">
        <w:rPr>
          <w:rFonts w:ascii="Arial" w:hAnsi="Arial" w:cs="Arial"/>
        </w:rPr>
        <w:t>El</w:t>
      </w:r>
      <w:r>
        <w:rPr>
          <w:rFonts w:ascii="Arial" w:hAnsi="Arial" w:cs="Arial"/>
        </w:rPr>
        <w:t xml:space="preserve"> </w:t>
      </w:r>
      <w:r w:rsidRPr="003B5084">
        <w:rPr>
          <w:rFonts w:ascii="Arial" w:hAnsi="Arial" w:cs="Arial"/>
        </w:rPr>
        <w:t>predominio cualitativo se justifica porque el proceso negociador se encontraba</w:t>
      </w:r>
      <w:r>
        <w:rPr>
          <w:rFonts w:ascii="Arial" w:hAnsi="Arial" w:cs="Arial"/>
        </w:rPr>
        <w:t xml:space="preserve"> </w:t>
      </w:r>
      <w:r w:rsidRPr="003B5084">
        <w:rPr>
          <w:rFonts w:ascii="Arial" w:hAnsi="Arial" w:cs="Arial"/>
        </w:rPr>
        <w:t>aún en desarrollo durante la ejecución del estudio y no existían resultados</w:t>
      </w:r>
      <w:r>
        <w:rPr>
          <w:rFonts w:ascii="Arial" w:hAnsi="Arial" w:cs="Arial"/>
        </w:rPr>
        <w:t xml:space="preserve"> </w:t>
      </w:r>
      <w:r w:rsidRPr="003B5084">
        <w:rPr>
          <w:rFonts w:ascii="Arial" w:hAnsi="Arial" w:cs="Arial"/>
        </w:rPr>
        <w:t>definitivos derivados de la implementación del tratado. Trejos (2009) advierte que</w:t>
      </w:r>
      <w:r>
        <w:rPr>
          <w:rFonts w:ascii="Arial" w:hAnsi="Arial" w:cs="Arial"/>
        </w:rPr>
        <w:t xml:space="preserve"> </w:t>
      </w:r>
      <w:r w:rsidRPr="003B5084">
        <w:rPr>
          <w:rFonts w:ascii="Arial" w:hAnsi="Arial" w:cs="Arial"/>
        </w:rPr>
        <w:t>la evaluación exhaustiva y detallada de un acuerdo comercial resulta complicada</w:t>
      </w:r>
      <w:r>
        <w:rPr>
          <w:rFonts w:ascii="Arial" w:hAnsi="Arial" w:cs="Arial"/>
        </w:rPr>
        <w:t xml:space="preserve"> </w:t>
      </w:r>
      <w:r w:rsidRPr="003B5084">
        <w:rPr>
          <w:rFonts w:ascii="Arial" w:hAnsi="Arial" w:cs="Arial"/>
        </w:rPr>
        <w:t xml:space="preserve">cuando este se encuentra todavía en su etapa de negociación, situación </w:t>
      </w:r>
      <w:proofErr w:type="spellStart"/>
      <w:r w:rsidRPr="003B5084">
        <w:rPr>
          <w:rFonts w:ascii="Arial" w:hAnsi="Arial" w:cs="Arial"/>
        </w:rPr>
        <w:t>qu</w:t>
      </w:r>
      <w:proofErr w:type="spellEnd"/>
      <w:r>
        <w:rPr>
          <w:rFonts w:ascii="Arial" w:hAnsi="Arial" w:cs="Arial"/>
        </w:rPr>
        <w:t xml:space="preserve"> </w:t>
      </w:r>
      <w:r w:rsidRPr="003B5084">
        <w:rPr>
          <w:rFonts w:ascii="Arial" w:hAnsi="Arial" w:cs="Arial"/>
        </w:rPr>
        <w:t>e a</w:t>
      </w:r>
      <w:r>
        <w:rPr>
          <w:rFonts w:ascii="Arial" w:hAnsi="Arial" w:cs="Arial"/>
        </w:rPr>
        <w:t xml:space="preserve"> </w:t>
      </w:r>
      <w:r w:rsidRPr="003B5084">
        <w:rPr>
          <w:rFonts w:ascii="Arial" w:hAnsi="Arial" w:cs="Arial"/>
        </w:rPr>
        <w:t>menudo se traduce en retrasos en la obtención de datos relevantes. En la misma</w:t>
      </w:r>
      <w:r>
        <w:rPr>
          <w:rFonts w:ascii="Arial" w:hAnsi="Arial" w:cs="Arial"/>
        </w:rPr>
        <w:t xml:space="preserve"> </w:t>
      </w:r>
      <w:r w:rsidRPr="003B5084">
        <w:rPr>
          <w:rFonts w:ascii="Arial" w:hAnsi="Arial" w:cs="Arial"/>
        </w:rPr>
        <w:t>línea, Amaya (2016) y Plummer et al. (2010) señalan que las evaluaciones ex</w:t>
      </w:r>
      <w:r>
        <w:rPr>
          <w:rFonts w:ascii="Arial" w:hAnsi="Arial" w:cs="Arial"/>
        </w:rPr>
        <w:t xml:space="preserve"> </w:t>
      </w:r>
      <w:r w:rsidRPr="003B5084">
        <w:rPr>
          <w:rFonts w:ascii="Arial" w:hAnsi="Arial" w:cs="Arial"/>
        </w:rPr>
        <w:t>ante de acuerdos comerciales operan bajo información incompleta sobre el</w:t>
      </w:r>
      <w:r>
        <w:rPr>
          <w:rFonts w:ascii="Arial" w:hAnsi="Arial" w:cs="Arial"/>
        </w:rPr>
        <w:t xml:space="preserve"> </w:t>
      </w:r>
      <w:r w:rsidRPr="003B5084">
        <w:rPr>
          <w:rFonts w:ascii="Arial" w:hAnsi="Arial" w:cs="Arial"/>
        </w:rPr>
        <w:lastRenderedPageBreak/>
        <w:t>contenido definitivo de lo negociado. En consecuencia, el interés principal de</w:t>
      </w:r>
      <w:r>
        <w:rPr>
          <w:rFonts w:ascii="Arial" w:hAnsi="Arial" w:cs="Arial"/>
        </w:rPr>
        <w:t xml:space="preserve"> </w:t>
      </w:r>
      <w:r w:rsidRPr="003B5084">
        <w:rPr>
          <w:rFonts w:ascii="Arial" w:hAnsi="Arial" w:cs="Arial"/>
        </w:rPr>
        <w:t>esta investigación no consiste en medir impactos concluyentes, sino en</w:t>
      </w:r>
      <w:r>
        <w:rPr>
          <w:rFonts w:ascii="Arial" w:hAnsi="Arial" w:cs="Arial"/>
        </w:rPr>
        <w:t xml:space="preserve"> </w:t>
      </w:r>
      <w:r w:rsidRPr="003B5084">
        <w:rPr>
          <w:rFonts w:ascii="Arial" w:hAnsi="Arial" w:cs="Arial"/>
        </w:rPr>
        <w:t>interpretar escenarios, identificar preocupaciones sectoriales y comprender la</w:t>
      </w:r>
      <w:r>
        <w:rPr>
          <w:rFonts w:ascii="Arial" w:hAnsi="Arial" w:cs="Arial"/>
        </w:rPr>
        <w:t xml:space="preserve">s </w:t>
      </w:r>
      <w:r w:rsidRPr="003B5084">
        <w:rPr>
          <w:rFonts w:ascii="Arial" w:hAnsi="Arial" w:cs="Arial"/>
        </w:rPr>
        <w:t>condiciones bajo las cuales los actores consultados perciben el acuerdo como</w:t>
      </w:r>
      <w:r>
        <w:rPr>
          <w:rFonts w:ascii="Arial" w:hAnsi="Arial" w:cs="Arial"/>
        </w:rPr>
        <w:t xml:space="preserve"> </w:t>
      </w:r>
      <w:r w:rsidRPr="003B5084">
        <w:rPr>
          <w:rFonts w:ascii="Arial" w:hAnsi="Arial" w:cs="Arial"/>
        </w:rPr>
        <w:t>una oportunidad o como una amenaza.</w:t>
      </w:r>
    </w:p>
    <w:p w14:paraId="5E83BB38" w14:textId="77777777" w:rsidR="003B5084" w:rsidRPr="003B5084" w:rsidRDefault="003B5084" w:rsidP="003B5084">
      <w:pPr>
        <w:spacing w:line="360" w:lineRule="auto"/>
        <w:jc w:val="both"/>
        <w:rPr>
          <w:rFonts w:ascii="Arial" w:hAnsi="Arial" w:cs="Arial"/>
        </w:rPr>
      </w:pPr>
    </w:p>
    <w:p w14:paraId="131CBAD3" w14:textId="77C58538" w:rsidR="003B5084" w:rsidRDefault="003B5084" w:rsidP="003B5084">
      <w:pPr>
        <w:spacing w:line="360" w:lineRule="auto"/>
        <w:jc w:val="both"/>
        <w:rPr>
          <w:rFonts w:ascii="Arial" w:hAnsi="Arial" w:cs="Arial"/>
        </w:rPr>
      </w:pPr>
      <w:r w:rsidRPr="003B5084">
        <w:rPr>
          <w:rFonts w:ascii="Arial" w:hAnsi="Arial" w:cs="Arial"/>
        </w:rPr>
        <w:t>La integración de los resultados cuantitativos y cualitativos se realiza mediante</w:t>
      </w:r>
      <w:r>
        <w:rPr>
          <w:rFonts w:ascii="Arial" w:hAnsi="Arial" w:cs="Arial"/>
        </w:rPr>
        <w:t xml:space="preserve"> </w:t>
      </w:r>
      <w:r w:rsidRPr="003B5084">
        <w:rPr>
          <w:rFonts w:ascii="Arial" w:hAnsi="Arial" w:cs="Arial"/>
        </w:rPr>
        <w:t>la triangulación de datos, procedimiento que Hernández Sampieri y Mendoza</w:t>
      </w:r>
      <w:r>
        <w:rPr>
          <w:rFonts w:ascii="Arial" w:hAnsi="Arial" w:cs="Arial"/>
        </w:rPr>
        <w:t xml:space="preserve"> </w:t>
      </w:r>
      <w:r w:rsidRPr="003B5084">
        <w:rPr>
          <w:rFonts w:ascii="Arial" w:hAnsi="Arial" w:cs="Arial"/>
        </w:rPr>
        <w:t>Torres (2018) describen como propio de los diseños mixtos y que consiste en</w:t>
      </w:r>
      <w:r>
        <w:rPr>
          <w:rFonts w:ascii="Arial" w:hAnsi="Arial" w:cs="Arial"/>
        </w:rPr>
        <w:t xml:space="preserve"> </w:t>
      </w:r>
      <w:r w:rsidRPr="003B5084">
        <w:rPr>
          <w:rFonts w:ascii="Arial" w:hAnsi="Arial" w:cs="Arial"/>
        </w:rPr>
        <w:t>contrastar evidencia de distinta naturaleza sobre un mismo fenómeno. En este</w:t>
      </w:r>
      <w:r>
        <w:rPr>
          <w:rFonts w:ascii="Arial" w:hAnsi="Arial" w:cs="Arial"/>
        </w:rPr>
        <w:t xml:space="preserve"> </w:t>
      </w:r>
      <w:r w:rsidRPr="003B5084">
        <w:rPr>
          <w:rFonts w:ascii="Arial" w:hAnsi="Arial" w:cs="Arial"/>
        </w:rPr>
        <w:t>estudio, los indicadores comerciales y los índices cuantitativos se interpretan a</w:t>
      </w:r>
      <w:r>
        <w:rPr>
          <w:rFonts w:ascii="Arial" w:hAnsi="Arial" w:cs="Arial"/>
        </w:rPr>
        <w:t xml:space="preserve"> </w:t>
      </w:r>
      <w:r w:rsidRPr="003B5084">
        <w:rPr>
          <w:rFonts w:ascii="Arial" w:hAnsi="Arial" w:cs="Arial"/>
        </w:rPr>
        <w:t>la luz de las percepciones y testimonios recogidos en las entrevistas, permitiendo</w:t>
      </w:r>
      <w:r>
        <w:rPr>
          <w:rFonts w:ascii="Arial" w:hAnsi="Arial" w:cs="Arial"/>
        </w:rPr>
        <w:t xml:space="preserve"> </w:t>
      </w:r>
      <w:r w:rsidRPr="003B5084">
        <w:rPr>
          <w:rFonts w:ascii="Arial" w:hAnsi="Arial" w:cs="Arial"/>
        </w:rPr>
        <w:t>así una visión holística y contextualizada del fenómeno estudiado. Los datos</w:t>
      </w:r>
      <w:r>
        <w:rPr>
          <w:rFonts w:ascii="Arial" w:hAnsi="Arial" w:cs="Arial"/>
        </w:rPr>
        <w:t xml:space="preserve"> </w:t>
      </w:r>
      <w:r w:rsidRPr="003B5084">
        <w:rPr>
          <w:rFonts w:ascii="Arial" w:hAnsi="Arial" w:cs="Arial"/>
        </w:rPr>
        <w:t>estadísticos no se utilizan, por tanto, como un fin en sí mismos, sino como</w:t>
      </w:r>
      <w:r>
        <w:rPr>
          <w:rFonts w:ascii="Arial" w:hAnsi="Arial" w:cs="Arial"/>
        </w:rPr>
        <w:t xml:space="preserve"> </w:t>
      </w:r>
      <w:r w:rsidRPr="003B5084">
        <w:rPr>
          <w:rFonts w:ascii="Arial" w:hAnsi="Arial" w:cs="Arial"/>
        </w:rPr>
        <w:t>soporte empírico para contextualizar y contrastar los hallazgos cualitativos</w:t>
      </w:r>
      <w:r>
        <w:rPr>
          <w:rFonts w:ascii="Arial" w:hAnsi="Arial" w:cs="Arial"/>
        </w:rPr>
        <w:t xml:space="preserve">. </w:t>
      </w:r>
    </w:p>
    <w:p w14:paraId="3E092421" w14:textId="77777777" w:rsidR="00AE2D0F" w:rsidRDefault="00AE2D0F" w:rsidP="003B5084">
      <w:pPr>
        <w:spacing w:line="360" w:lineRule="auto"/>
        <w:jc w:val="both"/>
        <w:rPr>
          <w:rFonts w:ascii="Arial" w:hAnsi="Arial" w:cs="Arial"/>
        </w:rPr>
      </w:pPr>
    </w:p>
    <w:p w14:paraId="031D30BB" w14:textId="77777777" w:rsidR="003B5084" w:rsidRPr="00DB32E2" w:rsidRDefault="003B5084" w:rsidP="003B5084">
      <w:pPr>
        <w:pStyle w:val="Ttulo3"/>
        <w:numPr>
          <w:ilvl w:val="2"/>
          <w:numId w:val="20"/>
        </w:numPr>
        <w:rPr>
          <w:rFonts w:cs="Arial"/>
        </w:rPr>
      </w:pPr>
      <w:bookmarkStart w:id="30" w:name="_Toc236232344"/>
      <w:r w:rsidRPr="00DB32E2">
        <w:rPr>
          <w:rFonts w:cs="Arial"/>
        </w:rPr>
        <w:t>Alcance de la investigación</w:t>
      </w:r>
      <w:bookmarkEnd w:id="30"/>
    </w:p>
    <w:p w14:paraId="7BE7CBF1" w14:textId="77777777" w:rsidR="00087366" w:rsidRPr="00087366" w:rsidRDefault="00087366" w:rsidP="00087366">
      <w:pPr>
        <w:rPr>
          <w:highlight w:val="yellow"/>
        </w:rPr>
      </w:pPr>
    </w:p>
    <w:p w14:paraId="5CBA85F0" w14:textId="0687E333" w:rsidR="003B5084" w:rsidRDefault="00087366" w:rsidP="00087366">
      <w:pPr>
        <w:spacing w:line="360" w:lineRule="auto"/>
        <w:jc w:val="both"/>
        <w:rPr>
          <w:rFonts w:ascii="Arial" w:hAnsi="Arial" w:cs="Arial"/>
        </w:rPr>
      </w:pPr>
      <w:r w:rsidRPr="00087366">
        <w:rPr>
          <w:rFonts w:ascii="Arial" w:hAnsi="Arial" w:cs="Arial"/>
        </w:rPr>
        <w:t>El estudio tiene un alcance exploratorio. Esta clasificación se fundamenta en que las</w:t>
      </w:r>
      <w:r>
        <w:rPr>
          <w:rFonts w:ascii="Arial" w:hAnsi="Arial" w:cs="Arial"/>
        </w:rPr>
        <w:t xml:space="preserve"> </w:t>
      </w:r>
      <w:r w:rsidRPr="00087366">
        <w:rPr>
          <w:rFonts w:ascii="Arial" w:hAnsi="Arial" w:cs="Arial"/>
        </w:rPr>
        <w:t>negociaciones comerciales entre Honduras y China constituyen un fenómeno reciente,</w:t>
      </w:r>
      <w:r>
        <w:rPr>
          <w:rFonts w:ascii="Arial" w:hAnsi="Arial" w:cs="Arial"/>
        </w:rPr>
        <w:t xml:space="preserve"> </w:t>
      </w:r>
      <w:r w:rsidRPr="00087366">
        <w:rPr>
          <w:rFonts w:ascii="Arial" w:hAnsi="Arial" w:cs="Arial"/>
        </w:rPr>
        <w:t>dinámico y con información pública todavía limitada. Al momento de la investigación, el</w:t>
      </w:r>
      <w:r>
        <w:rPr>
          <w:rFonts w:ascii="Arial" w:hAnsi="Arial" w:cs="Arial"/>
        </w:rPr>
        <w:t xml:space="preserve"> </w:t>
      </w:r>
      <w:r w:rsidRPr="00087366">
        <w:rPr>
          <w:rFonts w:ascii="Arial" w:hAnsi="Arial" w:cs="Arial"/>
        </w:rPr>
        <w:t>acuerdo no cuenta con todos sus resultados observables, por lo que no serí</w:t>
      </w:r>
      <w:r>
        <w:rPr>
          <w:rFonts w:ascii="Arial" w:hAnsi="Arial" w:cs="Arial"/>
        </w:rPr>
        <w:t xml:space="preserve">a </w:t>
      </w:r>
      <w:r w:rsidRPr="00087366">
        <w:rPr>
          <w:rFonts w:ascii="Arial" w:hAnsi="Arial" w:cs="Arial"/>
        </w:rPr>
        <w:t>metodológicamente adecuado plantear</w:t>
      </w:r>
      <w:r>
        <w:rPr>
          <w:rFonts w:ascii="Arial" w:hAnsi="Arial" w:cs="Arial"/>
        </w:rPr>
        <w:t xml:space="preserve"> </w:t>
      </w:r>
      <w:r w:rsidRPr="00087366">
        <w:rPr>
          <w:rFonts w:ascii="Arial" w:hAnsi="Arial" w:cs="Arial"/>
        </w:rPr>
        <w:t>explicaciones causales ni generalizaciones</w:t>
      </w:r>
      <w:r>
        <w:rPr>
          <w:rFonts w:ascii="Arial" w:hAnsi="Arial" w:cs="Arial"/>
        </w:rPr>
        <w:t xml:space="preserve"> </w:t>
      </w:r>
      <w:r w:rsidRPr="00087366">
        <w:rPr>
          <w:rFonts w:ascii="Arial" w:hAnsi="Arial" w:cs="Arial"/>
        </w:rPr>
        <w:t>concluyentes sobre sus efectos económicos.</w:t>
      </w:r>
      <w:r>
        <w:rPr>
          <w:rFonts w:ascii="Arial" w:hAnsi="Arial" w:cs="Arial"/>
        </w:rPr>
        <w:t xml:space="preserve"> </w:t>
      </w:r>
    </w:p>
    <w:p w14:paraId="4924CFE0" w14:textId="77777777" w:rsidR="00087366" w:rsidRDefault="00087366" w:rsidP="00087366">
      <w:pPr>
        <w:spacing w:line="360" w:lineRule="auto"/>
        <w:jc w:val="both"/>
        <w:rPr>
          <w:rFonts w:ascii="Arial" w:hAnsi="Arial" w:cs="Arial"/>
        </w:rPr>
      </w:pPr>
    </w:p>
    <w:p w14:paraId="11558E1F" w14:textId="53EF6847" w:rsidR="00087366" w:rsidRPr="00087366" w:rsidRDefault="00087366" w:rsidP="00087366">
      <w:pPr>
        <w:spacing w:line="360" w:lineRule="auto"/>
        <w:jc w:val="both"/>
        <w:rPr>
          <w:rFonts w:ascii="Arial" w:hAnsi="Arial" w:cs="Arial"/>
        </w:rPr>
      </w:pPr>
      <w:r w:rsidRPr="00087366">
        <w:rPr>
          <w:rFonts w:ascii="Arial" w:hAnsi="Arial" w:cs="Arial"/>
        </w:rPr>
        <w:t>Hernández Sampieri et al.</w:t>
      </w:r>
      <w:r>
        <w:rPr>
          <w:rFonts w:ascii="Arial" w:hAnsi="Arial" w:cs="Arial"/>
        </w:rPr>
        <w:t xml:space="preserve"> </w:t>
      </w:r>
      <w:r w:rsidRPr="00087366">
        <w:rPr>
          <w:rFonts w:ascii="Arial" w:hAnsi="Arial" w:cs="Arial"/>
        </w:rPr>
        <w:t>(2014) explican que las investigaciones de alcance exploratorio “sirven para</w:t>
      </w:r>
      <w:r>
        <w:rPr>
          <w:rFonts w:ascii="Arial" w:hAnsi="Arial" w:cs="Arial"/>
        </w:rPr>
        <w:t xml:space="preserve"> </w:t>
      </w:r>
      <w:r w:rsidRPr="00087366">
        <w:rPr>
          <w:rFonts w:ascii="Arial" w:hAnsi="Arial" w:cs="Arial"/>
        </w:rPr>
        <w:t>preparar el terreno y generalmente anteceden a investigaciones con alcances</w:t>
      </w:r>
      <w:r>
        <w:rPr>
          <w:rFonts w:ascii="Arial" w:hAnsi="Arial" w:cs="Arial"/>
        </w:rPr>
        <w:t xml:space="preserve"> </w:t>
      </w:r>
      <w:r w:rsidRPr="00087366">
        <w:rPr>
          <w:rFonts w:ascii="Arial" w:hAnsi="Arial" w:cs="Arial"/>
        </w:rPr>
        <w:t>descriptivos, correlacionales o explicativos” (p. 106).</w:t>
      </w:r>
      <w:r>
        <w:rPr>
          <w:rFonts w:ascii="Arial" w:hAnsi="Arial" w:cs="Arial"/>
        </w:rPr>
        <w:t xml:space="preserve"> </w:t>
      </w:r>
      <w:r w:rsidRPr="00087366">
        <w:rPr>
          <w:rFonts w:ascii="Arial" w:hAnsi="Arial" w:cs="Arial"/>
        </w:rPr>
        <w:t>Esta clasificación se fundamenta en dos condiciones del objeto de estudio. La</w:t>
      </w:r>
      <w:r>
        <w:rPr>
          <w:rFonts w:ascii="Arial" w:hAnsi="Arial" w:cs="Arial"/>
        </w:rPr>
        <w:t xml:space="preserve"> </w:t>
      </w:r>
      <w:r w:rsidRPr="00087366">
        <w:rPr>
          <w:rFonts w:ascii="Arial" w:hAnsi="Arial" w:cs="Arial"/>
        </w:rPr>
        <w:t>primera es la actualidad del fenómeno: las relaciones diplomáticas entre</w:t>
      </w:r>
      <w:r>
        <w:rPr>
          <w:rFonts w:ascii="Arial" w:hAnsi="Arial" w:cs="Arial"/>
        </w:rPr>
        <w:t xml:space="preserve"> </w:t>
      </w:r>
      <w:r w:rsidRPr="00087366">
        <w:rPr>
          <w:rFonts w:ascii="Arial" w:hAnsi="Arial" w:cs="Arial"/>
        </w:rPr>
        <w:t>Honduras y China se establecieron en marzo de 2023 (Secretaría de Relaciones</w:t>
      </w:r>
      <w:r>
        <w:rPr>
          <w:rFonts w:ascii="Arial" w:hAnsi="Arial" w:cs="Arial"/>
        </w:rPr>
        <w:t xml:space="preserve"> </w:t>
      </w:r>
      <w:r w:rsidRPr="00087366">
        <w:rPr>
          <w:rFonts w:ascii="Arial" w:hAnsi="Arial" w:cs="Arial"/>
        </w:rPr>
        <w:t>Exteriores y Cooperación Internacional, 2023) y las negociaciones del tratado d</w:t>
      </w:r>
      <w:r>
        <w:rPr>
          <w:rFonts w:ascii="Arial" w:hAnsi="Arial" w:cs="Arial"/>
        </w:rPr>
        <w:t xml:space="preserve">e </w:t>
      </w:r>
      <w:r w:rsidRPr="00087366">
        <w:rPr>
          <w:rFonts w:ascii="Arial" w:hAnsi="Arial" w:cs="Arial"/>
        </w:rPr>
        <w:t>libre comercio iniciaron formalmente ese mismo año (Quezada, 2023), de m</w:t>
      </w:r>
      <w:r>
        <w:rPr>
          <w:rFonts w:ascii="Arial" w:hAnsi="Arial" w:cs="Arial"/>
        </w:rPr>
        <w:t>o</w:t>
      </w:r>
      <w:r w:rsidRPr="00087366">
        <w:rPr>
          <w:rFonts w:ascii="Arial" w:hAnsi="Arial" w:cs="Arial"/>
        </w:rPr>
        <w:t>do</w:t>
      </w:r>
    </w:p>
    <w:p w14:paraId="5CAD42EE" w14:textId="4013F0FB" w:rsidR="00087366" w:rsidRDefault="00087366" w:rsidP="00087366">
      <w:pPr>
        <w:spacing w:line="360" w:lineRule="auto"/>
        <w:jc w:val="both"/>
        <w:rPr>
          <w:rFonts w:ascii="Arial" w:hAnsi="Arial" w:cs="Arial"/>
        </w:rPr>
      </w:pPr>
      <w:r w:rsidRPr="00087366">
        <w:rPr>
          <w:rFonts w:ascii="Arial" w:hAnsi="Arial" w:cs="Arial"/>
        </w:rPr>
        <w:lastRenderedPageBreak/>
        <w:t>que se trata de un proceso reciente y en curso. La segunda es la disponibilidad</w:t>
      </w:r>
      <w:r>
        <w:rPr>
          <w:rFonts w:ascii="Arial" w:hAnsi="Arial" w:cs="Arial"/>
        </w:rPr>
        <w:t xml:space="preserve"> </w:t>
      </w:r>
      <w:r w:rsidRPr="00087366">
        <w:rPr>
          <w:rFonts w:ascii="Arial" w:hAnsi="Arial" w:cs="Arial"/>
        </w:rPr>
        <w:t>limitada de información definitiva: al momento de la investigación no se contaba</w:t>
      </w:r>
      <w:r>
        <w:rPr>
          <w:rFonts w:ascii="Arial" w:hAnsi="Arial" w:cs="Arial"/>
        </w:rPr>
        <w:t xml:space="preserve"> </w:t>
      </w:r>
      <w:r w:rsidRPr="00087366">
        <w:rPr>
          <w:rFonts w:ascii="Arial" w:hAnsi="Arial" w:cs="Arial"/>
        </w:rPr>
        <w:t>con el texto final del acuerdo, por lo que disposiciones como las reglas de origen,</w:t>
      </w:r>
      <w:r>
        <w:rPr>
          <w:rFonts w:ascii="Arial" w:hAnsi="Arial" w:cs="Arial"/>
        </w:rPr>
        <w:t xml:space="preserve"> </w:t>
      </w:r>
      <w:r w:rsidRPr="00087366">
        <w:rPr>
          <w:rFonts w:ascii="Arial" w:hAnsi="Arial" w:cs="Arial"/>
        </w:rPr>
        <w:t>los cronogramas de desgravación, las cuotas o las medidas sanitarias y</w:t>
      </w:r>
      <w:r>
        <w:rPr>
          <w:rFonts w:ascii="Arial" w:hAnsi="Arial" w:cs="Arial"/>
        </w:rPr>
        <w:t xml:space="preserve"> </w:t>
      </w:r>
      <w:r w:rsidRPr="00087366">
        <w:rPr>
          <w:rFonts w:ascii="Arial" w:hAnsi="Arial" w:cs="Arial"/>
        </w:rPr>
        <w:t>fitosanitarias no podían evaluarse de forma exhaustiva. Bajo estas condiciones,</w:t>
      </w:r>
      <w:r>
        <w:rPr>
          <w:rFonts w:ascii="Arial" w:hAnsi="Arial" w:cs="Arial"/>
        </w:rPr>
        <w:t xml:space="preserve"> </w:t>
      </w:r>
      <w:r w:rsidRPr="00087366">
        <w:rPr>
          <w:rFonts w:ascii="Arial" w:hAnsi="Arial" w:cs="Arial"/>
        </w:rPr>
        <w:t>tal como advierten Plummer et al. (2010) y Amaya (2016) respecto de las</w:t>
      </w:r>
      <w:r>
        <w:rPr>
          <w:rFonts w:ascii="Arial" w:hAnsi="Arial" w:cs="Arial"/>
        </w:rPr>
        <w:t xml:space="preserve"> </w:t>
      </w:r>
      <w:r w:rsidRPr="00087366">
        <w:rPr>
          <w:rFonts w:ascii="Arial" w:hAnsi="Arial" w:cs="Arial"/>
        </w:rPr>
        <w:t>evaluaciones ex ante, no resulta metodológicamente adecuado plantear</w:t>
      </w:r>
      <w:r>
        <w:rPr>
          <w:rFonts w:ascii="Arial" w:hAnsi="Arial" w:cs="Arial"/>
        </w:rPr>
        <w:t xml:space="preserve"> </w:t>
      </w:r>
      <w:r w:rsidRPr="00087366">
        <w:rPr>
          <w:rFonts w:ascii="Arial" w:hAnsi="Arial" w:cs="Arial"/>
        </w:rPr>
        <w:t>explicaciones causales ni generalizaciones concluyentes sobre los efectos</w:t>
      </w:r>
      <w:r>
        <w:rPr>
          <w:rFonts w:ascii="Arial" w:hAnsi="Arial" w:cs="Arial"/>
        </w:rPr>
        <w:t xml:space="preserve"> </w:t>
      </w:r>
      <w:r w:rsidRPr="00087366">
        <w:rPr>
          <w:rFonts w:ascii="Arial" w:hAnsi="Arial" w:cs="Arial"/>
        </w:rPr>
        <w:t>económicos del tratado.</w:t>
      </w:r>
    </w:p>
    <w:p w14:paraId="13ECAB72" w14:textId="77777777" w:rsidR="00087366" w:rsidRPr="00087366" w:rsidRDefault="00087366" w:rsidP="00087366">
      <w:pPr>
        <w:spacing w:line="360" w:lineRule="auto"/>
        <w:jc w:val="both"/>
        <w:rPr>
          <w:rFonts w:ascii="Arial" w:hAnsi="Arial" w:cs="Arial"/>
        </w:rPr>
      </w:pPr>
    </w:p>
    <w:p w14:paraId="6D05D933" w14:textId="739E1D37" w:rsidR="00087366" w:rsidRDefault="00087366" w:rsidP="00087366">
      <w:pPr>
        <w:spacing w:line="360" w:lineRule="auto"/>
        <w:jc w:val="both"/>
        <w:rPr>
          <w:rFonts w:ascii="Arial" w:hAnsi="Arial" w:cs="Arial"/>
        </w:rPr>
      </w:pPr>
      <w:r w:rsidRPr="00087366">
        <w:rPr>
          <w:rFonts w:ascii="Arial" w:hAnsi="Arial" w:cs="Arial"/>
        </w:rPr>
        <w:t>El alcance exploratorio permite, en cambio, aproximarse al fenómeno para</w:t>
      </w:r>
      <w:r>
        <w:rPr>
          <w:rFonts w:ascii="Arial" w:hAnsi="Arial" w:cs="Arial"/>
        </w:rPr>
        <w:t xml:space="preserve"> </w:t>
      </w:r>
      <w:r w:rsidRPr="00087366">
        <w:rPr>
          <w:rFonts w:ascii="Arial" w:hAnsi="Arial" w:cs="Arial"/>
        </w:rPr>
        <w:t>identificar dimensiones relevantes, actores involucrados, sectores sensibles,</w:t>
      </w:r>
      <w:r>
        <w:rPr>
          <w:rFonts w:ascii="Arial" w:hAnsi="Arial" w:cs="Arial"/>
        </w:rPr>
        <w:t xml:space="preserve"> </w:t>
      </w:r>
      <w:r w:rsidRPr="00087366">
        <w:rPr>
          <w:rFonts w:ascii="Arial" w:hAnsi="Arial" w:cs="Arial"/>
        </w:rPr>
        <w:t>oportunidades comerciales y posibles riesgos. En particular, la investigación</w:t>
      </w:r>
      <w:r>
        <w:rPr>
          <w:rFonts w:ascii="Arial" w:hAnsi="Arial" w:cs="Arial"/>
        </w:rPr>
        <w:t xml:space="preserve"> </w:t>
      </w:r>
      <w:r w:rsidRPr="00087366">
        <w:rPr>
          <w:rFonts w:ascii="Arial" w:hAnsi="Arial" w:cs="Arial"/>
        </w:rPr>
        <w:t>busca preparar una base analítica para estudios posteriores de carácter</w:t>
      </w:r>
      <w:r>
        <w:rPr>
          <w:rFonts w:ascii="Arial" w:hAnsi="Arial" w:cs="Arial"/>
        </w:rPr>
        <w:t xml:space="preserve"> </w:t>
      </w:r>
      <w:r w:rsidRPr="00087366">
        <w:rPr>
          <w:rFonts w:ascii="Arial" w:hAnsi="Arial" w:cs="Arial"/>
        </w:rPr>
        <w:t>descriptivo, evaluativo o explicativo, una vez que el tratado sea suscrito,</w:t>
      </w:r>
      <w:r>
        <w:rPr>
          <w:rFonts w:ascii="Arial" w:hAnsi="Arial" w:cs="Arial"/>
        </w:rPr>
        <w:t xml:space="preserve"> </w:t>
      </w:r>
      <w:r w:rsidRPr="00087366">
        <w:rPr>
          <w:rFonts w:ascii="Arial" w:hAnsi="Arial" w:cs="Arial"/>
        </w:rPr>
        <w:t>publicado o implementado. Por tanto, el estudio se orienta a comprender el</w:t>
      </w:r>
      <w:r>
        <w:rPr>
          <w:rFonts w:ascii="Arial" w:hAnsi="Arial" w:cs="Arial"/>
        </w:rPr>
        <w:t xml:space="preserve"> </w:t>
      </w:r>
      <w:r w:rsidRPr="00087366">
        <w:rPr>
          <w:rFonts w:ascii="Arial" w:hAnsi="Arial" w:cs="Arial"/>
        </w:rPr>
        <w:t>problema, ordenar la evidencia disponible y proponer una lectura inicial de sus</w:t>
      </w:r>
      <w:r>
        <w:rPr>
          <w:rFonts w:ascii="Arial" w:hAnsi="Arial" w:cs="Arial"/>
        </w:rPr>
        <w:t xml:space="preserve"> </w:t>
      </w:r>
      <w:r w:rsidRPr="00087366">
        <w:rPr>
          <w:rFonts w:ascii="Arial" w:hAnsi="Arial" w:cs="Arial"/>
        </w:rPr>
        <w:t>implicaciones para el comercio bilateral</w:t>
      </w:r>
      <w:r w:rsidR="00E05B36">
        <w:rPr>
          <w:rFonts w:ascii="Arial" w:hAnsi="Arial" w:cs="Arial"/>
        </w:rPr>
        <w:t>.</w:t>
      </w:r>
    </w:p>
    <w:p w14:paraId="32260A13" w14:textId="7D16647C" w:rsidR="00087366" w:rsidRPr="00DB32E2" w:rsidRDefault="00087366" w:rsidP="00087366">
      <w:pPr>
        <w:pStyle w:val="Ttulo3"/>
        <w:numPr>
          <w:ilvl w:val="2"/>
          <w:numId w:val="20"/>
        </w:numPr>
        <w:rPr>
          <w:rFonts w:cs="Arial"/>
        </w:rPr>
      </w:pPr>
      <w:bookmarkStart w:id="31" w:name="_Toc236232345"/>
      <w:r w:rsidRPr="00DB32E2">
        <w:rPr>
          <w:rFonts w:cs="Arial"/>
        </w:rPr>
        <w:t>Diseño de la investigación</w:t>
      </w:r>
      <w:bookmarkEnd w:id="31"/>
    </w:p>
    <w:p w14:paraId="728299C6" w14:textId="77777777" w:rsidR="00087366" w:rsidRPr="00DB32E2" w:rsidRDefault="00087366" w:rsidP="00087366"/>
    <w:p w14:paraId="79241D79" w14:textId="3FC91155" w:rsidR="00087366" w:rsidRPr="00DB32E2" w:rsidRDefault="00087366" w:rsidP="00087366">
      <w:pPr>
        <w:pStyle w:val="Ttulo3"/>
        <w:numPr>
          <w:ilvl w:val="3"/>
          <w:numId w:val="20"/>
        </w:numPr>
        <w:rPr>
          <w:rFonts w:cs="Arial"/>
        </w:rPr>
      </w:pPr>
      <w:bookmarkStart w:id="32" w:name="_Toc236232346"/>
      <w:r w:rsidRPr="00DB32E2">
        <w:rPr>
          <w:rFonts w:cs="Arial"/>
        </w:rPr>
        <w:t>Diseño no experimental</w:t>
      </w:r>
      <w:bookmarkEnd w:id="32"/>
    </w:p>
    <w:p w14:paraId="6A5507CF" w14:textId="77777777" w:rsidR="00087366" w:rsidRDefault="00087366" w:rsidP="00087366">
      <w:pPr>
        <w:rPr>
          <w:highlight w:val="yellow"/>
        </w:rPr>
      </w:pPr>
    </w:p>
    <w:p w14:paraId="48E5C792" w14:textId="3F19864A" w:rsidR="00087366" w:rsidRDefault="001473AA" w:rsidP="001473AA">
      <w:pPr>
        <w:spacing w:line="360" w:lineRule="auto"/>
        <w:jc w:val="both"/>
        <w:rPr>
          <w:rFonts w:ascii="Arial" w:hAnsi="Arial" w:cs="Arial"/>
        </w:rPr>
      </w:pPr>
      <w:r w:rsidRPr="001473AA">
        <w:rPr>
          <w:rFonts w:ascii="Arial" w:hAnsi="Arial" w:cs="Arial"/>
        </w:rPr>
        <w:t>La investigación adopta un diseño no experimental, entendido por Hernández</w:t>
      </w:r>
      <w:r>
        <w:rPr>
          <w:rFonts w:ascii="Arial" w:hAnsi="Arial" w:cs="Arial"/>
        </w:rPr>
        <w:t xml:space="preserve"> </w:t>
      </w:r>
      <w:r w:rsidRPr="001473AA">
        <w:rPr>
          <w:rFonts w:ascii="Arial" w:hAnsi="Arial" w:cs="Arial"/>
        </w:rPr>
        <w:t>Sampieri et al. (2014) como aquel que se realiza sin manipular deliberadamente</w:t>
      </w:r>
      <w:r>
        <w:rPr>
          <w:rFonts w:ascii="Arial" w:hAnsi="Arial" w:cs="Arial"/>
        </w:rPr>
        <w:t xml:space="preserve"> </w:t>
      </w:r>
      <w:r w:rsidRPr="001473AA">
        <w:rPr>
          <w:rFonts w:ascii="Arial" w:hAnsi="Arial" w:cs="Arial"/>
        </w:rPr>
        <w:t>las variables y en el que los fenómenos se observan tal como se dan en su</w:t>
      </w:r>
      <w:r>
        <w:rPr>
          <w:rFonts w:ascii="Arial" w:hAnsi="Arial" w:cs="Arial"/>
        </w:rPr>
        <w:t xml:space="preserve"> </w:t>
      </w:r>
      <w:r w:rsidRPr="001473AA">
        <w:rPr>
          <w:rFonts w:ascii="Arial" w:hAnsi="Arial" w:cs="Arial"/>
        </w:rPr>
        <w:t>contexto natural para posteriormente analizarlos. En este caso, no se manipulan</w:t>
      </w:r>
      <w:r>
        <w:rPr>
          <w:rFonts w:ascii="Arial" w:hAnsi="Arial" w:cs="Arial"/>
        </w:rPr>
        <w:t xml:space="preserve"> </w:t>
      </w:r>
      <w:r w:rsidRPr="001473AA">
        <w:rPr>
          <w:rFonts w:ascii="Arial" w:hAnsi="Arial" w:cs="Arial"/>
        </w:rPr>
        <w:t>variables ni se interviene en el proceso de negociación comercial: las</w:t>
      </w:r>
      <w:r>
        <w:rPr>
          <w:rFonts w:ascii="Arial" w:hAnsi="Arial" w:cs="Arial"/>
        </w:rPr>
        <w:t xml:space="preserve"> </w:t>
      </w:r>
      <w:r w:rsidRPr="001473AA">
        <w:rPr>
          <w:rFonts w:ascii="Arial" w:hAnsi="Arial" w:cs="Arial"/>
        </w:rPr>
        <w:t>percepciones de los participantes, los documentos revisados y las estadísticas</w:t>
      </w:r>
      <w:r>
        <w:rPr>
          <w:rFonts w:ascii="Arial" w:hAnsi="Arial" w:cs="Arial"/>
        </w:rPr>
        <w:t xml:space="preserve"> </w:t>
      </w:r>
      <w:r w:rsidRPr="001473AA">
        <w:rPr>
          <w:rFonts w:ascii="Arial" w:hAnsi="Arial" w:cs="Arial"/>
        </w:rPr>
        <w:t>comerciales se examinan sin alterar las condiciones económicas, institucionales</w:t>
      </w:r>
      <w:r>
        <w:rPr>
          <w:rFonts w:ascii="Arial" w:hAnsi="Arial" w:cs="Arial"/>
        </w:rPr>
        <w:t xml:space="preserve"> </w:t>
      </w:r>
      <w:r w:rsidRPr="001473AA">
        <w:rPr>
          <w:rFonts w:ascii="Arial" w:hAnsi="Arial" w:cs="Arial"/>
        </w:rPr>
        <w:t>y políticas bajo las cuales se producen</w:t>
      </w:r>
    </w:p>
    <w:p w14:paraId="3ECEA23F" w14:textId="77777777" w:rsidR="001473AA" w:rsidRDefault="001473AA" w:rsidP="001473AA">
      <w:pPr>
        <w:spacing w:line="360" w:lineRule="auto"/>
        <w:jc w:val="both"/>
        <w:rPr>
          <w:rFonts w:ascii="Arial" w:hAnsi="Arial" w:cs="Arial"/>
        </w:rPr>
      </w:pPr>
    </w:p>
    <w:p w14:paraId="53384F71" w14:textId="42D1647F" w:rsidR="001473AA" w:rsidRPr="00DB32E2" w:rsidRDefault="001473AA" w:rsidP="001473AA">
      <w:pPr>
        <w:pStyle w:val="Ttulo3"/>
        <w:numPr>
          <w:ilvl w:val="3"/>
          <w:numId w:val="20"/>
        </w:numPr>
        <w:rPr>
          <w:rFonts w:cs="Arial"/>
        </w:rPr>
      </w:pPr>
      <w:bookmarkStart w:id="33" w:name="_Toc236232347"/>
      <w:r w:rsidRPr="00DB32E2">
        <w:rPr>
          <w:rFonts w:cs="Arial"/>
        </w:rPr>
        <w:t>Temporalidad del estudio</w:t>
      </w:r>
      <w:bookmarkEnd w:id="33"/>
    </w:p>
    <w:p w14:paraId="5804450A" w14:textId="77777777" w:rsidR="001473AA" w:rsidRPr="00DB32E2" w:rsidRDefault="001473AA" w:rsidP="001473AA"/>
    <w:p w14:paraId="4D18BE2A" w14:textId="777BCA24" w:rsidR="001473AA" w:rsidRDefault="001473AA" w:rsidP="001473AA">
      <w:pPr>
        <w:spacing w:line="360" w:lineRule="auto"/>
        <w:jc w:val="both"/>
        <w:rPr>
          <w:rFonts w:ascii="Arial" w:hAnsi="Arial" w:cs="Arial"/>
        </w:rPr>
      </w:pPr>
      <w:r w:rsidRPr="001473AA">
        <w:rPr>
          <w:rFonts w:ascii="Arial" w:hAnsi="Arial" w:cs="Arial"/>
        </w:rPr>
        <w:t xml:space="preserve">La temporalidad del estudio es transversal con apoyo retrospectivo. Los diseños transversales, de acuerdo con Hernández Sampieri et al. (2014), recolectan </w:t>
      </w:r>
      <w:r w:rsidRPr="001473AA">
        <w:rPr>
          <w:rFonts w:ascii="Arial" w:hAnsi="Arial" w:cs="Arial"/>
        </w:rPr>
        <w:lastRenderedPageBreak/>
        <w:t xml:space="preserve">datos en un momento único con el propósito de describir variables y analizar su incidencia en un momento dado. El componente cualitativo de esta investigación responde a esa lógica, ya que la información se recolectó entre marzo de 2024 y febrero de 2025, es decir, en un momento específico del proceso de negociación. El componente cuantitativo, en cambio, incorpora una dimensión retrospectiva, puesto que el análisis revisa series comerciales del período 2005- 2024 para comprender la evolución de la relación bilateral entre Honduras y China antes del establecimiento de relaciones diplomáticas y durante el proceso negociador. Esta combinación es consistente con la recomendación de Durán Lima y Álvarez (2011) de analizar los indicadores de comercio exterior sobre series suficientemente extensas que permitan distinguir tendencias estructurales </w:t>
      </w:r>
      <w:r w:rsidR="00673EB4" w:rsidRPr="001473AA">
        <w:rPr>
          <w:rFonts w:ascii="Arial" w:hAnsi="Arial" w:cs="Arial"/>
        </w:rPr>
        <w:t>de variaciones</w:t>
      </w:r>
      <w:r w:rsidRPr="001473AA">
        <w:rPr>
          <w:rFonts w:ascii="Arial" w:hAnsi="Arial" w:cs="Arial"/>
        </w:rPr>
        <w:t xml:space="preserve"> coyunturales.</w:t>
      </w:r>
    </w:p>
    <w:p w14:paraId="606B1029" w14:textId="77777777" w:rsidR="001473AA" w:rsidRDefault="001473AA" w:rsidP="001473AA">
      <w:pPr>
        <w:spacing w:line="360" w:lineRule="auto"/>
        <w:jc w:val="both"/>
        <w:rPr>
          <w:rFonts w:ascii="Arial" w:hAnsi="Arial" w:cs="Arial"/>
        </w:rPr>
      </w:pPr>
    </w:p>
    <w:p w14:paraId="1BBCACB8" w14:textId="080FAB38" w:rsidR="001473AA" w:rsidRPr="00DB32E2" w:rsidRDefault="001473AA" w:rsidP="001473AA">
      <w:pPr>
        <w:pStyle w:val="Ttulo3"/>
        <w:numPr>
          <w:ilvl w:val="3"/>
          <w:numId w:val="20"/>
        </w:numPr>
        <w:rPr>
          <w:rFonts w:cs="Arial"/>
        </w:rPr>
      </w:pPr>
      <w:bookmarkStart w:id="34" w:name="_Toc236232348"/>
      <w:r w:rsidRPr="00DB32E2">
        <w:rPr>
          <w:rFonts w:cs="Arial"/>
        </w:rPr>
        <w:t>Estudios de caso</w:t>
      </w:r>
      <w:bookmarkEnd w:id="34"/>
    </w:p>
    <w:p w14:paraId="75ECE290" w14:textId="77777777" w:rsidR="001473AA" w:rsidRDefault="001473AA" w:rsidP="001473AA">
      <w:pPr>
        <w:spacing w:line="360" w:lineRule="auto"/>
        <w:jc w:val="both"/>
        <w:rPr>
          <w:rFonts w:ascii="Arial" w:hAnsi="Arial" w:cs="Arial"/>
        </w:rPr>
      </w:pPr>
    </w:p>
    <w:p w14:paraId="27EA295E" w14:textId="04261120" w:rsidR="001473AA" w:rsidRDefault="001473AA" w:rsidP="001473AA">
      <w:pPr>
        <w:spacing w:line="360" w:lineRule="auto"/>
        <w:jc w:val="both"/>
        <w:rPr>
          <w:rFonts w:ascii="Arial" w:hAnsi="Arial" w:cs="Arial"/>
        </w:rPr>
      </w:pPr>
      <w:r w:rsidRPr="001473AA">
        <w:rPr>
          <w:rFonts w:ascii="Arial" w:hAnsi="Arial" w:cs="Arial"/>
        </w:rPr>
        <w:t>El diseño se concreta como un estudio de caso centrado en las negociaciones comerciales</w:t>
      </w:r>
      <w:r>
        <w:rPr>
          <w:rFonts w:ascii="Arial" w:hAnsi="Arial" w:cs="Arial"/>
        </w:rPr>
        <w:t xml:space="preserve"> </w:t>
      </w:r>
      <w:r w:rsidRPr="001473AA">
        <w:rPr>
          <w:rFonts w:ascii="Arial" w:hAnsi="Arial" w:cs="Arial"/>
        </w:rPr>
        <w:t>entre Honduras y China. Este caso resulta pertinente porque combina un cambio relevante</w:t>
      </w:r>
      <w:r>
        <w:rPr>
          <w:rFonts w:ascii="Arial" w:hAnsi="Arial" w:cs="Arial"/>
        </w:rPr>
        <w:t xml:space="preserve"> </w:t>
      </w:r>
      <w:r w:rsidRPr="001473AA">
        <w:rPr>
          <w:rFonts w:ascii="Arial" w:hAnsi="Arial" w:cs="Arial"/>
        </w:rPr>
        <w:t>en la política exterior hondureña, la apertura de una relación económica con una potencia</w:t>
      </w:r>
      <w:r>
        <w:rPr>
          <w:rFonts w:ascii="Arial" w:hAnsi="Arial" w:cs="Arial"/>
        </w:rPr>
        <w:t xml:space="preserve"> </w:t>
      </w:r>
      <w:r w:rsidRPr="001473AA">
        <w:rPr>
          <w:rFonts w:ascii="Arial" w:hAnsi="Arial" w:cs="Arial"/>
        </w:rPr>
        <w:t>comercial global y la expectativa de efectos diferenciados sobre sectores productivos</w:t>
      </w:r>
      <w:r>
        <w:rPr>
          <w:rFonts w:ascii="Arial" w:hAnsi="Arial" w:cs="Arial"/>
        </w:rPr>
        <w:t xml:space="preserve"> </w:t>
      </w:r>
      <w:r w:rsidRPr="001473AA">
        <w:rPr>
          <w:rFonts w:ascii="Arial" w:hAnsi="Arial" w:cs="Arial"/>
        </w:rPr>
        <w:t xml:space="preserve">nacionales. El estudio de </w:t>
      </w:r>
      <w:r w:rsidR="00673EB4" w:rsidRPr="001473AA">
        <w:rPr>
          <w:rFonts w:ascii="Arial" w:hAnsi="Arial" w:cs="Arial"/>
        </w:rPr>
        <w:t xml:space="preserve">caso </w:t>
      </w:r>
      <w:r w:rsidR="00673EB4">
        <w:rPr>
          <w:rFonts w:ascii="Arial" w:hAnsi="Arial" w:cs="Arial"/>
        </w:rPr>
        <w:t>permite</w:t>
      </w:r>
      <w:r w:rsidRPr="001473AA">
        <w:rPr>
          <w:rFonts w:ascii="Arial" w:hAnsi="Arial" w:cs="Arial"/>
        </w:rPr>
        <w:t xml:space="preserve"> analizar el fenómeno de manera contextualizada,</w:t>
      </w:r>
      <w:r>
        <w:rPr>
          <w:rFonts w:ascii="Arial" w:hAnsi="Arial" w:cs="Arial"/>
        </w:rPr>
        <w:t xml:space="preserve"> </w:t>
      </w:r>
      <w:r w:rsidRPr="001473AA">
        <w:rPr>
          <w:rFonts w:ascii="Arial" w:hAnsi="Arial" w:cs="Arial"/>
        </w:rPr>
        <w:t>considerando sus particularidades y complejidades.</w:t>
      </w:r>
    </w:p>
    <w:p w14:paraId="39AB790A" w14:textId="77777777" w:rsidR="001473AA" w:rsidRPr="001473AA" w:rsidRDefault="001473AA" w:rsidP="001473AA">
      <w:pPr>
        <w:spacing w:line="360" w:lineRule="auto"/>
        <w:jc w:val="both"/>
        <w:rPr>
          <w:rFonts w:ascii="Arial" w:hAnsi="Arial" w:cs="Arial"/>
        </w:rPr>
      </w:pPr>
    </w:p>
    <w:p w14:paraId="71B3FB95" w14:textId="49997D20" w:rsidR="001473AA" w:rsidRPr="00DB32E2" w:rsidRDefault="001473AA" w:rsidP="001473AA">
      <w:pPr>
        <w:pStyle w:val="Ttulo3"/>
        <w:numPr>
          <w:ilvl w:val="3"/>
          <w:numId w:val="20"/>
        </w:numPr>
        <w:rPr>
          <w:rFonts w:cs="Arial"/>
        </w:rPr>
      </w:pPr>
      <w:bookmarkStart w:id="35" w:name="_Toc236232349"/>
      <w:r w:rsidRPr="00DB32E2">
        <w:rPr>
          <w:rFonts w:cs="Arial"/>
        </w:rPr>
        <w:t>Unidad de análisis</w:t>
      </w:r>
      <w:bookmarkEnd w:id="35"/>
    </w:p>
    <w:p w14:paraId="5A964DEC" w14:textId="77777777" w:rsidR="001473AA" w:rsidRDefault="001473AA" w:rsidP="001473AA">
      <w:pPr>
        <w:spacing w:line="360" w:lineRule="auto"/>
        <w:jc w:val="both"/>
        <w:rPr>
          <w:rFonts w:ascii="Arial" w:hAnsi="Arial" w:cs="Arial"/>
        </w:rPr>
      </w:pPr>
    </w:p>
    <w:p w14:paraId="5346D5EC" w14:textId="41A8DD94" w:rsidR="00AE05A3" w:rsidRPr="00AE05A3" w:rsidRDefault="00AE05A3" w:rsidP="00AE05A3">
      <w:pPr>
        <w:spacing w:line="360" w:lineRule="auto"/>
        <w:jc w:val="both"/>
        <w:rPr>
          <w:rFonts w:ascii="Arial" w:hAnsi="Arial" w:cs="Arial"/>
        </w:rPr>
      </w:pPr>
      <w:r w:rsidRPr="00AE05A3">
        <w:rPr>
          <w:rFonts w:ascii="Arial" w:hAnsi="Arial" w:cs="Arial"/>
        </w:rPr>
        <w:t>La unidad de análisis está constituida por el proceso de negociación comercial</w:t>
      </w:r>
      <w:r>
        <w:rPr>
          <w:rFonts w:ascii="Arial" w:hAnsi="Arial" w:cs="Arial"/>
        </w:rPr>
        <w:t xml:space="preserve"> </w:t>
      </w:r>
      <w:r w:rsidRPr="00AE05A3">
        <w:rPr>
          <w:rFonts w:ascii="Arial" w:hAnsi="Arial" w:cs="Arial"/>
        </w:rPr>
        <w:t>entre Honduras y China y sus implicaciones para sectores productivos</w:t>
      </w:r>
      <w:r>
        <w:rPr>
          <w:rFonts w:ascii="Arial" w:hAnsi="Arial" w:cs="Arial"/>
        </w:rPr>
        <w:t xml:space="preserve"> </w:t>
      </w:r>
      <w:r w:rsidRPr="00AE05A3">
        <w:rPr>
          <w:rFonts w:ascii="Arial" w:hAnsi="Arial" w:cs="Arial"/>
        </w:rPr>
        <w:t>seleccionados. El criterio de inclusión y selección del caso se basó en su</w:t>
      </w:r>
      <w:r>
        <w:rPr>
          <w:rFonts w:ascii="Arial" w:hAnsi="Arial" w:cs="Arial"/>
        </w:rPr>
        <w:t xml:space="preserve"> </w:t>
      </w:r>
      <w:r w:rsidRPr="00AE05A3">
        <w:rPr>
          <w:rFonts w:ascii="Arial" w:hAnsi="Arial" w:cs="Arial"/>
        </w:rPr>
        <w:t>relevancia económica, su actualidad, la disponibilidad de evidencia documental</w:t>
      </w:r>
      <w:r>
        <w:rPr>
          <w:rFonts w:ascii="Arial" w:hAnsi="Arial" w:cs="Arial"/>
        </w:rPr>
        <w:t xml:space="preserve"> </w:t>
      </w:r>
      <w:r w:rsidRPr="00AE05A3">
        <w:rPr>
          <w:rFonts w:ascii="Arial" w:hAnsi="Arial" w:cs="Arial"/>
        </w:rPr>
        <w:t>y estadística y su pertinencia para el análisis de la política comercial</w:t>
      </w:r>
      <w:r>
        <w:rPr>
          <w:rFonts w:ascii="Arial" w:hAnsi="Arial" w:cs="Arial"/>
        </w:rPr>
        <w:t xml:space="preserve"> </w:t>
      </w:r>
      <w:r w:rsidRPr="00AE05A3">
        <w:rPr>
          <w:rFonts w:ascii="Arial" w:hAnsi="Arial" w:cs="Arial"/>
        </w:rPr>
        <w:t>hondureña.</w:t>
      </w:r>
    </w:p>
    <w:p w14:paraId="2F78296C" w14:textId="77777777" w:rsidR="00AE05A3" w:rsidRDefault="00AE05A3" w:rsidP="00AE05A3">
      <w:pPr>
        <w:spacing w:line="360" w:lineRule="auto"/>
        <w:rPr>
          <w:rFonts w:ascii="Arial" w:hAnsi="Arial" w:cs="Arial"/>
        </w:rPr>
      </w:pPr>
    </w:p>
    <w:p w14:paraId="5C2AFA28" w14:textId="08D78E41" w:rsidR="00AE05A3" w:rsidRPr="00AE05A3" w:rsidRDefault="00AE05A3" w:rsidP="00AE05A3">
      <w:pPr>
        <w:spacing w:line="360" w:lineRule="auto"/>
        <w:jc w:val="both"/>
        <w:rPr>
          <w:rFonts w:ascii="Arial" w:hAnsi="Arial" w:cs="Arial"/>
        </w:rPr>
      </w:pPr>
      <w:r w:rsidRPr="00AE05A3">
        <w:rPr>
          <w:rFonts w:ascii="Arial" w:hAnsi="Arial" w:cs="Arial"/>
        </w:rPr>
        <w:t>Dentro de esta unidad se delimitó un conjunto de sectores de análisis: café,</w:t>
      </w:r>
      <w:r>
        <w:rPr>
          <w:rFonts w:ascii="Arial" w:hAnsi="Arial" w:cs="Arial"/>
        </w:rPr>
        <w:t xml:space="preserve"> </w:t>
      </w:r>
      <w:r w:rsidRPr="00AE05A3">
        <w:rPr>
          <w:rFonts w:ascii="Arial" w:hAnsi="Arial" w:cs="Arial"/>
        </w:rPr>
        <w:t>camarón, tabaco, zinc, banano y carne bovina. Los criterios aplicados para esta</w:t>
      </w:r>
      <w:r>
        <w:rPr>
          <w:rFonts w:ascii="Arial" w:hAnsi="Arial" w:cs="Arial"/>
        </w:rPr>
        <w:t xml:space="preserve"> </w:t>
      </w:r>
      <w:r w:rsidRPr="00AE05A3">
        <w:rPr>
          <w:rFonts w:ascii="Arial" w:hAnsi="Arial" w:cs="Arial"/>
        </w:rPr>
        <w:t>delimitación fueron cuatro: el peso del rubro en la oferta exportable hondureña</w:t>
      </w:r>
      <w:r>
        <w:rPr>
          <w:rFonts w:ascii="Arial" w:hAnsi="Arial" w:cs="Arial"/>
        </w:rPr>
        <w:t xml:space="preserve"> </w:t>
      </w:r>
      <w:r w:rsidRPr="00AE05A3">
        <w:rPr>
          <w:rFonts w:ascii="Arial" w:hAnsi="Arial" w:cs="Arial"/>
        </w:rPr>
        <w:lastRenderedPageBreak/>
        <w:t>hacia China, considerando que la estructura exportadora del país se ha</w:t>
      </w:r>
      <w:r>
        <w:rPr>
          <w:rFonts w:ascii="Arial" w:hAnsi="Arial" w:cs="Arial"/>
        </w:rPr>
        <w:t xml:space="preserve"> </w:t>
      </w:r>
      <w:r w:rsidRPr="00AE05A3">
        <w:rPr>
          <w:rFonts w:ascii="Arial" w:hAnsi="Arial" w:cs="Arial"/>
        </w:rPr>
        <w:t>concentrado en café, camarón, minerales de zinc y productos de origen animal</w:t>
      </w:r>
      <w:r>
        <w:rPr>
          <w:rFonts w:ascii="Arial" w:hAnsi="Arial" w:cs="Arial"/>
        </w:rPr>
        <w:t xml:space="preserve"> </w:t>
      </w:r>
      <w:r w:rsidRPr="00AE05A3">
        <w:rPr>
          <w:rFonts w:ascii="Arial" w:hAnsi="Arial" w:cs="Arial"/>
        </w:rPr>
        <w:t>(ITC, 2023); su presencia en los protocolos fitosanitarios y memorandos de</w:t>
      </w:r>
      <w:r>
        <w:rPr>
          <w:rFonts w:ascii="Arial" w:hAnsi="Arial" w:cs="Arial"/>
        </w:rPr>
        <w:t xml:space="preserve"> </w:t>
      </w:r>
      <w:r w:rsidRPr="00AE05A3">
        <w:rPr>
          <w:rFonts w:ascii="Arial" w:hAnsi="Arial" w:cs="Arial"/>
        </w:rPr>
        <w:t>entendimiento suscritos entre ambos países con anterioridad al tratado (SDE,</w:t>
      </w:r>
      <w:r>
        <w:rPr>
          <w:rFonts w:ascii="Arial" w:hAnsi="Arial" w:cs="Arial"/>
        </w:rPr>
        <w:t xml:space="preserve"> </w:t>
      </w:r>
      <w:r w:rsidRPr="00AE05A3">
        <w:rPr>
          <w:rFonts w:ascii="Arial" w:hAnsi="Arial" w:cs="Arial"/>
        </w:rPr>
        <w:t>2024a); su exposición potencial a la competencia importadora china; y la</w:t>
      </w:r>
      <w:r>
        <w:rPr>
          <w:rFonts w:ascii="Arial" w:hAnsi="Arial" w:cs="Arial"/>
        </w:rPr>
        <w:t xml:space="preserve"> </w:t>
      </w:r>
      <w:r w:rsidRPr="00AE05A3">
        <w:rPr>
          <w:rFonts w:ascii="Arial" w:hAnsi="Arial" w:cs="Arial"/>
        </w:rPr>
        <w:t>disponibilidad de series estadísticas continuas a nivel de subpartida arancelaria,</w:t>
      </w:r>
    </w:p>
    <w:p w14:paraId="6A25481D" w14:textId="42D137B7" w:rsidR="00087366" w:rsidRDefault="00AE05A3" w:rsidP="00AE05A3">
      <w:pPr>
        <w:spacing w:line="360" w:lineRule="auto"/>
        <w:jc w:val="both"/>
        <w:rPr>
          <w:rFonts w:ascii="Arial" w:hAnsi="Arial" w:cs="Arial"/>
        </w:rPr>
      </w:pPr>
      <w:r w:rsidRPr="00AE05A3">
        <w:rPr>
          <w:rFonts w:ascii="Arial" w:hAnsi="Arial" w:cs="Arial"/>
        </w:rPr>
        <w:t>condición que Bacchetta et al. (2012) señalan como indispensable para el cálculo</w:t>
      </w:r>
      <w:r>
        <w:rPr>
          <w:rFonts w:ascii="Arial" w:hAnsi="Arial" w:cs="Arial"/>
        </w:rPr>
        <w:t xml:space="preserve"> </w:t>
      </w:r>
      <w:r w:rsidRPr="00AE05A3">
        <w:rPr>
          <w:rFonts w:ascii="Arial" w:hAnsi="Arial" w:cs="Arial"/>
        </w:rPr>
        <w:t>de indicadores comerciales desagregados. Complementariamente, se</w:t>
      </w:r>
      <w:r>
        <w:rPr>
          <w:rFonts w:ascii="Arial" w:hAnsi="Arial" w:cs="Arial"/>
        </w:rPr>
        <w:t xml:space="preserve"> </w:t>
      </w:r>
      <w:r w:rsidRPr="00AE05A3">
        <w:rPr>
          <w:rFonts w:ascii="Arial" w:hAnsi="Arial" w:cs="Arial"/>
        </w:rPr>
        <w:t>incorporaron testimonios de rubros no tradicionales, como alimentos procesados</w:t>
      </w:r>
      <w:r>
        <w:rPr>
          <w:rFonts w:ascii="Arial" w:hAnsi="Arial" w:cs="Arial"/>
        </w:rPr>
        <w:t xml:space="preserve"> </w:t>
      </w:r>
      <w:r w:rsidRPr="00AE05A3">
        <w:rPr>
          <w:rFonts w:ascii="Arial" w:hAnsi="Arial" w:cs="Arial"/>
        </w:rPr>
        <w:t>y vitivinicultura, con el fin de captar la perspectiva de sectores potencialmente</w:t>
      </w:r>
      <w:r>
        <w:rPr>
          <w:rFonts w:ascii="Arial" w:hAnsi="Arial" w:cs="Arial"/>
        </w:rPr>
        <w:t xml:space="preserve"> </w:t>
      </w:r>
      <w:r w:rsidRPr="00AE05A3">
        <w:rPr>
          <w:rFonts w:ascii="Arial" w:hAnsi="Arial" w:cs="Arial"/>
        </w:rPr>
        <w:t>sensibles a la apertura.</w:t>
      </w:r>
      <w:r>
        <w:rPr>
          <w:rFonts w:ascii="Arial" w:hAnsi="Arial" w:cs="Arial"/>
        </w:rPr>
        <w:t xml:space="preserve"> </w:t>
      </w:r>
    </w:p>
    <w:p w14:paraId="55C47B76" w14:textId="77777777" w:rsidR="00AE05A3" w:rsidRDefault="00AE05A3" w:rsidP="00AE05A3">
      <w:pPr>
        <w:spacing w:line="360" w:lineRule="auto"/>
        <w:jc w:val="both"/>
        <w:rPr>
          <w:rFonts w:ascii="Arial" w:hAnsi="Arial" w:cs="Arial"/>
        </w:rPr>
      </w:pPr>
    </w:p>
    <w:p w14:paraId="0E4FEF9F" w14:textId="12E58D1C" w:rsidR="00AE05A3" w:rsidRPr="00DB32E2" w:rsidRDefault="00AE05A3" w:rsidP="00AE05A3">
      <w:pPr>
        <w:pStyle w:val="Ttulo3"/>
        <w:numPr>
          <w:ilvl w:val="2"/>
          <w:numId w:val="20"/>
        </w:numPr>
        <w:rPr>
          <w:rFonts w:cs="Arial"/>
        </w:rPr>
      </w:pPr>
      <w:bookmarkStart w:id="36" w:name="_Toc236232350"/>
      <w:r w:rsidRPr="00DB32E2">
        <w:rPr>
          <w:rFonts w:cs="Arial"/>
        </w:rPr>
        <w:t>Métodos de Investigación</w:t>
      </w:r>
      <w:bookmarkEnd w:id="36"/>
    </w:p>
    <w:p w14:paraId="29ADDEFA" w14:textId="77777777" w:rsidR="00AE05A3" w:rsidRDefault="00AE05A3" w:rsidP="00AE05A3">
      <w:pPr>
        <w:spacing w:line="360" w:lineRule="auto"/>
        <w:jc w:val="both"/>
        <w:rPr>
          <w:rFonts w:ascii="Arial" w:hAnsi="Arial" w:cs="Arial"/>
        </w:rPr>
      </w:pPr>
    </w:p>
    <w:p w14:paraId="212BB5E0" w14:textId="7E9F82E0" w:rsidR="00AE05A3" w:rsidRDefault="00AE05A3" w:rsidP="00AE05A3">
      <w:pPr>
        <w:spacing w:line="360" w:lineRule="auto"/>
        <w:jc w:val="both"/>
        <w:rPr>
          <w:rFonts w:ascii="Arial" w:hAnsi="Arial" w:cs="Arial"/>
        </w:rPr>
      </w:pPr>
      <w:r w:rsidRPr="00AE05A3">
        <w:rPr>
          <w:rFonts w:ascii="Arial" w:hAnsi="Arial" w:cs="Arial"/>
        </w:rPr>
        <w:t>La investigación emplea el método de estudio de caso y el método documental</w:t>
      </w:r>
      <w:r>
        <w:rPr>
          <w:rFonts w:ascii="Arial" w:hAnsi="Arial" w:cs="Arial"/>
        </w:rPr>
        <w:t xml:space="preserve"> </w:t>
      </w:r>
      <w:r w:rsidRPr="00AE05A3">
        <w:rPr>
          <w:rFonts w:ascii="Arial" w:hAnsi="Arial" w:cs="Arial"/>
        </w:rPr>
        <w:t>comparativo. El método de estudio de caso permite examinar de forma profunda</w:t>
      </w:r>
      <w:r>
        <w:rPr>
          <w:rFonts w:ascii="Arial" w:hAnsi="Arial" w:cs="Arial"/>
        </w:rPr>
        <w:t xml:space="preserve"> </w:t>
      </w:r>
      <w:r w:rsidRPr="00AE05A3">
        <w:rPr>
          <w:rFonts w:ascii="Arial" w:hAnsi="Arial" w:cs="Arial"/>
        </w:rPr>
        <w:t>una situación concreta: las negociaciones comerciales entre Honduras y China.</w:t>
      </w:r>
      <w:r>
        <w:rPr>
          <w:rFonts w:ascii="Arial" w:hAnsi="Arial" w:cs="Arial"/>
        </w:rPr>
        <w:t xml:space="preserve"> </w:t>
      </w:r>
      <w:r w:rsidRPr="00AE05A3">
        <w:rPr>
          <w:rFonts w:ascii="Arial" w:hAnsi="Arial" w:cs="Arial"/>
        </w:rPr>
        <w:t>Su utilidad radica, como plantea Stake (1999), en que facilita comprender la</w:t>
      </w:r>
      <w:r>
        <w:rPr>
          <w:rFonts w:ascii="Arial" w:hAnsi="Arial" w:cs="Arial"/>
        </w:rPr>
        <w:t xml:space="preserve"> </w:t>
      </w:r>
      <w:r w:rsidRPr="00AE05A3">
        <w:rPr>
          <w:rFonts w:ascii="Arial" w:hAnsi="Arial" w:cs="Arial"/>
        </w:rPr>
        <w:t>particularidad y complejidad de un caso singular en sus circunstancias reales,</w:t>
      </w:r>
      <w:r>
        <w:rPr>
          <w:rFonts w:ascii="Arial" w:hAnsi="Arial" w:cs="Arial"/>
        </w:rPr>
        <w:t xml:space="preserve"> </w:t>
      </w:r>
      <w:r w:rsidRPr="00AE05A3">
        <w:rPr>
          <w:rFonts w:ascii="Arial" w:hAnsi="Arial" w:cs="Arial"/>
        </w:rPr>
        <w:t>integrando evidencia procedente de entrevistas, documentos oficiales,</w:t>
      </w:r>
      <w:r>
        <w:rPr>
          <w:rFonts w:ascii="Arial" w:hAnsi="Arial" w:cs="Arial"/>
        </w:rPr>
        <w:t xml:space="preserve"> </w:t>
      </w:r>
      <w:r w:rsidRPr="00AE05A3">
        <w:rPr>
          <w:rFonts w:ascii="Arial" w:hAnsi="Arial" w:cs="Arial"/>
        </w:rPr>
        <w:t>estadísticas comerciales y literatura especializada.</w:t>
      </w:r>
      <w:r>
        <w:rPr>
          <w:rFonts w:ascii="Arial" w:hAnsi="Arial" w:cs="Arial"/>
        </w:rPr>
        <w:t xml:space="preserve"> </w:t>
      </w:r>
    </w:p>
    <w:p w14:paraId="347388F4" w14:textId="77777777" w:rsidR="00AE05A3" w:rsidRDefault="00AE05A3" w:rsidP="00AE05A3">
      <w:pPr>
        <w:spacing w:line="360" w:lineRule="auto"/>
        <w:jc w:val="both"/>
        <w:rPr>
          <w:rFonts w:ascii="Arial" w:hAnsi="Arial" w:cs="Arial"/>
        </w:rPr>
      </w:pPr>
    </w:p>
    <w:p w14:paraId="2FC8AACC" w14:textId="24ED08B3" w:rsidR="00AE05A3" w:rsidRPr="00AE05A3" w:rsidRDefault="00AE05A3" w:rsidP="00AE05A3">
      <w:pPr>
        <w:spacing w:line="360" w:lineRule="auto"/>
        <w:jc w:val="both"/>
        <w:rPr>
          <w:rFonts w:ascii="Arial" w:hAnsi="Arial" w:cs="Arial"/>
        </w:rPr>
      </w:pPr>
      <w:r w:rsidRPr="00AE05A3">
        <w:rPr>
          <w:rFonts w:ascii="Arial" w:hAnsi="Arial" w:cs="Arial"/>
        </w:rPr>
        <w:t>El método documental-comparativo se utiliza para revisar, ordenar y contrastar</w:t>
      </w:r>
    </w:p>
    <w:p w14:paraId="404D1EF7" w14:textId="77777777" w:rsidR="00AE05A3" w:rsidRPr="00AE05A3" w:rsidRDefault="00AE05A3" w:rsidP="00AE05A3">
      <w:pPr>
        <w:spacing w:line="360" w:lineRule="auto"/>
        <w:jc w:val="both"/>
        <w:rPr>
          <w:rFonts w:ascii="Arial" w:hAnsi="Arial" w:cs="Arial"/>
        </w:rPr>
      </w:pPr>
      <w:r w:rsidRPr="00AE05A3">
        <w:rPr>
          <w:rFonts w:ascii="Arial" w:hAnsi="Arial" w:cs="Arial"/>
        </w:rPr>
        <w:t>información proveniente de fuentes institucionales, bases de datos comerciales,</w:t>
      </w:r>
    </w:p>
    <w:p w14:paraId="69A9AED0" w14:textId="77777777" w:rsidR="00AE05A3" w:rsidRPr="00AE05A3" w:rsidRDefault="00AE05A3" w:rsidP="00AE05A3">
      <w:pPr>
        <w:spacing w:line="360" w:lineRule="auto"/>
        <w:jc w:val="both"/>
        <w:rPr>
          <w:rFonts w:ascii="Arial" w:hAnsi="Arial" w:cs="Arial"/>
        </w:rPr>
      </w:pPr>
      <w:r w:rsidRPr="00AE05A3">
        <w:rPr>
          <w:rFonts w:ascii="Arial" w:hAnsi="Arial" w:cs="Arial"/>
        </w:rPr>
        <w:t>informes técnicos y estudios académicos. Yuni y Urbano (2006) señalan que el</w:t>
      </w:r>
    </w:p>
    <w:p w14:paraId="03BAD617" w14:textId="71D1FA2F" w:rsidR="00AE05A3" w:rsidRDefault="00AE05A3" w:rsidP="00AE05A3">
      <w:pPr>
        <w:spacing w:line="360" w:lineRule="auto"/>
        <w:jc w:val="both"/>
        <w:rPr>
          <w:rFonts w:ascii="Arial" w:hAnsi="Arial" w:cs="Arial"/>
        </w:rPr>
      </w:pPr>
      <w:r w:rsidRPr="00AE05A3">
        <w:rPr>
          <w:rFonts w:ascii="Arial" w:hAnsi="Arial" w:cs="Arial"/>
        </w:rPr>
        <w:t>trabajo con fuentes documentales supone un proceso sistemático de</w:t>
      </w:r>
      <w:r>
        <w:rPr>
          <w:rFonts w:ascii="Arial" w:hAnsi="Arial" w:cs="Arial"/>
        </w:rPr>
        <w:t xml:space="preserve"> </w:t>
      </w:r>
      <w:r w:rsidRPr="00AE05A3">
        <w:rPr>
          <w:rFonts w:ascii="Arial" w:hAnsi="Arial" w:cs="Arial"/>
        </w:rPr>
        <w:t>localización, selección y organización de la información según los propósitos de</w:t>
      </w:r>
      <w:r>
        <w:rPr>
          <w:rFonts w:ascii="Arial" w:hAnsi="Arial" w:cs="Arial"/>
        </w:rPr>
        <w:t xml:space="preserve"> </w:t>
      </w:r>
      <w:r w:rsidRPr="00AE05A3">
        <w:rPr>
          <w:rFonts w:ascii="Arial" w:hAnsi="Arial" w:cs="Arial"/>
        </w:rPr>
        <w:t>la investigación. Su aplicación en este estudio permitió comparar la estructura</w:t>
      </w:r>
      <w:r>
        <w:rPr>
          <w:rFonts w:ascii="Arial" w:hAnsi="Arial" w:cs="Arial"/>
        </w:rPr>
        <w:t xml:space="preserve"> </w:t>
      </w:r>
      <w:r w:rsidRPr="00AE05A3">
        <w:rPr>
          <w:rFonts w:ascii="Arial" w:hAnsi="Arial" w:cs="Arial"/>
        </w:rPr>
        <w:t>comercial bilateral, identificar patrones de intercambio y relacionar la evidencia</w:t>
      </w:r>
      <w:r>
        <w:rPr>
          <w:rFonts w:ascii="Arial" w:hAnsi="Arial" w:cs="Arial"/>
        </w:rPr>
        <w:t xml:space="preserve"> </w:t>
      </w:r>
      <w:r w:rsidRPr="00AE05A3">
        <w:rPr>
          <w:rFonts w:ascii="Arial" w:hAnsi="Arial" w:cs="Arial"/>
        </w:rPr>
        <w:t>documental con las percepciones de los actores entrevistados.</w:t>
      </w:r>
    </w:p>
    <w:p w14:paraId="54FF0806" w14:textId="77777777" w:rsidR="00AE05A3" w:rsidRPr="00AE05A3" w:rsidRDefault="00AE05A3" w:rsidP="00AE05A3">
      <w:pPr>
        <w:spacing w:line="360" w:lineRule="auto"/>
        <w:jc w:val="both"/>
        <w:rPr>
          <w:rFonts w:ascii="Arial" w:hAnsi="Arial" w:cs="Arial"/>
        </w:rPr>
      </w:pPr>
    </w:p>
    <w:p w14:paraId="764504D5" w14:textId="03FF01C4" w:rsidR="00AE05A3" w:rsidRDefault="00AE05A3" w:rsidP="00AE05A3">
      <w:pPr>
        <w:spacing w:line="360" w:lineRule="auto"/>
        <w:jc w:val="both"/>
        <w:rPr>
          <w:rFonts w:ascii="Arial" w:hAnsi="Arial" w:cs="Arial"/>
        </w:rPr>
      </w:pPr>
      <w:r w:rsidRPr="00AE05A3">
        <w:rPr>
          <w:rFonts w:ascii="Arial" w:hAnsi="Arial" w:cs="Arial"/>
        </w:rPr>
        <w:t>El componente comparativo adquiere particular importancia para el segundo</w:t>
      </w:r>
      <w:r>
        <w:rPr>
          <w:rFonts w:ascii="Arial" w:hAnsi="Arial" w:cs="Arial"/>
        </w:rPr>
        <w:t xml:space="preserve"> </w:t>
      </w:r>
      <w:r w:rsidRPr="00AE05A3">
        <w:rPr>
          <w:rFonts w:ascii="Arial" w:hAnsi="Arial" w:cs="Arial"/>
        </w:rPr>
        <w:t>objetivo específico de la investigación. Se contrastó la experiencia de países</w:t>
      </w:r>
      <w:r>
        <w:rPr>
          <w:rFonts w:ascii="Arial" w:hAnsi="Arial" w:cs="Arial"/>
        </w:rPr>
        <w:t xml:space="preserve"> </w:t>
      </w:r>
      <w:r w:rsidRPr="00AE05A3">
        <w:rPr>
          <w:rFonts w:ascii="Arial" w:hAnsi="Arial" w:cs="Arial"/>
        </w:rPr>
        <w:t>latinoamericanos con acuerdos comerciales vigentes con China</w:t>
      </w:r>
      <w:r>
        <w:rPr>
          <w:rFonts w:ascii="Arial" w:hAnsi="Arial" w:cs="Arial"/>
        </w:rPr>
        <w:t xml:space="preserve">: </w:t>
      </w:r>
      <w:r w:rsidRPr="00AE05A3">
        <w:rPr>
          <w:rFonts w:ascii="Arial" w:hAnsi="Arial" w:cs="Arial"/>
        </w:rPr>
        <w:t>Chile, Perú,</w:t>
      </w:r>
      <w:r>
        <w:rPr>
          <w:rFonts w:ascii="Arial" w:hAnsi="Arial" w:cs="Arial"/>
        </w:rPr>
        <w:t xml:space="preserve"> </w:t>
      </w:r>
      <w:r w:rsidRPr="00AE05A3">
        <w:rPr>
          <w:rFonts w:ascii="Arial" w:hAnsi="Arial" w:cs="Arial"/>
        </w:rPr>
        <w:lastRenderedPageBreak/>
        <w:t>Costa Rica y Ecuado</w:t>
      </w:r>
      <w:r>
        <w:rPr>
          <w:rFonts w:ascii="Arial" w:hAnsi="Arial" w:cs="Arial"/>
        </w:rPr>
        <w:t xml:space="preserve">r, </w:t>
      </w:r>
      <w:r w:rsidRPr="00AE05A3">
        <w:rPr>
          <w:rFonts w:ascii="Arial" w:hAnsi="Arial" w:cs="Arial"/>
        </w:rPr>
        <w:t>así como el caso de Nicaragua, cuyo tratado fue</w:t>
      </w:r>
      <w:r>
        <w:rPr>
          <w:rFonts w:ascii="Arial" w:hAnsi="Arial" w:cs="Arial"/>
        </w:rPr>
        <w:t xml:space="preserve"> </w:t>
      </w:r>
      <w:r w:rsidRPr="00AE05A3">
        <w:rPr>
          <w:rFonts w:ascii="Arial" w:hAnsi="Arial" w:cs="Arial"/>
        </w:rPr>
        <w:t>aprobado en 2023 (Asamblea Nacional de Nicaragua, 2023). La comparación se</w:t>
      </w:r>
      <w:r>
        <w:rPr>
          <w:rFonts w:ascii="Arial" w:hAnsi="Arial" w:cs="Arial"/>
        </w:rPr>
        <w:t xml:space="preserve"> </w:t>
      </w:r>
      <w:r w:rsidRPr="00AE05A3">
        <w:rPr>
          <w:rFonts w:ascii="Arial" w:hAnsi="Arial" w:cs="Arial"/>
        </w:rPr>
        <w:t>organizó en torno a la evolución del comercio bilateral antes y después de la</w:t>
      </w:r>
      <w:r>
        <w:rPr>
          <w:rFonts w:ascii="Arial" w:hAnsi="Arial" w:cs="Arial"/>
        </w:rPr>
        <w:t xml:space="preserve"> </w:t>
      </w:r>
      <w:r w:rsidRPr="00AE05A3">
        <w:rPr>
          <w:rFonts w:ascii="Arial" w:hAnsi="Arial" w:cs="Arial"/>
        </w:rPr>
        <w:t>entrada en vigor de cada acuerdo, la composición de la canasta exportadora</w:t>
      </w:r>
      <w:r>
        <w:rPr>
          <w:rFonts w:ascii="Arial" w:hAnsi="Arial" w:cs="Arial"/>
        </w:rPr>
        <w:t xml:space="preserve"> </w:t>
      </w:r>
      <w:r w:rsidRPr="00AE05A3">
        <w:rPr>
          <w:rFonts w:ascii="Arial" w:hAnsi="Arial" w:cs="Arial"/>
        </w:rPr>
        <w:t>hacia China y el tratamiento arancelario otorgado a productos equivalentes a los</w:t>
      </w:r>
      <w:r>
        <w:rPr>
          <w:rFonts w:ascii="Arial" w:hAnsi="Arial" w:cs="Arial"/>
        </w:rPr>
        <w:t xml:space="preserve"> </w:t>
      </w:r>
      <w:r w:rsidRPr="00AE05A3">
        <w:rPr>
          <w:rFonts w:ascii="Arial" w:hAnsi="Arial" w:cs="Arial"/>
        </w:rPr>
        <w:t xml:space="preserve">de la oferta exportable hondureña. </w:t>
      </w:r>
    </w:p>
    <w:p w14:paraId="09BBC3A3" w14:textId="77777777" w:rsidR="00885265" w:rsidRDefault="00AE05A3" w:rsidP="00885265">
      <w:pPr>
        <w:pStyle w:val="Ttulo3"/>
        <w:numPr>
          <w:ilvl w:val="2"/>
          <w:numId w:val="20"/>
        </w:numPr>
        <w:spacing w:line="360" w:lineRule="auto"/>
        <w:jc w:val="both"/>
        <w:rPr>
          <w:rFonts w:cs="Arial"/>
        </w:rPr>
      </w:pPr>
      <w:bookmarkStart w:id="37" w:name="_Toc236232351"/>
      <w:r w:rsidRPr="00DB32E2">
        <w:rPr>
          <w:rFonts w:cs="Arial"/>
        </w:rPr>
        <w:t>Población</w:t>
      </w:r>
      <w:r w:rsidRPr="00AE05A3">
        <w:rPr>
          <w:rFonts w:cs="Arial"/>
        </w:rPr>
        <w:t>, sujetos y selección de participantes</w:t>
      </w:r>
      <w:bookmarkEnd w:id="37"/>
    </w:p>
    <w:p w14:paraId="393A64D2" w14:textId="77777777" w:rsidR="00885265" w:rsidRPr="00885265" w:rsidRDefault="00885265" w:rsidP="00885265"/>
    <w:p w14:paraId="77EF8A7D" w14:textId="02138F4A" w:rsidR="00885265" w:rsidRPr="00885265" w:rsidRDefault="00885265" w:rsidP="00885265">
      <w:pPr>
        <w:pStyle w:val="Ttulo3"/>
        <w:numPr>
          <w:ilvl w:val="3"/>
          <w:numId w:val="20"/>
        </w:numPr>
        <w:spacing w:line="360" w:lineRule="auto"/>
        <w:jc w:val="both"/>
        <w:rPr>
          <w:rFonts w:cs="Arial"/>
        </w:rPr>
      </w:pPr>
      <w:bookmarkStart w:id="38" w:name="_Toc236232352"/>
      <w:r>
        <w:rPr>
          <w:rFonts w:cs="Arial"/>
        </w:rPr>
        <w:t xml:space="preserve">Población de </w:t>
      </w:r>
      <w:r w:rsidR="008B3955">
        <w:rPr>
          <w:rFonts w:cs="Arial"/>
        </w:rPr>
        <w:t>Interés</w:t>
      </w:r>
      <w:bookmarkEnd w:id="38"/>
    </w:p>
    <w:p w14:paraId="01D60AAF" w14:textId="77777777" w:rsidR="00885265" w:rsidRPr="00202B45" w:rsidRDefault="00885265" w:rsidP="00202B45">
      <w:pPr>
        <w:pStyle w:val="font-claude-response-body"/>
        <w:spacing w:line="360" w:lineRule="auto"/>
        <w:jc w:val="both"/>
        <w:rPr>
          <w:rFonts w:ascii="Arial" w:hAnsi="Arial" w:cs="Arial"/>
        </w:rPr>
      </w:pPr>
      <w:r w:rsidRPr="00202B45">
        <w:rPr>
          <w:rFonts w:ascii="Arial" w:hAnsi="Arial" w:cs="Arial"/>
        </w:rPr>
        <w:t>La población de interés está conformada por actores vinculados con el comercio exterior hondureño, la producción nacional, el análisis económico y las negociaciones comerciales internacionales. Esta población incluye a productores y empresas exportadoras de los sectores considerados en la negociación, representantes de gremios y asociaciones de productores, académicos y profesionales especializados en comercio internacional, y funcionarios de instituciones públicas vinculadas al proceso. Su delimitación responde al criterio señalado por Hernández Sampieri y Mendoza Torres (2018) de definir la población en función de sus características de contenido, lugar y tiempo en relación con el planteamiento del problema.</w:t>
      </w:r>
    </w:p>
    <w:p w14:paraId="0B649C17" w14:textId="77777777" w:rsidR="00885265" w:rsidRPr="00DB32E2" w:rsidRDefault="00885265" w:rsidP="00202B45">
      <w:pPr>
        <w:pStyle w:val="font-claude-response-body"/>
        <w:spacing w:line="360" w:lineRule="auto"/>
        <w:jc w:val="both"/>
        <w:rPr>
          <w:rFonts w:ascii="Arial" w:hAnsi="Arial" w:cs="Arial"/>
          <w:b/>
          <w:bCs/>
        </w:rPr>
      </w:pPr>
      <w:r w:rsidRPr="00DB32E2">
        <w:rPr>
          <w:rStyle w:val="Fuerte"/>
          <w:rFonts w:ascii="Arial" w:hAnsi="Arial" w:cs="Arial"/>
          <w:b w:val="0"/>
          <w:bCs w:val="0"/>
        </w:rPr>
        <w:t>2.2.5.2 Sujetos de investigación y su caracterización</w:t>
      </w:r>
    </w:p>
    <w:p w14:paraId="2DC4E0E5" w14:textId="0645E6D9" w:rsidR="00885265" w:rsidRPr="00202B45" w:rsidRDefault="00885265" w:rsidP="00202B45">
      <w:pPr>
        <w:pStyle w:val="font-claude-response-body"/>
        <w:spacing w:line="360" w:lineRule="auto"/>
        <w:jc w:val="both"/>
        <w:rPr>
          <w:rFonts w:ascii="Arial" w:hAnsi="Arial" w:cs="Arial"/>
        </w:rPr>
      </w:pPr>
      <w:r w:rsidRPr="00202B45">
        <w:rPr>
          <w:rFonts w:ascii="Arial" w:hAnsi="Arial" w:cs="Arial"/>
        </w:rPr>
        <w:t xml:space="preserve">Se aplicaron las entrevistas a los individuos que cumplían con los siguientes perfiles: ser representante de gremios de productores; ser productor de los sectores café, mariscos, carne bovina o banano; o ser profesional </w:t>
      </w:r>
      <w:r w:rsidR="008B3955" w:rsidRPr="00202B45">
        <w:rPr>
          <w:rFonts w:ascii="Arial" w:hAnsi="Arial" w:cs="Arial"/>
        </w:rPr>
        <w:t>o a</w:t>
      </w:r>
      <w:r w:rsidRPr="00202B45">
        <w:rPr>
          <w:rFonts w:ascii="Arial" w:hAnsi="Arial" w:cs="Arial"/>
        </w:rPr>
        <w:t>cadémico especializado en comercio internacional. En total se realizaron 14 entrevistas, las cuales fueron anonimizadas para garantizar la confidencialidad de la información.</w:t>
      </w:r>
    </w:p>
    <w:p w14:paraId="74F4870C" w14:textId="52272A43" w:rsidR="00885265" w:rsidRPr="00202B45" w:rsidRDefault="00885265" w:rsidP="00202B45">
      <w:pPr>
        <w:pStyle w:val="font-claude-response-body"/>
        <w:spacing w:line="360" w:lineRule="auto"/>
        <w:jc w:val="both"/>
        <w:rPr>
          <w:rFonts w:ascii="Arial" w:hAnsi="Arial" w:cs="Arial"/>
        </w:rPr>
      </w:pPr>
      <w:r w:rsidRPr="00202B45">
        <w:rPr>
          <w:rFonts w:ascii="Arial" w:hAnsi="Arial" w:cs="Arial"/>
        </w:rPr>
        <w:t>La distribución de las entrevistas fue la siguiente: seis productores y representantes de empresas exportadoras, correspondientes a los rubros de banano, alimentos, mariscos</w:t>
      </w:r>
      <w:r w:rsidR="008B3955" w:rsidRPr="00202B45">
        <w:rPr>
          <w:rFonts w:ascii="Arial" w:hAnsi="Arial" w:cs="Arial"/>
        </w:rPr>
        <w:t>,</w:t>
      </w:r>
      <w:r w:rsidRPr="00202B45">
        <w:rPr>
          <w:rFonts w:ascii="Arial" w:hAnsi="Arial" w:cs="Arial"/>
        </w:rPr>
        <w:t xml:space="preserve"> café, café-cacao-tubérculos y vitivinicultura; dos presidentes de asociaciones de productores, del sector acuícola y del sector cafetalero; cinco académicos y profesionales del ámbito del comercio </w:t>
      </w:r>
      <w:r w:rsidRPr="00202B45">
        <w:rPr>
          <w:rFonts w:ascii="Arial" w:hAnsi="Arial" w:cs="Arial"/>
        </w:rPr>
        <w:lastRenderedPageBreak/>
        <w:t>internacional, provenientes del Instituto de Economía de la Universidad Estadual de Campinas (UNICAMP), del Consejo Hondureño de la Empresa Privada (COHEP), de la Universidad Nacional Autónoma de Honduras (UNAH) y de la Administración Aduanera de Honduras; y un representante institucional vinculado a la relación de Honduras con China. La caracterización detallada de cada participante</w:t>
      </w:r>
      <w:r w:rsidR="008B3955" w:rsidRPr="00202B45">
        <w:rPr>
          <w:rFonts w:ascii="Arial" w:hAnsi="Arial" w:cs="Arial"/>
        </w:rPr>
        <w:t xml:space="preserve">: </w:t>
      </w:r>
      <w:r w:rsidRPr="00202B45">
        <w:rPr>
          <w:rFonts w:ascii="Arial" w:hAnsi="Arial" w:cs="Arial"/>
        </w:rPr>
        <w:t>fecha de entrevista, tipo de empresa u organización, puesto o cargo, sector o rubro y pseudónimo asignado</w:t>
      </w:r>
      <w:r w:rsidR="008B3955" w:rsidRPr="00202B45">
        <w:rPr>
          <w:rFonts w:ascii="Arial" w:hAnsi="Arial" w:cs="Arial"/>
        </w:rPr>
        <w:t>,</w:t>
      </w:r>
      <w:r w:rsidRPr="00202B45">
        <w:rPr>
          <w:rFonts w:ascii="Arial" w:hAnsi="Arial" w:cs="Arial"/>
        </w:rPr>
        <w:t xml:space="preserve"> se presenta en el capítulo de análisis de resultados. Los formularios correspondientes a las entrevistas aplicadas se encuentran en los anexos de este documento.</w:t>
      </w:r>
    </w:p>
    <w:p w14:paraId="63EDCE75" w14:textId="77777777" w:rsidR="00885265" w:rsidRPr="00DB32E2" w:rsidRDefault="00885265" w:rsidP="00202B45">
      <w:pPr>
        <w:pStyle w:val="font-claude-response-body"/>
        <w:spacing w:line="360" w:lineRule="auto"/>
        <w:jc w:val="both"/>
        <w:rPr>
          <w:rFonts w:ascii="Arial" w:hAnsi="Arial" w:cs="Arial"/>
          <w:b/>
          <w:bCs/>
        </w:rPr>
      </w:pPr>
      <w:r w:rsidRPr="00DB32E2">
        <w:rPr>
          <w:rStyle w:val="Fuerte"/>
          <w:rFonts w:ascii="Arial" w:hAnsi="Arial" w:cs="Arial"/>
          <w:b w:val="0"/>
          <w:bCs w:val="0"/>
        </w:rPr>
        <w:t>2.2.5.3 Criterios de inclusión</w:t>
      </w:r>
    </w:p>
    <w:p w14:paraId="351640BC" w14:textId="438D2FFF" w:rsidR="00885265" w:rsidRPr="00202B45" w:rsidRDefault="00885265" w:rsidP="00202B45">
      <w:pPr>
        <w:pStyle w:val="font-claude-response-body"/>
        <w:spacing w:line="360" w:lineRule="auto"/>
        <w:jc w:val="both"/>
        <w:rPr>
          <w:rFonts w:ascii="Arial" w:hAnsi="Arial" w:cs="Arial"/>
        </w:rPr>
      </w:pPr>
      <w:r w:rsidRPr="00202B45">
        <w:rPr>
          <w:rFonts w:ascii="Arial" w:hAnsi="Arial" w:cs="Arial"/>
        </w:rPr>
        <w:t xml:space="preserve">Los criterios de inclusión aplicados fueron: la vinculación directa, gremial o técnica con sectores productivos relevantes para el comercio exterior hondureño frente a China; el conocimiento sobre comercio internacional, política comercial o negociaciones comerciales; la experiencia profesional, académica, empresarial o institucional relacionada con el tema; la disponibilidad para participar en una entrevista semiestructurada; y la capacidad para aportar información sustantiva sobre oportunidades, riesgos o condiciones del acuerdo Honduras-China. </w:t>
      </w:r>
    </w:p>
    <w:p w14:paraId="31BE4B28" w14:textId="77777777" w:rsidR="00885265" w:rsidRPr="00DB32E2" w:rsidRDefault="00885265" w:rsidP="00202B45">
      <w:pPr>
        <w:pStyle w:val="font-claude-response-body"/>
        <w:spacing w:line="360" w:lineRule="auto"/>
        <w:jc w:val="both"/>
        <w:rPr>
          <w:rFonts w:ascii="Arial" w:hAnsi="Arial" w:cs="Arial"/>
          <w:b/>
          <w:bCs/>
        </w:rPr>
      </w:pPr>
      <w:r w:rsidRPr="00DB32E2">
        <w:rPr>
          <w:rStyle w:val="Fuerte"/>
          <w:rFonts w:ascii="Arial" w:hAnsi="Arial" w:cs="Arial"/>
          <w:b w:val="0"/>
          <w:bCs w:val="0"/>
        </w:rPr>
        <w:t>2.2.5.4 Tipo de muestreo</w:t>
      </w:r>
    </w:p>
    <w:p w14:paraId="6C5615B8" w14:textId="77777777" w:rsidR="00885265" w:rsidRPr="00202B45" w:rsidRDefault="00885265" w:rsidP="00202B45">
      <w:pPr>
        <w:pStyle w:val="font-claude-response-body"/>
        <w:spacing w:line="360" w:lineRule="auto"/>
        <w:jc w:val="both"/>
        <w:rPr>
          <w:rFonts w:ascii="Arial" w:hAnsi="Arial" w:cs="Arial"/>
        </w:rPr>
      </w:pPr>
      <w:r w:rsidRPr="00202B45">
        <w:rPr>
          <w:rFonts w:ascii="Arial" w:hAnsi="Arial" w:cs="Arial"/>
        </w:rPr>
        <w:t>Se utilizó un muestreo no probabilístico de tipo intencional. Hernández Sampieri y Mendoza Torres (2018) explican que en las muestras dirigidas o no probabilísticas la elección de los participantes no depende de la probabilidad, sino de causas relacionadas con las características de la investigación, y que en los estudios cualitativos resultan especialmente pertinentes las muestras de expertos y las muestras por conveniencia, en las que se privilegia la riqueza informativa de los casos seleccionados.</w:t>
      </w:r>
    </w:p>
    <w:p w14:paraId="4581EFDE" w14:textId="3DB9F510" w:rsidR="00885265" w:rsidRPr="00202B45" w:rsidRDefault="00885265" w:rsidP="00202B45">
      <w:pPr>
        <w:pStyle w:val="font-claude-response-body"/>
        <w:spacing w:line="360" w:lineRule="auto"/>
        <w:jc w:val="both"/>
        <w:rPr>
          <w:rFonts w:ascii="Arial" w:hAnsi="Arial" w:cs="Arial"/>
        </w:rPr>
      </w:pPr>
      <w:r w:rsidRPr="00202B45">
        <w:rPr>
          <w:rFonts w:ascii="Arial" w:hAnsi="Arial" w:cs="Arial"/>
        </w:rPr>
        <w:t xml:space="preserve">En esta investigación la selección no buscó representatividad estadística, sino pertinencia analítica: los participantes fueron elegidos por su relación con el caso y por la calidad de la información que podían aportar. Este tipo de muestreo resulta coherente con el predominio cualitativo y con el alcance exploratorio del </w:t>
      </w:r>
      <w:r w:rsidRPr="00202B45">
        <w:rPr>
          <w:rFonts w:ascii="Arial" w:hAnsi="Arial" w:cs="Arial"/>
        </w:rPr>
        <w:lastRenderedPageBreak/>
        <w:t xml:space="preserve">estudio, ya que prioriza la profundidad, la experiencia y la relevancia de los testimonios. </w:t>
      </w:r>
    </w:p>
    <w:p w14:paraId="24DC03FF" w14:textId="77777777" w:rsidR="00885265" w:rsidRPr="00DB32E2" w:rsidRDefault="00885265" w:rsidP="00202B45">
      <w:pPr>
        <w:pStyle w:val="font-claude-response-body"/>
        <w:spacing w:line="360" w:lineRule="auto"/>
        <w:jc w:val="both"/>
        <w:rPr>
          <w:rFonts w:ascii="Arial" w:hAnsi="Arial" w:cs="Arial"/>
          <w:b/>
          <w:bCs/>
        </w:rPr>
      </w:pPr>
      <w:r w:rsidRPr="00DB32E2">
        <w:rPr>
          <w:rStyle w:val="Fuerte"/>
          <w:rFonts w:ascii="Arial" w:hAnsi="Arial" w:cs="Arial"/>
          <w:b w:val="0"/>
          <w:bCs w:val="0"/>
        </w:rPr>
        <w:t>2.2.6 Fuentes de información</w:t>
      </w:r>
    </w:p>
    <w:p w14:paraId="2B019C04" w14:textId="77777777" w:rsidR="00885265" w:rsidRPr="00DB32E2" w:rsidRDefault="00885265" w:rsidP="00202B45">
      <w:pPr>
        <w:pStyle w:val="font-claude-response-body"/>
        <w:spacing w:line="360" w:lineRule="auto"/>
        <w:jc w:val="both"/>
        <w:rPr>
          <w:rFonts w:ascii="Arial" w:hAnsi="Arial" w:cs="Arial"/>
          <w:b/>
          <w:bCs/>
        </w:rPr>
      </w:pPr>
      <w:r w:rsidRPr="00DB32E2">
        <w:rPr>
          <w:rStyle w:val="Fuerte"/>
          <w:rFonts w:ascii="Arial" w:hAnsi="Arial" w:cs="Arial"/>
          <w:b w:val="0"/>
          <w:bCs w:val="0"/>
        </w:rPr>
        <w:t>2.2.6.1 Fuentes primarias</w:t>
      </w:r>
    </w:p>
    <w:p w14:paraId="77CAFD1F" w14:textId="77777777" w:rsidR="00885265" w:rsidRPr="00202B45" w:rsidRDefault="00885265" w:rsidP="00202B45">
      <w:pPr>
        <w:pStyle w:val="font-claude-response-body"/>
        <w:spacing w:line="360" w:lineRule="auto"/>
        <w:jc w:val="both"/>
        <w:rPr>
          <w:rFonts w:ascii="Arial" w:hAnsi="Arial" w:cs="Arial"/>
        </w:rPr>
      </w:pPr>
      <w:r w:rsidRPr="00202B45">
        <w:rPr>
          <w:rFonts w:ascii="Arial" w:hAnsi="Arial" w:cs="Arial"/>
        </w:rPr>
        <w:t>Las fuentes primarias se definen como aquella información original recolectada por el autor; para Yuni y Urbano (2006), las fuentes de carácter primario son aquellas en donde los autores presentan de manera directa los hallazgos de sus investigaciones. En esta investigación, las fuentes primarias corresponden principalmente a las 14 entrevistas semiestructuradas aplicadas a los sujetos de investigación, las cuales aportan información directa sobre percepciones, expectativas, preocupaciones y valoraciones técnicas relacionadas con las negociaciones comerciales entre Honduras y China. Su aporte no se limita a registrar opiniones, sino que permite comprender cómo los actores interpretan el proceso negociador desde su experiencia sectorial, gremial, académica o institucional.</w:t>
      </w:r>
    </w:p>
    <w:p w14:paraId="3CF2DF9E" w14:textId="77777777" w:rsidR="00885265" w:rsidRPr="00DB32E2" w:rsidRDefault="00885265" w:rsidP="00202B45">
      <w:pPr>
        <w:pStyle w:val="font-claude-response-body"/>
        <w:spacing w:line="360" w:lineRule="auto"/>
        <w:jc w:val="both"/>
        <w:rPr>
          <w:rFonts w:ascii="Arial" w:hAnsi="Arial" w:cs="Arial"/>
          <w:b/>
          <w:bCs/>
        </w:rPr>
      </w:pPr>
      <w:r w:rsidRPr="00DB32E2">
        <w:rPr>
          <w:rStyle w:val="Fuerte"/>
          <w:rFonts w:ascii="Arial" w:hAnsi="Arial" w:cs="Arial"/>
          <w:b w:val="0"/>
          <w:bCs w:val="0"/>
        </w:rPr>
        <w:t>2.2.6.2 Fuentes secundarias</w:t>
      </w:r>
    </w:p>
    <w:p w14:paraId="4C79939A" w14:textId="2542B70F" w:rsidR="00885265" w:rsidRDefault="00885265" w:rsidP="00202B45">
      <w:pPr>
        <w:pStyle w:val="font-claude-response-body"/>
        <w:spacing w:line="360" w:lineRule="auto"/>
        <w:jc w:val="both"/>
        <w:rPr>
          <w:rFonts w:ascii="Arial" w:hAnsi="Arial" w:cs="Arial"/>
        </w:rPr>
      </w:pPr>
      <w:r w:rsidRPr="00202B45">
        <w:rPr>
          <w:rFonts w:ascii="Arial" w:hAnsi="Arial" w:cs="Arial"/>
        </w:rPr>
        <w:t>Las fuentes secundarias son definidas por Yuni y Urbano (2006) como un tipo de recurso que recopila y analiza información extraída de fuentes primarias en un campo científico o temático específico. Estas fuentes son útiles ya que proporcionan rápidamente una visión general del estado actual del debate en un tema y ayudan a identificar a los autores y descubrimientos relevantes. En esta investigación corresponden a libros, artículos académicos, informes técnicos de organismos multilaterales, evaluaciones de los acuerdos comerciales suscritos entre China y otros países latinoamericanos, tesis y publicaciones especializadas sobre comercio internacional, política comercial hondureña y relaciones económicas con China. Estas fuentes sustentan tanto el marco teórico como el componente comparativo del estudio.</w:t>
      </w:r>
    </w:p>
    <w:p w14:paraId="4C0FC853" w14:textId="77777777" w:rsidR="00580BA9" w:rsidRDefault="00580BA9" w:rsidP="00202B45">
      <w:pPr>
        <w:pStyle w:val="font-claude-response-body"/>
        <w:spacing w:line="360" w:lineRule="auto"/>
        <w:jc w:val="both"/>
        <w:rPr>
          <w:rFonts w:ascii="Arial" w:hAnsi="Arial" w:cs="Arial"/>
        </w:rPr>
      </w:pPr>
    </w:p>
    <w:p w14:paraId="4C07E627" w14:textId="77777777" w:rsidR="00580BA9" w:rsidRPr="00202B45" w:rsidRDefault="00580BA9" w:rsidP="00202B45">
      <w:pPr>
        <w:pStyle w:val="font-claude-response-body"/>
        <w:spacing w:line="360" w:lineRule="auto"/>
        <w:jc w:val="both"/>
        <w:rPr>
          <w:rFonts w:ascii="Arial" w:hAnsi="Arial" w:cs="Arial"/>
        </w:rPr>
      </w:pPr>
    </w:p>
    <w:p w14:paraId="6F2067AA" w14:textId="77777777" w:rsidR="00885265" w:rsidRPr="00DB32E2" w:rsidRDefault="00885265" w:rsidP="00202B45">
      <w:pPr>
        <w:pStyle w:val="font-claude-response-body"/>
        <w:spacing w:line="360" w:lineRule="auto"/>
        <w:jc w:val="both"/>
        <w:rPr>
          <w:rFonts w:ascii="Arial" w:hAnsi="Arial" w:cs="Arial"/>
          <w:b/>
          <w:bCs/>
        </w:rPr>
      </w:pPr>
      <w:r w:rsidRPr="00DB32E2">
        <w:rPr>
          <w:rStyle w:val="Fuerte"/>
          <w:rFonts w:ascii="Arial" w:hAnsi="Arial" w:cs="Arial"/>
          <w:b w:val="0"/>
          <w:bCs w:val="0"/>
        </w:rPr>
        <w:lastRenderedPageBreak/>
        <w:t>2.2.6.3 Fuentes terciarias</w:t>
      </w:r>
    </w:p>
    <w:p w14:paraId="4935D41A" w14:textId="27B0F08E" w:rsidR="00885265" w:rsidRPr="00202B45" w:rsidRDefault="00885265" w:rsidP="00202B45">
      <w:pPr>
        <w:pStyle w:val="font-claude-response-body"/>
        <w:spacing w:line="360" w:lineRule="auto"/>
        <w:jc w:val="both"/>
        <w:rPr>
          <w:rFonts w:ascii="Arial" w:hAnsi="Arial" w:cs="Arial"/>
        </w:rPr>
      </w:pPr>
      <w:r w:rsidRPr="00202B45">
        <w:rPr>
          <w:rFonts w:ascii="Arial" w:hAnsi="Arial" w:cs="Arial"/>
        </w:rPr>
        <w:t>Por último, las fuentes terciarias incluyen "títulos de revistas y otras publicaciones periódicas, así como nombres de boletines, conferencias y simposios, catálogos de libros básicos, lista de nombres de centros de investigación, universidades y fundaciones que pueden haber realizado trabajos sobre el tema" (Yuni y Urbano, 2006, p. 85). Este tipo de recursos</w:t>
      </w:r>
      <w:r w:rsidR="000A5E30" w:rsidRPr="00202B45">
        <w:rPr>
          <w:rFonts w:ascii="Arial" w:hAnsi="Arial" w:cs="Arial"/>
        </w:rPr>
        <w:t xml:space="preserve">: </w:t>
      </w:r>
      <w:r w:rsidRPr="00202B45">
        <w:rPr>
          <w:rFonts w:ascii="Arial" w:hAnsi="Arial" w:cs="Arial"/>
        </w:rPr>
        <w:t>repositorios institucionales y universitarios, catálogos académicos, índices bibliográficos y portales de organismos internacionales</w:t>
      </w:r>
      <w:r w:rsidR="000A5E30" w:rsidRPr="00202B45">
        <w:rPr>
          <w:rFonts w:ascii="Arial" w:hAnsi="Arial" w:cs="Arial"/>
        </w:rPr>
        <w:t xml:space="preserve">, </w:t>
      </w:r>
      <w:r w:rsidRPr="00202B45">
        <w:rPr>
          <w:rFonts w:ascii="Arial" w:hAnsi="Arial" w:cs="Arial"/>
        </w:rPr>
        <w:t>también fue consultado para la realización de los objetivos presentados en este estudio, y su función principal fue facilitar la localización sistemática de las fuentes secundarias y de las series estadísticas empleadas.</w:t>
      </w:r>
    </w:p>
    <w:p w14:paraId="3116C023" w14:textId="77777777" w:rsidR="00885265" w:rsidRPr="00DB32E2" w:rsidRDefault="00885265" w:rsidP="00202B45">
      <w:pPr>
        <w:pStyle w:val="font-claude-response-body"/>
        <w:spacing w:line="360" w:lineRule="auto"/>
        <w:jc w:val="both"/>
        <w:rPr>
          <w:rFonts w:ascii="Arial" w:hAnsi="Arial" w:cs="Arial"/>
          <w:b/>
          <w:bCs/>
        </w:rPr>
      </w:pPr>
      <w:r w:rsidRPr="00DB32E2">
        <w:rPr>
          <w:rStyle w:val="Fuerte"/>
          <w:rFonts w:ascii="Arial" w:hAnsi="Arial" w:cs="Arial"/>
          <w:b w:val="0"/>
          <w:bCs w:val="0"/>
        </w:rPr>
        <w:t>2.2.6.4 Período de consulta y cobertura documental</w:t>
      </w:r>
    </w:p>
    <w:p w14:paraId="50D5DE9F" w14:textId="159DCE57" w:rsidR="00885265" w:rsidRPr="00202B45" w:rsidRDefault="00885265" w:rsidP="00202B45">
      <w:pPr>
        <w:pStyle w:val="font-claude-response-body"/>
        <w:spacing w:line="360" w:lineRule="auto"/>
        <w:jc w:val="both"/>
        <w:rPr>
          <w:rFonts w:ascii="Arial" w:hAnsi="Arial" w:cs="Arial"/>
        </w:rPr>
      </w:pPr>
      <w:r w:rsidRPr="00202B45">
        <w:rPr>
          <w:rFonts w:ascii="Arial" w:hAnsi="Arial" w:cs="Arial"/>
        </w:rPr>
        <w:t xml:space="preserve">La cobertura estadística del estudio abarca </w:t>
      </w:r>
      <w:r w:rsidR="000A5E30" w:rsidRPr="00202B45">
        <w:rPr>
          <w:rFonts w:ascii="Arial" w:hAnsi="Arial" w:cs="Arial"/>
        </w:rPr>
        <w:t>los últimos 20 años</w:t>
      </w:r>
      <w:r w:rsidRPr="00202B45">
        <w:rPr>
          <w:rFonts w:ascii="Arial" w:hAnsi="Arial" w:cs="Arial"/>
        </w:rPr>
        <w:t>. Esta extensión permite observar el comportamiento del intercambio bilateral con anterioridad al establecimiento de relaciones diplomáticas entre ambos países, en marzo de 2023, y durante la etapa de acercamiento comercial y negociación, atendiendo a la recomendación de Durán Lima y Álvarez (2011) respecto de la necesidad de series suficientemente amplias para el cálculo e interpretación de indicadores de comercio exterior. La cobertura documental comprende los convenios suscritos entre Honduras y China a partir de 2023, los comunicados oficiales de las rondas de negociación publicados por la Secretaría de Desarrollo Económico, los documentos institucionales disponibles durante el desarrollo de la investigación y la literatura académica sobre acuerdos comerciales entre China y América Latina.</w:t>
      </w:r>
    </w:p>
    <w:p w14:paraId="6AD5EB82" w14:textId="5588BC94" w:rsidR="00885265" w:rsidRPr="00202B45" w:rsidRDefault="00885265" w:rsidP="00202B45">
      <w:pPr>
        <w:pStyle w:val="font-claude-response-body"/>
        <w:spacing w:line="360" w:lineRule="auto"/>
        <w:jc w:val="both"/>
        <w:rPr>
          <w:rFonts w:ascii="Arial" w:hAnsi="Arial" w:cs="Arial"/>
        </w:rPr>
      </w:pPr>
      <w:r w:rsidRPr="00202B45">
        <w:rPr>
          <w:rFonts w:ascii="Arial" w:hAnsi="Arial" w:cs="Arial"/>
        </w:rPr>
        <w:t>La incorporación de cada fuente atendió a criterios de confiabilidad institucional, pertinencia temática, actualidad y nivel de desagregación. En el caso de las estadísticas comerciales se exigió información a nivel de subpartida arancelaria, de modo que permitiera el cálculo de indicadores por sector y no solo a nivel agregado, tal como plantean Bacchetta et al. (2012) al advertir que el nivel de desagregación de los datos condiciona directamente la validez de los indicadores construidos a partir de ellos.</w:t>
      </w:r>
    </w:p>
    <w:p w14:paraId="2BB8C6CD" w14:textId="77777777" w:rsidR="00885265" w:rsidRPr="00DB32E2" w:rsidRDefault="00885265" w:rsidP="00202B45">
      <w:pPr>
        <w:pStyle w:val="font-claude-response-body"/>
        <w:spacing w:line="360" w:lineRule="auto"/>
        <w:jc w:val="both"/>
        <w:rPr>
          <w:rFonts w:ascii="Arial" w:hAnsi="Arial" w:cs="Arial"/>
          <w:b/>
          <w:bCs/>
        </w:rPr>
      </w:pPr>
      <w:r w:rsidRPr="00DB32E2">
        <w:rPr>
          <w:rStyle w:val="Fuerte"/>
          <w:rFonts w:ascii="Arial" w:hAnsi="Arial" w:cs="Arial"/>
          <w:b w:val="0"/>
          <w:bCs w:val="0"/>
        </w:rPr>
        <w:lastRenderedPageBreak/>
        <w:t>2.2.7 Técnicas de recolección de información</w:t>
      </w:r>
    </w:p>
    <w:p w14:paraId="6AAF6197" w14:textId="77777777" w:rsidR="00885265" w:rsidRPr="00DB32E2" w:rsidRDefault="00885265" w:rsidP="00202B45">
      <w:pPr>
        <w:pStyle w:val="font-claude-response-body"/>
        <w:spacing w:line="360" w:lineRule="auto"/>
        <w:jc w:val="both"/>
        <w:rPr>
          <w:rFonts w:ascii="Arial" w:hAnsi="Arial" w:cs="Arial"/>
          <w:b/>
          <w:bCs/>
        </w:rPr>
      </w:pPr>
      <w:r w:rsidRPr="00DB32E2">
        <w:rPr>
          <w:rStyle w:val="Fuerte"/>
          <w:rFonts w:ascii="Arial" w:hAnsi="Arial" w:cs="Arial"/>
          <w:b w:val="0"/>
          <w:bCs w:val="0"/>
        </w:rPr>
        <w:t>2.2.7.1 Revisión documental y bibliográfica</w:t>
      </w:r>
    </w:p>
    <w:p w14:paraId="653FC3C2" w14:textId="07FE1F45" w:rsidR="00885265" w:rsidRPr="00202B45" w:rsidRDefault="00885265" w:rsidP="00202B45">
      <w:pPr>
        <w:pStyle w:val="font-claude-response-body"/>
        <w:spacing w:line="360" w:lineRule="auto"/>
        <w:jc w:val="both"/>
        <w:rPr>
          <w:rFonts w:ascii="Arial" w:hAnsi="Arial" w:cs="Arial"/>
        </w:rPr>
      </w:pPr>
      <w:r w:rsidRPr="00202B45">
        <w:rPr>
          <w:rFonts w:ascii="Arial" w:hAnsi="Arial" w:cs="Arial"/>
        </w:rPr>
        <w:t>Un recurso central utilizado en el estudio es la revisión bibliográfica, sobre la cual Coral (2016) la discute como una técnica de investigación definida como "un análisis de documentos acerca de un tema que se está rastreando. Presenta la información publicada sobre un tema y plantea una organización de ese material de acuerdo con un punto de vista. Se utiliza para recopilar y comentar la literatura publicada sobre un tema" (p. 1). Esta técnica fue esencial para llevar a cabo el objetivo número dos, en tanto permitió reunir y contrastar las evaluaciones existentes sobre los tratados suscritos entre China y otros países de América Latina, así como los antecedentes, enfoques teóricos y</w:t>
      </w:r>
      <w:r w:rsidR="000A5E30" w:rsidRPr="00202B45">
        <w:rPr>
          <w:rFonts w:ascii="Arial" w:hAnsi="Arial" w:cs="Arial"/>
        </w:rPr>
        <w:t xml:space="preserve"> </w:t>
      </w:r>
      <w:r w:rsidRPr="00202B45">
        <w:rPr>
          <w:rFonts w:ascii="Arial" w:hAnsi="Arial" w:cs="Arial"/>
        </w:rPr>
        <w:t>documentos oficiales relacionados con el proceso hondureño.</w:t>
      </w:r>
    </w:p>
    <w:p w14:paraId="5A45C483" w14:textId="77777777" w:rsidR="00885265" w:rsidRPr="00DB32E2" w:rsidRDefault="00885265" w:rsidP="00202B45">
      <w:pPr>
        <w:pStyle w:val="font-claude-response-body"/>
        <w:spacing w:line="360" w:lineRule="auto"/>
        <w:jc w:val="both"/>
        <w:rPr>
          <w:rFonts w:ascii="Arial" w:hAnsi="Arial" w:cs="Arial"/>
          <w:b/>
          <w:bCs/>
        </w:rPr>
      </w:pPr>
      <w:r w:rsidRPr="00DB32E2">
        <w:rPr>
          <w:rStyle w:val="Fuerte"/>
          <w:rFonts w:ascii="Arial" w:hAnsi="Arial" w:cs="Arial"/>
          <w:b w:val="0"/>
          <w:bCs w:val="0"/>
        </w:rPr>
        <w:t>2.2.7.2 Recopilación de estadísticas comerciales</w:t>
      </w:r>
    </w:p>
    <w:p w14:paraId="4190CA07" w14:textId="77777777" w:rsidR="00885265" w:rsidRPr="00202B45" w:rsidRDefault="00885265" w:rsidP="00202B45">
      <w:pPr>
        <w:pStyle w:val="font-claude-response-body"/>
        <w:spacing w:line="360" w:lineRule="auto"/>
        <w:jc w:val="both"/>
        <w:rPr>
          <w:rFonts w:ascii="Arial" w:hAnsi="Arial" w:cs="Arial"/>
        </w:rPr>
      </w:pPr>
      <w:r w:rsidRPr="00202B45">
        <w:rPr>
          <w:rFonts w:ascii="Arial" w:hAnsi="Arial" w:cs="Arial"/>
        </w:rPr>
        <w:t>La recopilación de estadísticas comerciales permitió construir la base cuantitativa necesaria para analizar exportaciones, importaciones, balanza comercial y estructura del intercambio bilateral. Los datos fueron seleccionados de fuentes oficiales y organismos internacionales, procurando consistencia temporal, comparabilidad y pertinencia para el cálculo de los indicadores comerciales. Bacchetta et al. (2012) subrayan que la calidad de cualquier análisis de política comercial depende en primera instancia de la construcción cuidadosa de la base de datos, particularmente en lo relativo a la homogeneidad de las clasificaciones arancelarias y a la consistencia de las series a lo largo del tiempo, criterio que orientó esta fase del trabajo.</w:t>
      </w:r>
    </w:p>
    <w:p w14:paraId="6AA352B8" w14:textId="77777777" w:rsidR="00885265" w:rsidRPr="00DB32E2" w:rsidRDefault="00885265" w:rsidP="00202B45">
      <w:pPr>
        <w:pStyle w:val="font-claude-response-body"/>
        <w:spacing w:line="360" w:lineRule="auto"/>
        <w:jc w:val="both"/>
        <w:rPr>
          <w:rFonts w:ascii="Arial" w:hAnsi="Arial" w:cs="Arial"/>
          <w:b/>
          <w:bCs/>
        </w:rPr>
      </w:pPr>
      <w:r w:rsidRPr="00DB32E2">
        <w:rPr>
          <w:rStyle w:val="Fuerte"/>
          <w:rFonts w:ascii="Arial" w:hAnsi="Arial" w:cs="Arial"/>
          <w:b w:val="0"/>
          <w:bCs w:val="0"/>
        </w:rPr>
        <w:t>2.2.7.3 Entrevista semiestructurada</w:t>
      </w:r>
    </w:p>
    <w:p w14:paraId="16A9576E" w14:textId="77777777" w:rsidR="00885265" w:rsidRPr="00202B45" w:rsidRDefault="00885265" w:rsidP="00202B45">
      <w:pPr>
        <w:pStyle w:val="font-claude-response-body"/>
        <w:spacing w:line="360" w:lineRule="auto"/>
        <w:jc w:val="both"/>
        <w:rPr>
          <w:rFonts w:ascii="Arial" w:hAnsi="Arial" w:cs="Arial"/>
        </w:rPr>
      </w:pPr>
      <w:r w:rsidRPr="00202B45">
        <w:rPr>
          <w:rFonts w:ascii="Arial" w:hAnsi="Arial" w:cs="Arial"/>
        </w:rPr>
        <w:t xml:space="preserve">Para llevar a cabo esta investigación se acude a la aplicación de entrevistas semiestructuradas, siendo estas definidas por Ryen (2013) y Grinnell et al. (2011) como "una guía de asuntos o preguntas [en la que] el entrevistador tiene la libertad de introducir preguntas adicionales para precisar conceptos u obtener mayor información. Las entrevistas abiertas se fundamentan en una guía general </w:t>
      </w:r>
      <w:r w:rsidRPr="00202B45">
        <w:rPr>
          <w:rFonts w:ascii="Arial" w:hAnsi="Arial" w:cs="Arial"/>
        </w:rPr>
        <w:lastRenderedPageBreak/>
        <w:t>de contenido y el entrevistador posee toda la flexibilidad para manejarla" (citados por Hernández Sampieri y Mendoza Torres, 2018, p. 449).</w:t>
      </w:r>
    </w:p>
    <w:p w14:paraId="798BD0BA" w14:textId="31F44ACB" w:rsidR="00885265" w:rsidRPr="00202B45" w:rsidRDefault="00885265" w:rsidP="00202B45">
      <w:pPr>
        <w:pStyle w:val="font-claude-response-body"/>
        <w:spacing w:line="360" w:lineRule="auto"/>
        <w:jc w:val="both"/>
        <w:rPr>
          <w:rFonts w:ascii="Arial" w:hAnsi="Arial" w:cs="Arial"/>
        </w:rPr>
      </w:pPr>
      <w:r w:rsidRPr="00202B45">
        <w:rPr>
          <w:rFonts w:ascii="Arial" w:hAnsi="Arial" w:cs="Arial"/>
        </w:rPr>
        <w:t xml:space="preserve">Como lo explican Lalanne y Sánchez (2019), es a través de las entrevistas con expertos y del intercambio con los grupos involucrados que se lleva a cabo el análisis cualitativo de fenómenos como los acuerdos comerciales. Asimismo, Bernard (1988) señala que la entrevista semiestructurada resulta conveniente cuando se entrevista a administradores, burócratas o líderes de alguna comunidad, quienes cuentan con poca disponibilidad de tiempo; como resultado, el entrevistador se beneficia de preguntas preestablecidas, que muestran al </w:t>
      </w:r>
      <w:r w:rsidR="006E1F69" w:rsidRPr="00202B45">
        <w:rPr>
          <w:rFonts w:ascii="Arial" w:hAnsi="Arial" w:cs="Arial"/>
        </w:rPr>
        <w:t>entrevistad</w:t>
      </w:r>
      <w:r w:rsidR="00A5602E">
        <w:rPr>
          <w:rFonts w:ascii="Arial" w:hAnsi="Arial" w:cs="Arial"/>
        </w:rPr>
        <w:t>o</w:t>
      </w:r>
      <w:r w:rsidR="00580BA9">
        <w:rPr>
          <w:rFonts w:ascii="Arial" w:hAnsi="Arial" w:cs="Arial"/>
        </w:rPr>
        <w:t xml:space="preserve"> p</w:t>
      </w:r>
      <w:r w:rsidR="006E1F69" w:rsidRPr="00202B45">
        <w:rPr>
          <w:rFonts w:ascii="Arial" w:hAnsi="Arial" w:cs="Arial"/>
        </w:rPr>
        <w:t>reparación</w:t>
      </w:r>
      <w:r w:rsidRPr="00202B45">
        <w:rPr>
          <w:rFonts w:ascii="Arial" w:hAnsi="Arial" w:cs="Arial"/>
        </w:rPr>
        <w:t>, pero manteniendo un equilibrio para que no se imponga un control total sobre la persona que responde, por lo que se genera una entrevista centrada en el tema. Esta condición se ajusta al perfil de los participantes del estudio</w:t>
      </w:r>
      <w:r w:rsidR="000A5E30" w:rsidRPr="00202B45">
        <w:rPr>
          <w:rFonts w:ascii="Arial" w:hAnsi="Arial" w:cs="Arial"/>
        </w:rPr>
        <w:t xml:space="preserve">, </w:t>
      </w:r>
      <w:r w:rsidRPr="00202B45">
        <w:rPr>
          <w:rFonts w:ascii="Arial" w:hAnsi="Arial" w:cs="Arial"/>
        </w:rPr>
        <w:t>gerentes generales, presidentes de juntas directivas, académicos y funcionarios públicos</w:t>
      </w:r>
      <w:r w:rsidR="000A5E30" w:rsidRPr="00202B45">
        <w:rPr>
          <w:rFonts w:ascii="Arial" w:hAnsi="Arial" w:cs="Arial"/>
        </w:rPr>
        <w:t xml:space="preserve">; </w:t>
      </w:r>
      <w:r w:rsidRPr="00202B45">
        <w:rPr>
          <w:rFonts w:ascii="Arial" w:hAnsi="Arial" w:cs="Arial"/>
        </w:rPr>
        <w:t>y explica la elección de esta técnica frente a alternativas más estructuradas.</w:t>
      </w:r>
    </w:p>
    <w:p w14:paraId="03D37180" w14:textId="77777777" w:rsidR="00885265" w:rsidRPr="00DB32E2" w:rsidRDefault="00885265" w:rsidP="00202B45">
      <w:pPr>
        <w:pStyle w:val="font-claude-response-body"/>
        <w:spacing w:line="360" w:lineRule="auto"/>
        <w:jc w:val="both"/>
        <w:rPr>
          <w:rFonts w:ascii="Arial" w:hAnsi="Arial" w:cs="Arial"/>
          <w:b/>
          <w:bCs/>
        </w:rPr>
      </w:pPr>
      <w:r w:rsidRPr="00DB32E2">
        <w:rPr>
          <w:rStyle w:val="Fuerte"/>
          <w:rFonts w:ascii="Arial" w:hAnsi="Arial" w:cs="Arial"/>
          <w:b w:val="0"/>
          <w:bCs w:val="0"/>
        </w:rPr>
        <w:t>2.2.8 Instrumentos de recolección de datos</w:t>
      </w:r>
    </w:p>
    <w:p w14:paraId="61B5EDA0" w14:textId="77777777" w:rsidR="00885265" w:rsidRPr="00DB32E2" w:rsidRDefault="00885265" w:rsidP="00202B45">
      <w:pPr>
        <w:pStyle w:val="font-claude-response-body"/>
        <w:spacing w:line="360" w:lineRule="auto"/>
        <w:jc w:val="both"/>
        <w:rPr>
          <w:rFonts w:ascii="Arial" w:hAnsi="Arial" w:cs="Arial"/>
          <w:b/>
          <w:bCs/>
        </w:rPr>
      </w:pPr>
      <w:r w:rsidRPr="00DB32E2">
        <w:rPr>
          <w:rStyle w:val="Fuerte"/>
          <w:rFonts w:ascii="Arial" w:hAnsi="Arial" w:cs="Arial"/>
          <w:b w:val="0"/>
          <w:bCs w:val="0"/>
        </w:rPr>
        <w:t>2.2.8.1 Matriz de revisión documental</w:t>
      </w:r>
    </w:p>
    <w:p w14:paraId="1B6A00D3" w14:textId="10F0748E" w:rsidR="00885265" w:rsidRPr="00202B45" w:rsidRDefault="00885265" w:rsidP="00202B45">
      <w:pPr>
        <w:pStyle w:val="font-claude-response-body"/>
        <w:spacing w:line="360" w:lineRule="auto"/>
        <w:jc w:val="both"/>
        <w:rPr>
          <w:rFonts w:ascii="Arial" w:hAnsi="Arial" w:cs="Arial"/>
        </w:rPr>
      </w:pPr>
      <w:r w:rsidRPr="00202B45">
        <w:rPr>
          <w:rFonts w:ascii="Arial" w:hAnsi="Arial" w:cs="Arial"/>
        </w:rPr>
        <w:t>La matriz de revisión documental permitió registrar autoría, año, tipo de documento, institución emisora, tema abordado, aportes principales y utilidad para la investigación. Este instrumento facilitó organizar la evidencia documental y relacionarla con los objetivos del estudio</w:t>
      </w:r>
      <w:r w:rsidR="000A5E30" w:rsidRPr="00202B45">
        <w:rPr>
          <w:rFonts w:ascii="Arial" w:hAnsi="Arial" w:cs="Arial"/>
        </w:rPr>
        <w:t>.</w:t>
      </w:r>
    </w:p>
    <w:p w14:paraId="4CAE4F21" w14:textId="77777777" w:rsidR="00885265" w:rsidRPr="00DB32E2" w:rsidRDefault="00885265" w:rsidP="00202B45">
      <w:pPr>
        <w:pStyle w:val="font-claude-response-body"/>
        <w:spacing w:line="360" w:lineRule="auto"/>
        <w:jc w:val="both"/>
        <w:rPr>
          <w:rFonts w:ascii="Arial" w:hAnsi="Arial" w:cs="Arial"/>
          <w:b/>
          <w:bCs/>
        </w:rPr>
      </w:pPr>
      <w:r w:rsidRPr="00DB32E2">
        <w:rPr>
          <w:rStyle w:val="Fuerte"/>
          <w:rFonts w:ascii="Arial" w:hAnsi="Arial" w:cs="Arial"/>
          <w:b w:val="0"/>
          <w:bCs w:val="0"/>
        </w:rPr>
        <w:t>2.2.8.2 Matriz de recopilación de datos comerciales</w:t>
      </w:r>
    </w:p>
    <w:p w14:paraId="561E92D5" w14:textId="73B42EDE" w:rsidR="00885265" w:rsidRDefault="00885265" w:rsidP="00202B45">
      <w:pPr>
        <w:pStyle w:val="font-claude-response-body"/>
        <w:spacing w:line="360" w:lineRule="auto"/>
        <w:jc w:val="both"/>
        <w:rPr>
          <w:rFonts w:ascii="Arial" w:hAnsi="Arial" w:cs="Arial"/>
        </w:rPr>
      </w:pPr>
      <w:r w:rsidRPr="00202B45">
        <w:rPr>
          <w:rFonts w:ascii="Arial" w:hAnsi="Arial" w:cs="Arial"/>
        </w:rPr>
        <w:t>La matriz de recopilación de datos comerciales se utilizó para sistematizar variables como exportaciones, importaciones, subpartida arancelaria, productos, socios comerciales, años de referencia, unidad de medida y fuentes estadísticas. Esta matriz sirvió como base para el cálculo de los indicadores cuantitativos y para la comparación de tendencias del comercio bilateral con los demás países considerados en el estudio.</w:t>
      </w:r>
    </w:p>
    <w:p w14:paraId="2CAF5804" w14:textId="77777777" w:rsidR="00580BA9" w:rsidRPr="00202B45" w:rsidRDefault="00580BA9" w:rsidP="00202B45">
      <w:pPr>
        <w:pStyle w:val="font-claude-response-body"/>
        <w:spacing w:line="360" w:lineRule="auto"/>
        <w:jc w:val="both"/>
        <w:rPr>
          <w:rFonts w:ascii="Arial" w:hAnsi="Arial" w:cs="Arial"/>
        </w:rPr>
      </w:pPr>
    </w:p>
    <w:p w14:paraId="6DF3DA28" w14:textId="77777777" w:rsidR="00885265" w:rsidRPr="00DB32E2" w:rsidRDefault="00885265" w:rsidP="00202B45">
      <w:pPr>
        <w:pStyle w:val="font-claude-response-body"/>
        <w:spacing w:line="360" w:lineRule="auto"/>
        <w:jc w:val="both"/>
        <w:rPr>
          <w:rFonts w:ascii="Arial" w:hAnsi="Arial" w:cs="Arial"/>
          <w:b/>
          <w:bCs/>
        </w:rPr>
      </w:pPr>
      <w:r w:rsidRPr="00DB32E2">
        <w:rPr>
          <w:rStyle w:val="Fuerte"/>
          <w:rFonts w:ascii="Arial" w:hAnsi="Arial" w:cs="Arial"/>
          <w:b w:val="0"/>
          <w:bCs w:val="0"/>
        </w:rPr>
        <w:lastRenderedPageBreak/>
        <w:t>2.2.8.3 Guía de entrevista semiestructurada</w:t>
      </w:r>
    </w:p>
    <w:p w14:paraId="3F051622" w14:textId="62EE3523" w:rsidR="00885265" w:rsidRPr="00202B45" w:rsidRDefault="00885265" w:rsidP="00202B45">
      <w:pPr>
        <w:pStyle w:val="font-claude-response-body"/>
        <w:spacing w:line="360" w:lineRule="auto"/>
        <w:jc w:val="both"/>
        <w:rPr>
          <w:rFonts w:ascii="Arial" w:hAnsi="Arial" w:cs="Arial"/>
        </w:rPr>
      </w:pPr>
      <w:r w:rsidRPr="00202B45">
        <w:rPr>
          <w:rFonts w:ascii="Arial" w:hAnsi="Arial" w:cs="Arial"/>
        </w:rPr>
        <w:t>Se elaboraron cuatro guías de entrevista diferenciadas según el perfil del participante, las cuales se presentan en los anexos del documento: una dirigida a productores en Honduras, una dirigida a académicos y profesionales del área de comercio internacional, una dirigida a los principales actores en la negociación del tratado y una dirigida a representantes de las asociaciones hondureñas de los sectores prioritarios. Cada guía incluye un conjunto de preguntas orientadas a conocer la percepción de los participantes sobre oportunidades de exportación, riesgos competitivos, condiciones institucionales, barreras arancelarias y no arancelarias, preparación sectorial y expectativas frente al acuerdo. La diferenciación por perfil permitió ajustar el nivel técnico de las preguntas sin perder la comparabilidad entre entrevistas, ya que los ejes temáticos se mantuvieron constantes en las cuatro versiones.</w:t>
      </w:r>
    </w:p>
    <w:p w14:paraId="412EFBE1" w14:textId="77777777"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2.2.8.4 Ficha de caracterización de participantes</w:t>
      </w:r>
    </w:p>
    <w:p w14:paraId="4281C54C" w14:textId="77777777"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t>La ficha de caracterización de participantes permitió registrar información general no sensible sobre el perfil de cada entrevistado, como la fecha de la entrevista, el tipo de empresa u organización, el puesto o cargo, el sector o rubro de vinculación y el pseudónimo asignado. Esta información fue utilizada para contextualizar los testimonios y organizar el análisis por tipo de actor, sin comprometer la confidencialidad de las personas participantes.</w:t>
      </w:r>
    </w:p>
    <w:p w14:paraId="0EA21431" w14:textId="77777777"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2.2.9 Procedimiento de recolección de datos</w:t>
      </w:r>
    </w:p>
    <w:p w14:paraId="7AED5B43" w14:textId="77777777" w:rsidR="00885265" w:rsidRPr="00202B45"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2.2.9.1 Planificación del levantamiento</w:t>
      </w:r>
    </w:p>
    <w:p w14:paraId="7ED313C5" w14:textId="77777777"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t>El procedimiento inició con la definición de los objetivos de recolección, la identificación de las fuentes, el diseño de los instrumentos y la delimitación de los sectores y perfiles relevantes para el estudio. Esta planificación permitió organizar el trabajo de campo y asegurar la correspondencia entre la información recolectada y las preguntas de investigación planteadas.</w:t>
      </w:r>
    </w:p>
    <w:p w14:paraId="02AA6521" w14:textId="77777777"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2.2.9.2 Descarga y depuración de estadísticas</w:t>
      </w:r>
    </w:p>
    <w:p w14:paraId="5DF66081" w14:textId="4404FCC9"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lastRenderedPageBreak/>
        <w:t>Posteriormente se descargaron las estadísticas comerciales del ITC y las series macroeconómicas del Banco Central de Honduras y de la SIECA</w:t>
      </w:r>
      <w:r w:rsidR="00D06098" w:rsidRPr="00DB32E2">
        <w:rPr>
          <w:rFonts w:ascii="Arial" w:hAnsi="Arial" w:cs="Arial"/>
        </w:rPr>
        <w:t>. L</w:t>
      </w:r>
      <w:r w:rsidRPr="00DB32E2">
        <w:rPr>
          <w:rFonts w:ascii="Arial" w:hAnsi="Arial" w:cs="Arial"/>
        </w:rPr>
        <w:t>os datos fueron revisados para identificar inconsistencias, duplicidades, diferencias de clasificación, discrepancias entre registros espejo y vacíos de información, siguiendo las advertencias de Bacchetta et al. (2012) sobre las divergencias habituales entre los registros de exportación e importación reportados por los países socios. La depuración permitió construir una base ordenada y apta para el cálculo de indicadores.</w:t>
      </w:r>
    </w:p>
    <w:p w14:paraId="4FE11393" w14:textId="77777777"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2.2.9.3 Selección y contacto con los participantes</w:t>
      </w:r>
    </w:p>
    <w:p w14:paraId="08B8CFAA" w14:textId="771F201B"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t xml:space="preserve">La selección de participantes se realizó con base en los criterios de inclusión definidos. Una vez identificados los perfiles pertinentes, se estableció contacto para explicar el propósito de la investigación, solicitar la participación y coordinar la entrevista de acuerdo con la disponibilidad de cada persona. </w:t>
      </w:r>
    </w:p>
    <w:p w14:paraId="35035765" w14:textId="77777777"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2.2.9.4 Aplicación de las entrevistas</w:t>
      </w:r>
    </w:p>
    <w:p w14:paraId="5C3C7EBA" w14:textId="77777777"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t>Las entrevistas se aplicaron siguiendo la guía semiestructurada correspondiente al perfil de cada participante. Durante su desarrollo se procuró mantener un ambiente de confianza, permitir respuestas amplias y formular preguntas de seguimiento cuando surgieron temas relevantes para los objetivos de la investigación, conforme a la flexibilidad que caracteriza a esta técnica (Hernández Sampieri y Mendoza Torres, 2018). El levantamiento se realizó en tres momentos: un primer bloque entre marzo y junio de 2024, concentrado en productores y asociaciones; un segundo bloque entre abril y octubre de 2024, con académicos y profesionales; y un tercer bloque entre enero y febrero de 2025, con académicos, sector público y la perspectiva institucional.</w:t>
      </w:r>
    </w:p>
    <w:p w14:paraId="1EB404D9" w14:textId="77777777"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2.2.9.5 Registro y transcripción</w:t>
      </w:r>
    </w:p>
    <w:p w14:paraId="7B2ABE23" w14:textId="77777777"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t>La información obtenida fue registrada mediante notas y, cuando se contó con la autorización expresa del participante, mediante grabación de audio. Posteriormente se realizó la transcripción o sistematización de los contenidos, procurando conservar el sentido de las respuestas y preparar el material para el análisis cualitativo.</w:t>
      </w:r>
    </w:p>
    <w:p w14:paraId="31CD4598" w14:textId="77777777"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lastRenderedPageBreak/>
        <w:t>2.2.9.6 Anonimización y almacenamiento de la información</w:t>
      </w:r>
    </w:p>
    <w:p w14:paraId="2AF39BE1" w14:textId="2545BC62"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t>La totalidad de las entrevistas fue anonimizada para proteger la identidad de los participantes, mediante la asignación de pseudónimos correspondientes a Entrevistado 1 a Entrevistado 14. De este modo, en el documento se conserva únicamente la información necesaria para contextualizar cada testimonio: tipo de empresa u organización, cargo genérico y sector de vinculación, evitando asociar testimonios específicos con nombres, cargos o instituciones cuando ello pudiera comprometer la confidencialidad. Los registros se almacenaron de forma ordenada y se utilizaron exclusivamente para los fines de este estudio. Esta decisión responde a los principios de consentimiento informado y confidencialidad que Hernández Sampieri y Mendoza Torres (2018) establecen como condiciones éticas del trabajo de campo cualitativo, y resultó particularmente necesaria dada la sensibilidad política y comercial del tema y la posición de varios participantes dentro de sus sectores y organizaciones.</w:t>
      </w:r>
    </w:p>
    <w:p w14:paraId="5EAFE166" w14:textId="77777777"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2.2.10 Procedimiento de análisis cuantitativo</w:t>
      </w:r>
    </w:p>
    <w:p w14:paraId="1C66FE04" w14:textId="77777777"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t>Con el fin de determinar la relación comercial existente entre China y Honduras, previo al inicio de las negociaciones del acuerdo comercial, se recurre al uso de indicadores comerciales. Según Trejos (2009), los indicadores se convierten en una herramienta esencial para evaluar la factibilidad y el desempeño de un acuerdo comercial. Esto se debe a que la evaluación exhaustiva y detallada de un acuerdo puede ser complicada y requerir recursos especializados y tiempo que a menudo no están disponibles, y más si el acuerdo está aún en su etapa de negociación, lo que a veces resulta en retrasos en la obtención de datos relevantes. En la investigación se utilizan la balanza comercial, el indicador de apertura comercial, el índice de complementariedad comercial y el índice de comercio intraindustrial de Grubel y Lloyd.</w:t>
      </w:r>
    </w:p>
    <w:p w14:paraId="362BB1E0" w14:textId="77777777"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2.2.10.1 Organización y depuración de la base de datos</w:t>
      </w:r>
    </w:p>
    <w:p w14:paraId="4553B0B9" w14:textId="77777777"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t xml:space="preserve">La base de datos comercial fue organizada en Microsoft Excel, separando exportaciones, importaciones, años, productos, subpartidas y socios comerciales. La depuración incluyó la revisión de unidades de medida, la </w:t>
      </w:r>
      <w:r w:rsidRPr="00DB32E2">
        <w:rPr>
          <w:rFonts w:ascii="Arial" w:hAnsi="Arial" w:cs="Arial"/>
        </w:rPr>
        <w:lastRenderedPageBreak/>
        <w:t>homologación de los valores a dólares estadounidenses corrientes, la verificación de la consistencia de las cifras, la revisión de la clasificación de productos y la comprobación de la continuidad de las series temporales. Este paso fue necesario para evitar errores en el cálculo de los indicadores y para asegurar la comparabilidad entre países en el componente comparativo, en línea con los procedimientos de preparación de datos descritos por Bacchetta et al. (2012).</w:t>
      </w:r>
    </w:p>
    <w:p w14:paraId="36AF7496" w14:textId="77777777"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2.2.10.2 Análisis descriptivo del comercio bilateral</w:t>
      </w:r>
    </w:p>
    <w:p w14:paraId="04186DFF" w14:textId="5CF0F860"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t xml:space="preserve">El análisis descriptivo permitió identificar la evolución del comercio entre Honduras y China durante </w:t>
      </w:r>
      <w:r w:rsidR="00D06098" w:rsidRPr="00DB32E2">
        <w:rPr>
          <w:rFonts w:ascii="Arial" w:hAnsi="Arial" w:cs="Arial"/>
        </w:rPr>
        <w:t>los últimos 20 años</w:t>
      </w:r>
      <w:r w:rsidRPr="00DB32E2">
        <w:rPr>
          <w:rFonts w:ascii="Arial" w:hAnsi="Arial" w:cs="Arial"/>
        </w:rPr>
        <w:t>, los principales productos exportados e importados, el peso relativo de cada flujo y las tendencias previas y posteriores al establecimiento de relaciones diplomáticas. De forma paralela se analizaron los flujos de inversión extranjera directa de origen chino recibidos por el país, a partir de la información publicada por el Banco Central de Honduras (2020) y de los registros del Monitor de la OFDI china en América Latina y el Caribe (Dussel Peters, 2025). Este análisis sirvió como punto de partida para interpretar la posición comercial de Honduras frente a China.</w:t>
      </w:r>
    </w:p>
    <w:p w14:paraId="38407866" w14:textId="77777777"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t>El mismo procedimiento descriptivo se aplicó a los países incluidos en el ejercicio comparativo, con el propósito de observar el comportamiento de sus flujos comerciales con China antes y después de la entrada en vigor de sus respectivos acuerdos y de comparar el tratamiento arancelario otorgado a productos equivalentes a los de la oferta exportable hondureña.</w:t>
      </w:r>
    </w:p>
    <w:p w14:paraId="1C57B3B4" w14:textId="77777777"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2.2.10.3 Balanza comercial</w:t>
      </w:r>
    </w:p>
    <w:p w14:paraId="6B95C147" w14:textId="77777777"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t>La balanza comercial se calculó como la diferencia entre el valor de las exportaciones y el valor de las importaciones de bienes respecto del socio comercial analizado, conforme a la formulación presentada por Durán Lima y Álvarez (2011):</w:t>
      </w:r>
    </w:p>
    <w:p w14:paraId="6B24A62B" w14:textId="77777777"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t>BC = X − M</w:t>
      </w:r>
    </w:p>
    <w:p w14:paraId="7807B6AE" w14:textId="77777777"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lastRenderedPageBreak/>
        <w:t>En donde X representa las exportaciones de Honduras hacia China y M las importaciones de Honduras originarias de China. Los datos provienen del ITC y del Banco Central de Honduras, se expresan en dólares estadounidenses corrientes y cubren el período 2005-2024. Este indicador permitió establecer si la relación bilateral presenta superávit o déficit para Honduras y valorar la magnitud de la asimetría comercial existente.</w:t>
      </w:r>
    </w:p>
    <w:p w14:paraId="5AF8232D" w14:textId="77777777"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2.2.10.4 Indicador de apertura comercial</w:t>
      </w:r>
    </w:p>
    <w:p w14:paraId="2894171B" w14:textId="77777777" w:rsidR="00A81FEA" w:rsidRPr="00DB32E2" w:rsidRDefault="00A81FEA" w:rsidP="00202B45">
      <w:pPr>
        <w:spacing w:line="360" w:lineRule="auto"/>
        <w:jc w:val="both"/>
        <w:rPr>
          <w:rFonts w:ascii="Arial" w:hAnsi="Arial" w:cs="Arial"/>
        </w:rPr>
      </w:pPr>
      <w:r w:rsidRPr="00DB32E2">
        <w:rPr>
          <w:rFonts w:ascii="Arial" w:hAnsi="Arial" w:cs="Arial"/>
        </w:rPr>
        <w:t xml:space="preserve">El término, apertura comercial, se refiere al “grado de internacionalización de una economía o en otras palabras el nivel de apertura comercial de sus socios comerciales” (p.39) </w:t>
      </w:r>
      <w:r w:rsidRPr="00DB32E2">
        <w:rPr>
          <w:rFonts w:ascii="Arial" w:hAnsi="Arial" w:cs="Arial"/>
        </w:rPr>
        <w:fldChar w:fldCharType="begin"/>
      </w:r>
      <w:r w:rsidRPr="00DB32E2">
        <w:rPr>
          <w:rFonts w:ascii="Arial" w:hAnsi="Arial" w:cs="Arial"/>
        </w:rPr>
        <w:instrText xml:space="preserve"> ADDIN ZOTERO_ITEM CSL_CITATION {"citationID":"rumfNbRy","properties":{"formattedCitation":"(Aguirre &amp; Jim\\uc0\\u233{}nez, 2020)","plainCitation":"(Aguirre &amp; Jiménez, 2020)","dontUpdate":true,"noteIndex":0},"citationItems":[{"id":73,"uris":["http://zotero.org/users/10063313/items/MQHIKBFH"],"itemData":{"id":73,"type":"thesis","title":"Efecto comercial de los tratados de libre comercio de Canadá y Chile con Costa Rica mediante indicadores comerciales: el caso del sector agrícola e industrial costarricense","author":[{"family":"Aguirre","given":"Laura"},{"family":"Jiménez","given":"Diego"}],"issued":{"date-parts":[["2020"]]}}}],"schema":"https://github.com/citation-style-language/schema/raw/master/csl-citation.json"} </w:instrText>
      </w:r>
      <w:r w:rsidRPr="00DB32E2">
        <w:rPr>
          <w:rFonts w:ascii="Arial" w:hAnsi="Arial" w:cs="Arial"/>
        </w:rPr>
        <w:fldChar w:fldCharType="separate"/>
      </w:r>
      <w:r w:rsidRPr="00DB32E2">
        <w:rPr>
          <w:rFonts w:ascii="Arial" w:hAnsi="Arial" w:cs="Arial"/>
        </w:rPr>
        <w:t>(Aguirre et al., 2020)</w:t>
      </w:r>
      <w:r w:rsidRPr="00DB32E2">
        <w:rPr>
          <w:rFonts w:ascii="Arial" w:hAnsi="Arial" w:cs="Arial"/>
        </w:rPr>
        <w:fldChar w:fldCharType="end"/>
      </w:r>
    </w:p>
    <w:p w14:paraId="54472F43" w14:textId="77777777" w:rsidR="00A81FEA" w:rsidRPr="00DB32E2" w:rsidRDefault="00A81FEA" w:rsidP="00202B45">
      <w:pPr>
        <w:spacing w:line="360" w:lineRule="auto"/>
        <w:jc w:val="both"/>
        <w:rPr>
          <w:rFonts w:ascii="Arial" w:hAnsi="Arial" w:cs="Arial"/>
        </w:rPr>
      </w:pPr>
      <w:r w:rsidRPr="00DB32E2">
        <w:rPr>
          <w:rFonts w:ascii="Arial" w:hAnsi="Arial" w:cs="Arial"/>
        </w:rPr>
        <w:t xml:space="preserve">Para obtener el cálculo, se utiliza la fórmula propuesta por </w:t>
      </w:r>
      <w:r w:rsidRPr="00DB32E2">
        <w:rPr>
          <w:rFonts w:ascii="Arial" w:hAnsi="Arial" w:cs="Arial"/>
        </w:rPr>
        <w:fldChar w:fldCharType="begin"/>
      </w:r>
      <w:r w:rsidRPr="00DB32E2">
        <w:rPr>
          <w:rFonts w:ascii="Arial" w:hAnsi="Arial" w:cs="Arial"/>
        </w:rPr>
        <w:instrText xml:space="preserve"> ADDIN ZOTERO_ITEM CSL_CITATION {"citationID":"3mu31J9u","properties":{"formattedCitation":"(Dur\\uc0\\u225{}n Lima &amp; Alvarez, 2011)","plainCitation":"(Durán Lima &amp; Alvarez, 2011)","dontUpdate":true,"noteIndex":0},"citationItems":[{"id":1875,"uris":["http://zotero.org/users/10063313/items/VQ6AMGFC"],"itemData":{"id":1875,"type":"document","title":"Indicadores de comercio exterior y política comercial: análisis y derivaciones de la balanza de pagos","author":[{"family":"Durán Lima","given":"José"},{"family":"Alvarez","given":"Mariano"}],"issued":{"date-parts":[["2011"]]}}}],"schema":"https://github.com/citation-style-language/schema/raw/master/csl-citation.json"} </w:instrText>
      </w:r>
      <w:r w:rsidRPr="00DB32E2">
        <w:rPr>
          <w:rFonts w:ascii="Arial" w:hAnsi="Arial" w:cs="Arial"/>
        </w:rPr>
        <w:fldChar w:fldCharType="separate"/>
      </w:r>
      <w:r w:rsidRPr="00DB32E2">
        <w:rPr>
          <w:rFonts w:ascii="Arial" w:hAnsi="Arial" w:cs="Arial"/>
        </w:rPr>
        <w:t>(Durán Lima et al., 2011)</w:t>
      </w:r>
      <w:r w:rsidRPr="00DB32E2">
        <w:rPr>
          <w:rFonts w:ascii="Arial" w:hAnsi="Arial" w:cs="Arial"/>
        </w:rPr>
        <w:fldChar w:fldCharType="end"/>
      </w:r>
      <w:r w:rsidRPr="00DB32E2">
        <w:rPr>
          <w:rFonts w:ascii="Arial" w:hAnsi="Arial" w:cs="Arial"/>
        </w:rPr>
        <w:t xml:space="preserve">: </w:t>
      </w:r>
    </w:p>
    <w:p w14:paraId="49ED0FFB" w14:textId="77777777" w:rsidR="00A81FEA" w:rsidRPr="00DB32E2" w:rsidRDefault="00A81FEA" w:rsidP="00202B45">
      <w:pPr>
        <w:spacing w:line="360" w:lineRule="auto"/>
        <w:jc w:val="both"/>
        <w:rPr>
          <w:rFonts w:ascii="Arial" w:hAnsi="Arial" w:cs="Arial"/>
        </w:rPr>
      </w:pPr>
    </w:p>
    <w:p w14:paraId="268AE694" w14:textId="2A66B3BA" w:rsidR="00A81FEA" w:rsidRPr="00DB32E2" w:rsidRDefault="00DB32E2" w:rsidP="00202B45">
      <w:pPr>
        <w:spacing w:line="360" w:lineRule="auto"/>
        <w:jc w:val="both"/>
        <w:rPr>
          <w:rFonts w:ascii="Arial" w:hAnsi="Arial" w:cs="Arial"/>
        </w:rPr>
      </w:pPr>
      <m:oMathPara>
        <m:oMath>
          <m:r>
            <w:rPr>
              <w:rFonts w:ascii="Cambria Math" w:hAnsi="Cambria Math" w:cs="Arial"/>
            </w:rPr>
            <m:t>AC=</m:t>
          </m:r>
          <m:f>
            <m:fPr>
              <m:ctrlPr>
                <w:rPr>
                  <w:rFonts w:ascii="Cambria Math" w:hAnsi="Cambria Math" w:cs="Arial"/>
                  <w:i/>
                </w:rPr>
              </m:ctrlPr>
            </m:fPr>
            <m:num>
              <m:r>
                <w:rPr>
                  <w:rFonts w:ascii="Cambria Math" w:hAnsi="Cambria Math" w:cs="Arial"/>
                </w:rPr>
                <m:t>(X+M)</m:t>
              </m:r>
            </m:num>
            <m:den>
              <m:r>
                <w:rPr>
                  <w:rFonts w:ascii="Cambria Math" w:hAnsi="Cambria Math" w:cs="Arial"/>
                </w:rPr>
                <m:t>PIB</m:t>
              </m:r>
            </m:den>
          </m:f>
        </m:oMath>
      </m:oMathPara>
    </w:p>
    <w:p w14:paraId="39BC7FCD" w14:textId="77777777" w:rsidR="00A81FEA" w:rsidRPr="00DB32E2" w:rsidRDefault="00A81FEA" w:rsidP="00202B45">
      <w:pPr>
        <w:spacing w:line="360" w:lineRule="auto"/>
        <w:jc w:val="both"/>
        <w:rPr>
          <w:rFonts w:ascii="Arial" w:hAnsi="Arial" w:cs="Arial"/>
        </w:rPr>
      </w:pPr>
      <w:r w:rsidRPr="00DB32E2">
        <w:rPr>
          <w:rFonts w:ascii="Arial" w:hAnsi="Arial" w:cs="Arial"/>
        </w:rPr>
        <w:t xml:space="preserve">En donde la X representa las exportaciones, M las importaciones y el PIB, es el Producto Interno Bruto del país. </w:t>
      </w:r>
    </w:p>
    <w:p w14:paraId="0F7FB29E" w14:textId="77777777" w:rsidR="00A81FEA" w:rsidRPr="00DB32E2" w:rsidRDefault="00A81FEA" w:rsidP="00202B45">
      <w:pPr>
        <w:spacing w:line="360" w:lineRule="auto"/>
        <w:jc w:val="both"/>
        <w:rPr>
          <w:rFonts w:ascii="Arial" w:hAnsi="Arial" w:cs="Arial"/>
        </w:rPr>
      </w:pPr>
    </w:p>
    <w:p w14:paraId="2B02C455" w14:textId="77777777"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2.2.10.5 Índice de complementariedad comercial</w:t>
      </w:r>
    </w:p>
    <w:p w14:paraId="1EA89BB3" w14:textId="77777777" w:rsidR="00A81FEA" w:rsidRPr="00DB32E2" w:rsidRDefault="00A81FEA" w:rsidP="00202B45">
      <w:pPr>
        <w:spacing w:line="360" w:lineRule="auto"/>
        <w:jc w:val="both"/>
        <w:rPr>
          <w:rFonts w:ascii="Arial" w:hAnsi="Arial" w:cs="Arial"/>
        </w:rPr>
      </w:pPr>
      <w:r w:rsidRPr="00DB32E2">
        <w:rPr>
          <w:rFonts w:ascii="Arial" w:hAnsi="Arial" w:cs="Arial"/>
        </w:rPr>
        <w:t xml:space="preserve">El índice de complementariedad es una herramienta útil, en esta, se obtiene información sobre las perspectivas de comercio, y muestra el grado de coincidencia de las estructuras de importación y exportación de un país; uno de sus aportes, es que brinda la capacidad para comparar los valores entre países que están considerando la formación de un acuerdo comercial </w:t>
      </w:r>
      <w:r w:rsidRPr="00DB32E2">
        <w:rPr>
          <w:rFonts w:ascii="Arial" w:hAnsi="Arial" w:cs="Arial"/>
        </w:rPr>
        <w:fldChar w:fldCharType="begin"/>
      </w:r>
      <w:r w:rsidRPr="00DB32E2">
        <w:rPr>
          <w:rFonts w:ascii="Arial" w:hAnsi="Arial" w:cs="Arial"/>
        </w:rPr>
        <w:instrText xml:space="preserve"> ADDIN ZOTERO_ITEM CSL_CITATION {"citationID":"jyDzynY8","properties":{"formattedCitation":"(Banco Mundial, 2010a)","plainCitation":"(Banco Mundial, 2010a)","noteIndex":0},"citationItems":[{"id":1872,"uris":["http://zotero.org/users/10063313/items/6CBH4XFU"],"itemData":{"id":1872,"type":"webpage","title":"Indicadores comerciales","URL":"https://wits.worldbank.org/wits/wits/witshelp-es/Content/Utilities/e1.trade_indicators.htm","author":[{"family":"Banco Mundial","given":""}],"accessed":{"date-parts":[["2023",11,3]]},"issued":{"date-parts":[["2010"]]}}}],"schema":"https://github.com/citation-style-language/schema/raw/master/csl-citation.json"} </w:instrText>
      </w:r>
      <w:r w:rsidRPr="00DB32E2">
        <w:rPr>
          <w:rFonts w:ascii="Arial" w:hAnsi="Arial" w:cs="Arial"/>
        </w:rPr>
        <w:fldChar w:fldCharType="separate"/>
      </w:r>
      <w:r w:rsidRPr="00DB32E2">
        <w:rPr>
          <w:rFonts w:ascii="Arial" w:hAnsi="Arial" w:cs="Arial"/>
        </w:rPr>
        <w:t>(Banco Mundial, 2010a)</w:t>
      </w:r>
      <w:r w:rsidRPr="00DB32E2">
        <w:rPr>
          <w:rFonts w:ascii="Arial" w:hAnsi="Arial" w:cs="Arial"/>
        </w:rPr>
        <w:fldChar w:fldCharType="end"/>
      </w:r>
      <w:r w:rsidRPr="00DB32E2">
        <w:rPr>
          <w:rFonts w:ascii="Arial" w:hAnsi="Arial" w:cs="Arial"/>
        </w:rPr>
        <w:t xml:space="preserve">. </w:t>
      </w:r>
    </w:p>
    <w:p w14:paraId="4569F44C" w14:textId="77777777" w:rsidR="00A81FEA" w:rsidRPr="00DB32E2" w:rsidRDefault="00A81FEA" w:rsidP="00202B45">
      <w:pPr>
        <w:spacing w:line="360" w:lineRule="auto"/>
        <w:jc w:val="both"/>
        <w:rPr>
          <w:rFonts w:ascii="Arial" w:hAnsi="Arial" w:cs="Arial"/>
          <w:lang w:val="es-HN"/>
        </w:rPr>
      </w:pPr>
      <w:r w:rsidRPr="00DB32E2">
        <w:rPr>
          <w:rFonts w:ascii="Arial" w:hAnsi="Arial" w:cs="Arial"/>
          <w:lang w:val="es-HN"/>
        </w:rPr>
        <w:t xml:space="preserve">El resultado se obtiene de la siguiente formula </w:t>
      </w:r>
      <w:r w:rsidRPr="00DB32E2">
        <w:rPr>
          <w:rFonts w:ascii="Arial" w:hAnsi="Arial" w:cs="Arial"/>
          <w:lang w:val="es-HN"/>
        </w:rPr>
        <w:fldChar w:fldCharType="begin"/>
      </w:r>
      <w:r w:rsidRPr="00DB32E2">
        <w:rPr>
          <w:rFonts w:ascii="Arial" w:hAnsi="Arial" w:cs="Arial"/>
          <w:lang w:val="es-HN"/>
        </w:rPr>
        <w:instrText xml:space="preserve"> ADDIN ZOTERO_ITEM CSL_CITATION {"citationID":"TrRobqKt","properties":{"formattedCitation":"(Banco Mundial, 2010b)","plainCitation":"(Banco Mundial, 2010b)","noteIndex":0},"citationItems":[{"id":1970,"uris":["http://zotero.org/users/10063313/items/DUR8YH64"],"itemData":{"id":1970,"type":"dataset","title":"Trade Indicators","URL":"https://wits.worldbank.org/wits/wits/WITSHELP/Content/Utilities/e1.trade_indicators.htm","author":[{"literal":"Banco Mundial"}],"issued":{"date-parts":[["2010"]]}}}],"schema":"https://github.com/citation-style-language/schema/raw/master/csl-citation.json"} </w:instrText>
      </w:r>
      <w:r w:rsidRPr="00DB32E2">
        <w:rPr>
          <w:rFonts w:ascii="Arial" w:hAnsi="Arial" w:cs="Arial"/>
          <w:lang w:val="es-HN"/>
        </w:rPr>
        <w:fldChar w:fldCharType="separate"/>
      </w:r>
      <w:r w:rsidRPr="00DB32E2">
        <w:rPr>
          <w:rFonts w:ascii="Arial" w:hAnsi="Arial" w:cs="Arial"/>
          <w:noProof/>
          <w:lang w:val="es-HN"/>
        </w:rPr>
        <w:t>(Banco Mundial, 2010b)</w:t>
      </w:r>
      <w:r w:rsidRPr="00DB32E2">
        <w:rPr>
          <w:rFonts w:ascii="Arial" w:hAnsi="Arial" w:cs="Arial"/>
          <w:lang w:val="es-HN"/>
        </w:rPr>
        <w:fldChar w:fldCharType="end"/>
      </w:r>
      <w:r w:rsidRPr="00DB32E2">
        <w:rPr>
          <w:rFonts w:ascii="Arial" w:hAnsi="Arial" w:cs="Arial"/>
          <w:lang w:val="es-HN"/>
        </w:rPr>
        <w:fldChar w:fldCharType="begin"/>
      </w:r>
      <w:r w:rsidRPr="00DB32E2">
        <w:rPr>
          <w:rFonts w:ascii="Arial" w:hAnsi="Arial" w:cs="Arial"/>
          <w:lang w:val="es-HN"/>
        </w:rPr>
        <w:instrText xml:space="preserve"> ADDIN ZOTERO_ITEM CSL_CITATION {"citationID":"lYtN35Xz","properties":{"formattedCitation":"(Trejos, 2009)","plainCitation":"(Trejos, 2009)","dontUpdate":true,"noteIndex":0},"citationItems":[{"id":53,"uris":["http://zotero.org/users/10063313/items/M22TC7J5"],"itemData":{"id":53,"type":"chapter","container-title":"Comisión Económica para América Latina y el Caribe (CEPAL","language":"es","title":"Instrumentos para la evaluación del impacto de acuerdos comerciales internacionales: aplicaciones para países pequeños en América Latina","author":[{"family":"Trejos","given":"A"}],"editor":[{"family":"México","given":"D F"}],"issued":{"date-parts":[["2009"]]}}}],"schema":"https://github.com/citation-style-language/schema/raw/master/csl-citation.json"} </w:instrText>
      </w:r>
      <w:r w:rsidRPr="00DB32E2">
        <w:rPr>
          <w:rFonts w:ascii="Arial" w:hAnsi="Arial" w:cs="Arial"/>
          <w:lang w:val="es-HN"/>
        </w:rPr>
        <w:fldChar w:fldCharType="separate"/>
      </w:r>
      <w:r w:rsidRPr="00DB32E2">
        <w:rPr>
          <w:rFonts w:ascii="Arial" w:hAnsi="Arial" w:cs="Arial"/>
          <w:lang w:val="es-HN"/>
        </w:rPr>
        <w:fldChar w:fldCharType="end"/>
      </w:r>
      <w:r w:rsidRPr="00DB32E2">
        <w:rPr>
          <w:rFonts w:ascii="Arial" w:hAnsi="Arial" w:cs="Arial"/>
          <w:lang w:val="es-HN"/>
        </w:rPr>
        <w:t>:</w:t>
      </w:r>
    </w:p>
    <w:p w14:paraId="0CCDF263" w14:textId="77777777" w:rsidR="00A81FEA" w:rsidRPr="00DB32E2" w:rsidRDefault="00A81FEA" w:rsidP="00202B45">
      <w:pPr>
        <w:spacing w:line="360" w:lineRule="auto"/>
        <w:jc w:val="both"/>
        <w:rPr>
          <w:rFonts w:ascii="Arial" w:hAnsi="Arial" w:cs="Arial"/>
          <w:lang w:val="es-HN"/>
        </w:rPr>
      </w:pPr>
    </w:p>
    <w:p w14:paraId="53D86D38" w14:textId="77777777" w:rsidR="00A81FEA" w:rsidRPr="00DB32E2" w:rsidRDefault="00A81FEA" w:rsidP="00202B45">
      <w:pPr>
        <w:spacing w:line="360" w:lineRule="auto"/>
        <w:jc w:val="both"/>
        <w:rPr>
          <w:rFonts w:ascii="Arial" w:hAnsi="Arial" w:cs="Arial"/>
          <w:lang w:val="es-HN"/>
        </w:rPr>
      </w:pPr>
      <w:r w:rsidRPr="00DB32E2">
        <w:rPr>
          <w:rFonts w:ascii="Arial" w:hAnsi="Arial" w:cs="Arial"/>
          <w:lang w:val="es-HN"/>
        </w:rPr>
        <w:t>CC=100(1-sum(|M</w:t>
      </w:r>
      <w:r w:rsidRPr="00DB32E2">
        <w:rPr>
          <w:rStyle w:val="mord"/>
          <w:rFonts w:ascii="Arial" w:eastAsiaTheme="majorEastAsia" w:hAnsi="Arial" w:cs="Arial"/>
          <w:vertAlign w:val="subscript"/>
        </w:rPr>
        <w:t xml:space="preserve">ik </w:t>
      </w:r>
      <w:r w:rsidRPr="00DB32E2">
        <w:rPr>
          <w:rFonts w:ascii="Arial" w:hAnsi="Arial" w:cs="Arial"/>
          <w:lang w:val="es-HN"/>
        </w:rPr>
        <w:t>– X</w:t>
      </w:r>
      <w:proofErr w:type="spellStart"/>
      <w:r w:rsidRPr="00DB32E2">
        <w:rPr>
          <w:rStyle w:val="mord"/>
          <w:rFonts w:ascii="Arial" w:eastAsiaTheme="majorEastAsia" w:hAnsi="Arial" w:cs="Arial"/>
          <w:vertAlign w:val="subscript"/>
        </w:rPr>
        <w:t>ij</w:t>
      </w:r>
      <w:proofErr w:type="spellEnd"/>
      <w:r w:rsidRPr="00DB32E2">
        <w:rPr>
          <w:rStyle w:val="mord"/>
          <w:rFonts w:ascii="Arial" w:eastAsiaTheme="majorEastAsia" w:hAnsi="Arial" w:cs="Arial"/>
          <w:vertAlign w:val="subscript"/>
        </w:rPr>
        <w:t xml:space="preserve"> </w:t>
      </w:r>
      <w:r w:rsidRPr="00DB32E2">
        <w:rPr>
          <w:rFonts w:ascii="Arial" w:hAnsi="Arial" w:cs="Arial"/>
          <w:lang w:val="es-HN"/>
        </w:rPr>
        <w:t>/ 2))</w:t>
      </w:r>
    </w:p>
    <w:p w14:paraId="30E2F275" w14:textId="77777777" w:rsidR="00A81FEA" w:rsidRPr="00DB32E2" w:rsidRDefault="00A81FEA" w:rsidP="00202B45">
      <w:pPr>
        <w:spacing w:line="360" w:lineRule="auto"/>
        <w:jc w:val="both"/>
        <w:rPr>
          <w:rFonts w:ascii="Arial" w:hAnsi="Arial" w:cs="Arial"/>
          <w:lang w:val="es-HN"/>
        </w:rPr>
      </w:pPr>
    </w:p>
    <w:p w14:paraId="0D7C48AD" w14:textId="77777777" w:rsidR="00A81FEA" w:rsidRPr="00DB32E2" w:rsidRDefault="00A81FEA" w:rsidP="00202B45">
      <w:pPr>
        <w:spacing w:line="360" w:lineRule="auto"/>
        <w:jc w:val="both"/>
        <w:rPr>
          <w:rFonts w:ascii="Arial" w:hAnsi="Arial" w:cs="Arial"/>
        </w:rPr>
      </w:pPr>
      <w:r w:rsidRPr="00DB32E2">
        <w:rPr>
          <w:rFonts w:ascii="Arial" w:hAnsi="Arial" w:cs="Arial"/>
        </w:rPr>
        <w:t xml:space="preserve">En este índice, </w:t>
      </w:r>
      <w:r w:rsidRPr="00DB32E2">
        <w:rPr>
          <w:rFonts w:ascii="Arial" w:hAnsi="Arial" w:cs="Arial"/>
          <w:lang w:val="es-HN"/>
        </w:rPr>
        <w:t>X</w:t>
      </w:r>
      <w:proofErr w:type="spellStart"/>
      <w:r w:rsidRPr="00DB32E2">
        <w:rPr>
          <w:rStyle w:val="mord"/>
          <w:rFonts w:ascii="Arial" w:eastAsiaTheme="majorEastAsia" w:hAnsi="Arial" w:cs="Arial"/>
          <w:vertAlign w:val="subscript"/>
        </w:rPr>
        <w:t>ij</w:t>
      </w:r>
      <w:proofErr w:type="spellEnd"/>
      <w:r w:rsidRPr="00DB32E2">
        <w:rPr>
          <w:rFonts w:ascii="Arial" w:hAnsi="Arial" w:cs="Arial"/>
        </w:rPr>
        <w:t xml:space="preserve"> se define como la participación del bien i en las exportaciones mundiales del país j, mientras que </w:t>
      </w:r>
      <w:r w:rsidRPr="00DB32E2">
        <w:rPr>
          <w:rFonts w:ascii="Arial" w:hAnsi="Arial" w:cs="Arial"/>
          <w:lang w:val="es-HN"/>
        </w:rPr>
        <w:t>M</w:t>
      </w:r>
      <w:r w:rsidRPr="00DB32E2">
        <w:rPr>
          <w:rStyle w:val="mord"/>
          <w:rFonts w:ascii="Arial" w:eastAsiaTheme="majorEastAsia" w:hAnsi="Arial" w:cs="Arial"/>
          <w:vertAlign w:val="subscript"/>
        </w:rPr>
        <w:t xml:space="preserve">ik  </w:t>
      </w:r>
      <w:r w:rsidRPr="00DB32E2">
        <w:rPr>
          <w:rFonts w:ascii="Arial" w:hAnsi="Arial" w:cs="Arial"/>
        </w:rPr>
        <w:t xml:space="preserve">se refiere a la participación del mismo bien </w:t>
      </w:r>
      <w:r w:rsidRPr="00DB32E2">
        <w:rPr>
          <w:rFonts w:ascii="Arial" w:hAnsi="Arial" w:cs="Arial"/>
        </w:rPr>
        <w:lastRenderedPageBreak/>
        <w:t xml:space="preserve">en las importaciones totales del país k. El índice toma un valor de 0 en ausencia de intercambio y llega a 100 en caso de que la estructura exportadora de un país coincida con la estructura importadora del otro </w:t>
      </w:r>
      <w:r w:rsidRPr="00DB32E2">
        <w:rPr>
          <w:rFonts w:ascii="Arial" w:hAnsi="Arial" w:cs="Arial"/>
          <w:lang w:val="es-HN"/>
        </w:rPr>
        <w:fldChar w:fldCharType="begin"/>
      </w:r>
      <w:r w:rsidRPr="00DB32E2">
        <w:rPr>
          <w:rFonts w:ascii="Arial" w:hAnsi="Arial" w:cs="Arial"/>
          <w:lang w:val="es-HN"/>
        </w:rPr>
        <w:instrText xml:space="preserve"> ADDIN ZOTERO_ITEM CSL_CITATION {"citationID":"lRSml9a2","properties":{"formattedCitation":"(Banco Mundial, 2010b)","plainCitation":"(Banco Mundial, 2010b)","noteIndex":0},"citationItems":[{"id":1970,"uris":["http://zotero.org/users/10063313/items/DUR8YH64"],"itemData":{"id":1970,"type":"dataset","title":"Trade Indicators","URL":"https://wits.worldbank.org/wits/wits/WITSHELP/Content/Utilities/e1.trade_indicators.htm","author":[{"literal":"Banco Mundial"}],"issued":{"date-parts":[["2010"]]}}}],"schema":"https://github.com/citation-style-language/schema/raw/master/csl-citation.json"} </w:instrText>
      </w:r>
      <w:r w:rsidRPr="00DB32E2">
        <w:rPr>
          <w:rFonts w:ascii="Arial" w:hAnsi="Arial" w:cs="Arial"/>
          <w:lang w:val="es-HN"/>
        </w:rPr>
        <w:fldChar w:fldCharType="separate"/>
      </w:r>
      <w:r w:rsidRPr="00DB32E2">
        <w:rPr>
          <w:rFonts w:ascii="Arial" w:hAnsi="Arial" w:cs="Arial"/>
          <w:noProof/>
          <w:lang w:val="es-HN"/>
        </w:rPr>
        <w:t>(Banco Mundial, 2010b)</w:t>
      </w:r>
      <w:r w:rsidRPr="00DB32E2">
        <w:rPr>
          <w:rFonts w:ascii="Arial" w:hAnsi="Arial" w:cs="Arial"/>
          <w:lang w:val="es-HN"/>
        </w:rPr>
        <w:fldChar w:fldCharType="end"/>
      </w:r>
      <w:r w:rsidRPr="00DB32E2">
        <w:rPr>
          <w:rFonts w:ascii="Arial" w:hAnsi="Arial" w:cs="Arial"/>
          <w:lang w:val="es-HN"/>
        </w:rPr>
        <w:fldChar w:fldCharType="begin"/>
      </w:r>
      <w:r w:rsidRPr="00DB32E2">
        <w:rPr>
          <w:rFonts w:ascii="Arial" w:hAnsi="Arial" w:cs="Arial"/>
          <w:lang w:val="es-HN"/>
        </w:rPr>
        <w:instrText xml:space="preserve"> ADDIN ZOTERO_ITEM CSL_CITATION {"citationID":"7vM66Qxd","properties":{"formattedCitation":"(Trejos, 2009)","plainCitation":"(Trejos, 2009)","dontUpdate":true,"noteIndex":0},"citationItems":[{"id":53,"uris":["http://zotero.org/users/10063313/items/M22TC7J5"],"itemData":{"id":53,"type":"chapter","container-title":"Comisión Económica para América Latina y el Caribe (CEPAL","language":"es","title":"Instrumentos para la evaluación del impacto de acuerdos comerciales internacionales: aplicaciones para países pequeños en América Latina","author":[{"family":"Trejos","given":"A"}],"editor":[{"family":"México","given":"D F"}],"issued":{"date-parts":[["2009"]]}}}],"schema":"https://github.com/citation-style-language/schema/raw/master/csl-citation.json"} </w:instrText>
      </w:r>
      <w:r w:rsidRPr="00DB32E2">
        <w:rPr>
          <w:rFonts w:ascii="Arial" w:hAnsi="Arial" w:cs="Arial"/>
          <w:lang w:val="es-HN"/>
        </w:rPr>
        <w:fldChar w:fldCharType="separate"/>
      </w:r>
      <w:r w:rsidRPr="00DB32E2">
        <w:rPr>
          <w:rFonts w:ascii="Arial" w:hAnsi="Arial" w:cs="Arial"/>
          <w:lang w:val="es-HN"/>
        </w:rPr>
        <w:fldChar w:fldCharType="end"/>
      </w:r>
      <w:r w:rsidRPr="00DB32E2">
        <w:rPr>
          <w:rFonts w:ascii="Arial" w:hAnsi="Arial" w:cs="Arial"/>
          <w:lang w:val="es-HN"/>
        </w:rPr>
        <w:t xml:space="preserve">. </w:t>
      </w:r>
    </w:p>
    <w:p w14:paraId="47CA676D" w14:textId="77777777"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2.2.10.6 Índice de comercio intraindustrial de Grubel y Lloyd</w:t>
      </w:r>
    </w:p>
    <w:p w14:paraId="01BC7410" w14:textId="77777777" w:rsidR="00A81FEA" w:rsidRPr="00DB32E2" w:rsidRDefault="00A81FEA" w:rsidP="00202B45">
      <w:pPr>
        <w:spacing w:line="360" w:lineRule="auto"/>
        <w:jc w:val="both"/>
        <w:rPr>
          <w:rFonts w:ascii="Arial" w:hAnsi="Arial" w:cs="Arial"/>
          <w:color w:val="000000" w:themeColor="text1"/>
        </w:rPr>
      </w:pPr>
      <w:r w:rsidRPr="00DB32E2">
        <w:rPr>
          <w:rFonts w:ascii="Arial" w:hAnsi="Arial" w:cs="Arial"/>
          <w:color w:val="000000" w:themeColor="text1"/>
        </w:rPr>
        <w:t xml:space="preserve">El índice de Grubel y Lloyd (IGL) cuantifica el grado de comercio intraindustrial entre dos países, al comparar las exportaciones e importaciones de bienes similares dentro de un mismo sector. Su cálculo se basa en la fórmula: </w:t>
      </w:r>
    </w:p>
    <w:p w14:paraId="35BD3546" w14:textId="77777777" w:rsidR="00A81FEA" w:rsidRPr="00DB32E2" w:rsidRDefault="00A81FEA" w:rsidP="00202B45">
      <w:pPr>
        <w:spacing w:line="360" w:lineRule="auto"/>
        <w:jc w:val="both"/>
        <w:rPr>
          <w:rStyle w:val="vlist-s"/>
          <w:rFonts w:ascii="Arial" w:hAnsi="Arial" w:cs="Arial"/>
        </w:rPr>
      </w:pPr>
      <w:proofErr w:type="spellStart"/>
      <w:r w:rsidRPr="00DB32E2">
        <w:rPr>
          <w:rStyle w:val="mord"/>
          <w:rFonts w:ascii="Arial" w:eastAsiaTheme="majorEastAsia" w:hAnsi="Arial" w:cs="Arial"/>
        </w:rPr>
        <w:t>IGL</w:t>
      </w:r>
      <w:r w:rsidRPr="00DB32E2">
        <w:rPr>
          <w:rStyle w:val="mord"/>
          <w:rFonts w:ascii="Arial" w:eastAsiaTheme="majorEastAsia" w:hAnsi="Arial" w:cs="Arial"/>
          <w:vertAlign w:val="subscript"/>
        </w:rPr>
        <w:t>ijkt</w:t>
      </w:r>
      <w:proofErr w:type="spellEnd"/>
      <w:r w:rsidRPr="00DB32E2">
        <w:rPr>
          <w:rStyle w:val="vlist-s"/>
          <w:rFonts w:ascii="Arial" w:hAnsi="Arial" w:cs="Arial"/>
        </w:rPr>
        <w:t xml:space="preserve">​ </w:t>
      </w:r>
      <w:r w:rsidRPr="00DB32E2">
        <w:rPr>
          <w:rStyle w:val="mrel"/>
          <w:rFonts w:ascii="Arial" w:hAnsi="Arial" w:cs="Arial"/>
        </w:rPr>
        <w:t>=</w:t>
      </w:r>
      <w:r w:rsidRPr="00DB32E2">
        <w:rPr>
          <w:rStyle w:val="mord"/>
          <w:rFonts w:ascii="Arial" w:eastAsiaTheme="majorEastAsia" w:hAnsi="Arial" w:cs="Arial"/>
        </w:rPr>
        <w:t>1</w:t>
      </w:r>
      <w:r w:rsidRPr="00DB32E2">
        <w:rPr>
          <w:rStyle w:val="mbin"/>
          <w:rFonts w:ascii="Arial" w:eastAsiaTheme="majorEastAsia" w:hAnsi="Arial" w:cs="Arial"/>
        </w:rPr>
        <w:t>−(</w:t>
      </w:r>
      <w:r w:rsidRPr="00DB32E2">
        <w:rPr>
          <w:rStyle w:val="vlist-s"/>
          <w:rFonts w:ascii="Arial" w:hAnsi="Arial" w:cs="Arial"/>
        </w:rPr>
        <w:t>​</w:t>
      </w:r>
      <w:proofErr w:type="spellStart"/>
      <w:r w:rsidRPr="00DB32E2">
        <w:rPr>
          <w:rStyle w:val="mord"/>
          <w:rFonts w:ascii="Arial" w:eastAsiaTheme="majorEastAsia" w:hAnsi="Arial" w:cs="Arial"/>
        </w:rPr>
        <w:t>X</w:t>
      </w:r>
      <w:r w:rsidRPr="00DB32E2">
        <w:rPr>
          <w:rStyle w:val="mord"/>
          <w:rFonts w:ascii="Arial" w:eastAsiaTheme="majorEastAsia" w:hAnsi="Arial" w:cs="Arial"/>
          <w:vertAlign w:val="subscript"/>
        </w:rPr>
        <w:t>ijkt</w:t>
      </w:r>
      <w:proofErr w:type="spellEnd"/>
      <w:r w:rsidRPr="00DB32E2">
        <w:rPr>
          <w:rStyle w:val="vlist-s"/>
          <w:rFonts w:ascii="Arial" w:hAnsi="Arial" w:cs="Arial"/>
          <w:vertAlign w:val="subscript"/>
        </w:rPr>
        <w:t>​</w:t>
      </w:r>
      <w:r w:rsidRPr="00DB32E2">
        <w:rPr>
          <w:rStyle w:val="mbin"/>
          <w:rFonts w:ascii="Arial" w:eastAsiaTheme="majorEastAsia" w:hAnsi="Arial" w:cs="Arial"/>
          <w:vertAlign w:val="subscript"/>
        </w:rPr>
        <w:t>-</w:t>
      </w:r>
      <w:proofErr w:type="spellStart"/>
      <w:r w:rsidRPr="00DB32E2">
        <w:rPr>
          <w:rStyle w:val="mord"/>
          <w:rFonts w:ascii="Arial" w:eastAsiaTheme="majorEastAsia" w:hAnsi="Arial" w:cs="Arial"/>
        </w:rPr>
        <w:t>M</w:t>
      </w:r>
      <w:r w:rsidRPr="00DB32E2">
        <w:rPr>
          <w:rStyle w:val="mord"/>
          <w:rFonts w:ascii="Arial" w:eastAsiaTheme="majorEastAsia" w:hAnsi="Arial" w:cs="Arial"/>
          <w:vertAlign w:val="subscript"/>
        </w:rPr>
        <w:t>ijkt</w:t>
      </w:r>
      <w:proofErr w:type="spellEnd"/>
      <w:r w:rsidRPr="00DB32E2">
        <w:rPr>
          <w:rStyle w:val="mord"/>
          <w:rFonts w:ascii="Arial" w:eastAsiaTheme="majorEastAsia" w:hAnsi="Arial" w:cs="Arial"/>
        </w:rPr>
        <w:t>/</w:t>
      </w:r>
      <w:r w:rsidRPr="00DB32E2">
        <w:rPr>
          <w:rStyle w:val="vlist-s"/>
          <w:rFonts w:ascii="Arial" w:hAnsi="Arial" w:cs="Arial"/>
        </w:rPr>
        <w:t>​</w:t>
      </w:r>
      <w:proofErr w:type="spellStart"/>
      <w:r w:rsidRPr="00DB32E2">
        <w:rPr>
          <w:rStyle w:val="mord"/>
          <w:rFonts w:ascii="Arial" w:eastAsiaTheme="majorEastAsia" w:hAnsi="Arial" w:cs="Arial"/>
        </w:rPr>
        <w:t>X</w:t>
      </w:r>
      <w:r w:rsidRPr="00DB32E2">
        <w:rPr>
          <w:rStyle w:val="mord"/>
          <w:rFonts w:ascii="Arial" w:eastAsiaTheme="majorEastAsia" w:hAnsi="Arial" w:cs="Arial"/>
          <w:vertAlign w:val="subscript"/>
        </w:rPr>
        <w:t>ijkt</w:t>
      </w:r>
      <w:proofErr w:type="spellEnd"/>
      <w:r w:rsidRPr="00DB32E2">
        <w:rPr>
          <w:rStyle w:val="vlist-s"/>
          <w:rFonts w:ascii="Arial" w:hAnsi="Arial" w:cs="Arial"/>
        </w:rPr>
        <w:t>​</w:t>
      </w:r>
      <w:r w:rsidRPr="00DB32E2">
        <w:rPr>
          <w:rStyle w:val="mbin"/>
          <w:rFonts w:ascii="Arial" w:eastAsiaTheme="majorEastAsia" w:hAnsi="Arial" w:cs="Arial"/>
        </w:rPr>
        <w:t>+</w:t>
      </w:r>
      <w:proofErr w:type="spellStart"/>
      <w:r w:rsidRPr="00DB32E2">
        <w:rPr>
          <w:rStyle w:val="mord"/>
          <w:rFonts w:ascii="Arial" w:eastAsiaTheme="majorEastAsia" w:hAnsi="Arial" w:cs="Arial"/>
        </w:rPr>
        <w:t>M</w:t>
      </w:r>
      <w:r w:rsidRPr="00DB32E2">
        <w:rPr>
          <w:rStyle w:val="mord"/>
          <w:rFonts w:ascii="Arial" w:eastAsiaTheme="majorEastAsia" w:hAnsi="Arial" w:cs="Arial"/>
          <w:vertAlign w:val="subscript"/>
        </w:rPr>
        <w:t>ijkt</w:t>
      </w:r>
      <w:proofErr w:type="spellEnd"/>
      <w:r w:rsidRPr="00DB32E2">
        <w:rPr>
          <w:rStyle w:val="vlist-s"/>
          <w:rFonts w:ascii="Arial" w:hAnsi="Arial" w:cs="Arial"/>
          <w:vertAlign w:val="subscript"/>
        </w:rPr>
        <w:t>​​​</w:t>
      </w:r>
      <w:r w:rsidRPr="00DB32E2">
        <w:rPr>
          <w:rStyle w:val="vlist-s"/>
          <w:rFonts w:ascii="Arial" w:hAnsi="Arial" w:cs="Arial"/>
        </w:rPr>
        <w:t>)</w:t>
      </w:r>
    </w:p>
    <w:p w14:paraId="36B17F65" w14:textId="77777777" w:rsidR="00A81FEA" w:rsidRPr="00DB32E2" w:rsidRDefault="00A81FEA" w:rsidP="00202B45">
      <w:pPr>
        <w:spacing w:line="360" w:lineRule="auto"/>
        <w:jc w:val="both"/>
        <w:rPr>
          <w:rStyle w:val="vlist-s"/>
          <w:rFonts w:ascii="Arial" w:hAnsi="Arial" w:cs="Arial"/>
        </w:rPr>
      </w:pPr>
    </w:p>
    <w:p w14:paraId="527122AD" w14:textId="77777777" w:rsidR="00A81FEA" w:rsidRPr="00DB32E2" w:rsidRDefault="00A81FEA" w:rsidP="00202B45">
      <w:pPr>
        <w:spacing w:line="360" w:lineRule="auto"/>
        <w:jc w:val="both"/>
        <w:rPr>
          <w:rFonts w:ascii="Arial" w:hAnsi="Arial" w:cs="Arial"/>
          <w:color w:val="000000" w:themeColor="text1"/>
        </w:rPr>
      </w:pPr>
      <w:r w:rsidRPr="00DB32E2">
        <w:rPr>
          <w:rFonts w:ascii="Arial" w:hAnsi="Arial" w:cs="Arial"/>
          <w:color w:val="000000" w:themeColor="text1"/>
        </w:rPr>
        <w:t xml:space="preserve">En donde </w:t>
      </w:r>
      <w:proofErr w:type="spellStart"/>
      <w:r w:rsidRPr="00DB32E2">
        <w:rPr>
          <w:rFonts w:ascii="Arial" w:hAnsi="Arial" w:cs="Arial"/>
          <w:color w:val="000000" w:themeColor="text1"/>
        </w:rPr>
        <w:t>Xijkt</w:t>
      </w:r>
      <w:proofErr w:type="spellEnd"/>
      <w:r w:rsidRPr="00DB32E2">
        <w:rPr>
          <w:rFonts w:ascii="Arial" w:hAnsi="Arial" w:cs="Arial"/>
          <w:color w:val="000000" w:themeColor="text1"/>
        </w:rPr>
        <w:t xml:space="preserve"> se refiere a las exportaciones del sector k del país i al país j en el período t y </w:t>
      </w:r>
      <w:proofErr w:type="spellStart"/>
      <w:r w:rsidRPr="00DB32E2">
        <w:rPr>
          <w:rFonts w:ascii="Arial" w:hAnsi="Arial" w:cs="Arial"/>
          <w:color w:val="000000" w:themeColor="text1"/>
        </w:rPr>
        <w:t>Mijkt</w:t>
      </w:r>
      <w:proofErr w:type="spellEnd"/>
      <w:r w:rsidRPr="00DB32E2">
        <w:rPr>
          <w:rFonts w:ascii="Arial" w:hAnsi="Arial" w:cs="Arial"/>
          <w:color w:val="000000" w:themeColor="text1"/>
        </w:rPr>
        <w:t xml:space="preserve"> a las importaciones del sector k del país i originarias del país j en el período t. En este índice valores cercanos a 1 indican mayor simetría en los flujos comerciales </w:t>
      </w:r>
      <w:r w:rsidRPr="00DB32E2">
        <w:rPr>
          <w:rFonts w:ascii="Arial" w:hAnsi="Arial" w:cs="Arial"/>
          <w:color w:val="000000" w:themeColor="text1"/>
        </w:rPr>
        <w:fldChar w:fldCharType="begin"/>
      </w:r>
      <w:r w:rsidRPr="00DB32E2">
        <w:rPr>
          <w:rFonts w:ascii="Arial" w:hAnsi="Arial" w:cs="Arial"/>
          <w:color w:val="000000" w:themeColor="text1"/>
        </w:rPr>
        <w:instrText xml:space="preserve"> ADDIN ZOTERO_ITEM CSL_CITATION {"citationID":"6ndwHxQX","properties":{"formattedCitation":"(Hern\\uc0\\u225{}ndez, 2023)","plainCitation":"(Hernández, 2023)","noteIndex":0},"citationItems":[{"id":1971,"uris":["http://zotero.org/users/10063313/items/MYI2KIQG"],"itemData":{"id":1971,"type":"article-journal","container-title":"Apuntes de Economía y Sociedad","DOI":"https://doi.org/10.5377/aes.v4i1.16449","title":"Aplicación de la metodología Grubel y Lloyd en el comercio internacional México con Sudamérica","author":[{"family":"Hernández","given":"M. G."}],"issued":{"date-parts":[["2023"]]}}}],"schema":"https://github.com/citation-style-language/schema/raw/master/csl-citation.json"} </w:instrText>
      </w:r>
      <w:r w:rsidRPr="00DB32E2">
        <w:rPr>
          <w:rFonts w:ascii="Arial" w:hAnsi="Arial" w:cs="Arial"/>
          <w:color w:val="000000" w:themeColor="text1"/>
        </w:rPr>
        <w:fldChar w:fldCharType="separate"/>
      </w:r>
      <w:r w:rsidRPr="00DB32E2">
        <w:rPr>
          <w:rFonts w:ascii="Arial" w:eastAsiaTheme="minorHAnsi" w:hAnsi="Arial" w:cs="Arial"/>
          <w:color w:val="000000"/>
          <w:lang w:val="es-MX" w:eastAsia="en-US"/>
          <w14:ligatures w14:val="standardContextual"/>
        </w:rPr>
        <w:t>(Hernández, 2023)</w:t>
      </w:r>
      <w:r w:rsidRPr="00DB32E2">
        <w:rPr>
          <w:rFonts w:ascii="Arial" w:hAnsi="Arial" w:cs="Arial"/>
          <w:color w:val="000000" w:themeColor="text1"/>
        </w:rPr>
        <w:fldChar w:fldCharType="end"/>
      </w:r>
      <w:r w:rsidRPr="00DB32E2">
        <w:rPr>
          <w:rFonts w:ascii="Arial" w:hAnsi="Arial" w:cs="Arial"/>
          <w:color w:val="000000" w:themeColor="text1"/>
        </w:rPr>
        <w:t xml:space="preserve">. </w:t>
      </w:r>
    </w:p>
    <w:p w14:paraId="6C0C706A" w14:textId="77777777"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2.2.10.7 Interpretación de los resultados</w:t>
      </w:r>
    </w:p>
    <w:p w14:paraId="344177A9" w14:textId="5AF31610"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t>Los resultados cuantitativos fueron interpretados de manera descriptiva y contextual. Dado el alcance exploratorio del estudio y la etapa en que se encontraba la negociación, los indicadores no se utilizaron para establecer causalidad, sino para identificar patrones de comercio, asimetrías, oportunidades y limitaciones. Esta decisión es coherente con lo señalado por Trejos (2009) y Plummer et al. (2010) respecto de los alcances de los indicadores comerciales como herramientas de aproximación y no de medición de impacto. Los hallazgos así obtenidos fueron posteriormente contrastados con la información cualitativa procedente de las entrevistas y de la revisión documental</w:t>
      </w:r>
      <w:r w:rsidR="00A81FEA" w:rsidRPr="00DB32E2">
        <w:rPr>
          <w:rFonts w:ascii="Arial" w:hAnsi="Arial" w:cs="Arial"/>
        </w:rPr>
        <w:t>.</w:t>
      </w:r>
    </w:p>
    <w:p w14:paraId="4E98707A" w14:textId="77777777"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2.2.11 Procedimiento de análisis cualitativo</w:t>
      </w:r>
    </w:p>
    <w:p w14:paraId="63782FF4" w14:textId="42BFDE8F"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2.2.11.1 Preparación del corpus de entrevistas</w:t>
      </w:r>
    </w:p>
    <w:p w14:paraId="14D49B14" w14:textId="41276ADA"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t xml:space="preserve">El corpus cualitativo se conformó con las transcripciones, notas y registros derivados de las 14 entrevistas semiestructuradas. El material fue organizado por participante, por tipo de actor </w:t>
      </w:r>
      <w:r w:rsidR="00202B45" w:rsidRPr="00DB32E2">
        <w:rPr>
          <w:rFonts w:ascii="Arial" w:hAnsi="Arial" w:cs="Arial"/>
        </w:rPr>
        <w:t>/</w:t>
      </w:r>
      <w:r w:rsidRPr="00DB32E2">
        <w:rPr>
          <w:rFonts w:ascii="Arial" w:hAnsi="Arial" w:cs="Arial"/>
        </w:rPr>
        <w:t xml:space="preserve">productor, representante gremial, académico </w:t>
      </w:r>
      <w:r w:rsidRPr="00DB32E2">
        <w:rPr>
          <w:rFonts w:ascii="Arial" w:hAnsi="Arial" w:cs="Arial"/>
        </w:rPr>
        <w:lastRenderedPageBreak/>
        <w:t>o profesional, y funcionario institucional</w:t>
      </w:r>
      <w:r w:rsidR="00202B45" w:rsidRPr="00DB32E2">
        <w:rPr>
          <w:rFonts w:ascii="Arial" w:hAnsi="Arial" w:cs="Arial"/>
        </w:rPr>
        <w:t xml:space="preserve"> </w:t>
      </w:r>
      <w:r w:rsidRPr="00DB32E2">
        <w:rPr>
          <w:rFonts w:ascii="Arial" w:hAnsi="Arial" w:cs="Arial"/>
        </w:rPr>
        <w:t>y por sector de vinculación, garantizando la anonimización de la información antes del análisis.</w:t>
      </w:r>
    </w:p>
    <w:p w14:paraId="3B4E1646" w14:textId="77777777"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2.2.11.2 Lectura inicial y familiarización con los datos</w:t>
      </w:r>
    </w:p>
    <w:p w14:paraId="3DB94443" w14:textId="10D7D4FC"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t>Se realizó una lectura inicial del corpus para identificar ideas recurrentes, preocupaciones sectoriales, expectativas frente al acuerdo y referencias a condiciones institucionales o comerciales. Esta fase permitió obtener una comprensión general del material antes de codificarlo.</w:t>
      </w:r>
    </w:p>
    <w:p w14:paraId="077C8719" w14:textId="77777777"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2.2.11.3 Codificación inicial</w:t>
      </w:r>
    </w:p>
    <w:p w14:paraId="4F578BDE" w14:textId="77777777"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t>La codificación inicial consistió en asignar etiquetas a fragmentos relevantes de las entrevistas. Como explican Alaminos Chica et al. (2015), el uso de software cualitativo permite realizar de forma eficiente diversas tareas propias de este análisis, como dividir el texto en segmentos relevantes, añadir notas y observaciones y aplicar marcas analíticas. Los códigos se construyeron a partir de los objetivos de investigación y de temas emergentes identificados en los testimonios, entre ellos oportunidades de exportación, riesgos de competencia importadora, barreras sanitarias y fitosanitarias, capacidad productiva instalada, infraestructura y logística, financiamiento, acceso a información comercial, expectativas sobre inversión extranjera directa y valoración del papel institucional del Estado.</w:t>
      </w:r>
    </w:p>
    <w:p w14:paraId="6C9DAFEB" w14:textId="77777777"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2.2.11.4 Construcción de categorías y subcategorías</w:t>
      </w:r>
    </w:p>
    <w:p w14:paraId="7872B644" w14:textId="4312722E"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t xml:space="preserve">Los códigos fueron agrupados en categorías y subcategorías analíticas. Esta organización permitió pasar de observaciones particulares a patrones interpretativos más amplios, vinculando las respuestas de los participantes con los objetivos del estudio y con el marco conceptual sobre negociaciones comerciales internacionales. </w:t>
      </w:r>
    </w:p>
    <w:p w14:paraId="63C73E1F" w14:textId="77777777"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2.2.11.5 Interpretación de hallazgos</w:t>
      </w:r>
    </w:p>
    <w:p w14:paraId="6DA708FF" w14:textId="77777777"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t xml:space="preserve">La interpretación de los hallazgos se orientó a explicar el significado de las percepciones recogidas, considerando el perfil de los participantes, el sector al </w:t>
      </w:r>
      <w:r w:rsidRPr="00DB32E2">
        <w:rPr>
          <w:rFonts w:ascii="Arial" w:hAnsi="Arial" w:cs="Arial"/>
        </w:rPr>
        <w:lastRenderedPageBreak/>
        <w:t>que pertenecen y el contexto de negociación. Se realizó una comparación sistemática entre los distintos grupos de participantes con el fin de identificar en qué medida las valoraciones dependían del sector de origen o de la posición del actor frente al proceso, prestando atención tanto a las coincidencias como a las diferencias entre testimonios, especialmente cuando estas revelaban tensiones entre las expectativas comerciales expresadas y las capacidades productivas reales.</w:t>
      </w:r>
    </w:p>
    <w:p w14:paraId="3C110165" w14:textId="77777777"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 xml:space="preserve">2.2.11.6 Uso de </w:t>
      </w:r>
      <w:proofErr w:type="spellStart"/>
      <w:r w:rsidRPr="00DB32E2">
        <w:rPr>
          <w:rStyle w:val="Fuerte"/>
          <w:rFonts w:ascii="Arial" w:hAnsi="Arial" w:cs="Arial"/>
          <w:b w:val="0"/>
          <w:bCs w:val="0"/>
        </w:rPr>
        <w:t>Atlas.ti</w:t>
      </w:r>
      <w:proofErr w:type="spellEnd"/>
    </w:p>
    <w:p w14:paraId="736F4299" w14:textId="4CC16A99"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t xml:space="preserve">El software </w:t>
      </w:r>
      <w:proofErr w:type="spellStart"/>
      <w:r w:rsidRPr="00DB32E2">
        <w:rPr>
          <w:rFonts w:ascii="Arial" w:hAnsi="Arial" w:cs="Arial"/>
        </w:rPr>
        <w:t>Atlas.ti</w:t>
      </w:r>
      <w:proofErr w:type="spellEnd"/>
      <w:r w:rsidRPr="00DB32E2">
        <w:rPr>
          <w:rFonts w:ascii="Arial" w:hAnsi="Arial" w:cs="Arial"/>
        </w:rPr>
        <w:t xml:space="preserve"> se utilizó como herramienta de apoyo para organizar, codificar y recuperar segmentos de información cualitativa. En esta investigación se empleó específicamente para la segmentación y codificación del corpus, la recuperación de citas por código y por participante y la identificación de coocurrencias entre categorías, lo que facilitó la sistematización del material y la trazabilidad del análisis. La interpretación final, sin embargo, dependió del criterio analítico del investigador y de la relación entre los datos, los objetivos y el contexto del caso</w:t>
      </w:r>
      <w:r w:rsidR="00202B45" w:rsidRPr="00DB32E2">
        <w:rPr>
          <w:rFonts w:ascii="Arial" w:hAnsi="Arial" w:cs="Arial"/>
        </w:rPr>
        <w:t>.</w:t>
      </w:r>
    </w:p>
    <w:p w14:paraId="0E5AEFA8" w14:textId="77777777"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2.2.12 Integración y triangulación de resultados</w:t>
      </w:r>
    </w:p>
    <w:p w14:paraId="4F2C5D36" w14:textId="77777777"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2.2.12.1 Triangulación de fuentes</w:t>
      </w:r>
    </w:p>
    <w:p w14:paraId="7400AFD0" w14:textId="77777777"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t>La triangulación de fuentes se realizó mediante la comparación entre entrevistas, documentos oficiales, literatura académica y estadísticas comerciales. Esta estrategia permitió contrastar la información proveniente de distintos orígenes y reducir la dependencia de una sola fuente de evidencia, aspecto particularmente necesario en un contexto en el que la información oficial sobre el contenido del tratado era todavía parcial.</w:t>
      </w:r>
    </w:p>
    <w:p w14:paraId="5965BE8A" w14:textId="77777777"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2.2.12.2 Triangulación metodológica</w:t>
      </w:r>
    </w:p>
    <w:p w14:paraId="2F4B9744" w14:textId="78BB470D"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t xml:space="preserve">La triangulación metodológica consistió en integrar técnicas cualitativas y cuantitativas. La revisión documental y las entrevistas aportaron comprensión contextual e interpretativa, mientras que los indicadores comerciales ofrecieron evidencia descriptiva sobre la estructura del intercambio bilateral. La </w:t>
      </w:r>
      <w:r w:rsidRPr="00DB32E2">
        <w:rPr>
          <w:rFonts w:ascii="Arial" w:hAnsi="Arial" w:cs="Arial"/>
        </w:rPr>
        <w:lastRenderedPageBreak/>
        <w:t>combinación de métodos fortalece la validez del análisis y resulta coherente con el enfoque mixto</w:t>
      </w:r>
      <w:r w:rsidR="00202B45" w:rsidRPr="00DB32E2">
        <w:rPr>
          <w:rFonts w:ascii="Arial" w:hAnsi="Arial" w:cs="Arial"/>
        </w:rPr>
        <w:t>.</w:t>
      </w:r>
    </w:p>
    <w:p w14:paraId="01F6CB19" w14:textId="77777777"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2.2.12.3 Comparación de indicadores y percepciones</w:t>
      </w:r>
    </w:p>
    <w:p w14:paraId="30B06C49" w14:textId="3A4D57E5" w:rsidR="00202B45" w:rsidRPr="00DB32E2" w:rsidRDefault="00202B45" w:rsidP="00202B45">
      <w:pPr>
        <w:pStyle w:val="font-claude-response-body"/>
        <w:spacing w:line="360" w:lineRule="auto"/>
        <w:jc w:val="both"/>
        <w:rPr>
          <w:rFonts w:ascii="Arial" w:hAnsi="Arial" w:cs="Arial"/>
        </w:rPr>
      </w:pPr>
      <w:r w:rsidRPr="00DB32E2">
        <w:rPr>
          <w:rFonts w:ascii="Arial" w:hAnsi="Arial" w:cs="Arial"/>
        </w:rPr>
        <w:t>Los indicadores comerciales fueron comparados con las percepciones de los participantes para identificar correspondencias o tensiones. Por ejemplo, las expectativas sobre acceso al mercado chino fueron interpretadas junto con la complementariedad comercial y la composición de las exportaciones hondureñas; del mismo modo, las preocupaciones sobre competencia importadora se analizaron a la luz de la balanza comercial y de los patrones de importación.</w:t>
      </w:r>
    </w:p>
    <w:p w14:paraId="12C3629D" w14:textId="3D098141"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2.2.12.4 Identificación de convergencias y divergencias</w:t>
      </w:r>
    </w:p>
    <w:p w14:paraId="6CAACEAA" w14:textId="77777777"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t>La identificación de convergencias permitió reconocer temas respaldados por varias fuentes, como las oportunidades sectoriales o las limitaciones productivas y logísticas. Las divergencias, por su parte, fueron tratadas como hallazgos relevantes, ya que muestran diferencias de percepción entre actores, sectores o tipos de evidencia; en particular, la distancia entre una complementariedad estructural elevada y un comercio intraindustrial prácticamente nulo constituye en sí misma un resultado analítico. Esta lectura evitó presentar una visión única o simplificada del proceso negociador.</w:t>
      </w:r>
    </w:p>
    <w:p w14:paraId="6FC74159" w14:textId="77777777"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2.2.12.5 Elaboración de la interpretación integrada</w:t>
      </w:r>
    </w:p>
    <w:p w14:paraId="4A22DB42" w14:textId="77777777"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t>La interpretación integrada se elaboró articulando los resultados cuantitativos, los testimonios y la evidencia documental. El propósito fue construir una explicación coherente sobre las posibles implicaciones del acuerdo comercial, considerando tanto la estructura objetiva del comercio bilateral como las valoraciones de los actores involucrados. Esta integración permitió responder a los objetivos de investigación desde una perspectiva amplia y contextualizada, y sustentar las recomendaciones de política económica formuladas en el capítulo de conclusiones.</w:t>
      </w:r>
    </w:p>
    <w:p w14:paraId="36424A6B" w14:textId="77777777" w:rsidR="00885265" w:rsidRPr="00DB32E2" w:rsidRDefault="00885265" w:rsidP="00202B45">
      <w:pPr>
        <w:pStyle w:val="font-claude-response-body"/>
        <w:spacing w:line="360" w:lineRule="auto"/>
        <w:jc w:val="both"/>
        <w:rPr>
          <w:rFonts w:ascii="Arial" w:hAnsi="Arial" w:cs="Arial"/>
        </w:rPr>
      </w:pPr>
      <w:r w:rsidRPr="00DB32E2">
        <w:rPr>
          <w:rStyle w:val="Fuerte"/>
          <w:rFonts w:ascii="Arial" w:hAnsi="Arial" w:cs="Arial"/>
          <w:b w:val="0"/>
          <w:bCs w:val="0"/>
        </w:rPr>
        <w:t>2.2.13 Alcances y limitaciones</w:t>
      </w:r>
    </w:p>
    <w:p w14:paraId="282DC3BD" w14:textId="77777777"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lastRenderedPageBreak/>
        <w:t>El principal alcance de la investigación consiste en ofrecer una aproximación metodológicamente integrada al análisis de las negociaciones comerciales entre Honduras y China, combinando indicadores comerciales con evidencia cualitativa proveniente de actores vinculados al comercio exterior y a sectores productivos estratégicos. El estudio permite identificar oportunidades, riesgos, condiciones de aprovechamiento y aspectos que deben considerarse en la formulación de política comercial. Asimismo, el estudio se circunscribe deliberadamente al comercio de bienes y a la inversión extranjera directa, sin abordar el comercio de servicios; concentra el análisis sectorial en café, camarón, tabaco, zinc, banano y carne bovina; fija la cobertura temporal en el período 2005-2024; y limita la comparación regional a los casos de Chile, Perú, Costa Rica, Ecuador y Nicaragua.</w:t>
      </w:r>
    </w:p>
    <w:p w14:paraId="7EBAED77" w14:textId="77777777"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t>El estudio presenta ciertas limitaciones asociadas al contexto en el que se desarrolla. El Tratado de Libre Comercio entre Honduras y China se encuentra aún en proceso de negociación, por lo que algunas disposiciones específicas del acuerdo, como reglas de origen, cronogramas de desgravación, cuotas y medidas sanitarias, no pueden ser evaluadas de manera exhaustiva hasta la publicación del texto definitivo. Esta restricción es propia de las evaluaciones ex ante de acuerdos comerciales, tal como advierten Trejos (2009) y Amaya (2016), e impide estimar impactos definitivos derivados de la implementación del acuerdo.</w:t>
      </w:r>
    </w:p>
    <w:p w14:paraId="6434FD31" w14:textId="77777777"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t>En cuanto al componente cualitativo, las entrevistas realizadas ofrecen aportes relevantes para comprender las percepciones de los sectores estratégicos, pero representan únicamente a los actores que participaron en el estudio y no abarcan la totalidad de posiciones existentes dentro del sector productivo o institucional y, por lo tanto, no pueden ser generalizadas. Sus resultados deben interpretarse como evidencia analítica y contextual, condición que Hernández Sampieri y Mendoza Torres (2018) señalan como propia de las muestras no probabilísticas.</w:t>
      </w:r>
    </w:p>
    <w:p w14:paraId="5FE23084" w14:textId="77777777" w:rsidR="00885265" w:rsidRPr="00DB32E2" w:rsidRDefault="00885265" w:rsidP="00202B45">
      <w:pPr>
        <w:pStyle w:val="font-claude-response-body"/>
        <w:spacing w:line="360" w:lineRule="auto"/>
        <w:jc w:val="both"/>
        <w:rPr>
          <w:rFonts w:ascii="Arial" w:hAnsi="Arial" w:cs="Arial"/>
        </w:rPr>
      </w:pPr>
      <w:r w:rsidRPr="00DB32E2">
        <w:rPr>
          <w:rFonts w:ascii="Arial" w:hAnsi="Arial" w:cs="Arial"/>
        </w:rPr>
        <w:t xml:space="preserve">Una tercera limitación es de orden estadístico. Las series de comercio bilateral presentan vacíos y discrepancias entre registros espejo en algunos años y subpartidas, particularmente en los rubros de menor volumen, lo que obliga a leer con cautela los valores de determinados períodos, situación que Bacchetta </w:t>
      </w:r>
      <w:r w:rsidRPr="00DB32E2">
        <w:rPr>
          <w:rFonts w:ascii="Arial" w:hAnsi="Arial" w:cs="Arial"/>
        </w:rPr>
        <w:lastRenderedPageBreak/>
        <w:t>et al. (2012) identifican como frecuente en el trabajo con estadísticas de comercio internacional. Asimismo, la información sobre inversión extranjera directa de origen chino es limitada y de publicación irregular.</w:t>
      </w:r>
    </w:p>
    <w:p w14:paraId="588F92B4" w14:textId="557241E3" w:rsidR="00885265" w:rsidRPr="00DB32E2" w:rsidRDefault="00885265" w:rsidP="00DB32E2">
      <w:pPr>
        <w:pStyle w:val="font-claude-response-body"/>
        <w:spacing w:line="360" w:lineRule="auto"/>
        <w:jc w:val="both"/>
        <w:rPr>
          <w:rFonts w:ascii="Arial" w:hAnsi="Arial" w:cs="Arial"/>
        </w:rPr>
      </w:pPr>
      <w:r w:rsidRPr="00DB32E2">
        <w:rPr>
          <w:rFonts w:ascii="Arial" w:hAnsi="Arial" w:cs="Arial"/>
        </w:rPr>
        <w:t>Finalmente, el análisis no incorpora modelos macroeconómicos que permitan estimar efectos sobre variables agregadas como empleo, ingresos o producto interno bruto, aspectos que podrán ser desarrollados en investigaciones futuras orientadas a examinar los efectos sectoriales y macroeconómicos del acuerdo, los cuales no son objeto de la presente investigación. A pesar de estas limitaciones, el estudio ofrece una base útil para comprender el estado inicial de la relación comercial Honduras-China y para orientar futuras investigaciones cuando exista mayor información sobre el contenido definitivo del acuerdo y sus efectos en los sectores productivos nacionales.</w:t>
      </w:r>
    </w:p>
    <w:p w14:paraId="5A906D81" w14:textId="77777777" w:rsidR="00885265" w:rsidRPr="00DB32E2" w:rsidRDefault="00885265" w:rsidP="00885265"/>
    <w:p w14:paraId="4EEC4F23" w14:textId="13D3BEA5" w:rsidR="00E05B36" w:rsidRDefault="00E05B36">
      <w:pPr>
        <w:spacing w:after="160" w:line="259" w:lineRule="auto"/>
      </w:pPr>
      <w:r>
        <w:br w:type="page"/>
      </w:r>
    </w:p>
    <w:p w14:paraId="3D457691" w14:textId="77777777" w:rsidR="00885265" w:rsidRPr="00DB32E2" w:rsidRDefault="00885265" w:rsidP="00885265"/>
    <w:p w14:paraId="40BC42A2" w14:textId="1B839E08" w:rsidR="00661C31" w:rsidRPr="00DB32E2" w:rsidRDefault="008C4A98" w:rsidP="003927B6">
      <w:pPr>
        <w:pStyle w:val="Ttulo1"/>
        <w:numPr>
          <w:ilvl w:val="0"/>
          <w:numId w:val="0"/>
        </w:numPr>
        <w:spacing w:after="240" w:line="360" w:lineRule="auto"/>
        <w:ind w:left="432" w:hanging="432"/>
        <w:rPr>
          <w:rFonts w:ascii="Arial" w:hAnsi="Arial" w:cs="Arial"/>
          <w:b/>
          <w:bCs/>
          <w:strike/>
          <w:color w:val="000000" w:themeColor="text1"/>
          <w:sz w:val="28"/>
          <w:szCs w:val="28"/>
        </w:rPr>
      </w:pPr>
      <w:bookmarkStart w:id="39" w:name="_Toc236232353"/>
      <w:r w:rsidRPr="00DB32E2">
        <w:rPr>
          <w:rFonts w:ascii="Arial" w:hAnsi="Arial" w:cs="Arial"/>
          <w:b/>
          <w:bCs/>
          <w:color w:val="000000" w:themeColor="text1"/>
          <w:sz w:val="28"/>
          <w:szCs w:val="28"/>
        </w:rPr>
        <w:t>CAPÍTULO 3</w:t>
      </w:r>
      <w:r w:rsidR="00A5602E">
        <w:rPr>
          <w:rFonts w:ascii="Arial" w:hAnsi="Arial" w:cs="Arial"/>
          <w:b/>
          <w:bCs/>
          <w:color w:val="000000" w:themeColor="text1"/>
          <w:sz w:val="28"/>
          <w:szCs w:val="28"/>
        </w:rPr>
        <w:t>. ANALISIS DE RESULTADOS</w:t>
      </w:r>
      <w:bookmarkEnd w:id="39"/>
    </w:p>
    <w:p w14:paraId="75BAB214" w14:textId="0082E320" w:rsidR="003927B6" w:rsidRPr="00DB32E2" w:rsidRDefault="003927B6">
      <w:pPr>
        <w:pStyle w:val="Ttulo2"/>
        <w:numPr>
          <w:ilvl w:val="1"/>
          <w:numId w:val="7"/>
        </w:numPr>
        <w:rPr>
          <w:rFonts w:ascii="Arial" w:hAnsi="Arial" w:cs="Arial"/>
          <w:color w:val="000000" w:themeColor="text1"/>
          <w:sz w:val="28"/>
          <w:szCs w:val="28"/>
        </w:rPr>
      </w:pPr>
      <w:bookmarkStart w:id="40" w:name="_Toc236232354"/>
      <w:r w:rsidRPr="00DB32E2">
        <w:rPr>
          <w:rFonts w:ascii="Arial" w:hAnsi="Arial" w:cs="Arial"/>
          <w:color w:val="000000" w:themeColor="text1"/>
          <w:sz w:val="28"/>
          <w:szCs w:val="28"/>
        </w:rPr>
        <w:t>Análisis de Resultados</w:t>
      </w:r>
      <w:bookmarkEnd w:id="40"/>
    </w:p>
    <w:p w14:paraId="6D476FEA" w14:textId="77777777" w:rsidR="00215C17" w:rsidRPr="00DB32E2" w:rsidRDefault="00215C17" w:rsidP="00215C17"/>
    <w:p w14:paraId="75E14267" w14:textId="7E9E7C70" w:rsidR="00215C17" w:rsidRPr="00DB32E2" w:rsidRDefault="00215C17" w:rsidP="00215C17">
      <w:pPr>
        <w:spacing w:line="360" w:lineRule="auto"/>
        <w:jc w:val="both"/>
        <w:rPr>
          <w:rFonts w:ascii="Arial" w:hAnsi="Arial" w:cs="Arial"/>
        </w:rPr>
      </w:pPr>
      <w:r w:rsidRPr="00DB32E2">
        <w:rPr>
          <w:rFonts w:ascii="Arial" w:hAnsi="Arial" w:cs="Arial"/>
        </w:rPr>
        <w:t xml:space="preserve">El presente capítulo realiza una caracterización de la relación comercial que China ha tenido con Honduras, </w:t>
      </w:r>
      <w:r w:rsidR="006E1F69">
        <w:rPr>
          <w:rFonts w:ascii="Arial" w:hAnsi="Arial" w:cs="Arial"/>
        </w:rPr>
        <w:t>incorporando el</w:t>
      </w:r>
      <w:r w:rsidRPr="00DB32E2">
        <w:rPr>
          <w:rFonts w:ascii="Arial" w:hAnsi="Arial" w:cs="Arial"/>
        </w:rPr>
        <w:t xml:space="preserve"> análisis de datos de exportación, importación, inversiones y estudios previos, no sólo </w:t>
      </w:r>
      <w:r w:rsidR="006E1F69">
        <w:rPr>
          <w:rFonts w:ascii="Arial" w:hAnsi="Arial" w:cs="Arial"/>
        </w:rPr>
        <w:t>para Honduras, sino</w:t>
      </w:r>
      <w:r w:rsidRPr="00DB32E2">
        <w:rPr>
          <w:rFonts w:ascii="Arial" w:hAnsi="Arial" w:cs="Arial"/>
        </w:rPr>
        <w:t xml:space="preserve"> también </w:t>
      </w:r>
      <w:r w:rsidR="006E1F69">
        <w:rPr>
          <w:rFonts w:ascii="Arial" w:hAnsi="Arial" w:cs="Arial"/>
        </w:rPr>
        <w:t>para</w:t>
      </w:r>
      <w:r w:rsidRPr="00DB32E2">
        <w:rPr>
          <w:rFonts w:ascii="Arial" w:hAnsi="Arial" w:cs="Arial"/>
        </w:rPr>
        <w:t xml:space="preserve"> los demás países latinoamericanos con los cuales China tiene un acuerdo comercial.  </w:t>
      </w:r>
    </w:p>
    <w:p w14:paraId="6BFC1067" w14:textId="77777777" w:rsidR="00DE25FA" w:rsidRPr="00DB32E2" w:rsidRDefault="00DE25FA" w:rsidP="00DE25FA">
      <w:pPr>
        <w:rPr>
          <w:rFonts w:ascii="Arial" w:hAnsi="Arial" w:cs="Arial"/>
          <w:color w:val="000000" w:themeColor="text1"/>
        </w:rPr>
      </w:pPr>
    </w:p>
    <w:p w14:paraId="7DC1A816" w14:textId="4CC3330C" w:rsidR="003927B6" w:rsidRPr="00DB32E2" w:rsidRDefault="00DA3034" w:rsidP="00DE25FA">
      <w:pPr>
        <w:rPr>
          <w:rFonts w:ascii="Arial" w:hAnsi="Arial" w:cs="Arial"/>
          <w:color w:val="000000" w:themeColor="text1"/>
        </w:rPr>
      </w:pPr>
      <w:r w:rsidRPr="00DB32E2">
        <w:rPr>
          <w:rFonts w:ascii="Arial" w:hAnsi="Arial" w:cs="Arial"/>
          <w:color w:val="000000" w:themeColor="text1"/>
        </w:rPr>
        <w:tab/>
      </w:r>
      <w:r w:rsidRPr="00DB32E2">
        <w:rPr>
          <w:rFonts w:ascii="Arial" w:hAnsi="Arial" w:cs="Arial"/>
          <w:color w:val="000000" w:themeColor="text1"/>
        </w:rPr>
        <w:tab/>
      </w:r>
    </w:p>
    <w:p w14:paraId="5E121A68" w14:textId="77777777" w:rsidR="003927B6" w:rsidRPr="00DB32E2" w:rsidRDefault="00426091">
      <w:pPr>
        <w:pStyle w:val="Ttulo2"/>
        <w:numPr>
          <w:ilvl w:val="2"/>
          <w:numId w:val="7"/>
        </w:numPr>
        <w:rPr>
          <w:rFonts w:ascii="Arial" w:hAnsi="Arial" w:cs="Arial"/>
          <w:color w:val="000000" w:themeColor="text1"/>
          <w:sz w:val="24"/>
          <w:szCs w:val="24"/>
        </w:rPr>
      </w:pPr>
      <w:bookmarkStart w:id="41" w:name="_Toc236232355"/>
      <w:r w:rsidRPr="00DB32E2">
        <w:rPr>
          <w:rFonts w:ascii="Arial" w:hAnsi="Arial" w:cs="Arial"/>
          <w:color w:val="000000" w:themeColor="text1"/>
          <w:sz w:val="24"/>
          <w:szCs w:val="24"/>
        </w:rPr>
        <w:t>Relaciones Comerciales y de IED entre China y Honduras</w:t>
      </w:r>
      <w:bookmarkEnd w:id="41"/>
      <w:r w:rsidR="003927B6" w:rsidRPr="00DB32E2">
        <w:rPr>
          <w:rFonts w:ascii="Arial" w:hAnsi="Arial" w:cs="Arial"/>
          <w:color w:val="000000" w:themeColor="text1"/>
          <w:sz w:val="24"/>
          <w:szCs w:val="24"/>
        </w:rPr>
        <w:t xml:space="preserve"> </w:t>
      </w:r>
    </w:p>
    <w:p w14:paraId="7BCD62C3" w14:textId="77777777" w:rsidR="00A92E34" w:rsidRPr="00DB32E2" w:rsidRDefault="00A92E34" w:rsidP="00A92E34"/>
    <w:p w14:paraId="3CFD214E" w14:textId="77777777" w:rsidR="00A34250" w:rsidRPr="00DB32E2" w:rsidRDefault="00A34250" w:rsidP="00A34250">
      <w:pPr>
        <w:rPr>
          <w:rFonts w:ascii="Arial" w:hAnsi="Arial" w:cs="Arial"/>
          <w:sz w:val="22"/>
          <w:szCs w:val="22"/>
        </w:rPr>
      </w:pPr>
    </w:p>
    <w:p w14:paraId="4F9412BD" w14:textId="240D3C80" w:rsidR="00493725" w:rsidRPr="00DB32E2" w:rsidRDefault="00661C31" w:rsidP="00A34250">
      <w:pPr>
        <w:rPr>
          <w:rFonts w:ascii="Arial" w:hAnsi="Arial" w:cs="Arial"/>
          <w:color w:val="000000" w:themeColor="text1"/>
        </w:rPr>
      </w:pPr>
      <w:r w:rsidRPr="00DB32E2">
        <w:rPr>
          <w:rFonts w:ascii="Arial" w:hAnsi="Arial" w:cs="Arial"/>
          <w:color w:val="000000" w:themeColor="text1"/>
        </w:rPr>
        <w:t xml:space="preserve">Caracterización </w:t>
      </w:r>
      <w:r w:rsidR="00A34250" w:rsidRPr="00DB32E2">
        <w:rPr>
          <w:rFonts w:ascii="Arial" w:hAnsi="Arial" w:cs="Arial"/>
          <w:color w:val="000000" w:themeColor="text1"/>
        </w:rPr>
        <w:t>de</w:t>
      </w:r>
      <w:r w:rsidRPr="00DB32E2">
        <w:rPr>
          <w:rFonts w:ascii="Arial" w:hAnsi="Arial" w:cs="Arial"/>
          <w:color w:val="000000" w:themeColor="text1"/>
        </w:rPr>
        <w:t>l</w:t>
      </w:r>
      <w:r w:rsidR="00A34250" w:rsidRPr="00DB32E2">
        <w:rPr>
          <w:rFonts w:ascii="Arial" w:hAnsi="Arial" w:cs="Arial"/>
          <w:color w:val="000000" w:themeColor="text1"/>
        </w:rPr>
        <w:t xml:space="preserve"> Comercio entre China y Honduras</w:t>
      </w:r>
    </w:p>
    <w:p w14:paraId="01F99B62" w14:textId="77777777" w:rsidR="00493725" w:rsidRPr="00DB32E2" w:rsidRDefault="00493725" w:rsidP="00493725">
      <w:pPr>
        <w:rPr>
          <w:rFonts w:ascii="Arial" w:hAnsi="Arial" w:cs="Arial"/>
        </w:rPr>
      </w:pPr>
    </w:p>
    <w:p w14:paraId="5ACDD924" w14:textId="51EA2A63" w:rsidR="00493725" w:rsidRPr="00DB32E2" w:rsidRDefault="00493725" w:rsidP="00015050">
      <w:pPr>
        <w:spacing w:after="240" w:line="360" w:lineRule="auto"/>
        <w:jc w:val="both"/>
        <w:rPr>
          <w:rFonts w:ascii="Arial" w:hAnsi="Arial" w:cs="Arial"/>
          <w:color w:val="568D11" w:themeColor="accent3" w:themeShade="80"/>
        </w:rPr>
      </w:pPr>
      <w:bookmarkStart w:id="42" w:name="OLE_LINK18"/>
      <w:r w:rsidRPr="00DB32E2">
        <w:rPr>
          <w:rFonts w:ascii="Arial" w:hAnsi="Arial" w:cs="Arial"/>
        </w:rPr>
        <w:t>El análisis del flujo comercial entre Honduras y China revela una serie de tendencias y patrones significativos que han caracterizado las relaciones comerciales entre ambos países desde el año 2000 hasta septiembre de 202</w:t>
      </w:r>
      <w:r w:rsidR="00077508" w:rsidRPr="00DB32E2">
        <w:rPr>
          <w:rFonts w:ascii="Arial" w:hAnsi="Arial" w:cs="Arial"/>
        </w:rPr>
        <w:t>4</w:t>
      </w:r>
      <w:r w:rsidRPr="00DB32E2">
        <w:rPr>
          <w:rFonts w:ascii="Arial" w:hAnsi="Arial" w:cs="Arial"/>
        </w:rPr>
        <w:t xml:space="preserve">. </w:t>
      </w:r>
    </w:p>
    <w:p w14:paraId="2F7A5514" w14:textId="47F700FA" w:rsidR="00661C31" w:rsidRDefault="00493725" w:rsidP="00EF5192">
      <w:pPr>
        <w:spacing w:line="360" w:lineRule="auto"/>
        <w:jc w:val="both"/>
        <w:rPr>
          <w:rFonts w:ascii="Arial" w:hAnsi="Arial" w:cs="Arial"/>
          <w:color w:val="000000" w:themeColor="text1"/>
        </w:rPr>
      </w:pPr>
      <w:r w:rsidRPr="00DB32E2">
        <w:rPr>
          <w:rFonts w:ascii="Arial" w:hAnsi="Arial" w:cs="Arial"/>
        </w:rPr>
        <w:t xml:space="preserve">Los datos del </w:t>
      </w:r>
      <w:r w:rsidR="00015050" w:rsidRPr="00DB32E2">
        <w:rPr>
          <w:rFonts w:ascii="Arial" w:hAnsi="Arial" w:cs="Arial"/>
        </w:rPr>
        <w:fldChar w:fldCharType="begin"/>
      </w:r>
      <w:r w:rsidR="00015050" w:rsidRPr="00DB32E2">
        <w:rPr>
          <w:rFonts w:ascii="Arial" w:hAnsi="Arial" w:cs="Arial"/>
        </w:rPr>
        <w:instrText xml:space="preserve"> REF _Ref164114467 \h  \* MERGEFORMAT </w:instrText>
      </w:r>
      <w:r w:rsidR="00015050" w:rsidRPr="00DB32E2">
        <w:rPr>
          <w:rFonts w:ascii="Arial" w:hAnsi="Arial" w:cs="Arial"/>
        </w:rPr>
      </w:r>
      <w:r w:rsidR="00015050" w:rsidRPr="00DB32E2">
        <w:rPr>
          <w:rFonts w:ascii="Arial" w:hAnsi="Arial" w:cs="Arial"/>
        </w:rPr>
        <w:fldChar w:fldCharType="separate"/>
      </w:r>
      <w:r w:rsidR="00C41F6F" w:rsidRPr="00DB32E2">
        <w:rPr>
          <w:rFonts w:ascii="Arial" w:hAnsi="Arial" w:cs="Arial"/>
        </w:rPr>
        <w:t xml:space="preserve">Gráfico </w:t>
      </w:r>
      <w:r w:rsidR="00C41F6F" w:rsidRPr="00DB32E2">
        <w:rPr>
          <w:rFonts w:ascii="Arial" w:hAnsi="Arial" w:cs="Arial"/>
          <w:noProof/>
        </w:rPr>
        <w:t>2</w:t>
      </w:r>
      <w:r w:rsidR="00C41F6F" w:rsidRPr="00DB32E2">
        <w:rPr>
          <w:rFonts w:ascii="Arial" w:hAnsi="Arial" w:cs="Arial"/>
        </w:rPr>
        <w:t xml:space="preserve">   </w:t>
      </w:r>
      <w:r w:rsidR="00015050" w:rsidRPr="00DB32E2">
        <w:rPr>
          <w:rFonts w:ascii="Arial" w:hAnsi="Arial" w:cs="Arial"/>
        </w:rPr>
        <w:fldChar w:fldCharType="end"/>
      </w:r>
      <w:r w:rsidRPr="00601509">
        <w:rPr>
          <w:rFonts w:ascii="Arial" w:hAnsi="Arial" w:cs="Arial"/>
          <w:color w:val="000000" w:themeColor="text1"/>
        </w:rPr>
        <w:t xml:space="preserve">muestran </w:t>
      </w:r>
      <w:r w:rsidR="00661C31" w:rsidRPr="00601509">
        <w:rPr>
          <w:rFonts w:ascii="Arial" w:hAnsi="Arial" w:cs="Arial"/>
          <w:color w:val="000000" w:themeColor="text1"/>
        </w:rPr>
        <w:t>la dinámica comercial existente entre ambos países en el periodo bajo análisis.</w:t>
      </w:r>
      <w:r w:rsidR="00661C31">
        <w:rPr>
          <w:rFonts w:ascii="Arial" w:hAnsi="Arial" w:cs="Arial"/>
          <w:color w:val="0D78CA" w:themeColor="background2" w:themeShade="80"/>
        </w:rPr>
        <w:t xml:space="preserve"> </w:t>
      </w:r>
      <w:r w:rsidR="00661C31" w:rsidRPr="00601509">
        <w:rPr>
          <w:rFonts w:ascii="Arial" w:hAnsi="Arial" w:cs="Arial"/>
          <w:color w:val="000000" w:themeColor="text1"/>
        </w:rPr>
        <w:t>Se evidencia una disparidad significativa en la relación comercial entre ambos países, donde Honduras tiende a importar una cantidad considerablemente mayor de productos de China en comparación con lo que exporta hacia este país.</w:t>
      </w:r>
    </w:p>
    <w:p w14:paraId="4E929946" w14:textId="77777777" w:rsidR="00EF5192" w:rsidRPr="00601509" w:rsidRDefault="00EF5192" w:rsidP="00EF5192">
      <w:pPr>
        <w:spacing w:line="360" w:lineRule="auto"/>
        <w:jc w:val="both"/>
        <w:rPr>
          <w:rFonts w:ascii="Arial" w:hAnsi="Arial" w:cs="Arial"/>
          <w:color w:val="000000" w:themeColor="text1"/>
        </w:rPr>
      </w:pPr>
    </w:p>
    <w:p w14:paraId="7C373224" w14:textId="3DDF4C47" w:rsidR="00661C31" w:rsidRPr="00F73FAA" w:rsidRDefault="00661C31" w:rsidP="00015050">
      <w:pPr>
        <w:spacing w:after="240" w:line="360" w:lineRule="auto"/>
        <w:jc w:val="both"/>
        <w:rPr>
          <w:rFonts w:ascii="Arial" w:hAnsi="Arial" w:cs="Arial"/>
          <w:color w:val="568D11" w:themeColor="accent3" w:themeShade="80"/>
        </w:rPr>
      </w:pPr>
      <w:r w:rsidRPr="001A6B7B">
        <w:rPr>
          <w:rFonts w:ascii="Arial" w:hAnsi="Arial" w:cs="Arial"/>
        </w:rPr>
        <w:t xml:space="preserve">El contraste entre las exportaciones y las importaciones desde China hacia Honduras es notable a lo largo de este período. Mientras que las exportaciones muestran una tendencia general de crecimiento gradual, las importaciones exhiben aumentos más pronunciados, destacándose por su magnitud en varios de los años. </w:t>
      </w:r>
      <w:bookmarkEnd w:id="42"/>
      <w:r w:rsidR="006C5154" w:rsidRPr="006C5154">
        <w:rPr>
          <w:rFonts w:ascii="Arial" w:hAnsi="Arial" w:cs="Arial"/>
        </w:rPr>
        <w:t xml:space="preserve">Particularmente a partir de 2015, se observa una aceleración constante en las importaciones hondureñas desde China, que superan de forma sostenida los mil millones de dólares anuales desde 2016, con un salto aún más marcado a partir de 2020. En el año 2022 las importaciones alcanzan los 2,36 mil millones de dólares, y para 2024 se elevan a más de 2,55 mil millones, consolidando a China como uno de los principales proveedores externos de </w:t>
      </w:r>
      <w:r w:rsidR="006C5154" w:rsidRPr="006C5154">
        <w:rPr>
          <w:rFonts w:ascii="Arial" w:hAnsi="Arial" w:cs="Arial"/>
        </w:rPr>
        <w:lastRenderedPageBreak/>
        <w:t xml:space="preserve">Honduras. </w:t>
      </w:r>
      <w:r w:rsidR="006C5154" w:rsidRPr="00E05B36">
        <w:rPr>
          <w:rFonts w:ascii="Arial" w:hAnsi="Arial" w:cs="Arial"/>
        </w:rPr>
        <w:t>Esta tendencia refleja una creciente dependencia del país centroamericano hacia productos chinos, posiblemente vinculada al acceso a bienes manufacturados, maquinaria, equipos tecnológicos y productos de consumo a bajo costo.</w:t>
      </w:r>
      <w:r w:rsidR="006C5154" w:rsidRPr="006C5154">
        <w:rPr>
          <w:rFonts w:ascii="Arial" w:hAnsi="Arial" w:cs="Arial"/>
        </w:rPr>
        <w:t xml:space="preserve"> La persistente brecha entre importaciones y exportaciones sugiere un déficit comercial estructural con China, que se ha acentuado en los últimos años y representa uno de los principales desafíos en el diseño de una relación comercial más equilibrada.</w:t>
      </w:r>
    </w:p>
    <w:p w14:paraId="686328CD" w14:textId="0A9EBC50" w:rsidR="00502CB9" w:rsidRPr="003F24D7" w:rsidRDefault="001A6B7B" w:rsidP="00795AAA">
      <w:pPr>
        <w:pStyle w:val="Descripcin"/>
        <w:keepNext/>
        <w:spacing w:line="360" w:lineRule="auto"/>
        <w:rPr>
          <w:rFonts w:ascii="Arial" w:hAnsi="Arial" w:cs="Arial"/>
          <w:color w:val="000000" w:themeColor="text1"/>
          <w:sz w:val="24"/>
          <w:szCs w:val="24"/>
          <w:lang w:val="es-MX"/>
        </w:rPr>
      </w:pPr>
      <w:bookmarkStart w:id="43" w:name="_Toc215907243"/>
      <w:bookmarkStart w:id="44" w:name="_Ref164114467"/>
      <w:bookmarkStart w:id="45" w:name="OLE_LINK11"/>
      <w:bookmarkStart w:id="46" w:name="OLE_LINK12"/>
      <w:r w:rsidRPr="005439D8">
        <w:rPr>
          <w:rFonts w:ascii="Arial" w:hAnsi="Arial" w:cs="Arial"/>
          <w:b/>
          <w:bCs/>
          <w:color w:val="000000" w:themeColor="text1"/>
          <w:sz w:val="24"/>
          <w:szCs w:val="24"/>
        </w:rPr>
        <w:t xml:space="preserve">Gráfico </w:t>
      </w:r>
      <w:r w:rsidRPr="005439D8">
        <w:rPr>
          <w:rFonts w:ascii="Arial" w:hAnsi="Arial" w:cs="Arial"/>
          <w:b/>
          <w:bCs/>
          <w:color w:val="000000" w:themeColor="text1"/>
          <w:sz w:val="24"/>
          <w:szCs w:val="24"/>
        </w:rPr>
        <w:fldChar w:fldCharType="begin"/>
      </w:r>
      <w:r w:rsidRPr="005439D8">
        <w:rPr>
          <w:rFonts w:ascii="Arial" w:hAnsi="Arial" w:cs="Arial"/>
          <w:b/>
          <w:bCs/>
          <w:color w:val="000000" w:themeColor="text1"/>
          <w:sz w:val="24"/>
          <w:szCs w:val="24"/>
        </w:rPr>
        <w:instrText xml:space="preserve"> SEQ Gráfico \* ARABIC </w:instrText>
      </w:r>
      <w:r w:rsidRPr="005439D8">
        <w:rPr>
          <w:rFonts w:ascii="Arial" w:hAnsi="Arial" w:cs="Arial"/>
          <w:b/>
          <w:bCs/>
          <w:color w:val="000000" w:themeColor="text1"/>
          <w:sz w:val="24"/>
          <w:szCs w:val="24"/>
        </w:rPr>
        <w:fldChar w:fldCharType="separate"/>
      </w:r>
      <w:r w:rsidR="00C41F6F" w:rsidRPr="005439D8">
        <w:rPr>
          <w:rFonts w:ascii="Arial" w:hAnsi="Arial" w:cs="Arial"/>
          <w:b/>
          <w:bCs/>
          <w:noProof/>
          <w:color w:val="000000" w:themeColor="text1"/>
          <w:sz w:val="24"/>
          <w:szCs w:val="24"/>
        </w:rPr>
        <w:t>2</w:t>
      </w:r>
      <w:r w:rsidRPr="005439D8">
        <w:rPr>
          <w:rFonts w:ascii="Arial" w:hAnsi="Arial" w:cs="Arial"/>
          <w:b/>
          <w:bCs/>
          <w:color w:val="000000" w:themeColor="text1"/>
          <w:sz w:val="24"/>
          <w:szCs w:val="24"/>
        </w:rPr>
        <w:fldChar w:fldCharType="end"/>
      </w:r>
      <w:r w:rsidRPr="005439D8">
        <w:rPr>
          <w:rFonts w:ascii="Arial" w:hAnsi="Arial" w:cs="Arial"/>
          <w:b/>
          <w:bCs/>
          <w:color w:val="000000" w:themeColor="text1"/>
          <w:sz w:val="24"/>
          <w:szCs w:val="24"/>
        </w:rPr>
        <w:t xml:space="preserve"> </w:t>
      </w:r>
      <w:r w:rsidR="00502CB9" w:rsidRPr="005439D8">
        <w:rPr>
          <w:rFonts w:ascii="Arial" w:hAnsi="Arial" w:cs="Arial"/>
          <w:color w:val="000000" w:themeColor="text1"/>
          <w:sz w:val="24"/>
          <w:szCs w:val="24"/>
          <w:lang w:val="es-MX"/>
        </w:rPr>
        <w:t xml:space="preserve">  Exportaciones e Importaciones entre Honduras y China</w:t>
      </w:r>
      <w:bookmarkEnd w:id="43"/>
    </w:p>
    <w:p w14:paraId="75180F35" w14:textId="52125984" w:rsidR="001A6B7B" w:rsidRPr="003F24D7" w:rsidRDefault="00502CB9" w:rsidP="00795AAA">
      <w:pPr>
        <w:pStyle w:val="Descripcin"/>
        <w:keepNext/>
        <w:spacing w:line="360" w:lineRule="auto"/>
        <w:rPr>
          <w:rFonts w:ascii="Arial" w:hAnsi="Arial" w:cs="Arial"/>
          <w:color w:val="000000" w:themeColor="text1"/>
          <w:sz w:val="24"/>
          <w:szCs w:val="24"/>
          <w:lang w:val="es-MX"/>
        </w:rPr>
      </w:pPr>
      <w:r w:rsidRPr="003F24D7">
        <w:rPr>
          <w:rFonts w:ascii="Arial" w:hAnsi="Arial" w:cs="Arial"/>
          <w:color w:val="000000" w:themeColor="text1"/>
          <w:sz w:val="24"/>
          <w:szCs w:val="24"/>
          <w:lang w:val="es-MX"/>
        </w:rPr>
        <w:t xml:space="preserve"> </w:t>
      </w:r>
      <w:r w:rsidR="001A6B7B" w:rsidRPr="003F24D7">
        <w:rPr>
          <w:rFonts w:ascii="Arial" w:hAnsi="Arial" w:cs="Arial"/>
          <w:color w:val="000000" w:themeColor="text1"/>
          <w:sz w:val="24"/>
          <w:szCs w:val="24"/>
          <w:lang w:val="es-MX"/>
        </w:rPr>
        <w:t>(</w:t>
      </w:r>
      <w:r w:rsidR="003F24D7" w:rsidRPr="003F24D7">
        <w:rPr>
          <w:rFonts w:ascii="Arial" w:hAnsi="Arial" w:cs="Arial"/>
          <w:color w:val="000000" w:themeColor="text1"/>
          <w:sz w:val="24"/>
          <w:szCs w:val="24"/>
          <w:lang w:val="es-MX"/>
        </w:rPr>
        <w:t>Millones</w:t>
      </w:r>
      <w:r w:rsidR="001A6B7B" w:rsidRPr="003F24D7">
        <w:rPr>
          <w:rFonts w:ascii="Arial" w:hAnsi="Arial" w:cs="Arial"/>
          <w:color w:val="000000" w:themeColor="text1"/>
          <w:sz w:val="24"/>
          <w:szCs w:val="24"/>
          <w:lang w:val="es-MX"/>
        </w:rPr>
        <w:t xml:space="preserve"> de dólares estadounidenses)</w:t>
      </w:r>
      <w:bookmarkEnd w:id="44"/>
    </w:p>
    <w:p w14:paraId="7197B172" w14:textId="006D16AC" w:rsidR="00F73FAA" w:rsidRPr="00F73FAA" w:rsidRDefault="003F24D7" w:rsidP="00F73FAA">
      <w:pPr>
        <w:rPr>
          <w:lang w:val="es-MX"/>
        </w:rPr>
      </w:pPr>
      <w:r>
        <w:rPr>
          <w:noProof/>
          <w14:ligatures w14:val="standardContextual"/>
        </w:rPr>
        <w:drawing>
          <wp:inline distT="0" distB="0" distL="0" distR="0" wp14:anchorId="740B7376" wp14:editId="6635E8A3">
            <wp:extent cx="5748655" cy="3482502"/>
            <wp:effectExtent l="0" t="0" r="0" b="0"/>
            <wp:docPr id="42652575" name="Gráfico 1">
              <a:extLst xmlns:a="http://schemas.openxmlformats.org/drawingml/2006/main">
                <a:ext uri="{FF2B5EF4-FFF2-40B4-BE49-F238E27FC236}">
                  <a16:creationId xmlns:a16="http://schemas.microsoft.com/office/drawing/2014/main" id="{04009D22-224B-4B8B-4F16-C855AA0A0F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1B747E7" w14:textId="724DC309" w:rsidR="00493725" w:rsidRPr="001A6B7B" w:rsidRDefault="00493725" w:rsidP="00493725">
      <w:pPr>
        <w:rPr>
          <w:rFonts w:ascii="Arial" w:hAnsi="Arial" w:cs="Arial"/>
        </w:rPr>
      </w:pPr>
    </w:p>
    <w:p w14:paraId="5E072BA3" w14:textId="5A5E5A72" w:rsidR="00493725" w:rsidRPr="001A6B7B" w:rsidRDefault="00AE4508" w:rsidP="00493725">
      <w:pPr>
        <w:rPr>
          <w:rFonts w:ascii="Arial" w:hAnsi="Arial" w:cs="Arial"/>
        </w:rPr>
      </w:pPr>
      <w:r w:rsidRPr="001A6B7B">
        <w:rPr>
          <w:rFonts w:ascii="Arial" w:hAnsi="Arial" w:cs="Arial"/>
        </w:rPr>
        <w:t>Fuente: Elaboración propia con datos de</w:t>
      </w:r>
      <w:r w:rsidR="001A6B7B">
        <w:rPr>
          <w:rFonts w:ascii="Arial" w:hAnsi="Arial" w:cs="Arial"/>
        </w:rPr>
        <w:t xml:space="preserve"> la</w:t>
      </w:r>
      <w:r w:rsidR="00493725" w:rsidRPr="001A6B7B">
        <w:rPr>
          <w:rFonts w:ascii="Arial" w:hAnsi="Arial" w:cs="Arial"/>
        </w:rPr>
        <w:t xml:space="preserve"> SIECA</w:t>
      </w:r>
    </w:p>
    <w:bookmarkEnd w:id="45"/>
    <w:bookmarkEnd w:id="46"/>
    <w:p w14:paraId="6A81326B" w14:textId="77777777" w:rsidR="00661C31" w:rsidRDefault="00661C31" w:rsidP="00493725">
      <w:pPr>
        <w:rPr>
          <w:rFonts w:ascii="Arial" w:hAnsi="Arial" w:cs="Arial"/>
        </w:rPr>
      </w:pPr>
    </w:p>
    <w:p w14:paraId="5F631E96" w14:textId="77777777" w:rsidR="00661C31" w:rsidRPr="0007272F" w:rsidRDefault="00661C31" w:rsidP="00493725">
      <w:pPr>
        <w:rPr>
          <w:rFonts w:ascii="Arial" w:hAnsi="Arial" w:cs="Arial"/>
          <w:color w:val="000000" w:themeColor="text1"/>
        </w:rPr>
      </w:pPr>
    </w:p>
    <w:p w14:paraId="0763B0B0" w14:textId="1886AAD3" w:rsidR="0007272F" w:rsidRPr="0007272F" w:rsidRDefault="00493725" w:rsidP="00015050">
      <w:pPr>
        <w:spacing w:after="240" w:line="360" w:lineRule="auto"/>
        <w:jc w:val="both"/>
        <w:rPr>
          <w:rFonts w:ascii="Arial" w:hAnsi="Arial" w:cs="Arial"/>
          <w:color w:val="000000" w:themeColor="text1"/>
        </w:rPr>
      </w:pPr>
      <w:r w:rsidRPr="0007272F">
        <w:rPr>
          <w:rFonts w:ascii="Arial" w:hAnsi="Arial" w:cs="Arial"/>
          <w:color w:val="000000" w:themeColor="text1"/>
        </w:rPr>
        <w:t>Desde el año 2000 hasta</w:t>
      </w:r>
      <w:r w:rsidR="00661C31" w:rsidRPr="0007272F">
        <w:rPr>
          <w:rFonts w:ascii="Arial" w:hAnsi="Arial" w:cs="Arial"/>
          <w:color w:val="000000" w:themeColor="text1"/>
        </w:rPr>
        <w:t xml:space="preserve"> </w:t>
      </w:r>
      <w:r w:rsidR="003F24D7" w:rsidRPr="0007272F">
        <w:rPr>
          <w:rFonts w:ascii="Arial" w:hAnsi="Arial" w:cs="Arial"/>
          <w:color w:val="000000" w:themeColor="text1"/>
        </w:rPr>
        <w:t>20</w:t>
      </w:r>
      <w:r w:rsidR="006E1F69">
        <w:rPr>
          <w:rFonts w:ascii="Arial" w:hAnsi="Arial" w:cs="Arial"/>
          <w:color w:val="000000" w:themeColor="text1"/>
        </w:rPr>
        <w:t>13</w:t>
      </w:r>
      <w:r w:rsidRPr="0007272F">
        <w:rPr>
          <w:rFonts w:ascii="Arial" w:hAnsi="Arial" w:cs="Arial"/>
          <w:color w:val="000000" w:themeColor="text1"/>
        </w:rPr>
        <w:t>, se observa un patrón general de crecimiento en las exportaciones, con algunos años destacando por incrementos substanciales en el valor de los bienes y servicios exportados. Por ejemplo</w:t>
      </w:r>
      <w:r w:rsidR="006E1F69">
        <w:rPr>
          <w:rFonts w:ascii="Arial" w:hAnsi="Arial" w:cs="Arial"/>
          <w:color w:val="000000" w:themeColor="text1"/>
        </w:rPr>
        <w:t>,</w:t>
      </w:r>
      <w:r w:rsidR="00661C31" w:rsidRPr="0007272F">
        <w:rPr>
          <w:rFonts w:ascii="Arial" w:hAnsi="Arial" w:cs="Arial"/>
          <w:color w:val="000000" w:themeColor="text1"/>
        </w:rPr>
        <w:t xml:space="preserve"> tal como se aprecia en el gráfico </w:t>
      </w:r>
      <w:r w:rsidR="0007272F" w:rsidRPr="0007272F">
        <w:rPr>
          <w:rFonts w:ascii="Arial" w:hAnsi="Arial" w:cs="Arial"/>
          <w:color w:val="000000" w:themeColor="text1"/>
        </w:rPr>
        <w:t>3</w:t>
      </w:r>
      <w:r w:rsidRPr="0007272F">
        <w:rPr>
          <w:rFonts w:ascii="Arial" w:hAnsi="Arial" w:cs="Arial"/>
          <w:color w:val="000000" w:themeColor="text1"/>
        </w:rPr>
        <w:t xml:space="preserve">, en el año 2013, las exportaciones alcanzaron su punto máximo en este período con un valor de 130,023.8 miles de USD, esto debido a un aumento en las exportaciones de óxidos e hidróxidos de hierro desde el 2011. Sin embargo, también se identifican años de menor crecimiento o incluso </w:t>
      </w:r>
      <w:r w:rsidRPr="0007272F">
        <w:rPr>
          <w:rFonts w:ascii="Arial" w:hAnsi="Arial" w:cs="Arial"/>
          <w:color w:val="000000" w:themeColor="text1"/>
        </w:rPr>
        <w:lastRenderedPageBreak/>
        <w:t>disminución en las exportaciones, como en el año 2022, donde el valor exportado fue de11.377,6 miles de USD.</w:t>
      </w:r>
    </w:p>
    <w:p w14:paraId="22C82601" w14:textId="74CDC849" w:rsidR="0007272F" w:rsidRPr="003F24D7" w:rsidRDefault="0007272F" w:rsidP="00795AAA">
      <w:pPr>
        <w:pStyle w:val="Descripcin"/>
        <w:keepNext/>
        <w:spacing w:line="360" w:lineRule="auto"/>
        <w:rPr>
          <w:rFonts w:ascii="Arial" w:hAnsi="Arial" w:cs="Arial"/>
          <w:color w:val="000000" w:themeColor="text1"/>
          <w:sz w:val="24"/>
          <w:szCs w:val="24"/>
          <w:lang w:val="es-MX"/>
        </w:rPr>
      </w:pPr>
      <w:bookmarkStart w:id="47" w:name="_Toc215907244"/>
      <w:r w:rsidRPr="006E1F69">
        <w:rPr>
          <w:rFonts w:ascii="Arial" w:hAnsi="Arial" w:cs="Arial"/>
          <w:b/>
          <w:bCs/>
          <w:color w:val="000000" w:themeColor="text1"/>
          <w:sz w:val="24"/>
          <w:szCs w:val="24"/>
        </w:rPr>
        <w:t xml:space="preserve">Gráfico </w:t>
      </w:r>
      <w:r w:rsidRPr="006E1F69">
        <w:rPr>
          <w:rFonts w:ascii="Arial" w:hAnsi="Arial" w:cs="Arial"/>
          <w:b/>
          <w:bCs/>
          <w:color w:val="000000" w:themeColor="text1"/>
          <w:sz w:val="24"/>
          <w:szCs w:val="24"/>
        </w:rPr>
        <w:fldChar w:fldCharType="begin"/>
      </w:r>
      <w:r w:rsidRPr="006E1F69">
        <w:rPr>
          <w:rFonts w:ascii="Arial" w:hAnsi="Arial" w:cs="Arial"/>
          <w:b/>
          <w:bCs/>
          <w:color w:val="000000" w:themeColor="text1"/>
          <w:sz w:val="24"/>
          <w:szCs w:val="24"/>
        </w:rPr>
        <w:instrText xml:space="preserve"> SEQ Gráfico \* ARABIC </w:instrText>
      </w:r>
      <w:r w:rsidRPr="006E1F69">
        <w:rPr>
          <w:rFonts w:ascii="Arial" w:hAnsi="Arial" w:cs="Arial"/>
          <w:b/>
          <w:bCs/>
          <w:color w:val="000000" w:themeColor="text1"/>
          <w:sz w:val="24"/>
          <w:szCs w:val="24"/>
        </w:rPr>
        <w:fldChar w:fldCharType="separate"/>
      </w:r>
      <w:r w:rsidR="00C41F6F" w:rsidRPr="006E1F69">
        <w:rPr>
          <w:rFonts w:ascii="Arial" w:hAnsi="Arial" w:cs="Arial"/>
          <w:b/>
          <w:bCs/>
          <w:noProof/>
          <w:color w:val="000000" w:themeColor="text1"/>
          <w:sz w:val="24"/>
          <w:szCs w:val="24"/>
        </w:rPr>
        <w:t>3</w:t>
      </w:r>
      <w:r w:rsidRPr="006E1F69">
        <w:rPr>
          <w:rFonts w:ascii="Arial" w:hAnsi="Arial" w:cs="Arial"/>
          <w:b/>
          <w:bCs/>
          <w:color w:val="000000" w:themeColor="text1"/>
          <w:sz w:val="24"/>
          <w:szCs w:val="24"/>
        </w:rPr>
        <w:fldChar w:fldCharType="end"/>
      </w:r>
      <w:r w:rsidR="000C18EE" w:rsidRPr="006E1F69">
        <w:rPr>
          <w:rFonts w:ascii="Arial" w:hAnsi="Arial" w:cs="Arial"/>
          <w:b/>
          <w:bCs/>
          <w:color w:val="000000" w:themeColor="text1"/>
          <w:sz w:val="24"/>
          <w:szCs w:val="24"/>
        </w:rPr>
        <w:t xml:space="preserve"> </w:t>
      </w:r>
      <w:r w:rsidRPr="006E1F69">
        <w:rPr>
          <w:rFonts w:ascii="Arial" w:hAnsi="Arial" w:cs="Arial"/>
          <w:color w:val="000000" w:themeColor="text1"/>
          <w:sz w:val="24"/>
          <w:szCs w:val="24"/>
          <w:lang w:val="es-MX"/>
        </w:rPr>
        <w:t xml:space="preserve"> Exportaciones de Honduras y China</w:t>
      </w:r>
      <w:bookmarkEnd w:id="47"/>
    </w:p>
    <w:p w14:paraId="7366CBF4" w14:textId="4170C53C" w:rsidR="0007272F" w:rsidRPr="003F24D7" w:rsidRDefault="0007272F" w:rsidP="00795AAA">
      <w:pPr>
        <w:pStyle w:val="Descripcin"/>
        <w:keepNext/>
        <w:spacing w:line="360" w:lineRule="auto"/>
        <w:rPr>
          <w:rFonts w:ascii="Arial" w:hAnsi="Arial" w:cs="Arial"/>
          <w:color w:val="000000" w:themeColor="text1"/>
          <w:sz w:val="24"/>
          <w:szCs w:val="24"/>
          <w:lang w:val="es-MX"/>
        </w:rPr>
      </w:pPr>
      <w:r w:rsidRPr="003F24D7">
        <w:rPr>
          <w:rFonts w:ascii="Arial" w:hAnsi="Arial" w:cs="Arial"/>
          <w:color w:val="000000" w:themeColor="text1"/>
          <w:sz w:val="24"/>
          <w:szCs w:val="24"/>
          <w:lang w:val="es-MX"/>
        </w:rPr>
        <w:t xml:space="preserve"> (</w:t>
      </w:r>
      <w:r>
        <w:rPr>
          <w:rFonts w:ascii="Arial" w:hAnsi="Arial" w:cs="Arial"/>
          <w:color w:val="000000" w:themeColor="text1"/>
          <w:sz w:val="24"/>
          <w:szCs w:val="24"/>
          <w:lang w:val="es-MX"/>
        </w:rPr>
        <w:t>Miles</w:t>
      </w:r>
      <w:r w:rsidRPr="003F24D7">
        <w:rPr>
          <w:rFonts w:ascii="Arial" w:hAnsi="Arial" w:cs="Arial"/>
          <w:color w:val="000000" w:themeColor="text1"/>
          <w:sz w:val="24"/>
          <w:szCs w:val="24"/>
          <w:lang w:val="es-MX"/>
        </w:rPr>
        <w:t xml:space="preserve"> de dólares estadounidenses)</w:t>
      </w:r>
    </w:p>
    <w:p w14:paraId="49AB3671" w14:textId="092DF194" w:rsidR="0007272F" w:rsidRPr="00F73FAA" w:rsidRDefault="0007272F" w:rsidP="0007272F">
      <w:pPr>
        <w:rPr>
          <w:lang w:val="es-MX"/>
        </w:rPr>
      </w:pPr>
      <w:r>
        <w:rPr>
          <w:noProof/>
          <w14:ligatures w14:val="standardContextual"/>
        </w:rPr>
        <w:drawing>
          <wp:inline distT="0" distB="0" distL="0" distR="0" wp14:anchorId="42997FED" wp14:editId="62D63441">
            <wp:extent cx="5515583" cy="3229583"/>
            <wp:effectExtent l="0" t="0" r="0" b="0"/>
            <wp:docPr id="114248796" name="Gráfico 1">
              <a:extLst xmlns:a="http://schemas.openxmlformats.org/drawingml/2006/main">
                <a:ext uri="{FF2B5EF4-FFF2-40B4-BE49-F238E27FC236}">
                  <a16:creationId xmlns:a16="http://schemas.microsoft.com/office/drawing/2014/main" id="{F5CBFE18-452C-2445-213A-33EEC65514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8546EFB" w14:textId="77777777" w:rsidR="0007272F" w:rsidRPr="001A6B7B" w:rsidRDefault="0007272F" w:rsidP="0007272F">
      <w:pPr>
        <w:rPr>
          <w:rFonts w:ascii="Arial" w:hAnsi="Arial" w:cs="Arial"/>
        </w:rPr>
      </w:pPr>
    </w:p>
    <w:p w14:paraId="6A327C88" w14:textId="77777777" w:rsidR="0007272F" w:rsidRPr="001A6B7B" w:rsidRDefault="0007272F" w:rsidP="0007272F">
      <w:pPr>
        <w:rPr>
          <w:rFonts w:ascii="Arial" w:hAnsi="Arial" w:cs="Arial"/>
        </w:rPr>
      </w:pPr>
      <w:r w:rsidRPr="001A6B7B">
        <w:rPr>
          <w:rFonts w:ascii="Arial" w:hAnsi="Arial" w:cs="Arial"/>
        </w:rPr>
        <w:t>Fuente: Elaboración propia con datos de</w:t>
      </w:r>
      <w:r>
        <w:rPr>
          <w:rFonts w:ascii="Arial" w:hAnsi="Arial" w:cs="Arial"/>
        </w:rPr>
        <w:t xml:space="preserve"> la</w:t>
      </w:r>
      <w:r w:rsidRPr="001A6B7B">
        <w:rPr>
          <w:rFonts w:ascii="Arial" w:hAnsi="Arial" w:cs="Arial"/>
        </w:rPr>
        <w:t xml:space="preserve"> SIECA</w:t>
      </w:r>
    </w:p>
    <w:p w14:paraId="7D557428" w14:textId="77777777" w:rsidR="0007272F" w:rsidRPr="001A6B7B" w:rsidRDefault="0007272F" w:rsidP="00015050">
      <w:pPr>
        <w:spacing w:after="240" w:line="360" w:lineRule="auto"/>
        <w:jc w:val="both"/>
        <w:rPr>
          <w:rFonts w:ascii="Arial" w:hAnsi="Arial" w:cs="Arial"/>
        </w:rPr>
      </w:pPr>
    </w:p>
    <w:p w14:paraId="50E8BF50" w14:textId="77777777" w:rsidR="00015050" w:rsidRDefault="005E696D" w:rsidP="00015050">
      <w:pPr>
        <w:spacing w:after="240" w:line="360" w:lineRule="auto"/>
        <w:rPr>
          <w:rFonts w:ascii="Arial" w:hAnsi="Arial" w:cs="Arial"/>
          <w:b/>
          <w:bCs/>
          <w:sz w:val="28"/>
          <w:szCs w:val="28"/>
          <w:shd w:val="clear" w:color="auto" w:fill="FFFFFF"/>
        </w:rPr>
      </w:pPr>
      <w:r w:rsidRPr="001A6B7B">
        <w:rPr>
          <w:rFonts w:ascii="Arial" w:hAnsi="Arial" w:cs="Arial"/>
          <w:b/>
          <w:bCs/>
          <w:sz w:val="28"/>
          <w:szCs w:val="28"/>
          <w:shd w:val="clear" w:color="auto" w:fill="FFFFFF"/>
        </w:rPr>
        <w:t xml:space="preserve">Principales Productos </w:t>
      </w:r>
      <w:r w:rsidRPr="00901A80">
        <w:rPr>
          <w:rFonts w:ascii="Arial" w:hAnsi="Arial" w:cs="Arial"/>
          <w:b/>
          <w:bCs/>
          <w:sz w:val="28"/>
          <w:szCs w:val="28"/>
          <w:shd w:val="clear" w:color="auto" w:fill="FFFFFF"/>
        </w:rPr>
        <w:t>Comercia</w:t>
      </w:r>
      <w:r w:rsidR="001A6B7B" w:rsidRPr="00901A80">
        <w:rPr>
          <w:rFonts w:ascii="Arial" w:hAnsi="Arial" w:cs="Arial"/>
          <w:b/>
          <w:bCs/>
          <w:sz w:val="28"/>
          <w:szCs w:val="28"/>
          <w:shd w:val="clear" w:color="auto" w:fill="FFFFFF"/>
        </w:rPr>
        <w:t>liza</w:t>
      </w:r>
      <w:r w:rsidRPr="00901A80">
        <w:rPr>
          <w:rFonts w:ascii="Arial" w:hAnsi="Arial" w:cs="Arial"/>
          <w:b/>
          <w:bCs/>
          <w:sz w:val="28"/>
          <w:szCs w:val="28"/>
          <w:shd w:val="clear" w:color="auto" w:fill="FFFFFF"/>
        </w:rPr>
        <w:t>dos</w:t>
      </w:r>
    </w:p>
    <w:p w14:paraId="6E16AE7B" w14:textId="77309CDE" w:rsidR="00A12D04" w:rsidRDefault="00A12D04" w:rsidP="00A12D04">
      <w:pPr>
        <w:spacing w:after="240" w:line="360" w:lineRule="auto"/>
        <w:jc w:val="both"/>
        <w:rPr>
          <w:rFonts w:ascii="Arial" w:hAnsi="Arial" w:cs="Arial"/>
        </w:rPr>
      </w:pPr>
      <w:r w:rsidRPr="00A12D04">
        <w:rPr>
          <w:rFonts w:ascii="Arial" w:hAnsi="Arial" w:cs="Arial"/>
        </w:rPr>
        <w:t>Durante el período comprendido entre 2000 y 2024, los datos del Sistema de Integración Económica Centroamericana (SIECA) permiten identificar las principales categorías que han liderado las exportaciones hondureñas hacia China. Si bien en ciertos momentos del período se percibe una rotación en los sectores predominantes, los datos no reflejan una diversificación sostenida de largo plazo. Por el contrario, los últimos años evidencian una fuerte concentración en un solo producto: los óxidos e hidróxidos de hierro, que en 2022 y 2024 representaron una abrumadora mayoría del total exportado (Gráfico 4).</w:t>
      </w:r>
      <w:r>
        <w:rPr>
          <w:rFonts w:ascii="Arial" w:hAnsi="Arial" w:cs="Arial"/>
        </w:rPr>
        <w:t xml:space="preserve"> </w:t>
      </w:r>
    </w:p>
    <w:p w14:paraId="2DE08025" w14:textId="77777777" w:rsidR="00754B8E" w:rsidRDefault="00A12D04" w:rsidP="00754B8E">
      <w:pPr>
        <w:spacing w:line="360" w:lineRule="auto"/>
        <w:jc w:val="both"/>
        <w:rPr>
          <w:rFonts w:ascii="Arial" w:hAnsi="Arial" w:cs="Arial"/>
        </w:rPr>
      </w:pPr>
      <w:r w:rsidRPr="006E1F69">
        <w:rPr>
          <w:rFonts w:ascii="Arial" w:hAnsi="Arial" w:cs="Arial"/>
        </w:rPr>
        <w:t>En general, se observa una prominente presencia de minerales y subproductos metálicos en las exportaciones hacia China, consolidándose como el eje central del vínculo comercial. Entre</w:t>
      </w:r>
      <w:r w:rsidRPr="00A12D04">
        <w:rPr>
          <w:rFonts w:ascii="Arial" w:hAnsi="Arial" w:cs="Arial"/>
        </w:rPr>
        <w:t xml:space="preserve"> los rubros más relevantes destacan los desperdicios </w:t>
      </w:r>
      <w:r w:rsidRPr="00A12D04">
        <w:rPr>
          <w:rFonts w:ascii="Arial" w:hAnsi="Arial" w:cs="Arial"/>
        </w:rPr>
        <w:lastRenderedPageBreak/>
        <w:t>y desechos de aluminio, así como los minerales de plomo, cobre, cinc y los metales preciosos. Estos productos han sido constantes en las exportaciones hondureñas a lo largo de las últimas dos décadas, aunque con participación variable según el año. A ello se suma el crecimiento reciente de las exportaciones de desperdicios y desechos de cobre, especialmente desde 2019, lo cual evidencia una valorización creciente de este subproducto en el mercado chino y sugiere un interés estratégico por parte de China en minerales también en Centroamérica.</w:t>
      </w:r>
    </w:p>
    <w:p w14:paraId="2B787C96" w14:textId="2005FB88" w:rsidR="00A12D04" w:rsidRPr="00A12D04" w:rsidRDefault="00A12D04" w:rsidP="00754B8E">
      <w:pPr>
        <w:spacing w:line="360" w:lineRule="auto"/>
        <w:jc w:val="both"/>
        <w:rPr>
          <w:rFonts w:ascii="Arial" w:hAnsi="Arial" w:cs="Arial"/>
        </w:rPr>
      </w:pPr>
      <w:r>
        <w:rPr>
          <w:rFonts w:ascii="Arial" w:hAnsi="Arial" w:cs="Arial"/>
        </w:rPr>
        <w:br/>
      </w:r>
      <w:bookmarkStart w:id="48" w:name="_Toc215907245"/>
      <w:r w:rsidRPr="001A6B7B">
        <w:rPr>
          <w:rFonts w:ascii="Arial" w:hAnsi="Arial" w:cs="Arial"/>
          <w:b/>
          <w:bCs/>
          <w:color w:val="000000" w:themeColor="text1"/>
        </w:rPr>
        <w:t xml:space="preserve">Gráfico </w:t>
      </w:r>
      <w:r w:rsidRPr="001A6B7B">
        <w:rPr>
          <w:rFonts w:ascii="Arial" w:hAnsi="Arial" w:cs="Arial"/>
          <w:b/>
          <w:bCs/>
          <w:color w:val="000000" w:themeColor="text1"/>
        </w:rPr>
        <w:fldChar w:fldCharType="begin"/>
      </w:r>
      <w:r w:rsidRPr="001A6B7B">
        <w:rPr>
          <w:rFonts w:ascii="Arial" w:hAnsi="Arial" w:cs="Arial"/>
          <w:b/>
          <w:bCs/>
          <w:color w:val="000000" w:themeColor="text1"/>
        </w:rPr>
        <w:instrText xml:space="preserve"> SEQ Gráfico \* ARABIC </w:instrText>
      </w:r>
      <w:r w:rsidRPr="001A6B7B">
        <w:rPr>
          <w:rFonts w:ascii="Arial" w:hAnsi="Arial" w:cs="Arial"/>
          <w:b/>
          <w:bCs/>
          <w:color w:val="000000" w:themeColor="text1"/>
        </w:rPr>
        <w:fldChar w:fldCharType="separate"/>
      </w:r>
      <w:r w:rsidR="00C41F6F">
        <w:rPr>
          <w:rFonts w:ascii="Arial" w:hAnsi="Arial" w:cs="Arial"/>
          <w:b/>
          <w:bCs/>
          <w:noProof/>
          <w:color w:val="000000" w:themeColor="text1"/>
        </w:rPr>
        <w:t>4</w:t>
      </w:r>
      <w:r w:rsidRPr="001A6B7B">
        <w:rPr>
          <w:rFonts w:ascii="Arial" w:hAnsi="Arial" w:cs="Arial"/>
          <w:b/>
          <w:bCs/>
          <w:color w:val="000000" w:themeColor="text1"/>
        </w:rPr>
        <w:fldChar w:fldCharType="end"/>
      </w:r>
      <w:r w:rsidRPr="001A6B7B">
        <w:rPr>
          <w:rFonts w:ascii="Arial" w:hAnsi="Arial" w:cs="Arial"/>
          <w:b/>
          <w:bCs/>
          <w:color w:val="000000" w:themeColor="text1"/>
        </w:rPr>
        <w:t xml:space="preserve"> </w:t>
      </w:r>
      <w:r w:rsidRPr="00795AAA">
        <w:rPr>
          <w:rFonts w:ascii="Arial" w:hAnsi="Arial" w:cs="Arial"/>
          <w:i/>
          <w:iCs/>
          <w:color w:val="000000" w:themeColor="text1"/>
        </w:rPr>
        <w:t>Participación de los principales sectores en las exportaciones hacia</w:t>
      </w:r>
      <w:r w:rsidR="00795AAA">
        <w:rPr>
          <w:rFonts w:ascii="Arial" w:hAnsi="Arial" w:cs="Arial"/>
          <w:i/>
          <w:iCs/>
          <w:color w:val="000000" w:themeColor="text1"/>
        </w:rPr>
        <w:t xml:space="preserve"> </w:t>
      </w:r>
      <w:r w:rsidRPr="00795AAA">
        <w:rPr>
          <w:rFonts w:ascii="Arial" w:hAnsi="Arial" w:cs="Arial"/>
          <w:i/>
          <w:iCs/>
          <w:color w:val="000000" w:themeColor="text1"/>
        </w:rPr>
        <w:t>China 2000-2024</w:t>
      </w:r>
      <w:bookmarkEnd w:id="48"/>
    </w:p>
    <w:p w14:paraId="48504FC6" w14:textId="77777777" w:rsidR="00A12D04" w:rsidRPr="00F80107" w:rsidRDefault="00A12D04" w:rsidP="00A12D04">
      <w:r>
        <w:rPr>
          <w:noProof/>
          <w14:ligatures w14:val="standardContextual"/>
        </w:rPr>
        <w:drawing>
          <wp:inline distT="0" distB="0" distL="0" distR="0" wp14:anchorId="142F4874" wp14:editId="3D28D0C1">
            <wp:extent cx="5709920" cy="5474600"/>
            <wp:effectExtent l="0" t="0" r="0" b="0"/>
            <wp:docPr id="294209054" name="Gráfico 1">
              <a:extLst xmlns:a="http://schemas.openxmlformats.org/drawingml/2006/main">
                <a:ext uri="{FF2B5EF4-FFF2-40B4-BE49-F238E27FC236}">
                  <a16:creationId xmlns:a16="http://schemas.microsoft.com/office/drawing/2014/main" id="{11CB51BC-656B-5C6D-DF02-544C576E2F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C112B22" w14:textId="77777777" w:rsidR="00A12D04" w:rsidRDefault="00A12D04" w:rsidP="00A12D04">
      <w:pPr>
        <w:rPr>
          <w:rFonts w:ascii="Arial" w:hAnsi="Arial" w:cs="Arial"/>
        </w:rPr>
      </w:pPr>
      <w:r w:rsidRPr="001A6B7B">
        <w:rPr>
          <w:rFonts w:ascii="Arial" w:hAnsi="Arial" w:cs="Arial"/>
        </w:rPr>
        <w:t xml:space="preserve"> Fuente: Elaboración propia con datos </w:t>
      </w:r>
      <w:r>
        <w:rPr>
          <w:rFonts w:ascii="Arial" w:hAnsi="Arial" w:cs="Arial"/>
        </w:rPr>
        <w:t>de la SIECA</w:t>
      </w:r>
    </w:p>
    <w:p w14:paraId="5D35D4FB" w14:textId="49B086C6" w:rsidR="004052AE" w:rsidRDefault="004052AE" w:rsidP="00A12D04">
      <w:pPr>
        <w:spacing w:after="240" w:line="360" w:lineRule="auto"/>
        <w:jc w:val="both"/>
        <w:rPr>
          <w:rFonts w:ascii="Arial" w:hAnsi="Arial" w:cs="Arial"/>
        </w:rPr>
      </w:pPr>
    </w:p>
    <w:p w14:paraId="7A6856C6" w14:textId="2A47E7EB" w:rsidR="00A12D04" w:rsidRDefault="00A12D04" w:rsidP="00A12D04">
      <w:pPr>
        <w:pStyle w:val="Descripcin"/>
        <w:keepNext/>
        <w:spacing w:line="360" w:lineRule="auto"/>
        <w:jc w:val="both"/>
        <w:rPr>
          <w:rFonts w:ascii="Arial" w:hAnsi="Arial" w:cs="Arial"/>
          <w:i w:val="0"/>
          <w:iCs w:val="0"/>
          <w:color w:val="auto"/>
          <w:sz w:val="24"/>
          <w:szCs w:val="24"/>
        </w:rPr>
      </w:pPr>
      <w:r w:rsidRPr="00A12D04">
        <w:rPr>
          <w:rFonts w:ascii="Arial" w:hAnsi="Arial" w:cs="Arial"/>
          <w:i w:val="0"/>
          <w:iCs w:val="0"/>
          <w:color w:val="auto"/>
          <w:sz w:val="24"/>
          <w:szCs w:val="24"/>
        </w:rPr>
        <w:lastRenderedPageBreak/>
        <w:t>Más allá de los sectores metálicos, algunos productos agrícolas han logrado insertarse de forma parcial en el comercio bilateral. En particular, el café tostado o descafeinado muestra una participación más modesta pero relativamente sostenida, con exportaciones regulares desde 2010 y un crecimiento destacado en 2024, donde superó los 12 millones de dólares en envíos (ver Gráfico 5)</w:t>
      </w:r>
      <w:r w:rsidR="00E70674">
        <w:rPr>
          <w:rFonts w:ascii="Arial" w:hAnsi="Arial" w:cs="Arial"/>
          <w:i w:val="0"/>
          <w:iCs w:val="0"/>
          <w:color w:val="auto"/>
          <w:sz w:val="24"/>
          <w:szCs w:val="24"/>
        </w:rPr>
        <w:t xml:space="preserve"> resultado del acuerdo de Cosecha Temprana entre ambos países</w:t>
      </w:r>
      <w:r w:rsidRPr="00A12D04">
        <w:rPr>
          <w:rFonts w:ascii="Arial" w:hAnsi="Arial" w:cs="Arial"/>
          <w:i w:val="0"/>
          <w:iCs w:val="0"/>
          <w:color w:val="auto"/>
          <w:sz w:val="24"/>
          <w:szCs w:val="24"/>
        </w:rPr>
        <w:t xml:space="preserve">. Este comportamiento contrasta con el del azúcar de caña, cuyas exportaciones se concentran en apenas tres años del período (2005, 2020 y 2021), lo que impide considerarlo como un producto con inserción estable. La visualización de este comportamiento en el Gráfico </w:t>
      </w:r>
      <w:r w:rsidR="00E70674">
        <w:rPr>
          <w:rFonts w:ascii="Arial" w:hAnsi="Arial" w:cs="Arial"/>
          <w:i w:val="0"/>
          <w:iCs w:val="0"/>
          <w:color w:val="auto"/>
          <w:sz w:val="24"/>
          <w:szCs w:val="24"/>
        </w:rPr>
        <w:t>5</w:t>
      </w:r>
      <w:r w:rsidRPr="00A12D04">
        <w:rPr>
          <w:rFonts w:ascii="Arial" w:hAnsi="Arial" w:cs="Arial"/>
          <w:i w:val="0"/>
          <w:iCs w:val="0"/>
          <w:color w:val="auto"/>
          <w:sz w:val="24"/>
          <w:szCs w:val="24"/>
        </w:rPr>
        <w:t xml:space="preserve"> permite constatar que, si bien el azúcar ha generado picos ocasionales de alto valor, su comportamiento es intermitente y no representa una tendencia de mediano plazo.</w:t>
      </w:r>
    </w:p>
    <w:p w14:paraId="2E995AA8" w14:textId="77777777" w:rsidR="007412B4" w:rsidRPr="007412B4" w:rsidRDefault="007412B4" w:rsidP="007412B4"/>
    <w:p w14:paraId="38B85338" w14:textId="77777777" w:rsidR="00795AAA" w:rsidRDefault="00430280" w:rsidP="00795AAA">
      <w:pPr>
        <w:pStyle w:val="Descripcin"/>
        <w:keepNext/>
        <w:spacing w:line="360" w:lineRule="auto"/>
        <w:rPr>
          <w:rFonts w:ascii="Arial" w:hAnsi="Arial" w:cs="Arial"/>
          <w:color w:val="000000" w:themeColor="text1"/>
          <w:sz w:val="24"/>
          <w:szCs w:val="24"/>
          <w:lang w:val="es-MX"/>
        </w:rPr>
      </w:pPr>
      <w:bookmarkStart w:id="49" w:name="_Toc215907246"/>
      <w:r w:rsidRPr="003F24D7">
        <w:rPr>
          <w:rFonts w:ascii="Arial" w:hAnsi="Arial" w:cs="Arial"/>
          <w:b/>
          <w:bCs/>
          <w:color w:val="000000" w:themeColor="text1"/>
          <w:sz w:val="24"/>
          <w:szCs w:val="24"/>
        </w:rPr>
        <w:t xml:space="preserve">Gráfico </w:t>
      </w:r>
      <w:r w:rsidRPr="003F24D7">
        <w:rPr>
          <w:rFonts w:ascii="Arial" w:hAnsi="Arial" w:cs="Arial"/>
          <w:b/>
          <w:bCs/>
          <w:color w:val="000000" w:themeColor="text1"/>
          <w:sz w:val="24"/>
          <w:szCs w:val="24"/>
        </w:rPr>
        <w:fldChar w:fldCharType="begin"/>
      </w:r>
      <w:r w:rsidRPr="003F24D7">
        <w:rPr>
          <w:rFonts w:ascii="Arial" w:hAnsi="Arial" w:cs="Arial"/>
          <w:b/>
          <w:bCs/>
          <w:color w:val="000000" w:themeColor="text1"/>
          <w:sz w:val="24"/>
          <w:szCs w:val="24"/>
        </w:rPr>
        <w:instrText xml:space="preserve"> SEQ Gráfico \* ARABIC </w:instrText>
      </w:r>
      <w:r w:rsidRPr="003F24D7">
        <w:rPr>
          <w:rFonts w:ascii="Arial" w:hAnsi="Arial" w:cs="Arial"/>
          <w:b/>
          <w:bCs/>
          <w:color w:val="000000" w:themeColor="text1"/>
          <w:sz w:val="24"/>
          <w:szCs w:val="24"/>
        </w:rPr>
        <w:fldChar w:fldCharType="separate"/>
      </w:r>
      <w:r w:rsidR="00C41F6F">
        <w:rPr>
          <w:rFonts w:ascii="Arial" w:hAnsi="Arial" w:cs="Arial"/>
          <w:b/>
          <w:bCs/>
          <w:noProof/>
          <w:color w:val="000000" w:themeColor="text1"/>
          <w:sz w:val="24"/>
          <w:szCs w:val="24"/>
        </w:rPr>
        <w:t>5</w:t>
      </w:r>
      <w:r w:rsidRPr="003F24D7">
        <w:rPr>
          <w:rFonts w:ascii="Arial" w:hAnsi="Arial" w:cs="Arial"/>
          <w:b/>
          <w:bCs/>
          <w:color w:val="000000" w:themeColor="text1"/>
          <w:sz w:val="24"/>
          <w:szCs w:val="24"/>
        </w:rPr>
        <w:fldChar w:fldCharType="end"/>
      </w:r>
      <w:r w:rsidRPr="003F24D7">
        <w:rPr>
          <w:rFonts w:ascii="Arial" w:hAnsi="Arial" w:cs="Arial"/>
          <w:b/>
          <w:bCs/>
          <w:color w:val="000000" w:themeColor="text1"/>
          <w:sz w:val="24"/>
          <w:szCs w:val="24"/>
        </w:rPr>
        <w:t xml:space="preserve"> </w:t>
      </w:r>
      <w:r w:rsidRPr="003F24D7">
        <w:rPr>
          <w:rFonts w:ascii="Arial" w:hAnsi="Arial" w:cs="Arial"/>
          <w:color w:val="000000" w:themeColor="text1"/>
          <w:sz w:val="24"/>
          <w:szCs w:val="24"/>
          <w:lang w:val="es-MX"/>
        </w:rPr>
        <w:t xml:space="preserve">  Exportaciones </w:t>
      </w:r>
      <w:r>
        <w:rPr>
          <w:rFonts w:ascii="Arial" w:hAnsi="Arial" w:cs="Arial"/>
          <w:color w:val="000000" w:themeColor="text1"/>
          <w:sz w:val="24"/>
          <w:szCs w:val="24"/>
          <w:lang w:val="es-MX"/>
        </w:rPr>
        <w:t>de</w:t>
      </w:r>
      <w:r w:rsidRPr="003F24D7">
        <w:rPr>
          <w:rFonts w:ascii="Arial" w:hAnsi="Arial" w:cs="Arial"/>
          <w:color w:val="000000" w:themeColor="text1"/>
          <w:sz w:val="24"/>
          <w:szCs w:val="24"/>
          <w:lang w:val="es-MX"/>
        </w:rPr>
        <w:t xml:space="preserve"> Honduras </w:t>
      </w:r>
      <w:r>
        <w:rPr>
          <w:rFonts w:ascii="Arial" w:hAnsi="Arial" w:cs="Arial"/>
          <w:color w:val="000000" w:themeColor="text1"/>
          <w:sz w:val="24"/>
          <w:szCs w:val="24"/>
          <w:lang w:val="es-MX"/>
        </w:rPr>
        <w:t>hacia</w:t>
      </w:r>
      <w:r w:rsidRPr="003F24D7">
        <w:rPr>
          <w:rFonts w:ascii="Arial" w:hAnsi="Arial" w:cs="Arial"/>
          <w:color w:val="000000" w:themeColor="text1"/>
          <w:sz w:val="24"/>
          <w:szCs w:val="24"/>
          <w:lang w:val="es-MX"/>
        </w:rPr>
        <w:t xml:space="preserve"> China</w:t>
      </w:r>
      <w:r>
        <w:rPr>
          <w:rFonts w:ascii="Arial" w:hAnsi="Arial" w:cs="Arial"/>
          <w:color w:val="000000" w:themeColor="text1"/>
          <w:sz w:val="24"/>
          <w:szCs w:val="24"/>
          <w:lang w:val="es-MX"/>
        </w:rPr>
        <w:t xml:space="preserve"> (Café</w:t>
      </w:r>
      <w:r w:rsidR="00A12D04">
        <w:rPr>
          <w:rFonts w:ascii="Arial" w:hAnsi="Arial" w:cs="Arial"/>
          <w:color w:val="000000" w:themeColor="text1"/>
          <w:sz w:val="24"/>
          <w:szCs w:val="24"/>
          <w:lang w:val="es-MX"/>
        </w:rPr>
        <w:t xml:space="preserve"> y Azúcar</w:t>
      </w:r>
      <w:r>
        <w:rPr>
          <w:rFonts w:ascii="Arial" w:hAnsi="Arial" w:cs="Arial"/>
          <w:color w:val="000000" w:themeColor="text1"/>
          <w:sz w:val="24"/>
          <w:szCs w:val="24"/>
          <w:lang w:val="es-MX"/>
        </w:rPr>
        <w:t>)</w:t>
      </w:r>
      <w:r w:rsidR="00A12D04">
        <w:rPr>
          <w:rFonts w:ascii="Arial" w:hAnsi="Arial" w:cs="Arial"/>
          <w:color w:val="000000" w:themeColor="text1"/>
          <w:sz w:val="24"/>
          <w:szCs w:val="24"/>
          <w:lang w:val="es-MX"/>
        </w:rPr>
        <w:t xml:space="preserve"> 2000-2024</w:t>
      </w:r>
      <w:bookmarkEnd w:id="49"/>
    </w:p>
    <w:p w14:paraId="0B9586B4" w14:textId="6701521F" w:rsidR="00430280" w:rsidRPr="00430280" w:rsidRDefault="00430280" w:rsidP="00795AAA">
      <w:pPr>
        <w:pStyle w:val="Descripcin"/>
        <w:keepNext/>
        <w:spacing w:line="360" w:lineRule="auto"/>
        <w:rPr>
          <w:rFonts w:ascii="Arial" w:hAnsi="Arial" w:cs="Arial"/>
          <w:color w:val="000000" w:themeColor="text1"/>
          <w:sz w:val="24"/>
          <w:szCs w:val="24"/>
          <w:lang w:val="es-MX"/>
        </w:rPr>
      </w:pPr>
      <w:r w:rsidRPr="003F24D7">
        <w:rPr>
          <w:rFonts w:ascii="Arial" w:hAnsi="Arial" w:cs="Arial"/>
          <w:color w:val="000000" w:themeColor="text1"/>
          <w:sz w:val="24"/>
          <w:szCs w:val="24"/>
          <w:lang w:val="es-MX"/>
        </w:rPr>
        <w:t>(</w:t>
      </w:r>
      <w:r>
        <w:rPr>
          <w:rFonts w:ascii="Arial" w:hAnsi="Arial" w:cs="Arial"/>
          <w:color w:val="000000" w:themeColor="text1"/>
          <w:sz w:val="24"/>
          <w:szCs w:val="24"/>
          <w:lang w:val="es-MX"/>
        </w:rPr>
        <w:t>Miles</w:t>
      </w:r>
      <w:r w:rsidRPr="003F24D7">
        <w:rPr>
          <w:rFonts w:ascii="Arial" w:hAnsi="Arial" w:cs="Arial"/>
          <w:color w:val="000000" w:themeColor="text1"/>
          <w:sz w:val="24"/>
          <w:szCs w:val="24"/>
          <w:lang w:val="es-MX"/>
        </w:rPr>
        <w:t xml:space="preserve"> de dólares estadounidenses)</w:t>
      </w:r>
    </w:p>
    <w:p w14:paraId="2A9C25F5" w14:textId="47A195A0" w:rsidR="00E70674" w:rsidRPr="00E70674" w:rsidRDefault="00430280" w:rsidP="00E70674">
      <w:pPr>
        <w:spacing w:after="240" w:line="360" w:lineRule="auto"/>
        <w:jc w:val="both"/>
        <w:rPr>
          <w:rFonts w:ascii="Arial" w:hAnsi="Arial" w:cs="Arial"/>
        </w:rPr>
      </w:pPr>
      <w:r>
        <w:rPr>
          <w:noProof/>
          <w14:ligatures w14:val="standardContextual"/>
        </w:rPr>
        <w:drawing>
          <wp:inline distT="0" distB="0" distL="0" distR="0" wp14:anchorId="7D622A9D" wp14:editId="5C18ACDC">
            <wp:extent cx="5564221" cy="3647873"/>
            <wp:effectExtent l="0" t="0" r="0" b="0"/>
            <wp:docPr id="793311576" name="Gráfico 1">
              <a:extLst xmlns:a="http://schemas.openxmlformats.org/drawingml/2006/main">
                <a:ext uri="{FF2B5EF4-FFF2-40B4-BE49-F238E27FC236}">
                  <a16:creationId xmlns:a16="http://schemas.microsoft.com/office/drawing/2014/main" id="{CBA8DE36-9816-15B7-E248-BC14608620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A12D04" w:rsidRPr="001A6B7B">
        <w:rPr>
          <w:rFonts w:ascii="Arial" w:hAnsi="Arial" w:cs="Arial"/>
        </w:rPr>
        <w:t>Fuente: Elaboración propia con datos de</w:t>
      </w:r>
      <w:r w:rsidR="00A12D04">
        <w:rPr>
          <w:rFonts w:ascii="Arial" w:hAnsi="Arial" w:cs="Arial"/>
        </w:rPr>
        <w:t xml:space="preserve"> la</w:t>
      </w:r>
      <w:r w:rsidR="00A12D04" w:rsidRPr="001A6B7B">
        <w:rPr>
          <w:rFonts w:ascii="Arial" w:hAnsi="Arial" w:cs="Arial"/>
        </w:rPr>
        <w:t xml:space="preserve"> SIECA</w:t>
      </w:r>
      <w:bookmarkStart w:id="50" w:name="OLE_LINK16"/>
    </w:p>
    <w:p w14:paraId="2918E66C" w14:textId="7C602CBA" w:rsidR="00493725" w:rsidRPr="00601509" w:rsidRDefault="0038383D" w:rsidP="00015050">
      <w:pPr>
        <w:spacing w:after="240" w:line="360" w:lineRule="auto"/>
        <w:rPr>
          <w:rFonts w:ascii="Arial" w:hAnsi="Arial" w:cs="Arial"/>
          <w:b/>
          <w:bCs/>
          <w:color w:val="000000" w:themeColor="text1"/>
        </w:rPr>
      </w:pPr>
      <w:bookmarkStart w:id="51" w:name="OLE_LINK19"/>
      <w:r w:rsidRPr="00601509">
        <w:rPr>
          <w:rFonts w:ascii="Arial" w:hAnsi="Arial" w:cs="Arial"/>
          <w:b/>
          <w:bCs/>
          <w:color w:val="000000" w:themeColor="text1"/>
        </w:rPr>
        <w:t>Flujos</w:t>
      </w:r>
      <w:r w:rsidR="00AE1EA2" w:rsidRPr="00601509">
        <w:rPr>
          <w:rFonts w:ascii="Arial" w:hAnsi="Arial" w:cs="Arial"/>
          <w:b/>
          <w:bCs/>
          <w:color w:val="000000" w:themeColor="text1"/>
        </w:rPr>
        <w:t xml:space="preserve"> de </w:t>
      </w:r>
      <w:r w:rsidR="00493725" w:rsidRPr="00601509">
        <w:rPr>
          <w:rFonts w:ascii="Arial" w:hAnsi="Arial" w:cs="Arial"/>
          <w:b/>
          <w:bCs/>
          <w:color w:val="000000" w:themeColor="text1"/>
        </w:rPr>
        <w:t xml:space="preserve">Inversión Extranjera Directa </w:t>
      </w:r>
      <w:r w:rsidRPr="00601509">
        <w:rPr>
          <w:rFonts w:ascii="Arial" w:hAnsi="Arial" w:cs="Arial"/>
          <w:b/>
          <w:bCs/>
          <w:color w:val="000000" w:themeColor="text1"/>
        </w:rPr>
        <w:t>entre China y Honduras</w:t>
      </w:r>
    </w:p>
    <w:p w14:paraId="45ED275F" w14:textId="2D423863" w:rsidR="00493725" w:rsidRPr="00601509" w:rsidRDefault="00493725" w:rsidP="00015050">
      <w:pPr>
        <w:spacing w:after="240" w:line="360" w:lineRule="auto"/>
        <w:jc w:val="both"/>
        <w:rPr>
          <w:rFonts w:ascii="Arial" w:hAnsi="Arial" w:cs="Arial"/>
          <w:color w:val="000000" w:themeColor="text1"/>
        </w:rPr>
      </w:pPr>
      <w:r w:rsidRPr="00601509">
        <w:rPr>
          <w:rFonts w:ascii="Arial" w:hAnsi="Arial" w:cs="Arial"/>
          <w:color w:val="000000" w:themeColor="text1"/>
        </w:rPr>
        <w:lastRenderedPageBreak/>
        <w:t>En la primera década de los años 2000, la Inversión Extranjera Directa procedente de China apenas registraba presencia</w:t>
      </w:r>
      <w:r w:rsidR="00661C31" w:rsidRPr="00601509">
        <w:rPr>
          <w:rFonts w:ascii="Arial" w:hAnsi="Arial" w:cs="Arial"/>
          <w:color w:val="000000" w:themeColor="text1"/>
        </w:rPr>
        <w:t xml:space="preserve"> en Honduras</w:t>
      </w:r>
      <w:r w:rsidRPr="00601509">
        <w:rPr>
          <w:rFonts w:ascii="Arial" w:hAnsi="Arial" w:cs="Arial"/>
          <w:color w:val="000000" w:themeColor="text1"/>
        </w:rPr>
        <w:t>, con contadas excepciones entre 2007 y 2010, alcanzando un flujo acumulado de 2.6 millones de dólares estadounidenses durante ese período.</w:t>
      </w:r>
    </w:p>
    <w:p w14:paraId="628E00B2" w14:textId="360B51B8" w:rsidR="00CA6099" w:rsidRPr="00015050" w:rsidRDefault="00493725" w:rsidP="00015050">
      <w:pPr>
        <w:spacing w:after="240" w:line="360" w:lineRule="auto"/>
        <w:jc w:val="both"/>
        <w:rPr>
          <w:rFonts w:ascii="Arial" w:hAnsi="Arial" w:cs="Arial"/>
        </w:rPr>
      </w:pPr>
      <w:r w:rsidRPr="00015050">
        <w:rPr>
          <w:rFonts w:ascii="Arial" w:hAnsi="Arial" w:cs="Arial"/>
        </w:rPr>
        <w:t>No obstante, se observa un marcado incremento en la inversión durante los años 2016 y 2017, como se evidencia en el gráfico adjunto, atribuible principalmente a los esfuerzos de China en proyectos de infraestructura, destacando la construcción de una hidroeléctrica</w:t>
      </w:r>
      <w:r w:rsidR="00E46029" w:rsidRPr="00015050">
        <w:rPr>
          <w:rFonts w:ascii="Arial" w:hAnsi="Arial" w:cs="Arial"/>
        </w:rPr>
        <w:t xml:space="preserve"> </w:t>
      </w:r>
      <w:r w:rsidR="003C2478" w:rsidRPr="00015050">
        <w:rPr>
          <w:rFonts w:ascii="Arial" w:hAnsi="Arial" w:cs="Arial"/>
        </w:rPr>
        <w:fldChar w:fldCharType="begin"/>
      </w:r>
      <w:r w:rsidR="001A6B7B" w:rsidRPr="00015050">
        <w:rPr>
          <w:rFonts w:ascii="Arial" w:hAnsi="Arial" w:cs="Arial"/>
        </w:rPr>
        <w:instrText xml:space="preserve"> ADDIN ZOTERO_ITEM CSL_CITATION {"citationID":"yk5dOPG2","properties":{"formattedCitation":"(\\uc0\\u171{}China gana terreno con inversiones millonarias en obras de Centroam\\uc0\\u233{}rica\\uc0\\u187{}, s.\\uc0\\u160{}f.; \\uc0\\u171{}Hidroel\\uc0\\u233{}ctrica en Honduras afianza presencia de China en Centroam\\uc0\\u233{}rica\\uc0\\u187{}, 2018; \\uc0\\u171{}Inter\\uc0\\u233{}s Chino en proyectos hidroel\\uc0\\u233{}ctricos en Honduras - CentralAmericaData\\uc0\\u8239{}:: Central America Data\\uc0\\u187{}, s.\\uc0\\u160{}f.)","plainCitation":"(«China gana terreno con inversiones millonarias en obras de Centroamérica», s. f.; «Hidroeléctrica en Honduras afianza presencia de China en Centroamérica», 2018; «Interés Chino en proyectos hidroeléctricos en Honduras - CentralAmericaData :: Central America Data», s. f.)","dontUpdate":true,"noteIndex":0},"citationItems":[{"id":1887,"uris":["http://zotero.org/users/10063313/items/KYLBZK6L"],"itemData":{"id":1887,"type":"article-newspaper","abstract":"Al este de Honduras se levanta una de las mayores inversiones de China en Centroamérica. La hidroeléctrica, cuyo valor total es de $350 millones, tiene casi terminadas las dos turbinas con capacidad para generar 52 megavatios/hora cada una, informa la agencia AFP. Se trata de la primera inversión de...","container-title":"Metro Libre","language":"es-PA","title":"China gana terreno con inversiones millonarias en obras de Centroamérica","URL":"https://www.metrolibre.com/cultura/china-gana-terrenocon-inversiones-millonarias-en-obrasde-centroamerica-HUML93548","accessed":{"date-parts":[["2024",2,28]]},"issued":{"date-parts":[["2019"]]}}},{"id":1888,"uris":["http://zotero.org/users/10063313/items/8PR8L4I4"],"itemData":{"id":1888,"type":"article-newspaper","abstract":"Decenas de obreros e ingenieros chinos trabajan entre las montañas del este de Honduras para levantar una hidroeléctrica, en una de las mayores inversiones de China en Centroamérica.","container-title":"La Nación","language":"es","title":"Hidroeléctrica en Honduras afianza presencia de China en Centroamérica","URL":"https://www.nacion.com/economia/negocios/hidroelectrica-en-honduras-afianza-presencia-de/6SMORTAQXBGYNK4TY4I6POTPIU/story/","accessed":{"date-parts":[["2024",2,28]]},"issued":{"date-parts":[["2018",3,26]]}}},{"id":1892,"uris":["http://zotero.org/users/10063313/items/NZQA3GWC"],"itemData":{"id":1892,"type":"article-newspaper","container-title":"Central American Data","title":"Interés Chino en proyectos hidroeléctricos en Honduras - CentralAmericaData :: Central America Data","URL":"https://www.centralamericadata.com/es/article/home/China_desarrollara_proyectos_hidroelectricos_en_Honduras","accessed":{"date-parts":[["2024",2,28]]},"issued":{"date-parts":[["2010"]]}}}],"schema":"https://github.com/citation-style-language/schema/raw/master/csl-citation.json"} </w:instrText>
      </w:r>
      <w:r w:rsidR="003C2478" w:rsidRPr="00015050">
        <w:rPr>
          <w:rFonts w:ascii="Arial" w:hAnsi="Arial" w:cs="Arial"/>
        </w:rPr>
        <w:fldChar w:fldCharType="separate"/>
      </w:r>
      <w:r w:rsidR="00E46029" w:rsidRPr="00015050">
        <w:rPr>
          <w:rFonts w:ascii="Arial" w:hAnsi="Arial" w:cs="Arial"/>
          <w:lang w:val="es-MX"/>
        </w:rPr>
        <w:t xml:space="preserve">(«China gana terreno con inversiones millonarias en obras de Centroamérica», </w:t>
      </w:r>
      <w:r w:rsidR="00B0161E" w:rsidRPr="00015050">
        <w:rPr>
          <w:rFonts w:ascii="Arial" w:hAnsi="Arial" w:cs="Arial"/>
          <w:lang w:val="es-MX"/>
        </w:rPr>
        <w:t>2019</w:t>
      </w:r>
      <w:r w:rsidR="00E46029" w:rsidRPr="00015050">
        <w:rPr>
          <w:rFonts w:ascii="Arial" w:hAnsi="Arial" w:cs="Arial"/>
          <w:lang w:val="es-MX"/>
        </w:rPr>
        <w:t>.; «Hidroeléctrica en Honduras afianza presencia de China en Centroamérica», 2018; «Interés Chino en proyectos hidroeléctricos en Honduras - Central America Data»,</w:t>
      </w:r>
      <w:r w:rsidR="00CA6099" w:rsidRPr="00015050">
        <w:rPr>
          <w:rFonts w:ascii="Arial" w:hAnsi="Arial" w:cs="Arial"/>
          <w:lang w:val="es-MX"/>
        </w:rPr>
        <w:t xml:space="preserve"> 2010</w:t>
      </w:r>
      <w:r w:rsidR="00E46029" w:rsidRPr="00015050">
        <w:rPr>
          <w:rFonts w:ascii="Arial" w:hAnsi="Arial" w:cs="Arial"/>
          <w:lang w:val="es-MX"/>
        </w:rPr>
        <w:t>)</w:t>
      </w:r>
      <w:r w:rsidR="003C2478" w:rsidRPr="00015050">
        <w:rPr>
          <w:rFonts w:ascii="Arial" w:hAnsi="Arial" w:cs="Arial"/>
        </w:rPr>
        <w:fldChar w:fldCharType="end"/>
      </w:r>
      <w:r w:rsidR="00B11697" w:rsidRPr="00015050">
        <w:rPr>
          <w:rFonts w:ascii="Arial" w:hAnsi="Arial" w:cs="Arial"/>
        </w:rPr>
        <w:t xml:space="preserve">. </w:t>
      </w:r>
    </w:p>
    <w:p w14:paraId="217D68F4" w14:textId="77777777" w:rsidR="001A6B7B" w:rsidRDefault="00493725" w:rsidP="00015050">
      <w:pPr>
        <w:spacing w:after="240" w:line="360" w:lineRule="auto"/>
        <w:jc w:val="both"/>
        <w:rPr>
          <w:rFonts w:ascii="Arial" w:hAnsi="Arial" w:cs="Arial"/>
        </w:rPr>
      </w:pPr>
      <w:r w:rsidRPr="00015050">
        <w:rPr>
          <w:rFonts w:ascii="Arial" w:hAnsi="Arial" w:cs="Arial"/>
        </w:rPr>
        <w:t>A partir de 2018, se registra una serie de flujos negativos que indican un proceso de desinversión, según los datos proporcionados por el Banco Central de Honduras, esta situación se atribuye a la concesión de créditos a subsidiarias de empresas dedicadas a materias primas agrícolas, así como a menores niveles de utilidades reinvertidas en empresas de los sectores manufacturero, de construcción y de maquila, provenientes de países como Singapur, China y Sri Lanka</w:t>
      </w:r>
      <w:r w:rsidR="00CA6099" w:rsidRPr="00015050">
        <w:rPr>
          <w:rFonts w:ascii="Arial" w:hAnsi="Arial" w:cs="Arial"/>
        </w:rPr>
        <w:t xml:space="preserve"> </w:t>
      </w:r>
      <w:r w:rsidR="00744F22" w:rsidRPr="00015050">
        <w:rPr>
          <w:rFonts w:ascii="Arial" w:hAnsi="Arial" w:cs="Arial"/>
        </w:rPr>
        <w:fldChar w:fldCharType="begin"/>
      </w:r>
      <w:r w:rsidR="00AE4508" w:rsidRPr="00015050">
        <w:rPr>
          <w:rFonts w:ascii="Arial" w:hAnsi="Arial" w:cs="Arial"/>
        </w:rPr>
        <w:instrText xml:space="preserve"> ADDIN ZOTERO_ITEM CSL_CITATION {"citationID":"vRd8pkld","properties":{"formattedCitation":"(Banco Central de Honduras, 2020)","plainCitation":"(Banco Central de Honduras, 2020)","noteIndex":0},"citationItems":[{"id":1897,"uris":["http://zotero.org/users/10063313/items/W7IAKDCM"],"itemData":{"id":1897,"type":"document","title":"Informe de Flujos de Inversión Extranjera Directa en Honduras","author":[{"family":"Banco Central de Honduras","given":""}],"issued":{"date-parts":[["2020",9]]}}}],"schema":"https://github.com/citation-style-language/schema/raw/master/csl-citation.json"} </w:instrText>
      </w:r>
      <w:r w:rsidR="00744F22" w:rsidRPr="00015050">
        <w:rPr>
          <w:rFonts w:ascii="Arial" w:hAnsi="Arial" w:cs="Arial"/>
        </w:rPr>
        <w:fldChar w:fldCharType="separate"/>
      </w:r>
      <w:r w:rsidR="00AE4508" w:rsidRPr="00015050">
        <w:rPr>
          <w:rFonts w:ascii="Arial" w:hAnsi="Arial" w:cs="Arial"/>
          <w:noProof/>
        </w:rPr>
        <w:t>(Banco Central de Honduras, 2020)</w:t>
      </w:r>
      <w:r w:rsidR="00744F22" w:rsidRPr="00015050">
        <w:rPr>
          <w:rFonts w:ascii="Arial" w:hAnsi="Arial" w:cs="Arial"/>
        </w:rPr>
        <w:fldChar w:fldCharType="end"/>
      </w:r>
      <w:r w:rsidRPr="00015050">
        <w:rPr>
          <w:rFonts w:ascii="Arial" w:hAnsi="Arial" w:cs="Arial"/>
        </w:rPr>
        <w:t xml:space="preserve">. </w:t>
      </w:r>
    </w:p>
    <w:p w14:paraId="334305BD" w14:textId="77777777" w:rsidR="00795AAA" w:rsidRDefault="001A6B7B" w:rsidP="001A6B7B">
      <w:pPr>
        <w:spacing w:after="240" w:line="360" w:lineRule="auto"/>
        <w:rPr>
          <w:rFonts w:ascii="Arial" w:hAnsi="Arial" w:cs="Arial"/>
          <w:i/>
          <w:iCs/>
          <w:color w:val="000000" w:themeColor="text1"/>
        </w:rPr>
      </w:pPr>
      <w:bookmarkStart w:id="52" w:name="_Toc215907247"/>
      <w:r w:rsidRPr="001A6B7B">
        <w:rPr>
          <w:rFonts w:ascii="Arial" w:hAnsi="Arial" w:cs="Arial"/>
          <w:b/>
          <w:bCs/>
          <w:color w:val="000000" w:themeColor="text1"/>
        </w:rPr>
        <w:t xml:space="preserve">Gráfico </w:t>
      </w:r>
      <w:r w:rsidRPr="001A6B7B">
        <w:rPr>
          <w:rFonts w:ascii="Arial" w:hAnsi="Arial" w:cs="Arial"/>
          <w:b/>
          <w:bCs/>
          <w:color w:val="000000" w:themeColor="text1"/>
        </w:rPr>
        <w:fldChar w:fldCharType="begin"/>
      </w:r>
      <w:r w:rsidRPr="001A6B7B">
        <w:rPr>
          <w:rFonts w:ascii="Arial" w:hAnsi="Arial" w:cs="Arial"/>
          <w:b/>
          <w:bCs/>
          <w:color w:val="000000" w:themeColor="text1"/>
        </w:rPr>
        <w:instrText xml:space="preserve"> SEQ Gráfico \* ARABIC </w:instrText>
      </w:r>
      <w:r w:rsidRPr="001A6B7B">
        <w:rPr>
          <w:rFonts w:ascii="Arial" w:hAnsi="Arial" w:cs="Arial"/>
          <w:b/>
          <w:bCs/>
          <w:color w:val="000000" w:themeColor="text1"/>
        </w:rPr>
        <w:fldChar w:fldCharType="separate"/>
      </w:r>
      <w:r w:rsidR="00C41F6F">
        <w:rPr>
          <w:rFonts w:ascii="Arial" w:hAnsi="Arial" w:cs="Arial"/>
          <w:b/>
          <w:bCs/>
          <w:noProof/>
          <w:color w:val="000000" w:themeColor="text1"/>
        </w:rPr>
        <w:t>6</w:t>
      </w:r>
      <w:r w:rsidRPr="001A6B7B">
        <w:rPr>
          <w:rFonts w:ascii="Arial" w:hAnsi="Arial" w:cs="Arial"/>
          <w:b/>
          <w:bCs/>
          <w:color w:val="000000" w:themeColor="text1"/>
        </w:rPr>
        <w:fldChar w:fldCharType="end"/>
      </w:r>
      <w:r w:rsidRPr="001A6B7B">
        <w:rPr>
          <w:rFonts w:ascii="Arial" w:hAnsi="Arial" w:cs="Arial"/>
          <w:b/>
          <w:bCs/>
          <w:color w:val="000000" w:themeColor="text1"/>
        </w:rPr>
        <w:t xml:space="preserve"> </w:t>
      </w:r>
      <w:r w:rsidRPr="00015050">
        <w:rPr>
          <w:rFonts w:ascii="Arial" w:hAnsi="Arial" w:cs="Arial"/>
          <w:i/>
          <w:iCs/>
          <w:color w:val="000000" w:themeColor="text1"/>
        </w:rPr>
        <w:t>Flujos de Inversión de China hacia Honduras</w:t>
      </w:r>
      <w:bookmarkEnd w:id="52"/>
      <w:r w:rsidR="00754B8E">
        <w:rPr>
          <w:rFonts w:ascii="Arial" w:hAnsi="Arial" w:cs="Arial"/>
          <w:i/>
          <w:iCs/>
          <w:color w:val="000000" w:themeColor="text1"/>
        </w:rPr>
        <w:t xml:space="preserve"> </w:t>
      </w:r>
    </w:p>
    <w:p w14:paraId="02F436EC" w14:textId="208F447C" w:rsidR="001A6B7B" w:rsidRPr="001A6B7B" w:rsidRDefault="001A6B7B" w:rsidP="001A6B7B">
      <w:pPr>
        <w:spacing w:after="240" w:line="360" w:lineRule="auto"/>
        <w:rPr>
          <w:rFonts w:ascii="Arial" w:hAnsi="Arial" w:cs="Arial"/>
        </w:rPr>
      </w:pPr>
      <w:r w:rsidRPr="00015050">
        <w:rPr>
          <w:rFonts w:ascii="Arial" w:hAnsi="Arial" w:cs="Arial"/>
          <w:i/>
          <w:iCs/>
          <w:color w:val="000000" w:themeColor="text1"/>
        </w:rPr>
        <w:t>(En millones de USD)</w:t>
      </w:r>
    </w:p>
    <w:p w14:paraId="4914B9D0" w14:textId="2C11DA07" w:rsidR="00493725" w:rsidRPr="001A6B7B" w:rsidRDefault="00493725" w:rsidP="00495A7E">
      <w:pPr>
        <w:rPr>
          <w:rFonts w:ascii="Arial" w:hAnsi="Arial" w:cs="Arial"/>
        </w:rPr>
      </w:pPr>
      <w:r w:rsidRPr="001A6B7B">
        <w:rPr>
          <w:rFonts w:ascii="Arial" w:hAnsi="Arial" w:cs="Arial"/>
          <w:noProof/>
        </w:rPr>
        <w:drawing>
          <wp:inline distT="0" distB="0" distL="0" distR="0" wp14:anchorId="43E600EE" wp14:editId="667FF429">
            <wp:extent cx="5034987" cy="2419109"/>
            <wp:effectExtent l="0" t="0" r="0" b="0"/>
            <wp:docPr id="1211699074" name="Gráfico 1">
              <a:extLst xmlns:a="http://schemas.openxmlformats.org/drawingml/2006/main">
                <a:ext uri="{FF2B5EF4-FFF2-40B4-BE49-F238E27FC236}">
                  <a16:creationId xmlns:a16="http://schemas.microsoft.com/office/drawing/2014/main" id="{F178DAB4-1806-4BC1-822C-8676C8CAF5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21A1456" w14:textId="0DDBC40F" w:rsidR="00493725" w:rsidRDefault="00AE4508" w:rsidP="00495A7E">
      <w:pPr>
        <w:rPr>
          <w:rFonts w:ascii="Arial" w:hAnsi="Arial" w:cs="Arial"/>
        </w:rPr>
      </w:pPr>
      <w:r w:rsidRPr="001A6B7B">
        <w:rPr>
          <w:rFonts w:ascii="Arial" w:hAnsi="Arial" w:cs="Arial"/>
        </w:rPr>
        <w:t xml:space="preserve">Fuente: Elaboración propia con datos </w:t>
      </w:r>
      <w:r w:rsidR="00493725" w:rsidRPr="001A6B7B">
        <w:rPr>
          <w:rFonts w:ascii="Arial" w:hAnsi="Arial" w:cs="Arial"/>
        </w:rPr>
        <w:t>Banco Central de Honduras (BHC)</w:t>
      </w:r>
    </w:p>
    <w:bookmarkEnd w:id="50"/>
    <w:p w14:paraId="24D4ECF9" w14:textId="77777777" w:rsidR="00A54AFC" w:rsidRDefault="00A54AFC" w:rsidP="00495A7E">
      <w:pPr>
        <w:rPr>
          <w:rFonts w:ascii="Arial" w:hAnsi="Arial" w:cs="Arial"/>
        </w:rPr>
      </w:pPr>
    </w:p>
    <w:p w14:paraId="1CC66803" w14:textId="77777777" w:rsidR="00A54AFC" w:rsidRPr="00015050" w:rsidRDefault="00A54AFC" w:rsidP="00495A7E">
      <w:pPr>
        <w:rPr>
          <w:rFonts w:ascii="Arial" w:hAnsi="Arial" w:cs="Arial"/>
        </w:rPr>
      </w:pPr>
    </w:p>
    <w:p w14:paraId="28C04362" w14:textId="154A0777" w:rsidR="00A92E34" w:rsidRPr="00A92E34" w:rsidRDefault="00DA2EB3">
      <w:pPr>
        <w:pStyle w:val="Ttulo2"/>
        <w:numPr>
          <w:ilvl w:val="2"/>
          <w:numId w:val="7"/>
        </w:numPr>
        <w:rPr>
          <w:rFonts w:ascii="Arial" w:hAnsi="Arial" w:cs="Arial"/>
          <w:color w:val="000000" w:themeColor="text1"/>
          <w:sz w:val="24"/>
          <w:szCs w:val="24"/>
        </w:rPr>
      </w:pPr>
      <w:bookmarkStart w:id="53" w:name="_Toc236232356"/>
      <w:bookmarkStart w:id="54" w:name="OLE_LINK13"/>
      <w:bookmarkStart w:id="55" w:name="OLE_LINK14"/>
      <w:r w:rsidRPr="003927B6">
        <w:rPr>
          <w:rFonts w:ascii="Arial" w:hAnsi="Arial" w:cs="Arial"/>
          <w:color w:val="000000" w:themeColor="text1"/>
          <w:sz w:val="24"/>
          <w:szCs w:val="24"/>
        </w:rPr>
        <w:t xml:space="preserve">Análisis Comparativo </w:t>
      </w:r>
      <w:r w:rsidR="006F2556">
        <w:rPr>
          <w:rFonts w:ascii="Arial" w:hAnsi="Arial" w:cs="Arial"/>
          <w:color w:val="000000" w:themeColor="text1"/>
          <w:sz w:val="24"/>
          <w:szCs w:val="24"/>
        </w:rPr>
        <w:t xml:space="preserve">de experiencias de TLC de Chin </w:t>
      </w:r>
      <w:r w:rsidRPr="003927B6">
        <w:rPr>
          <w:rFonts w:ascii="Arial" w:hAnsi="Arial" w:cs="Arial"/>
          <w:color w:val="000000" w:themeColor="text1"/>
          <w:sz w:val="24"/>
          <w:szCs w:val="24"/>
        </w:rPr>
        <w:t xml:space="preserve">con </w:t>
      </w:r>
      <w:r w:rsidR="006F2556">
        <w:rPr>
          <w:rFonts w:ascii="Arial" w:hAnsi="Arial" w:cs="Arial"/>
          <w:color w:val="000000" w:themeColor="text1"/>
          <w:sz w:val="24"/>
          <w:szCs w:val="24"/>
        </w:rPr>
        <w:t>p</w:t>
      </w:r>
      <w:r w:rsidRPr="003927B6">
        <w:rPr>
          <w:rFonts w:ascii="Arial" w:hAnsi="Arial" w:cs="Arial"/>
          <w:color w:val="000000" w:themeColor="text1"/>
          <w:sz w:val="24"/>
          <w:szCs w:val="24"/>
        </w:rPr>
        <w:t>aíses de América Latina</w:t>
      </w:r>
      <w:bookmarkEnd w:id="53"/>
      <w:r w:rsidR="00DE25FA" w:rsidRPr="003927B6">
        <w:rPr>
          <w:rFonts w:ascii="Arial" w:hAnsi="Arial" w:cs="Arial"/>
          <w:color w:val="000000" w:themeColor="text1"/>
          <w:sz w:val="24"/>
          <w:szCs w:val="24"/>
        </w:rPr>
        <w:t xml:space="preserve"> </w:t>
      </w:r>
      <w:bookmarkStart w:id="56" w:name="_Toc196171820"/>
    </w:p>
    <w:p w14:paraId="62AC995B" w14:textId="77777777" w:rsidR="00A92E34" w:rsidRPr="00A92E34" w:rsidRDefault="00A92E34" w:rsidP="00A92E34"/>
    <w:bookmarkEnd w:id="51"/>
    <w:bookmarkEnd w:id="56"/>
    <w:p w14:paraId="6C15EF95" w14:textId="737AA53A" w:rsidR="00A9537C" w:rsidRPr="001A6B7B" w:rsidRDefault="00A9537C" w:rsidP="00A9537C">
      <w:pPr>
        <w:rPr>
          <w:rFonts w:ascii="Arial" w:hAnsi="Arial" w:cs="Arial"/>
        </w:rPr>
      </w:pPr>
    </w:p>
    <w:p w14:paraId="3CC60EDC" w14:textId="43A74189" w:rsidR="00493725" w:rsidRPr="00EF5192" w:rsidRDefault="00493725" w:rsidP="00495A7E">
      <w:pPr>
        <w:rPr>
          <w:rFonts w:ascii="Arial" w:hAnsi="Arial" w:cs="Arial"/>
          <w:b/>
          <w:bCs/>
        </w:rPr>
      </w:pPr>
      <w:r w:rsidRPr="00EF5192">
        <w:rPr>
          <w:rFonts w:ascii="Arial" w:hAnsi="Arial" w:cs="Arial"/>
          <w:b/>
          <w:bCs/>
        </w:rPr>
        <w:t>Países</w:t>
      </w:r>
      <w:r w:rsidR="00F71D30" w:rsidRPr="00EF5192">
        <w:rPr>
          <w:rFonts w:ascii="Arial" w:hAnsi="Arial" w:cs="Arial"/>
          <w:b/>
          <w:bCs/>
        </w:rPr>
        <w:t xml:space="preserve"> con un</w:t>
      </w:r>
      <w:r w:rsidRPr="00EF5192">
        <w:rPr>
          <w:rFonts w:ascii="Arial" w:hAnsi="Arial" w:cs="Arial"/>
          <w:b/>
          <w:bCs/>
        </w:rPr>
        <w:t xml:space="preserve"> TLC vigente con China</w:t>
      </w:r>
    </w:p>
    <w:p w14:paraId="1EC2CCEC" w14:textId="77777777" w:rsidR="001A6B7B" w:rsidRPr="001A6B7B" w:rsidRDefault="001A6B7B" w:rsidP="001A6B7B">
      <w:pPr>
        <w:rPr>
          <w:rFonts w:ascii="Arial" w:hAnsi="Arial" w:cs="Arial"/>
          <w:b/>
          <w:bCs/>
        </w:rPr>
      </w:pPr>
    </w:p>
    <w:p w14:paraId="7062125A" w14:textId="3191DEFD" w:rsidR="001A6B7B" w:rsidRPr="00601509" w:rsidRDefault="001A6B7B" w:rsidP="001A6B7B">
      <w:pPr>
        <w:spacing w:after="240" w:line="360" w:lineRule="auto"/>
        <w:jc w:val="both"/>
        <w:rPr>
          <w:rFonts w:ascii="Arial" w:hAnsi="Arial" w:cs="Arial"/>
          <w:color w:val="000000" w:themeColor="text1"/>
        </w:rPr>
      </w:pPr>
      <w:r w:rsidRPr="00601509">
        <w:rPr>
          <w:rFonts w:ascii="Arial" w:hAnsi="Arial" w:cs="Arial"/>
          <w:color w:val="000000" w:themeColor="text1"/>
        </w:rPr>
        <w:t>En el presente apartado, se adentra en un análisis comparativo entre los acuerdos comerciales suscritos por otros países latinoamericanos</w:t>
      </w:r>
      <w:r w:rsidR="00661C31" w:rsidRPr="00601509">
        <w:rPr>
          <w:rFonts w:ascii="Arial" w:hAnsi="Arial" w:cs="Arial"/>
          <w:color w:val="000000" w:themeColor="text1"/>
        </w:rPr>
        <w:t xml:space="preserve"> con China</w:t>
      </w:r>
      <w:r w:rsidRPr="00601509">
        <w:rPr>
          <w:rFonts w:ascii="Arial" w:hAnsi="Arial" w:cs="Arial"/>
          <w:color w:val="000000" w:themeColor="text1"/>
        </w:rPr>
        <w:t xml:space="preserve">. Este enfoque permite una comprensión más profunda de las dinámicas comerciales entre China y la región latinoamericana. </w:t>
      </w:r>
      <w:r w:rsidR="006E1F69">
        <w:rPr>
          <w:rFonts w:ascii="Arial" w:hAnsi="Arial" w:cs="Arial"/>
          <w:color w:val="000000" w:themeColor="text1"/>
        </w:rPr>
        <w:t xml:space="preserve">Lo anterior, en respuesta al objetivo específico 2 de la presente investigación. </w:t>
      </w:r>
    </w:p>
    <w:p w14:paraId="7D86C157" w14:textId="468CA9C2" w:rsidR="001A6B7B" w:rsidRPr="001A6B7B" w:rsidRDefault="001A6B7B" w:rsidP="001A6B7B">
      <w:pPr>
        <w:spacing w:after="240" w:line="360" w:lineRule="auto"/>
        <w:jc w:val="both"/>
        <w:rPr>
          <w:rFonts w:ascii="Arial" w:hAnsi="Arial" w:cs="Arial"/>
        </w:rPr>
      </w:pPr>
      <w:r w:rsidRPr="00601509">
        <w:rPr>
          <w:rFonts w:ascii="Arial" w:hAnsi="Arial" w:cs="Arial"/>
          <w:color w:val="000000" w:themeColor="text1"/>
        </w:rPr>
        <w:t xml:space="preserve">Se examinan detalladamente aspectos clave como la relación comercial, la </w:t>
      </w:r>
      <w:r w:rsidRPr="001A6B7B">
        <w:rPr>
          <w:rFonts w:ascii="Arial" w:hAnsi="Arial" w:cs="Arial"/>
        </w:rPr>
        <w:t>balanza comercial, los flujos de Inversión Extranjera Directa y las desgravaciones sectoriales contempladas en estos tratados. Además, se investigan los convenios específicos establecidos en estos acuerdos, identificando así similitudes, diferencias y áreas de oportunidad para Honduras en el contexto de su propio TLC con China.</w:t>
      </w:r>
    </w:p>
    <w:p w14:paraId="0045F469" w14:textId="04D995E3" w:rsidR="001A6B7B" w:rsidRPr="001A6B7B" w:rsidRDefault="001A6B7B" w:rsidP="001A6B7B">
      <w:pPr>
        <w:spacing w:after="240" w:line="360" w:lineRule="auto"/>
        <w:jc w:val="both"/>
        <w:rPr>
          <w:rFonts w:ascii="Arial" w:hAnsi="Arial" w:cs="Arial"/>
        </w:rPr>
      </w:pPr>
      <w:r w:rsidRPr="001A6B7B">
        <w:rPr>
          <w:rFonts w:ascii="Arial" w:hAnsi="Arial" w:cs="Arial"/>
        </w:rPr>
        <w:t>Este análisis se concentra especialmente en los países latinoamericanos que han formalizado TLC con China, con el propósito de extraer lecciones y recomendaciones pertinentes para la implementación y gestión efectiva del acuerdo entre China y Honduras.</w:t>
      </w:r>
    </w:p>
    <w:p w14:paraId="48E817AB" w14:textId="46B46A36" w:rsidR="001A6B7B" w:rsidRPr="00601509" w:rsidRDefault="00560B5F" w:rsidP="001A6B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themeColor="text1"/>
          <w:sz w:val="28"/>
          <w:szCs w:val="28"/>
        </w:rPr>
      </w:pPr>
      <w:r w:rsidRPr="00601509">
        <w:rPr>
          <w:rFonts w:ascii="Arial" w:hAnsi="Arial" w:cs="Arial"/>
          <w:b/>
          <w:bCs/>
          <w:color w:val="000000" w:themeColor="text1"/>
          <w:sz w:val="28"/>
          <w:szCs w:val="28"/>
        </w:rPr>
        <w:t xml:space="preserve">Tratado de Libre comercio entre </w:t>
      </w:r>
      <w:r w:rsidR="001A6B7B" w:rsidRPr="00601509">
        <w:rPr>
          <w:rFonts w:ascii="Arial" w:hAnsi="Arial" w:cs="Arial"/>
          <w:b/>
          <w:bCs/>
          <w:color w:val="000000" w:themeColor="text1"/>
          <w:sz w:val="28"/>
          <w:szCs w:val="28"/>
        </w:rPr>
        <w:t>Chile</w:t>
      </w:r>
      <w:r w:rsidRPr="00601509">
        <w:rPr>
          <w:rFonts w:ascii="Arial" w:hAnsi="Arial" w:cs="Arial"/>
          <w:b/>
          <w:bCs/>
          <w:color w:val="000000" w:themeColor="text1"/>
          <w:sz w:val="28"/>
          <w:szCs w:val="28"/>
        </w:rPr>
        <w:t xml:space="preserve"> y China</w:t>
      </w:r>
      <w:r w:rsidR="001A6B7B" w:rsidRPr="00601509">
        <w:rPr>
          <w:rFonts w:ascii="Arial" w:hAnsi="Arial" w:cs="Arial"/>
          <w:b/>
          <w:bCs/>
          <w:color w:val="000000" w:themeColor="text1"/>
          <w:sz w:val="28"/>
          <w:szCs w:val="28"/>
        </w:rPr>
        <w:t xml:space="preserve">: </w:t>
      </w:r>
    </w:p>
    <w:p w14:paraId="0CCF83ED" w14:textId="77777777" w:rsidR="001A6B7B" w:rsidRPr="001A6B7B" w:rsidRDefault="001A6B7B" w:rsidP="001A6B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8"/>
          <w:szCs w:val="28"/>
        </w:rPr>
      </w:pPr>
    </w:p>
    <w:p w14:paraId="52BE49F7" w14:textId="2544D230" w:rsidR="001A6B7B" w:rsidRPr="001A6B7B" w:rsidRDefault="001A6B7B" w:rsidP="001A6B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jc w:val="both"/>
        <w:rPr>
          <w:rFonts w:ascii="Arial" w:hAnsi="Arial" w:cs="Arial"/>
        </w:rPr>
      </w:pPr>
      <w:r w:rsidRPr="001A6B7B">
        <w:rPr>
          <w:rFonts w:ascii="Arial" w:hAnsi="Arial" w:cs="Arial"/>
        </w:rPr>
        <w:t>La relación entre Chile y China ha sido históricamente significativa, marcada por hitos como el establecimiento de relaciones diplomáticas en 1970 y el respaldo chileno al ingreso de China a la OMC en 1999. Sin embargo, fue el Tratado de Libre Comercio entre ambos países, vigente desde el 1 de octubre de 2006</w:t>
      </w:r>
      <w:r>
        <w:rPr>
          <w:rFonts w:ascii="Arial" w:hAnsi="Arial" w:cs="Arial"/>
        </w:rPr>
        <w:t xml:space="preserve"> </w:t>
      </w:r>
      <w:r>
        <w:rPr>
          <w:rFonts w:ascii="Arial" w:hAnsi="Arial" w:cs="Arial"/>
        </w:rPr>
        <w:fldChar w:fldCharType="begin"/>
      </w:r>
      <w:r>
        <w:rPr>
          <w:rFonts w:ascii="Arial" w:hAnsi="Arial" w:cs="Arial"/>
        </w:rPr>
        <w:instrText xml:space="preserve"> ADDIN ZOTERO_ITEM CSL_CITATION {"citationID":"Gh17U6dY","properties":{"formattedCitation":"(Departamento de Estudios de la Direcci\\uc0\\u243{}n General de Relaciones Econ\\uc0\\u243{}micas Internacionales del Ministerio de Relaciones Exteriores de Chile, 2015)","plainCitation":"(Departamento de Estudios de la Dirección General de Relaciones Económicas Internacionales del Ministerio de Relaciones Exteriores de Chile, 2015)","noteIndex":0},"citationItems":[{"id":1905,"uris":["http://zotero.org/users/10063313/items/BPH7VUQ7"],"itemData":{"id":1905,"type":"document","title":"Análisis de las relaciones comerciales entre Chile y China en el marco del Tratado de Libre Comercio Chile-China.","author":[{"family":"Departamento de Estudios de la Dirección General de Relaciones Económicas Internacionales del Ministerio de Relaciones Exteriores de Chile","given":""}],"issued":{"date-parts":[["2015",8]]}}}],"schema":"https://github.com/citation-style-language/schema/raw/master/csl-citation.json"} </w:instrText>
      </w:r>
      <w:r>
        <w:rPr>
          <w:rFonts w:ascii="Arial" w:hAnsi="Arial" w:cs="Arial"/>
        </w:rPr>
        <w:fldChar w:fldCharType="separate"/>
      </w:r>
      <w:r w:rsidRPr="001A6B7B">
        <w:rPr>
          <w:rFonts w:ascii="Arial" w:hAnsi="Arial" w:cs="Arial"/>
          <w:lang w:val="es-MX"/>
        </w:rPr>
        <w:t>(Departamento de Estudios de la Dirección General de Relaciones Económicas Internacionales del Ministerio de Relaciones Exteriores de Chile, 2015)</w:t>
      </w:r>
      <w:r>
        <w:rPr>
          <w:rFonts w:ascii="Arial" w:hAnsi="Arial" w:cs="Arial"/>
        </w:rPr>
        <w:fldChar w:fldCharType="end"/>
      </w:r>
      <w:r w:rsidRPr="001A6B7B">
        <w:rPr>
          <w:rFonts w:ascii="Arial" w:hAnsi="Arial" w:cs="Arial"/>
        </w:rPr>
        <w:t>, el que impulsó aún más esta relación.</w:t>
      </w:r>
    </w:p>
    <w:p w14:paraId="59D96E0F" w14:textId="134D16F4" w:rsidR="001A6B7B" w:rsidRPr="001A6B7B" w:rsidRDefault="001A6B7B" w:rsidP="001A6B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jc w:val="both"/>
        <w:rPr>
          <w:rFonts w:ascii="Arial" w:hAnsi="Arial" w:cs="Arial"/>
        </w:rPr>
      </w:pPr>
      <w:r w:rsidRPr="001A6B7B">
        <w:rPr>
          <w:rFonts w:ascii="Arial" w:hAnsi="Arial" w:cs="Arial"/>
        </w:rPr>
        <w:t xml:space="preserve">El Tratado de Libre Comercio (TLC) entre Chile y China se desarrolla mediante una negociación progresiva que se ha dividido en cuatro etapas distintas </w:t>
      </w:r>
      <w:r>
        <w:rPr>
          <w:rFonts w:ascii="Arial" w:hAnsi="Arial" w:cs="Arial"/>
        </w:rPr>
        <w:fldChar w:fldCharType="begin"/>
      </w:r>
      <w:r>
        <w:rPr>
          <w:rFonts w:ascii="Arial" w:hAnsi="Arial" w:cs="Arial"/>
        </w:rPr>
        <w:instrText xml:space="preserve"> ADDIN ZOTERO_ITEM CSL_CITATION {"citationID":"Fi7xCg1U","properties":{"formattedCitation":"(Subsecretar\\uc0\\u237{}a de Relaciones Econ\\uc0\\u243{}micas Internacionales, s.\\uc0\\u160{}f.)","plainCitation":"(Subsecretaría de Relaciones Económicas Internacionales, s. f.)","noteIndex":0},"citationItems":[{"id":1898,"uris":["http://zotero.org/users/10063313/items/RBRKIEVG"],"itemData":{"id":1898,"type":"webpage","container-title":"Default","language":"es","title":"China y Chile: Acuerdo Comercial","URL":"https://www.subrei.gob.cl/acuerdos-comerciales/acuerdos-comerciales-vigentes/china","author":[{"family":"Subsecretaría de Relaciones Económicas Internacionales","given":""}],"accessed":{"date-parts":[["2024",3,7]]}}}],"schema":"https://github.com/citation-style-language/schema/raw/master/csl-citation.json"} </w:instrText>
      </w:r>
      <w:r>
        <w:rPr>
          <w:rFonts w:ascii="Arial" w:hAnsi="Arial" w:cs="Arial"/>
        </w:rPr>
        <w:fldChar w:fldCharType="separate"/>
      </w:r>
      <w:r w:rsidRPr="001A6B7B">
        <w:rPr>
          <w:rFonts w:ascii="Arial" w:hAnsi="Arial" w:cs="Arial"/>
          <w:lang w:val="es-MX"/>
        </w:rPr>
        <w:t>(Subsecretaría de Relaciones Económicas Internacionales, s. f.)</w:t>
      </w:r>
      <w:r>
        <w:rPr>
          <w:rFonts w:ascii="Arial" w:hAnsi="Arial" w:cs="Arial"/>
        </w:rPr>
        <w:fldChar w:fldCharType="end"/>
      </w:r>
      <w:r>
        <w:rPr>
          <w:rFonts w:ascii="Arial" w:hAnsi="Arial" w:cs="Arial"/>
        </w:rPr>
        <w:t xml:space="preserve">. </w:t>
      </w:r>
    </w:p>
    <w:p w14:paraId="59C2EFD5" w14:textId="58E0B247" w:rsidR="001A6B7B" w:rsidRPr="001A6B7B" w:rsidRDefault="001A6B7B">
      <w:pPr>
        <w:pStyle w:val="Prrafodelista"/>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jc w:val="both"/>
        <w:rPr>
          <w:rFonts w:ascii="Arial" w:hAnsi="Arial" w:cs="Arial"/>
        </w:rPr>
      </w:pPr>
      <w:r w:rsidRPr="001A6B7B">
        <w:rPr>
          <w:rFonts w:ascii="Arial" w:hAnsi="Arial" w:cs="Arial"/>
        </w:rPr>
        <w:lastRenderedPageBreak/>
        <w:t xml:space="preserve">La primera fase, conocida como el Tratado de Libre Comercio en Bienes, fue firmada en noviembre de 2005 en </w:t>
      </w:r>
      <w:proofErr w:type="spellStart"/>
      <w:r w:rsidRPr="001A6B7B">
        <w:rPr>
          <w:rFonts w:ascii="Arial" w:hAnsi="Arial" w:cs="Arial"/>
        </w:rPr>
        <w:t>Busán</w:t>
      </w:r>
      <w:proofErr w:type="spellEnd"/>
      <w:r w:rsidRPr="001A6B7B">
        <w:rPr>
          <w:rFonts w:ascii="Arial" w:hAnsi="Arial" w:cs="Arial"/>
        </w:rPr>
        <w:t>, Corea del Sur, durante la Cumbre de Líderes APEC, y entró en vigor en octubre de 2006.</w:t>
      </w:r>
    </w:p>
    <w:p w14:paraId="5678FE1C" w14:textId="1E7A6CAB" w:rsidR="001A6B7B" w:rsidRPr="001A6B7B" w:rsidRDefault="001A6B7B">
      <w:pPr>
        <w:pStyle w:val="Prrafodelista"/>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jc w:val="both"/>
        <w:rPr>
          <w:rFonts w:ascii="Arial" w:hAnsi="Arial" w:cs="Arial"/>
        </w:rPr>
      </w:pPr>
      <w:r w:rsidRPr="001A6B7B">
        <w:rPr>
          <w:rFonts w:ascii="Arial" w:hAnsi="Arial" w:cs="Arial"/>
        </w:rPr>
        <w:t>Posteriormente, se suscribió el Acuerdo Suplementario de Comercio de Servicios en abril de 2008, el cual ha estado en vigor desde agosto de 2010. Este acuerdo proporciona el marco normativo para la prestación de servicios entre ambas naciones, garantizando a Chile condiciones de igualdad respecto a los nacionales de China.</w:t>
      </w:r>
    </w:p>
    <w:p w14:paraId="31417DA3" w14:textId="4BB3BB41" w:rsidR="001A6B7B" w:rsidRPr="001A6B7B" w:rsidRDefault="001A6B7B">
      <w:pPr>
        <w:pStyle w:val="Prrafodelista"/>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jc w:val="both"/>
        <w:rPr>
          <w:rFonts w:ascii="Arial" w:hAnsi="Arial" w:cs="Arial"/>
        </w:rPr>
      </w:pPr>
      <w:r w:rsidRPr="001A6B7B">
        <w:rPr>
          <w:rFonts w:ascii="Arial" w:hAnsi="Arial" w:cs="Arial"/>
        </w:rPr>
        <w:t>La tercera etapa, el Acuerdo Suplementario de Inversiones, fue firma</w:t>
      </w:r>
      <w:r w:rsidR="000C18EE">
        <w:rPr>
          <w:rFonts w:ascii="Arial" w:hAnsi="Arial" w:cs="Arial"/>
        </w:rPr>
        <w:t>do</w:t>
      </w:r>
      <w:r w:rsidRPr="001A6B7B">
        <w:rPr>
          <w:rFonts w:ascii="Arial" w:hAnsi="Arial" w:cs="Arial"/>
        </w:rPr>
        <w:t xml:space="preserve"> en septiembre de 2012, durante la Cumbre de Líderes de APEC en Vladivostok, Federación Rusa. Este acuerdo, en vigor desde el 8 de febrero de 2014, amplía y mejora las disposiciones del Acuerdo de Protección y Promoción de Inversiones (APPI) de 1995, asegurando la protección de las inversiones conforme a las normativas de cada país.</w:t>
      </w:r>
    </w:p>
    <w:p w14:paraId="45120636" w14:textId="76C9199B" w:rsidR="001A6B7B" w:rsidRPr="001A6B7B" w:rsidRDefault="001A6B7B">
      <w:pPr>
        <w:pStyle w:val="Prrafodelista"/>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jc w:val="both"/>
        <w:rPr>
          <w:rFonts w:ascii="Arial" w:hAnsi="Arial" w:cs="Arial"/>
        </w:rPr>
      </w:pPr>
      <w:r w:rsidRPr="001A6B7B">
        <w:rPr>
          <w:rFonts w:ascii="Arial" w:hAnsi="Arial" w:cs="Arial"/>
        </w:rPr>
        <w:t>Finalmente, la última etapa se refiere a la Profundización del Tratado de Libre Comercio en 2017, la cual aborda la renegociación de 6 capítulos del acuerdo.</w:t>
      </w:r>
    </w:p>
    <w:p w14:paraId="7FB9965D" w14:textId="214CD022" w:rsidR="001A6B7B" w:rsidRPr="00156DEA" w:rsidRDefault="001A6B7B" w:rsidP="00156D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jc w:val="both"/>
        <w:rPr>
          <w:rFonts w:ascii="Arial" w:hAnsi="Arial" w:cs="Arial"/>
        </w:rPr>
      </w:pPr>
      <w:r w:rsidRPr="001A6B7B">
        <w:rPr>
          <w:rFonts w:ascii="Arial" w:hAnsi="Arial" w:cs="Arial"/>
        </w:rPr>
        <w:t xml:space="preserve">A partir del 1 de enero de 2015, el 97.2% de las mercancías chilenas, equivalentes a 7,336 categorías de productos, pueden ingresar al mercado chino libres de arancel. Asimismo, los productos originarios de China disfrutan de ingreso libre de derechos aduaneros desde la misma fecha, con la excepción del </w:t>
      </w:r>
      <w:r w:rsidRPr="00015050">
        <w:rPr>
          <w:rFonts w:ascii="Arial" w:hAnsi="Arial" w:cs="Arial"/>
        </w:rPr>
        <w:t>2% de los productos</w:t>
      </w:r>
      <w:r w:rsidRPr="001A6B7B">
        <w:rPr>
          <w:rFonts w:ascii="Arial" w:hAnsi="Arial" w:cs="Arial"/>
        </w:rPr>
        <w:t xml:space="preserve"> listados en la Lista de Exclusión del TLC.</w:t>
      </w:r>
    </w:p>
    <w:p w14:paraId="1EADDE88" w14:textId="01E3156D" w:rsidR="001A6B7B" w:rsidRPr="001A6B7B" w:rsidRDefault="001A6B7B" w:rsidP="001A6B7B">
      <w:pPr>
        <w:spacing w:after="240"/>
        <w:rPr>
          <w:rFonts w:ascii="Arial" w:hAnsi="Arial" w:cs="Arial"/>
          <w:b/>
          <w:bCs/>
        </w:rPr>
      </w:pPr>
      <w:r w:rsidRPr="001A6B7B">
        <w:rPr>
          <w:rFonts w:ascii="Arial" w:hAnsi="Arial" w:cs="Arial"/>
          <w:b/>
          <w:bCs/>
        </w:rPr>
        <w:t>Programa de desgravación arancelaria</w:t>
      </w:r>
    </w:p>
    <w:p w14:paraId="02A2DBA5" w14:textId="540D2C0F" w:rsidR="00560B5F" w:rsidRDefault="001A6B7B" w:rsidP="00560B5F">
      <w:pPr>
        <w:spacing w:after="240" w:line="360" w:lineRule="auto"/>
        <w:jc w:val="both"/>
        <w:rPr>
          <w:rFonts w:ascii="Arial" w:eastAsiaTheme="minorHAnsi" w:hAnsi="Arial" w:cs="Arial"/>
          <w:color w:val="000000" w:themeColor="text1"/>
          <w:lang w:val="es-MX" w:eastAsia="en-US"/>
        </w:rPr>
      </w:pPr>
      <w:r w:rsidRPr="001A6B7B">
        <w:rPr>
          <w:rFonts w:ascii="Arial" w:eastAsiaTheme="minorHAnsi" w:hAnsi="Arial" w:cs="Arial"/>
          <w:color w:val="000000" w:themeColor="text1"/>
          <w:lang w:val="es-MX" w:eastAsia="en-US"/>
        </w:rPr>
        <w:t>El Tratado de Libre Comercio entre Chile y China establece programas de desgravación arancelaria para las mercancías originarias de ambos países, organizadas en diversas categoría</w:t>
      </w:r>
      <w:r w:rsidR="006F2556">
        <w:rPr>
          <w:rFonts w:ascii="Arial" w:eastAsiaTheme="minorHAnsi" w:hAnsi="Arial" w:cs="Arial"/>
          <w:color w:val="000000" w:themeColor="text1"/>
          <w:lang w:val="es-MX" w:eastAsia="en-US"/>
        </w:rPr>
        <w:t>s</w:t>
      </w:r>
      <w:r w:rsidRPr="001A6B7B">
        <w:rPr>
          <w:rFonts w:ascii="Arial" w:eastAsiaTheme="minorHAnsi" w:hAnsi="Arial" w:cs="Arial"/>
          <w:color w:val="000000" w:themeColor="text1"/>
          <w:lang w:val="es-MX" w:eastAsia="en-US"/>
        </w:rPr>
        <w:t xml:space="preserve">, siendo estas cinco, una de ellas la categoría de exclusión, que engloba productos no sujetos a eliminación arancelaria. La primera categoría, denominada Año 1, implica una desgravación arancelaria completa e inmediata al momento de la entrada en vigencia del TLC, mientras que las categorías restantes contemplan desgravaciones anuales lineales a dos, cinco y diez años de plazo. Por su parte, los productos originarios de China también se organizan en cuatro categorías, una de las cuales corresponde a </w:t>
      </w:r>
      <w:r w:rsidRPr="001A6B7B">
        <w:rPr>
          <w:rFonts w:ascii="Arial" w:eastAsiaTheme="minorHAnsi" w:hAnsi="Arial" w:cs="Arial"/>
          <w:color w:val="000000" w:themeColor="text1"/>
          <w:lang w:val="es-MX" w:eastAsia="en-US"/>
        </w:rPr>
        <w:lastRenderedPageBreak/>
        <w:t>productos excluidos de preferencias arancelarias, otra a la liberalización inmediata con la entrada en vigencia del TLC (Año 1), y las dos últimas categorías a desgravaciones arancelarias a 5 y 10 años de plazo, respectivament</w:t>
      </w:r>
      <w:r>
        <w:rPr>
          <w:rFonts w:ascii="Arial" w:eastAsiaTheme="minorHAnsi" w:hAnsi="Arial" w:cs="Arial"/>
          <w:color w:val="000000" w:themeColor="text1"/>
          <w:lang w:val="es-MX" w:eastAsia="en-US"/>
        </w:rPr>
        <w:t xml:space="preserve">e. </w:t>
      </w:r>
    </w:p>
    <w:p w14:paraId="28BB205E" w14:textId="3CD0E80A" w:rsidR="001A6B7B" w:rsidRPr="001A6B7B" w:rsidRDefault="001A6B7B" w:rsidP="00560B5F">
      <w:pPr>
        <w:spacing w:after="240" w:line="360" w:lineRule="auto"/>
        <w:jc w:val="both"/>
        <w:rPr>
          <w:rFonts w:ascii="Arial" w:eastAsiaTheme="minorHAnsi" w:hAnsi="Arial" w:cs="Arial"/>
          <w:color w:val="000000" w:themeColor="text1"/>
          <w:lang w:val="es-MX" w:eastAsia="en-US"/>
        </w:rPr>
      </w:pPr>
      <w:r w:rsidRPr="001A6B7B">
        <w:rPr>
          <w:rFonts w:ascii="Arial" w:eastAsiaTheme="minorHAnsi" w:hAnsi="Arial" w:cs="Arial"/>
          <w:color w:val="000000" w:themeColor="text1"/>
          <w:lang w:eastAsia="en-US"/>
        </w:rPr>
        <w:t>Entre los productos chilenos que adquieren acceso libre e inmediato al mercado chino se encuentran las hortalizas de vainas secas, chocolates, camarones congelados, grasas y aceite de pescado, minerales y productos químicos</w:t>
      </w:r>
      <w:r>
        <w:rPr>
          <w:rFonts w:ascii="Arial" w:eastAsiaTheme="minorHAnsi" w:hAnsi="Arial" w:cs="Arial"/>
          <w:color w:val="000000" w:themeColor="text1"/>
          <w:lang w:eastAsia="en-US"/>
        </w:rPr>
        <w:t xml:space="preserve"> </w:t>
      </w:r>
      <w:r>
        <w:rPr>
          <w:rFonts w:ascii="Arial" w:hAnsi="Arial" w:cs="Arial"/>
        </w:rPr>
        <w:fldChar w:fldCharType="begin"/>
      </w:r>
      <w:r w:rsidR="00B003E8">
        <w:rPr>
          <w:rFonts w:ascii="Arial" w:hAnsi="Arial" w:cs="Arial"/>
        </w:rPr>
        <w:instrText xml:space="preserve"> ADDIN ZOTERO_ITEM CSL_CITATION {"citationID":"lSC85TpY","properties":{"formattedCitation":"(Departamento de Estudios de la Direcci\\uc0\\u243{}n General de Relaciones Econ\\uc0\\u243{}micas Internacionales del Ministerio de Relaciones Exteriores de Chile, 2015)","plainCitation":"(Departamento de Estudios de la Dirección General de Relaciones Económicas Internacionales del Ministerio de Relaciones Exteriores de Chile, 2015)","noteIndex":0},"citationItems":[{"id":1905,"uris":["http://zotero.org/users/10063313/items/BPH7VUQ7"],"itemData":{"id":1905,"type":"document","title":"Análisis de las relaciones comerciales entre Chile y China en el marco del Tratado de Libre Comercio Chile-China.","author":[{"family":"Departamento de Estudios de la Dirección General de Relaciones Económicas Internacionales del Ministerio de Relaciones Exteriores de Chile","given":""}],"issued":{"date-parts":[["2015",8]]}}}],"schema":"https://github.com/citation-style-language/schema/raw/master/csl-citation.json"} </w:instrText>
      </w:r>
      <w:r>
        <w:rPr>
          <w:rFonts w:ascii="Arial" w:hAnsi="Arial" w:cs="Arial"/>
        </w:rPr>
        <w:fldChar w:fldCharType="separate"/>
      </w:r>
      <w:r w:rsidRPr="001A6B7B">
        <w:rPr>
          <w:rFonts w:ascii="Arial" w:hAnsi="Arial" w:cs="Arial"/>
          <w:lang w:val="es-MX"/>
        </w:rPr>
        <w:t>(Departamento de Estudios de la Dirección General de Relaciones Económicas Internacionales del Ministerio de Relaciones Exteriores de Chile, 2015)</w:t>
      </w:r>
      <w:r>
        <w:rPr>
          <w:rFonts w:ascii="Arial" w:hAnsi="Arial" w:cs="Arial"/>
        </w:rPr>
        <w:fldChar w:fldCharType="end"/>
      </w:r>
      <w:r w:rsidRPr="001A6B7B">
        <w:rPr>
          <w:rFonts w:ascii="Arial" w:hAnsi="Arial" w:cs="Arial"/>
        </w:rPr>
        <w:t>.</w:t>
      </w:r>
    </w:p>
    <w:p w14:paraId="2D13326D" w14:textId="1141979B" w:rsidR="001A6B7B" w:rsidRDefault="001A6B7B" w:rsidP="001A6B7B">
      <w:pPr>
        <w:spacing w:after="240" w:line="360" w:lineRule="auto"/>
        <w:jc w:val="both"/>
        <w:rPr>
          <w:rFonts w:ascii="Arial" w:eastAsiaTheme="minorHAnsi" w:hAnsi="Arial" w:cs="Arial"/>
          <w:color w:val="000000" w:themeColor="text1"/>
          <w:lang w:eastAsia="en-US"/>
        </w:rPr>
      </w:pPr>
      <w:r w:rsidRPr="001A6B7B">
        <w:rPr>
          <w:rFonts w:ascii="Arial" w:eastAsiaTheme="minorHAnsi" w:hAnsi="Arial" w:cs="Arial"/>
          <w:color w:val="000000" w:themeColor="text1"/>
          <w:lang w:eastAsia="en-US"/>
        </w:rPr>
        <w:t>Por otro lado, productos como cebollas, ajos, papas congeladas, maíz congelado, otras hortalizas, plásticos y sus manufacturas, tienen acceso liberado al término del primer año de vigencia del acuerdo. Entre los productos sujetos a desgravaciones a 5 y 10 años, están las carnes bovinas, carne de aves, pescados, quesos, cerezas, melocotones y nectarines, entre otros. Asimismo, China ha excluido ciertos productos de su lista de desgravación, como arroz, trigo, harina de trigo, aceites, azúcar, yodo, urea, papeles y productos editoriales, y algunas maderas (Ministerio de Relaciones Exteriores de Chile, 2006).</w:t>
      </w:r>
    </w:p>
    <w:p w14:paraId="4E291420" w14:textId="1C8D31F0" w:rsidR="00156DEA" w:rsidRDefault="00156DEA" w:rsidP="00156D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jc w:val="both"/>
        <w:rPr>
          <w:rFonts w:ascii="Arial" w:hAnsi="Arial" w:cs="Arial"/>
        </w:rPr>
      </w:pPr>
      <w:r w:rsidRPr="001A6B7B">
        <w:rPr>
          <w:rFonts w:ascii="Arial" w:hAnsi="Arial" w:cs="Arial"/>
        </w:rPr>
        <w:t xml:space="preserve">El TLC ha sido un factor determinante en el desarrollo de la balanza comercial bilateral. Desde su entrada en vigor, el saldo de la balanza comercial ha sido constantemente </w:t>
      </w:r>
      <w:r w:rsidRPr="00601509">
        <w:rPr>
          <w:rFonts w:ascii="Arial" w:hAnsi="Arial" w:cs="Arial"/>
          <w:color w:val="000000" w:themeColor="text1"/>
        </w:rPr>
        <w:t>superavitario</w:t>
      </w:r>
      <w:r w:rsidR="00560B5F" w:rsidRPr="00601509">
        <w:rPr>
          <w:rFonts w:ascii="Arial" w:hAnsi="Arial" w:cs="Arial"/>
          <w:color w:val="000000" w:themeColor="text1"/>
        </w:rPr>
        <w:t xml:space="preserve"> para Chile</w:t>
      </w:r>
      <w:r w:rsidRPr="00601509">
        <w:rPr>
          <w:rFonts w:ascii="Arial" w:hAnsi="Arial" w:cs="Arial"/>
          <w:color w:val="000000" w:themeColor="text1"/>
        </w:rPr>
        <w:t xml:space="preserve">, según datos tomados del ITC, (véase </w:t>
      </w:r>
      <w:r w:rsidR="00D73D77" w:rsidRPr="00601509">
        <w:rPr>
          <w:rFonts w:ascii="Arial" w:hAnsi="Arial" w:cs="Arial"/>
          <w:color w:val="000000" w:themeColor="text1"/>
        </w:rPr>
        <w:t>G</w:t>
      </w:r>
      <w:r w:rsidRPr="00601509">
        <w:rPr>
          <w:rFonts w:ascii="Arial" w:hAnsi="Arial" w:cs="Arial"/>
          <w:color w:val="000000" w:themeColor="text1"/>
        </w:rPr>
        <w:t xml:space="preserve">ráfico 5), lo que refleja un balance favorable para </w:t>
      </w:r>
      <w:r w:rsidRPr="001A6B7B">
        <w:rPr>
          <w:rFonts w:ascii="Arial" w:hAnsi="Arial" w:cs="Arial"/>
        </w:rPr>
        <w:t>Chile en sus intercambios comerciales con China. Este superávit ha contribuido significativamente al crecimiento económico del país sudamericano y ha fortalecido su posición como socio comercial clave en la región.</w:t>
      </w:r>
    </w:p>
    <w:p w14:paraId="03C58F8B" w14:textId="77777777" w:rsidR="00015050" w:rsidRPr="001A6B7B" w:rsidRDefault="00015050" w:rsidP="0001505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jc w:val="both"/>
        <w:rPr>
          <w:rFonts w:ascii="Arial" w:hAnsi="Arial" w:cs="Arial"/>
        </w:rPr>
      </w:pPr>
      <w:r w:rsidRPr="001A6B7B">
        <w:rPr>
          <w:rFonts w:ascii="Arial" w:hAnsi="Arial" w:cs="Arial"/>
        </w:rPr>
        <w:t xml:space="preserve">En el informe publicado por </w:t>
      </w:r>
      <w:r>
        <w:rPr>
          <w:rFonts w:ascii="Arial" w:hAnsi="Arial" w:cs="Arial"/>
        </w:rPr>
        <w:t xml:space="preserve">el </w:t>
      </w:r>
      <w:r w:rsidRPr="001A6B7B">
        <w:rPr>
          <w:rFonts w:ascii="Arial" w:hAnsi="Arial" w:cs="Arial"/>
          <w:lang w:val="es-MX"/>
        </w:rPr>
        <w:t>Ministerio de Relaciones Exteriores de Chile</w:t>
      </w:r>
      <w:r w:rsidRPr="001A6B7B">
        <w:rPr>
          <w:rFonts w:ascii="Arial" w:hAnsi="Arial" w:cs="Arial"/>
        </w:rPr>
        <w:t xml:space="preserve"> </w:t>
      </w:r>
      <w:r>
        <w:rPr>
          <w:rFonts w:ascii="Arial" w:hAnsi="Arial" w:cs="Arial"/>
        </w:rPr>
        <w:fldChar w:fldCharType="begin"/>
      </w:r>
      <w:r>
        <w:rPr>
          <w:rFonts w:ascii="Arial" w:hAnsi="Arial" w:cs="Arial"/>
        </w:rPr>
        <w:instrText xml:space="preserve"> ADDIN ZOTERO_ITEM CSL_CITATION {"citationID":"ePkVGU1l","properties":{"formattedCitation":"(Departamento de Estudios de la Direcci\\uc0\\u243{}n General de Relaciones Econ\\uc0\\u243{}micas Internacionales del Ministerio de Relaciones Exteriores de Chile, 2015)","plainCitation":"(Departamento de Estudios de la Dirección General de Relaciones Económicas Internacionales del Ministerio de Relaciones Exteriores de Chile, 2015)","dontUpdate":true,"noteIndex":0},"citationItems":[{"id":1905,"uris":["http://zotero.org/users/10063313/items/BPH7VUQ7"],"itemData":{"id":1905,"type":"document","title":"Análisis de las relaciones comerciales entre Chile y China en el marco del Tratado de Libre Comercio Chile-China.","author":[{"family":"Departamento de Estudios de la Dirección General de Relaciones Económicas Internacionales del Ministerio de Relaciones Exteriores de Chile","given":""}],"issued":{"date-parts":[["2015",8]]}}}],"schema":"https://github.com/citation-style-language/schema/raw/master/csl-citation.json"} </w:instrText>
      </w:r>
      <w:r>
        <w:rPr>
          <w:rFonts w:ascii="Arial" w:hAnsi="Arial" w:cs="Arial"/>
        </w:rPr>
        <w:fldChar w:fldCharType="separate"/>
      </w:r>
      <w:r w:rsidRPr="001A6B7B">
        <w:rPr>
          <w:rFonts w:ascii="Arial" w:hAnsi="Arial" w:cs="Arial"/>
          <w:lang w:val="es-MX"/>
        </w:rPr>
        <w:t>(2015)</w:t>
      </w:r>
      <w:r>
        <w:rPr>
          <w:rFonts w:ascii="Arial" w:hAnsi="Arial" w:cs="Arial"/>
        </w:rPr>
        <w:fldChar w:fldCharType="end"/>
      </w:r>
      <w:r w:rsidRPr="001A6B7B">
        <w:rPr>
          <w:rFonts w:ascii="Arial" w:hAnsi="Arial" w:cs="Arial"/>
        </w:rPr>
        <w:t xml:space="preserve">, indica que, en el ámbito industrial, el TLC ha facilitado el acceso de productos chilenos al mercado chino. Los vinos chilenos, en particular, han experimentado un notable crecimiento y se han posicionado como productos de alta demanda en China. Además, en el sector agropecuario, las exportaciones de frutas han registrado un crecimiento impresionante, con tasas anuales </w:t>
      </w:r>
      <w:r w:rsidRPr="001A6B7B">
        <w:rPr>
          <w:rFonts w:ascii="Arial" w:hAnsi="Arial" w:cs="Arial"/>
        </w:rPr>
        <w:lastRenderedPageBreak/>
        <w:t>promedio del 73% entre 2005 y 2014. Este éxito se reflejó en cifras récord, como los US$739 millones exportados en 2014.</w:t>
      </w:r>
    </w:p>
    <w:p w14:paraId="63BF8F08" w14:textId="58647643" w:rsidR="00156DEA" w:rsidRPr="001A6B7B" w:rsidRDefault="00156DEA" w:rsidP="00795AAA">
      <w:pPr>
        <w:pStyle w:val="Descripcin"/>
        <w:keepNext/>
        <w:spacing w:after="0" w:line="360" w:lineRule="auto"/>
        <w:rPr>
          <w:rFonts w:ascii="Arial" w:hAnsi="Arial" w:cs="Arial"/>
          <w:color w:val="000000" w:themeColor="text1"/>
          <w:sz w:val="24"/>
          <w:szCs w:val="24"/>
        </w:rPr>
      </w:pPr>
      <w:bookmarkStart w:id="57" w:name="_Toc215907248"/>
      <w:r w:rsidRPr="001A6B7B">
        <w:rPr>
          <w:rFonts w:ascii="Arial" w:hAnsi="Arial" w:cs="Arial"/>
          <w:b/>
          <w:bCs/>
          <w:color w:val="000000" w:themeColor="text1"/>
          <w:sz w:val="24"/>
          <w:szCs w:val="24"/>
        </w:rPr>
        <w:t xml:space="preserve">Gráfico </w:t>
      </w:r>
      <w:r w:rsidRPr="001A6B7B">
        <w:rPr>
          <w:rFonts w:ascii="Arial" w:hAnsi="Arial" w:cs="Arial"/>
          <w:b/>
          <w:bCs/>
          <w:color w:val="000000" w:themeColor="text1"/>
          <w:sz w:val="24"/>
          <w:szCs w:val="24"/>
        </w:rPr>
        <w:fldChar w:fldCharType="begin"/>
      </w:r>
      <w:r w:rsidRPr="001A6B7B">
        <w:rPr>
          <w:rFonts w:ascii="Arial" w:hAnsi="Arial" w:cs="Arial"/>
          <w:b/>
          <w:bCs/>
          <w:color w:val="000000" w:themeColor="text1"/>
          <w:sz w:val="24"/>
          <w:szCs w:val="24"/>
        </w:rPr>
        <w:instrText xml:space="preserve"> SEQ Gráfico \* ARABIC </w:instrText>
      </w:r>
      <w:r w:rsidRPr="001A6B7B">
        <w:rPr>
          <w:rFonts w:ascii="Arial" w:hAnsi="Arial" w:cs="Arial"/>
          <w:b/>
          <w:bCs/>
          <w:color w:val="000000" w:themeColor="text1"/>
          <w:sz w:val="24"/>
          <w:szCs w:val="24"/>
        </w:rPr>
        <w:fldChar w:fldCharType="separate"/>
      </w:r>
      <w:r w:rsidR="00C41F6F">
        <w:rPr>
          <w:rFonts w:ascii="Arial" w:hAnsi="Arial" w:cs="Arial"/>
          <w:b/>
          <w:bCs/>
          <w:noProof/>
          <w:color w:val="000000" w:themeColor="text1"/>
          <w:sz w:val="24"/>
          <w:szCs w:val="24"/>
        </w:rPr>
        <w:t>7</w:t>
      </w:r>
      <w:r w:rsidRPr="001A6B7B">
        <w:rPr>
          <w:rFonts w:ascii="Arial" w:hAnsi="Arial" w:cs="Arial"/>
          <w:b/>
          <w:bCs/>
          <w:color w:val="000000" w:themeColor="text1"/>
          <w:sz w:val="24"/>
          <w:szCs w:val="24"/>
        </w:rPr>
        <w:fldChar w:fldCharType="end"/>
      </w:r>
      <w:r w:rsidR="00422208">
        <w:rPr>
          <w:rFonts w:ascii="Arial" w:hAnsi="Arial" w:cs="Arial"/>
          <w:b/>
          <w:bCs/>
          <w:color w:val="000000" w:themeColor="text1"/>
          <w:sz w:val="24"/>
          <w:szCs w:val="24"/>
        </w:rPr>
        <w:t xml:space="preserve"> </w:t>
      </w:r>
      <w:r w:rsidRPr="001A6B7B">
        <w:rPr>
          <w:rFonts w:ascii="Arial" w:hAnsi="Arial" w:cs="Arial"/>
          <w:b/>
          <w:bCs/>
          <w:color w:val="000000" w:themeColor="text1"/>
          <w:sz w:val="24"/>
          <w:szCs w:val="24"/>
        </w:rPr>
        <w:t xml:space="preserve"> </w:t>
      </w:r>
      <w:r w:rsidRPr="001A6B7B">
        <w:rPr>
          <w:rFonts w:ascii="Arial" w:hAnsi="Arial" w:cs="Arial"/>
          <w:color w:val="000000" w:themeColor="text1"/>
          <w:sz w:val="24"/>
          <w:szCs w:val="24"/>
        </w:rPr>
        <w:t>Balanza Comercial de Chile y China de 2001 - 2022</w:t>
      </w:r>
      <w:bookmarkEnd w:id="57"/>
    </w:p>
    <w:p w14:paraId="46DF1699" w14:textId="77777777" w:rsidR="00156DEA" w:rsidRPr="001A6B7B" w:rsidRDefault="00156DEA" w:rsidP="00795AAA">
      <w:pPr>
        <w:pStyle w:val="Descripcin"/>
        <w:keepNext/>
        <w:spacing w:after="0" w:line="360" w:lineRule="auto"/>
        <w:rPr>
          <w:rFonts w:ascii="Arial" w:hAnsi="Arial" w:cs="Arial"/>
          <w:color w:val="000000" w:themeColor="text1"/>
          <w:sz w:val="24"/>
          <w:szCs w:val="24"/>
        </w:rPr>
      </w:pPr>
      <w:r w:rsidRPr="001A6B7B">
        <w:rPr>
          <w:rFonts w:ascii="Arial" w:hAnsi="Arial" w:cs="Arial"/>
          <w:color w:val="000000" w:themeColor="text1"/>
          <w:sz w:val="24"/>
          <w:szCs w:val="24"/>
        </w:rPr>
        <w:t>(Miles de dólares estadounidenses)</w:t>
      </w:r>
    </w:p>
    <w:p w14:paraId="7772CC9C" w14:textId="77777777" w:rsidR="00156DEA" w:rsidRDefault="00156DEA" w:rsidP="00156DEA">
      <w:pPr>
        <w:spacing w:after="240"/>
        <w:rPr>
          <w:rFonts w:ascii="Arial" w:hAnsi="Arial" w:cs="Arial"/>
          <w:b/>
          <w:bCs/>
        </w:rPr>
      </w:pPr>
      <w:r w:rsidRPr="001A6B7B">
        <w:rPr>
          <w:rFonts w:ascii="Arial" w:hAnsi="Arial" w:cs="Arial"/>
          <w:noProof/>
        </w:rPr>
        <w:drawing>
          <wp:inline distT="0" distB="0" distL="0" distR="0" wp14:anchorId="1CAE002D" wp14:editId="4B8A0A72">
            <wp:extent cx="5794375" cy="3794235"/>
            <wp:effectExtent l="0" t="0" r="9525" b="15875"/>
            <wp:docPr id="1158237354" name="Gráfico 1">
              <a:extLst xmlns:a="http://schemas.openxmlformats.org/drawingml/2006/main">
                <a:ext uri="{FF2B5EF4-FFF2-40B4-BE49-F238E27FC236}">
                  <a16:creationId xmlns:a16="http://schemas.microsoft.com/office/drawing/2014/main" id="{0AAD32FC-8B81-4187-E003-9E6D6E4D4C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A57575E" w14:textId="68281979" w:rsidR="00156DEA" w:rsidRDefault="00156DEA" w:rsidP="007835D5">
      <w:pPr>
        <w:rPr>
          <w:rFonts w:ascii="Arial" w:hAnsi="Arial" w:cs="Arial"/>
        </w:rPr>
      </w:pPr>
      <w:r w:rsidRPr="001A6B7B">
        <w:rPr>
          <w:rFonts w:ascii="Arial" w:hAnsi="Arial" w:cs="Arial"/>
        </w:rPr>
        <w:t xml:space="preserve">Fuente: Elaboración propia con datos </w:t>
      </w:r>
      <w:r>
        <w:rPr>
          <w:rFonts w:ascii="Arial" w:hAnsi="Arial" w:cs="Arial"/>
        </w:rPr>
        <w:t>del ITC</w:t>
      </w:r>
    </w:p>
    <w:p w14:paraId="3DE28AD7" w14:textId="77777777" w:rsidR="007835D5" w:rsidRPr="001A6B7B" w:rsidRDefault="007835D5" w:rsidP="007835D5">
      <w:pPr>
        <w:rPr>
          <w:rFonts w:ascii="Arial" w:hAnsi="Arial" w:cs="Arial"/>
        </w:rPr>
      </w:pPr>
    </w:p>
    <w:p w14:paraId="2D9165D3" w14:textId="77777777" w:rsidR="00156DEA" w:rsidRPr="001A6B7B" w:rsidRDefault="00156DEA" w:rsidP="00156D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jc w:val="both"/>
        <w:rPr>
          <w:rFonts w:ascii="Arial" w:hAnsi="Arial" w:cs="Arial"/>
        </w:rPr>
      </w:pPr>
      <w:r w:rsidRPr="00EF5192">
        <w:rPr>
          <w:rFonts w:ascii="Arial" w:hAnsi="Arial" w:cs="Arial"/>
        </w:rPr>
        <w:t>El impacto del TLC no se limita solo a sectores específicos, sino</w:t>
      </w:r>
      <w:r w:rsidRPr="001A6B7B">
        <w:rPr>
          <w:rFonts w:ascii="Arial" w:hAnsi="Arial" w:cs="Arial"/>
        </w:rPr>
        <w:t xml:space="preserve"> que también se evidencia en la diversificación de productos exportados. Se han introducido nuevos productos chilenos en el mercado chino, como matas de cobre, jamones, paletas, cables de cobre, ciruelas secas e inulina, entre otros</w:t>
      </w:r>
      <w:r>
        <w:rPr>
          <w:rFonts w:ascii="Arial" w:hAnsi="Arial" w:cs="Arial"/>
        </w:rPr>
        <w:t xml:space="preserve"> </w:t>
      </w:r>
      <w:r>
        <w:rPr>
          <w:rFonts w:ascii="Arial" w:hAnsi="Arial" w:cs="Arial"/>
        </w:rPr>
        <w:fldChar w:fldCharType="begin"/>
      </w:r>
      <w:r>
        <w:rPr>
          <w:rFonts w:ascii="Arial" w:hAnsi="Arial" w:cs="Arial"/>
        </w:rPr>
        <w:instrText xml:space="preserve"> ADDIN ZOTERO_ITEM CSL_CITATION {"citationID":"r9kr5JgH","properties":{"formattedCitation":"(Departamento de Estudios de la Direcci\\uc0\\u243{}n General de Relaciones Econ\\uc0\\u243{}micas Internacionales del Ministerio de Relaciones Exteriores de Chile, 2015)","plainCitation":"(Departamento de Estudios de la Dirección General de Relaciones Económicas Internacionales del Ministerio de Relaciones Exteriores de Chile, 2015)","noteIndex":0},"citationItems":[{"id":1905,"uris":["http://zotero.org/users/10063313/items/BPH7VUQ7"],"itemData":{"id":1905,"type":"document","title":"Análisis de las relaciones comerciales entre Chile y China en el marco del Tratado de Libre Comercio Chile-China.","author":[{"family":"Departamento de Estudios de la Dirección General de Relaciones Económicas Internacionales del Ministerio de Relaciones Exteriores de Chile","given":""}],"issued":{"date-parts":[["2015",8]]}}}],"schema":"https://github.com/citation-style-language/schema/raw/master/csl-citation.json"} </w:instrText>
      </w:r>
      <w:r>
        <w:rPr>
          <w:rFonts w:ascii="Arial" w:hAnsi="Arial" w:cs="Arial"/>
        </w:rPr>
        <w:fldChar w:fldCharType="separate"/>
      </w:r>
      <w:r w:rsidRPr="001A6B7B">
        <w:rPr>
          <w:rFonts w:ascii="Arial" w:hAnsi="Arial" w:cs="Arial"/>
          <w:lang w:val="es-MX"/>
        </w:rPr>
        <w:t>(Departamento de Estudios de la Dirección General de Relaciones Económicas Internacionales del Ministerio de Relaciones Exteriores de Chile, 2015)</w:t>
      </w:r>
      <w:r>
        <w:rPr>
          <w:rFonts w:ascii="Arial" w:hAnsi="Arial" w:cs="Arial"/>
        </w:rPr>
        <w:fldChar w:fldCharType="end"/>
      </w:r>
      <w:r w:rsidRPr="001A6B7B">
        <w:rPr>
          <w:rFonts w:ascii="Arial" w:hAnsi="Arial" w:cs="Arial"/>
        </w:rPr>
        <w:t>. Este proceso de diversificación ha ampliado las oportunidades comerciales para Chile y ha contribuido a la expansión de su presencia en el mercado chino.</w:t>
      </w:r>
    </w:p>
    <w:p w14:paraId="1B0C9E7E" w14:textId="7DF56F3A" w:rsidR="00156DEA" w:rsidRPr="00156DEA" w:rsidRDefault="00156DEA" w:rsidP="00156D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jc w:val="both"/>
        <w:rPr>
          <w:rFonts w:ascii="Arial" w:eastAsiaTheme="minorHAnsi" w:hAnsi="Arial" w:cs="Arial"/>
          <w:color w:val="535353"/>
          <w:sz w:val="20"/>
          <w:szCs w:val="20"/>
          <w:lang w:val="es-MX" w:eastAsia="en-US"/>
        </w:rPr>
      </w:pPr>
      <w:r w:rsidRPr="001A6B7B">
        <w:rPr>
          <w:rFonts w:ascii="Arial" w:hAnsi="Arial" w:cs="Arial"/>
        </w:rPr>
        <w:t xml:space="preserve">El TLC entre Chile y China ha sido un catalizador fundamental en el fortalecimiento de la relación bilateral y el desarrollo económico de ambas naciones. A través de la apertura de mercados, la diversificación de productos y el estímulo a la participación empresarial, este acuerdo ha generado beneficios </w:t>
      </w:r>
      <w:r w:rsidRPr="001A6B7B">
        <w:rPr>
          <w:rFonts w:ascii="Arial" w:hAnsi="Arial" w:cs="Arial"/>
        </w:rPr>
        <w:lastRenderedPageBreak/>
        <w:t>para ambas partes, consolidando así una asociación estratégica y fructífera en el ámbito comercial.</w:t>
      </w:r>
    </w:p>
    <w:p w14:paraId="5CF58583" w14:textId="57148C37" w:rsidR="000C2534" w:rsidRPr="00015050" w:rsidRDefault="00560B5F" w:rsidP="001A6B7B">
      <w:pPr>
        <w:spacing w:line="360" w:lineRule="auto"/>
        <w:jc w:val="both"/>
        <w:rPr>
          <w:rFonts w:ascii="Arial" w:eastAsiaTheme="minorHAnsi" w:hAnsi="Arial" w:cs="Arial"/>
          <w:color w:val="000000" w:themeColor="text1"/>
          <w:lang w:eastAsia="en-US"/>
        </w:rPr>
      </w:pPr>
      <w:r w:rsidRPr="000F1A60">
        <w:rPr>
          <w:rFonts w:ascii="Arial" w:eastAsiaTheme="minorHAnsi" w:hAnsi="Arial" w:cs="Arial"/>
          <w:color w:val="000000" w:themeColor="text1"/>
          <w:lang w:eastAsia="en-US"/>
        </w:rPr>
        <w:t>En el caso de l</w:t>
      </w:r>
      <w:r w:rsidR="00015050" w:rsidRPr="000F1A60">
        <w:rPr>
          <w:rFonts w:ascii="Arial" w:eastAsiaTheme="minorHAnsi" w:hAnsi="Arial" w:cs="Arial"/>
          <w:color w:val="000000" w:themeColor="text1"/>
          <w:lang w:eastAsia="en-US"/>
        </w:rPr>
        <w:t>a IED</w:t>
      </w:r>
      <w:r w:rsidRPr="000F1A60">
        <w:rPr>
          <w:rFonts w:ascii="Arial" w:eastAsiaTheme="minorHAnsi" w:hAnsi="Arial" w:cs="Arial"/>
          <w:color w:val="000000" w:themeColor="text1"/>
          <w:lang w:eastAsia="en-US"/>
        </w:rPr>
        <w:t>, esta</w:t>
      </w:r>
      <w:r w:rsidR="00015050" w:rsidRPr="000F1A60">
        <w:rPr>
          <w:rFonts w:ascii="Arial" w:eastAsiaTheme="minorHAnsi" w:hAnsi="Arial" w:cs="Arial"/>
          <w:color w:val="000000" w:themeColor="text1"/>
          <w:lang w:eastAsia="en-US"/>
        </w:rPr>
        <w:t xml:space="preserve"> ascendió a US$55 millones</w:t>
      </w:r>
      <w:r w:rsidRPr="000F1A60">
        <w:rPr>
          <w:rFonts w:ascii="Arial" w:eastAsiaTheme="minorHAnsi" w:hAnsi="Arial" w:cs="Arial"/>
          <w:color w:val="000000" w:themeColor="text1"/>
          <w:lang w:eastAsia="en-US"/>
        </w:rPr>
        <w:t xml:space="preserve"> en el período </w:t>
      </w:r>
      <w:r w:rsidR="000F1A60" w:rsidRPr="000F1A60">
        <w:rPr>
          <w:rFonts w:ascii="Arial" w:eastAsiaTheme="minorHAnsi" w:hAnsi="Arial" w:cs="Arial"/>
          <w:color w:val="000000" w:themeColor="text1"/>
          <w:lang w:eastAsia="en-US"/>
        </w:rPr>
        <w:t xml:space="preserve">2007 y 2014 </w:t>
      </w:r>
      <w:r w:rsidR="00015050" w:rsidRPr="000F1A60">
        <w:rPr>
          <w:rFonts w:ascii="Arial" w:eastAsiaTheme="minorHAnsi" w:hAnsi="Arial" w:cs="Arial"/>
          <w:color w:val="000000" w:themeColor="text1"/>
          <w:lang w:eastAsia="en-US"/>
        </w:rPr>
        <w:t>fundamentalmente en el sec</w:t>
      </w:r>
      <w:r w:rsidR="00015050" w:rsidRPr="00015050">
        <w:rPr>
          <w:rFonts w:ascii="Arial" w:eastAsiaTheme="minorHAnsi" w:hAnsi="Arial" w:cs="Arial"/>
          <w:color w:val="000000" w:themeColor="text1"/>
          <w:lang w:eastAsia="en-US"/>
        </w:rPr>
        <w:t>tor minería y canteras. (Departamento de Estudios de la Dirección General de Relaciones Económicas Internacionales del Ministerio de Relaciones Exteriores de Chile, 2015).</w:t>
      </w:r>
    </w:p>
    <w:p w14:paraId="35420825" w14:textId="77777777" w:rsidR="00560B5F" w:rsidRPr="00601509" w:rsidRDefault="00560B5F" w:rsidP="00560B5F">
      <w:pPr>
        <w:rPr>
          <w:rFonts w:ascii="Arial" w:eastAsiaTheme="minorHAnsi" w:hAnsi="Arial" w:cs="Arial"/>
          <w:b/>
          <w:bCs/>
          <w:color w:val="000000" w:themeColor="text1"/>
          <w:lang w:eastAsia="en-US"/>
        </w:rPr>
      </w:pPr>
    </w:p>
    <w:p w14:paraId="5177B403" w14:textId="77777777" w:rsidR="00601509" w:rsidRPr="00601509" w:rsidRDefault="00560B5F" w:rsidP="00601509">
      <w:pPr>
        <w:rPr>
          <w:rFonts w:ascii="Arial" w:hAnsi="Arial" w:cs="Arial"/>
          <w:b/>
          <w:bCs/>
          <w:color w:val="000000" w:themeColor="text1"/>
          <w:sz w:val="28"/>
          <w:szCs w:val="28"/>
        </w:rPr>
      </w:pPr>
      <w:r w:rsidRPr="00601509">
        <w:rPr>
          <w:rFonts w:ascii="Arial" w:eastAsiaTheme="minorHAnsi" w:hAnsi="Arial" w:cs="Arial"/>
          <w:b/>
          <w:bCs/>
          <w:color w:val="000000" w:themeColor="text1"/>
          <w:sz w:val="28"/>
          <w:szCs w:val="28"/>
          <w:lang w:eastAsia="en-US"/>
        </w:rPr>
        <w:t xml:space="preserve">Tratado de Libre Comercio entre </w:t>
      </w:r>
      <w:r w:rsidR="00493725" w:rsidRPr="00601509">
        <w:rPr>
          <w:rFonts w:ascii="Arial" w:hAnsi="Arial" w:cs="Arial"/>
          <w:b/>
          <w:bCs/>
          <w:color w:val="000000" w:themeColor="text1"/>
          <w:sz w:val="28"/>
          <w:szCs w:val="28"/>
        </w:rPr>
        <w:t>Perú</w:t>
      </w:r>
      <w:r w:rsidRPr="00601509">
        <w:rPr>
          <w:rFonts w:ascii="Arial" w:hAnsi="Arial" w:cs="Arial"/>
          <w:b/>
          <w:bCs/>
          <w:color w:val="000000" w:themeColor="text1"/>
          <w:sz w:val="28"/>
          <w:szCs w:val="28"/>
        </w:rPr>
        <w:t xml:space="preserve"> y China</w:t>
      </w:r>
    </w:p>
    <w:p w14:paraId="09A0BDFC" w14:textId="77777777" w:rsidR="00601509" w:rsidRPr="00601509" w:rsidRDefault="00601509" w:rsidP="00601509">
      <w:pPr>
        <w:rPr>
          <w:rFonts w:ascii="Arial" w:hAnsi="Arial" w:cs="Arial"/>
          <w:b/>
          <w:bCs/>
          <w:color w:val="000000" w:themeColor="text1"/>
          <w:sz w:val="28"/>
          <w:szCs w:val="28"/>
        </w:rPr>
      </w:pPr>
    </w:p>
    <w:p w14:paraId="30C65388" w14:textId="49FEB996" w:rsidR="001A6B7B" w:rsidRPr="00601509" w:rsidRDefault="00560B5F" w:rsidP="00754B8E">
      <w:pPr>
        <w:spacing w:after="240" w:line="360" w:lineRule="auto"/>
        <w:rPr>
          <w:rFonts w:ascii="Arial" w:hAnsi="Arial" w:cs="Arial"/>
          <w:b/>
          <w:bCs/>
          <w:color w:val="000000" w:themeColor="text1"/>
          <w:sz w:val="28"/>
          <w:szCs w:val="28"/>
        </w:rPr>
      </w:pPr>
      <w:r w:rsidRPr="00601509">
        <w:rPr>
          <w:rFonts w:ascii="Arial" w:hAnsi="Arial" w:cs="Arial"/>
          <w:color w:val="000000" w:themeColor="text1"/>
        </w:rPr>
        <w:t xml:space="preserve">Las </w:t>
      </w:r>
      <w:r w:rsidR="001A6B7B" w:rsidRPr="00601509">
        <w:rPr>
          <w:rFonts w:ascii="Arial" w:hAnsi="Arial" w:cs="Arial"/>
          <w:color w:val="000000" w:themeColor="text1"/>
        </w:rPr>
        <w:t xml:space="preserve">negociaciones entre China y Perú </w:t>
      </w:r>
      <w:r w:rsidRPr="00601509">
        <w:rPr>
          <w:rFonts w:ascii="Arial" w:hAnsi="Arial" w:cs="Arial"/>
          <w:color w:val="000000" w:themeColor="text1"/>
        </w:rPr>
        <w:t xml:space="preserve">dieron inicio en </w:t>
      </w:r>
      <w:r w:rsidR="001A6B7B" w:rsidRPr="00601509">
        <w:rPr>
          <w:rFonts w:ascii="Arial" w:hAnsi="Arial" w:cs="Arial"/>
          <w:color w:val="000000" w:themeColor="text1"/>
        </w:rPr>
        <w:t>2008, el TLC se firma en 2009 y entra en vigencia a partir de marzo del 2010 (Diario Oficial E</w:t>
      </w:r>
      <w:r w:rsidR="009605D9" w:rsidRPr="00601509">
        <w:rPr>
          <w:rFonts w:ascii="Arial" w:hAnsi="Arial" w:cs="Arial"/>
          <w:color w:val="000000" w:themeColor="text1"/>
        </w:rPr>
        <w:t>l</w:t>
      </w:r>
      <w:r w:rsidR="001A6B7B" w:rsidRPr="00601509">
        <w:rPr>
          <w:rFonts w:ascii="Arial" w:hAnsi="Arial" w:cs="Arial"/>
          <w:color w:val="000000" w:themeColor="text1"/>
        </w:rPr>
        <w:t xml:space="preserve"> P</w:t>
      </w:r>
      <w:r w:rsidR="009605D9" w:rsidRPr="00601509">
        <w:rPr>
          <w:rFonts w:ascii="Arial" w:hAnsi="Arial" w:cs="Arial"/>
          <w:color w:val="000000" w:themeColor="text1"/>
        </w:rPr>
        <w:t>eruano</w:t>
      </w:r>
      <w:r w:rsidR="001A6B7B" w:rsidRPr="00601509">
        <w:rPr>
          <w:rFonts w:ascii="Arial" w:hAnsi="Arial" w:cs="Arial"/>
          <w:color w:val="000000" w:themeColor="text1"/>
        </w:rPr>
        <w:t>; Presidencia de la República del Perú)</w:t>
      </w:r>
      <w:r w:rsidR="00B46955" w:rsidRPr="00601509">
        <w:rPr>
          <w:rFonts w:ascii="Arial" w:hAnsi="Arial" w:cs="Arial"/>
          <w:color w:val="000000" w:themeColor="text1"/>
        </w:rPr>
        <w:t>.</w:t>
      </w:r>
    </w:p>
    <w:p w14:paraId="34061561" w14:textId="77777777" w:rsidR="00754B8E" w:rsidRDefault="00B46484" w:rsidP="00754B8E">
      <w:pPr>
        <w:spacing w:after="240" w:line="360" w:lineRule="auto"/>
        <w:jc w:val="both"/>
        <w:rPr>
          <w:rFonts w:ascii="Arial" w:hAnsi="Arial" w:cs="Arial"/>
          <w:b/>
          <w:bCs/>
          <w:color w:val="000000" w:themeColor="text1"/>
        </w:rPr>
      </w:pPr>
      <w:r w:rsidRPr="00601509">
        <w:rPr>
          <w:rFonts w:ascii="Arial" w:hAnsi="Arial" w:cs="Arial"/>
          <w:b/>
          <w:bCs/>
          <w:color w:val="000000" w:themeColor="text1"/>
        </w:rPr>
        <w:t>Programa de desgravación arancelaria</w:t>
      </w:r>
    </w:p>
    <w:p w14:paraId="67A8ED65" w14:textId="0C264A89" w:rsidR="00153910" w:rsidRPr="00601509" w:rsidRDefault="00153910" w:rsidP="00754B8E">
      <w:pPr>
        <w:spacing w:after="240" w:line="360" w:lineRule="auto"/>
        <w:jc w:val="both"/>
        <w:rPr>
          <w:rFonts w:ascii="Arial" w:hAnsi="Arial" w:cs="Arial"/>
          <w:b/>
          <w:bCs/>
          <w:color w:val="000000" w:themeColor="text1"/>
        </w:rPr>
      </w:pPr>
      <w:r w:rsidRPr="00601509">
        <w:rPr>
          <w:rFonts w:ascii="Arial" w:hAnsi="Arial" w:cs="Arial"/>
          <w:color w:val="000000" w:themeColor="text1"/>
        </w:rPr>
        <w:t>El acuerdo en el aspecto comercial de divide en categorías de desgravación, siendo estas:</w:t>
      </w:r>
    </w:p>
    <w:p w14:paraId="36D61634" w14:textId="1937671C" w:rsidR="00153910" w:rsidRPr="00601509" w:rsidRDefault="00153910">
      <w:pPr>
        <w:pStyle w:val="Prrafodelista"/>
        <w:numPr>
          <w:ilvl w:val="0"/>
          <w:numId w:val="15"/>
        </w:numPr>
        <w:spacing w:after="240" w:line="360" w:lineRule="auto"/>
        <w:jc w:val="both"/>
        <w:rPr>
          <w:rFonts w:ascii="Arial" w:hAnsi="Arial" w:cs="Arial"/>
          <w:color w:val="000000" w:themeColor="text1"/>
        </w:rPr>
      </w:pPr>
      <w:r w:rsidRPr="00601509">
        <w:rPr>
          <w:rFonts w:ascii="Arial" w:hAnsi="Arial" w:cs="Arial"/>
          <w:color w:val="000000" w:themeColor="text1"/>
        </w:rPr>
        <w:t xml:space="preserve">Categoría A: Acceso inmediato </w:t>
      </w:r>
    </w:p>
    <w:p w14:paraId="36926E3A" w14:textId="07BBF229" w:rsidR="00153910" w:rsidRPr="00601509" w:rsidRDefault="00153910">
      <w:pPr>
        <w:pStyle w:val="Prrafodelista"/>
        <w:numPr>
          <w:ilvl w:val="0"/>
          <w:numId w:val="15"/>
        </w:numPr>
        <w:spacing w:after="240" w:line="360" w:lineRule="auto"/>
        <w:jc w:val="both"/>
        <w:rPr>
          <w:rFonts w:ascii="Arial" w:hAnsi="Arial" w:cs="Arial"/>
          <w:color w:val="000000" w:themeColor="text1"/>
        </w:rPr>
      </w:pPr>
      <w:r w:rsidRPr="00601509">
        <w:rPr>
          <w:rFonts w:ascii="Arial" w:hAnsi="Arial" w:cs="Arial"/>
          <w:color w:val="000000" w:themeColor="text1"/>
        </w:rPr>
        <w:t xml:space="preserve">Categoría B: 5 años </w:t>
      </w:r>
    </w:p>
    <w:p w14:paraId="7C7CDCCF" w14:textId="5045CEF5" w:rsidR="00153910" w:rsidRPr="00601509" w:rsidRDefault="00153910">
      <w:pPr>
        <w:pStyle w:val="Prrafodelista"/>
        <w:numPr>
          <w:ilvl w:val="0"/>
          <w:numId w:val="15"/>
        </w:numPr>
        <w:spacing w:after="240" w:line="360" w:lineRule="auto"/>
        <w:jc w:val="both"/>
        <w:rPr>
          <w:rFonts w:ascii="Arial" w:hAnsi="Arial" w:cs="Arial"/>
          <w:color w:val="000000" w:themeColor="text1"/>
        </w:rPr>
      </w:pPr>
      <w:r w:rsidRPr="00601509">
        <w:rPr>
          <w:rFonts w:ascii="Arial" w:hAnsi="Arial" w:cs="Arial"/>
          <w:color w:val="000000" w:themeColor="text1"/>
        </w:rPr>
        <w:t xml:space="preserve">Categoría C: 10 años  </w:t>
      </w:r>
    </w:p>
    <w:p w14:paraId="390D6E27" w14:textId="25894D79" w:rsidR="00153910" w:rsidRPr="00601509" w:rsidRDefault="00153910">
      <w:pPr>
        <w:pStyle w:val="Prrafodelista"/>
        <w:numPr>
          <w:ilvl w:val="0"/>
          <w:numId w:val="15"/>
        </w:numPr>
        <w:spacing w:after="240" w:line="360" w:lineRule="auto"/>
        <w:jc w:val="both"/>
        <w:rPr>
          <w:rFonts w:ascii="Arial" w:hAnsi="Arial" w:cs="Arial"/>
          <w:color w:val="000000" w:themeColor="text1"/>
        </w:rPr>
      </w:pPr>
      <w:r w:rsidRPr="00601509">
        <w:rPr>
          <w:rFonts w:ascii="Arial" w:hAnsi="Arial" w:cs="Arial"/>
          <w:color w:val="000000" w:themeColor="text1"/>
        </w:rPr>
        <w:t>Categoría D: Sin desgravación</w:t>
      </w:r>
    </w:p>
    <w:p w14:paraId="72C209E6" w14:textId="0BACA785" w:rsidR="00B46955" w:rsidRPr="00601509" w:rsidRDefault="00153910">
      <w:pPr>
        <w:pStyle w:val="Prrafodelista"/>
        <w:numPr>
          <w:ilvl w:val="0"/>
          <w:numId w:val="15"/>
        </w:numPr>
        <w:spacing w:after="240" w:line="360" w:lineRule="auto"/>
        <w:jc w:val="both"/>
        <w:rPr>
          <w:rFonts w:ascii="Arial" w:hAnsi="Arial" w:cs="Arial"/>
          <w:color w:val="000000" w:themeColor="text1"/>
        </w:rPr>
      </w:pPr>
      <w:r w:rsidRPr="00601509">
        <w:rPr>
          <w:rFonts w:ascii="Arial" w:hAnsi="Arial" w:cs="Arial"/>
          <w:color w:val="000000" w:themeColor="text1"/>
        </w:rPr>
        <w:t xml:space="preserve">Categoría E: Desgravación en 16 años </w:t>
      </w:r>
    </w:p>
    <w:p w14:paraId="07C1F4B1" w14:textId="1BDA572B" w:rsidR="001A6B7B" w:rsidRDefault="001A6B7B" w:rsidP="001A6B7B">
      <w:pPr>
        <w:spacing w:after="240" w:line="360" w:lineRule="auto"/>
        <w:jc w:val="both"/>
        <w:rPr>
          <w:rFonts w:ascii="Arial" w:hAnsi="Arial" w:cs="Arial"/>
        </w:rPr>
      </w:pPr>
      <w:r>
        <w:rPr>
          <w:rFonts w:ascii="Arial" w:hAnsi="Arial" w:cs="Arial"/>
        </w:rPr>
        <w:t>En el acuerdo,</w:t>
      </w:r>
      <w:r w:rsidRPr="001A6B7B">
        <w:rPr>
          <w:rFonts w:ascii="Arial" w:hAnsi="Arial" w:cs="Arial"/>
        </w:rPr>
        <w:t xml:space="preserve"> China </w:t>
      </w:r>
      <w:r>
        <w:rPr>
          <w:rFonts w:ascii="Arial" w:hAnsi="Arial" w:cs="Arial"/>
        </w:rPr>
        <w:t xml:space="preserve">propone </w:t>
      </w:r>
      <w:r w:rsidRPr="001A6B7B">
        <w:rPr>
          <w:rFonts w:ascii="Arial" w:hAnsi="Arial" w:cs="Arial"/>
        </w:rPr>
        <w:t>una desgravación arancelaria total</w:t>
      </w:r>
      <w:r>
        <w:rPr>
          <w:rFonts w:ascii="Arial" w:hAnsi="Arial" w:cs="Arial"/>
        </w:rPr>
        <w:t xml:space="preserve"> </w:t>
      </w:r>
      <w:r w:rsidRPr="001A6B7B">
        <w:rPr>
          <w:rFonts w:ascii="Arial" w:hAnsi="Arial" w:cs="Arial"/>
        </w:rPr>
        <w:t xml:space="preserve">para el 94,5% de sus líneas arancelarias. En contraste, </w:t>
      </w:r>
      <w:r>
        <w:rPr>
          <w:rFonts w:ascii="Arial" w:hAnsi="Arial" w:cs="Arial"/>
        </w:rPr>
        <w:t xml:space="preserve">designa </w:t>
      </w:r>
      <w:r w:rsidRPr="001A6B7B">
        <w:rPr>
          <w:rFonts w:ascii="Arial" w:hAnsi="Arial" w:cs="Arial"/>
        </w:rPr>
        <w:t xml:space="preserve">un total de 422 líneas arancelarias en la categoría D (sin desgravación), que incluye </w:t>
      </w:r>
      <w:r>
        <w:rPr>
          <w:rFonts w:ascii="Arial" w:hAnsi="Arial" w:cs="Arial"/>
        </w:rPr>
        <w:t>bienes</w:t>
      </w:r>
      <w:r w:rsidRPr="001A6B7B">
        <w:rPr>
          <w:rFonts w:ascii="Arial" w:hAnsi="Arial" w:cs="Arial"/>
        </w:rPr>
        <w:t xml:space="preserve"> como algunos productos pesqueros, café, trigo, arroz, maíz, aceites vegetales, azúcar, tabaco, ciertas preparaciones alimenticias, combustibles, urea, polietileno, neumáticos, pieles, madera, papel, televisores, autos y motocicletas. </w:t>
      </w:r>
    </w:p>
    <w:p w14:paraId="5200A301" w14:textId="1619B682" w:rsidR="004643AD" w:rsidRDefault="009605D9" w:rsidP="001A6B7B">
      <w:pPr>
        <w:spacing w:after="240" w:line="360" w:lineRule="auto"/>
        <w:jc w:val="both"/>
        <w:rPr>
          <w:rFonts w:ascii="Arial" w:hAnsi="Arial" w:cs="Arial"/>
        </w:rPr>
      </w:pPr>
      <w:r>
        <w:rPr>
          <w:rFonts w:ascii="Arial" w:hAnsi="Arial" w:cs="Arial"/>
        </w:rPr>
        <w:t>Los</w:t>
      </w:r>
      <w:r w:rsidR="001A6B7B" w:rsidRPr="001A6B7B">
        <w:rPr>
          <w:rFonts w:ascii="Arial" w:hAnsi="Arial" w:cs="Arial"/>
        </w:rPr>
        <w:t xml:space="preserve"> productos de interés para Perú, como colorantes inorgánicos, mango, carne de ave, ajos, palta, cebollas, cacao, fresas frescas, espárragos, páprika, selenio, manufacturas de zinc, cobre y hierro, boro, entre otros, </w:t>
      </w:r>
      <w:r>
        <w:rPr>
          <w:rFonts w:ascii="Arial" w:hAnsi="Arial" w:cs="Arial"/>
        </w:rPr>
        <w:t xml:space="preserve">ingresan dentro de la </w:t>
      </w:r>
      <w:r w:rsidRPr="009605D9">
        <w:rPr>
          <w:rFonts w:ascii="Arial" w:hAnsi="Arial" w:cs="Arial"/>
        </w:rPr>
        <w:t>Categoría</w:t>
      </w:r>
      <w:r>
        <w:rPr>
          <w:rFonts w:ascii="Arial" w:hAnsi="Arial" w:cs="Arial"/>
        </w:rPr>
        <w:t xml:space="preserve"> A y B al mercado chino </w:t>
      </w:r>
      <w:r>
        <w:rPr>
          <w:rFonts w:ascii="Arial" w:hAnsi="Arial" w:cs="Arial"/>
        </w:rPr>
        <w:fldChar w:fldCharType="begin"/>
      </w:r>
      <w:r>
        <w:rPr>
          <w:rFonts w:ascii="Arial" w:hAnsi="Arial" w:cs="Arial"/>
        </w:rPr>
        <w:instrText xml:space="preserve"> ADDIN ZOTERO_ITEM CSL_CITATION {"citationID":"VQfkvBan","properties":{"formattedCitation":"(Ministerio de Comercio Exterior y Turismo, 2014)","plainCitation":"(Ministerio de Comercio Exterior y Turismo, 2014)","noteIndex":0},"citationItems":[{"id":1913,"uris":["http://zotero.org/users/10063313/items/EMUVXJZ6"],"itemData":{"id":1913,"type":"report","publisher":"Oficina de Estudios Económicos Internacionales","title":"Estudio de aprovechamiento del TLC Perú – China: Cuarto año de vigencia del TLC","URL":"http://www.sice.oas.org/tpd/per_chn/Studies/Study_TLC_China_Yr4_s.pdf","author":[{"family":"Ministerio de Comercio Exterior y Turismo","given":""}],"accessed":{"date-parts":[["2024",4,13]]},"issued":{"date-parts":[["2014",4]]}}}],"schema":"https://github.com/citation-style-language/schema/raw/master/csl-citation.json"} </w:instrText>
      </w:r>
      <w:r>
        <w:rPr>
          <w:rFonts w:ascii="Arial" w:hAnsi="Arial" w:cs="Arial"/>
        </w:rPr>
        <w:fldChar w:fldCharType="separate"/>
      </w:r>
      <w:r>
        <w:rPr>
          <w:rFonts w:ascii="Arial" w:hAnsi="Arial" w:cs="Arial"/>
          <w:noProof/>
        </w:rPr>
        <w:t>(Ministerio de Comercio Exterior y Turismo, 2014)</w:t>
      </w:r>
      <w:r>
        <w:rPr>
          <w:rFonts w:ascii="Arial" w:hAnsi="Arial" w:cs="Arial"/>
        </w:rPr>
        <w:fldChar w:fldCharType="end"/>
      </w:r>
      <w:r>
        <w:rPr>
          <w:rFonts w:ascii="Arial" w:hAnsi="Arial" w:cs="Arial"/>
        </w:rPr>
        <w:t xml:space="preserve">. </w:t>
      </w:r>
    </w:p>
    <w:p w14:paraId="02C9EF0E" w14:textId="1F3D22B2" w:rsidR="00B46484" w:rsidRDefault="00B46484" w:rsidP="001A6B7B">
      <w:pPr>
        <w:spacing w:after="240" w:line="360" w:lineRule="auto"/>
        <w:jc w:val="both"/>
        <w:rPr>
          <w:rFonts w:ascii="Arial" w:hAnsi="Arial" w:cs="Arial"/>
        </w:rPr>
      </w:pPr>
      <w:r>
        <w:rPr>
          <w:rFonts w:ascii="Arial" w:hAnsi="Arial" w:cs="Arial"/>
        </w:rPr>
        <w:lastRenderedPageBreak/>
        <w:t xml:space="preserve">Perú, en cambio </w:t>
      </w:r>
      <w:r w:rsidR="003A0FAA">
        <w:rPr>
          <w:rFonts w:ascii="Arial" w:hAnsi="Arial" w:cs="Arial"/>
        </w:rPr>
        <w:t>otorgó</w:t>
      </w:r>
      <w:r>
        <w:rPr>
          <w:rFonts w:ascii="Arial" w:hAnsi="Arial" w:cs="Arial"/>
        </w:rPr>
        <w:t xml:space="preserve"> a China acceso inmediato </w:t>
      </w:r>
      <w:r w:rsidR="003A0FAA">
        <w:rPr>
          <w:rFonts w:ascii="Arial" w:hAnsi="Arial" w:cs="Arial"/>
        </w:rPr>
        <w:t>al 63% de su universo arancelario y al igual que China, dejó ciertos productos (sensibles para Perú, como textiles, confecciones, calzado, etc.) e</w:t>
      </w:r>
      <w:r w:rsidR="003A0FAA" w:rsidRPr="00601509">
        <w:rPr>
          <w:rFonts w:ascii="Arial" w:hAnsi="Arial" w:cs="Arial"/>
          <w:color w:val="000000" w:themeColor="text1"/>
        </w:rPr>
        <w:t xml:space="preserve">n la categoría D, que es </w:t>
      </w:r>
      <w:r w:rsidR="00560B5F" w:rsidRPr="00601509">
        <w:rPr>
          <w:rFonts w:ascii="Arial" w:hAnsi="Arial" w:cs="Arial"/>
          <w:color w:val="000000" w:themeColor="text1"/>
        </w:rPr>
        <w:t xml:space="preserve">los cuales representan </w:t>
      </w:r>
      <w:r w:rsidR="003A0FAA" w:rsidRPr="00601509">
        <w:rPr>
          <w:rFonts w:ascii="Arial" w:hAnsi="Arial" w:cs="Arial"/>
          <w:color w:val="000000" w:themeColor="text1"/>
        </w:rPr>
        <w:t>un 8% del universo arancela</w:t>
      </w:r>
      <w:r w:rsidR="003A0FAA">
        <w:rPr>
          <w:rFonts w:ascii="Arial" w:hAnsi="Arial" w:cs="Arial"/>
        </w:rPr>
        <w:t xml:space="preserve">rio del país latinoamericano </w:t>
      </w:r>
      <w:r w:rsidR="003A0FAA">
        <w:rPr>
          <w:rFonts w:ascii="Arial" w:hAnsi="Arial" w:cs="Arial"/>
        </w:rPr>
        <w:fldChar w:fldCharType="begin"/>
      </w:r>
      <w:r w:rsidR="00F717FC">
        <w:rPr>
          <w:rFonts w:ascii="Arial" w:hAnsi="Arial" w:cs="Arial"/>
        </w:rPr>
        <w:instrText xml:space="preserve"> ADDIN ZOTERO_ITEM CSL_CITATION {"citationID":"NkDxZuCz","properties":{"formattedCitation":"(Ministerio de Comercio Exterior y Turismo, 2014)","plainCitation":"(Ministerio de Comercio Exterior y Turismo, 2014)","noteIndex":0},"citationItems":[{"id":1913,"uris":["http://zotero.org/users/10063313/items/EMUVXJZ6"],"itemData":{"id":1913,"type":"report","publisher":"Oficina de Estudios Económicos Internacionales","title":"Estudio de aprovechamiento del TLC Perú – China: Cuarto año de vigencia del TLC","URL":"http://www.sice.oas.org/tpd/per_chn/Studies/Study_TLC_China_Yr4_s.pdf","author":[{"family":"Ministerio de Comercio Exterior y Turismo","given":""}],"accessed":{"date-parts":[["2024",4,13]]},"issued":{"date-parts":[["2014",4]]}}}],"schema":"https://github.com/citation-style-language/schema/raw/master/csl-citation.json"} </w:instrText>
      </w:r>
      <w:r w:rsidR="003A0FAA">
        <w:rPr>
          <w:rFonts w:ascii="Arial" w:hAnsi="Arial" w:cs="Arial"/>
        </w:rPr>
        <w:fldChar w:fldCharType="separate"/>
      </w:r>
      <w:r w:rsidR="003A0FAA">
        <w:rPr>
          <w:rFonts w:ascii="Arial" w:hAnsi="Arial" w:cs="Arial"/>
          <w:noProof/>
        </w:rPr>
        <w:t>(Ministerio de Comercio Exterior y Turismo, 2014)</w:t>
      </w:r>
      <w:r w:rsidR="003A0FAA">
        <w:rPr>
          <w:rFonts w:ascii="Arial" w:hAnsi="Arial" w:cs="Arial"/>
        </w:rPr>
        <w:fldChar w:fldCharType="end"/>
      </w:r>
      <w:r w:rsidR="003A0FAA">
        <w:rPr>
          <w:rFonts w:ascii="Arial" w:hAnsi="Arial" w:cs="Arial"/>
        </w:rPr>
        <w:t xml:space="preserve">. </w:t>
      </w:r>
    </w:p>
    <w:p w14:paraId="21499D9A" w14:textId="459282C4" w:rsidR="00153910" w:rsidRPr="00F717FC" w:rsidRDefault="003A0FAA" w:rsidP="00153910">
      <w:pPr>
        <w:spacing w:after="240" w:line="360" w:lineRule="auto"/>
        <w:jc w:val="both"/>
        <w:rPr>
          <w:rFonts w:ascii="Arial" w:hAnsi="Arial" w:cs="Arial"/>
        </w:rPr>
      </w:pPr>
      <w:r>
        <w:rPr>
          <w:rFonts w:ascii="Arial" w:hAnsi="Arial" w:cs="Arial"/>
        </w:rPr>
        <w:t>Algunos de los</w:t>
      </w:r>
      <w:r w:rsidR="00B46484" w:rsidRPr="00B46484">
        <w:rPr>
          <w:rFonts w:ascii="Arial" w:hAnsi="Arial" w:cs="Arial"/>
        </w:rPr>
        <w:t xml:space="preserve"> productos de interés para China, tales como teléfonos celulares, computadoras y sus componentes, varios dispositivos electrónicos, productos de acero laminado, urea, entre otros</w:t>
      </w:r>
      <w:r>
        <w:rPr>
          <w:rFonts w:ascii="Arial" w:hAnsi="Arial" w:cs="Arial"/>
        </w:rPr>
        <w:t>, se les dio un acceso inmediato por parte de Perú en el acuerdo</w:t>
      </w:r>
      <w:r w:rsidR="00F717FC">
        <w:rPr>
          <w:rFonts w:ascii="Arial" w:hAnsi="Arial" w:cs="Arial"/>
        </w:rPr>
        <w:t xml:space="preserve"> </w:t>
      </w:r>
      <w:r w:rsidR="00F717FC">
        <w:rPr>
          <w:rFonts w:ascii="Arial" w:hAnsi="Arial" w:cs="Arial"/>
        </w:rPr>
        <w:fldChar w:fldCharType="begin"/>
      </w:r>
      <w:r w:rsidR="00F717FC">
        <w:rPr>
          <w:rFonts w:ascii="Arial" w:hAnsi="Arial" w:cs="Arial"/>
        </w:rPr>
        <w:instrText xml:space="preserve"> ADDIN ZOTERO_ITEM CSL_CITATION {"citationID":"df0DYMyX","properties":{"formattedCitation":"(Ministerio de Comercio Exterior y Turismo, 2008)","plainCitation":"(Ministerio de Comercio Exterior y Turismo, 2008)","noteIndex":0},"citationItems":[{"id":1911,"uris":["http://zotero.org/users/10063313/items/9NYQW7VD"],"itemData":{"id":1911,"type":"webpage","title":"Resumen Ejecutivo Tratado de Libre Comercio entre Perú y China","URL":"https://www.acuerdoscomerciales.gob.pe/En_Vigencia/China/Documentos/docs/Informes_Finales_TLC_Peru-China.pdf","author":[{"family":"Ministerio de Comercio Exterior y Turismo","given":""}],"accessed":{"date-parts":[["2024",4,13]]},"issued":{"date-parts":[["2008"]]}}}],"schema":"https://github.com/citation-style-language/schema/raw/master/csl-citation.json"} </w:instrText>
      </w:r>
      <w:r w:rsidR="00F717FC">
        <w:rPr>
          <w:rFonts w:ascii="Arial" w:hAnsi="Arial" w:cs="Arial"/>
        </w:rPr>
        <w:fldChar w:fldCharType="separate"/>
      </w:r>
      <w:r w:rsidR="00F717FC">
        <w:rPr>
          <w:rFonts w:ascii="Arial" w:hAnsi="Arial" w:cs="Arial"/>
          <w:noProof/>
        </w:rPr>
        <w:t>(Ministerio de Comercio Exterior y Turismo, 2008)</w:t>
      </w:r>
      <w:r w:rsidR="00F717FC">
        <w:rPr>
          <w:rFonts w:ascii="Arial" w:hAnsi="Arial" w:cs="Arial"/>
        </w:rPr>
        <w:fldChar w:fldCharType="end"/>
      </w:r>
      <w:r w:rsidR="00F717FC">
        <w:rPr>
          <w:rFonts w:ascii="Arial" w:hAnsi="Arial" w:cs="Arial"/>
        </w:rPr>
        <w:t xml:space="preserve">. </w:t>
      </w:r>
    </w:p>
    <w:p w14:paraId="4B539B8C" w14:textId="652E806C" w:rsidR="004643AD" w:rsidRDefault="00565D66" w:rsidP="001A6B7B">
      <w:pPr>
        <w:spacing w:after="240" w:line="360" w:lineRule="auto"/>
        <w:jc w:val="both"/>
        <w:rPr>
          <w:rFonts w:ascii="Arial" w:hAnsi="Arial" w:cs="Arial"/>
        </w:rPr>
      </w:pPr>
      <w:r w:rsidRPr="00565D66">
        <w:rPr>
          <w:rFonts w:ascii="Arial" w:hAnsi="Arial" w:cs="Arial"/>
        </w:rPr>
        <w:t>Desde la entrada en vigor del TLC, se ha observado un incremento significativo en el volumen de comercio bilateral. Las exportaciones peruanas hacia China se han centrado principalmente en productos tradicionales, especialmente minerales como el cobre</w:t>
      </w:r>
      <w:r w:rsidR="00054351">
        <w:rPr>
          <w:rFonts w:ascii="Arial" w:hAnsi="Arial" w:cs="Arial"/>
        </w:rPr>
        <w:t xml:space="preserve">, mineral de hierro, harina de animales y gránulos, mineral de zinc </w:t>
      </w:r>
      <w:r w:rsidRPr="00565D66">
        <w:rPr>
          <w:rFonts w:ascii="Arial" w:hAnsi="Arial" w:cs="Arial"/>
        </w:rPr>
        <w:t>y productos agrícolas como la uva</w:t>
      </w:r>
      <w:r w:rsidR="000C2534">
        <w:rPr>
          <w:rFonts w:ascii="Arial" w:hAnsi="Arial" w:cs="Arial"/>
        </w:rPr>
        <w:t>,</w:t>
      </w:r>
      <w:r w:rsidRPr="00565D66">
        <w:rPr>
          <w:rFonts w:ascii="Arial" w:hAnsi="Arial" w:cs="Arial"/>
        </w:rPr>
        <w:t xml:space="preserve"> mientras que las importaciones desde China han abarcado una gama más amplia de manufacturas avanzadas y productos tecnológicos </w:t>
      </w:r>
      <w:r w:rsidR="000C2534">
        <w:rPr>
          <w:rFonts w:ascii="Arial" w:hAnsi="Arial" w:cs="Arial"/>
        </w:rPr>
        <w:fldChar w:fldCharType="begin"/>
      </w:r>
      <w:r w:rsidR="000C2534">
        <w:rPr>
          <w:rFonts w:ascii="Arial" w:hAnsi="Arial" w:cs="Arial"/>
        </w:rPr>
        <w:instrText xml:space="preserve"> ADDIN ZOTERO_ITEM CSL_CITATION {"citationID":"ua0b1Qyn","properties":{"formattedCitation":"(Chan, 2019)","plainCitation":"(Chan, 2019)","noteIndex":0},"citationItems":[{"id":1952,"uris":["http://zotero.org/users/10063313/items/Q9HEDBCS"],"itemData":{"id":1952,"type":"article-journal","abstract":"Resumen\n\t\t\t\t\tEl Acuerdo de libre comercio entre el Perú y la China tiene como características un proceso de larga gestación y un proceso de breve negociación. Las concesiones arancelarias intercambiadas permiten que la inmensa mayoría de los potenciales productos de exportación peruanos puedan tener acceso a beneficios arancelarios. Por otro lado, prácticamente todos los productos peruanos sensibles a la competencia china fueron excluidos del proceso de desgravación tarifaria o se incluyeron a plazos de hasta diecisiete años de reducciones arancelarias. Luego de nueve años de vigencia del acuerdo, se concluye que este ha sido beneficioso para el Perú sin dejar de mantener la característica esencial de la estructura de su comercio: el ser interindustrial.\n\t\t\t\t,","container-title":"Agenda Internacional","DOI":"10.18800/agenda.201901.003","ISSN":"2311-5718","issue":"37","language":"es","license":"Derechos de autor 2019","note":"number: 37","page":"89-117","source":"revistas.pucp.edu.pe","title":"Los nueve años del TLC Perú – China. Su negociación y sus resultados","volume":"26","author":[{"family":"Chan","given":"Julio"}],"issued":{"date-parts":[["2019",10,16]]}}}],"schema":"https://github.com/citation-style-language/schema/raw/master/csl-citation.json"} </w:instrText>
      </w:r>
      <w:r w:rsidR="000C2534">
        <w:rPr>
          <w:rFonts w:ascii="Arial" w:hAnsi="Arial" w:cs="Arial"/>
        </w:rPr>
        <w:fldChar w:fldCharType="separate"/>
      </w:r>
      <w:r w:rsidR="000C2534">
        <w:rPr>
          <w:rFonts w:ascii="Arial" w:hAnsi="Arial" w:cs="Arial"/>
          <w:noProof/>
        </w:rPr>
        <w:t>(Chan, 2019)</w:t>
      </w:r>
      <w:r w:rsidR="000C2534">
        <w:rPr>
          <w:rFonts w:ascii="Arial" w:hAnsi="Arial" w:cs="Arial"/>
        </w:rPr>
        <w:fldChar w:fldCharType="end"/>
      </w:r>
      <w:r w:rsidR="000C2534">
        <w:rPr>
          <w:rFonts w:ascii="Arial" w:hAnsi="Arial" w:cs="Arial"/>
        </w:rPr>
        <w:t xml:space="preserve">. </w:t>
      </w:r>
    </w:p>
    <w:p w14:paraId="26E8E529" w14:textId="3C24B574" w:rsidR="00565D66" w:rsidRDefault="00054351" w:rsidP="001A6B7B">
      <w:pPr>
        <w:spacing w:after="240" w:line="360" w:lineRule="auto"/>
        <w:jc w:val="both"/>
        <w:rPr>
          <w:rFonts w:ascii="Arial" w:hAnsi="Arial" w:cs="Arial"/>
        </w:rPr>
      </w:pPr>
      <w:r w:rsidRPr="00054351">
        <w:rPr>
          <w:rFonts w:ascii="Arial" w:hAnsi="Arial" w:cs="Arial"/>
        </w:rPr>
        <w:t>Las exportaciones peruanas hacia China han mostrado un crecimiento durante el período del TLC</w:t>
      </w:r>
      <w:r w:rsidR="00560B5F">
        <w:rPr>
          <w:rFonts w:ascii="Arial" w:hAnsi="Arial" w:cs="Arial"/>
        </w:rPr>
        <w:t>,</w:t>
      </w:r>
      <w:r w:rsidR="00601509">
        <w:rPr>
          <w:rFonts w:ascii="Arial" w:hAnsi="Arial" w:cs="Arial"/>
        </w:rPr>
        <w:t xml:space="preserve"> </w:t>
      </w:r>
      <w:r w:rsidRPr="00054351">
        <w:rPr>
          <w:rFonts w:ascii="Arial" w:hAnsi="Arial" w:cs="Arial"/>
        </w:rPr>
        <w:t xml:space="preserve">impulsado principalmente por el sector minero, con el cobre liderando la lista, </w:t>
      </w:r>
      <w:r>
        <w:rPr>
          <w:rFonts w:ascii="Arial" w:hAnsi="Arial" w:cs="Arial"/>
        </w:rPr>
        <w:t>y demás minerales</w:t>
      </w:r>
      <w:r w:rsidRPr="00054351">
        <w:rPr>
          <w:rFonts w:ascii="Arial" w:hAnsi="Arial" w:cs="Arial"/>
        </w:rPr>
        <w:t xml:space="preserve">, que disfrutan de acceso preferencial bajo el acuerdo </w:t>
      </w:r>
      <w:r w:rsidR="000C2534">
        <w:rPr>
          <w:rFonts w:ascii="Arial" w:hAnsi="Arial" w:cs="Arial"/>
        </w:rPr>
        <w:fldChar w:fldCharType="begin"/>
      </w:r>
      <w:r w:rsidR="000C2534">
        <w:rPr>
          <w:rFonts w:ascii="Arial" w:hAnsi="Arial" w:cs="Arial"/>
        </w:rPr>
        <w:instrText xml:space="preserve"> ADDIN ZOTERO_ITEM CSL_CITATION {"citationID":"egdZ2oWO","properties":{"formattedCitation":"(Chan, 2019)","plainCitation":"(Chan, 2019)","noteIndex":0},"citationItems":[{"id":1952,"uris":["http://zotero.org/users/10063313/items/Q9HEDBCS"],"itemData":{"id":1952,"type":"article-journal","abstract":"Resumen\n\t\t\t\t\tEl Acuerdo de libre comercio entre el Perú y la China tiene como características un proceso de larga gestación y un proceso de breve negociación. Las concesiones arancelarias intercambiadas permiten que la inmensa mayoría de los potenciales productos de exportación peruanos puedan tener acceso a beneficios arancelarios. Por otro lado, prácticamente todos los productos peruanos sensibles a la competencia china fueron excluidos del proceso de desgravación tarifaria o se incluyeron a plazos de hasta diecisiete años de reducciones arancelarias. Luego de nueve años de vigencia del acuerdo, se concluye que este ha sido beneficioso para el Perú sin dejar de mantener la característica esencial de la estructura de su comercio: el ser interindustrial.\n\t\t\t\t,","container-title":"Agenda Internacional","DOI":"10.18800/agenda.201901.003","ISSN":"2311-5718","issue":"37","language":"es","license":"Derechos de autor 2019","note":"number: 37","page":"89-117","source":"revistas.pucp.edu.pe","title":"Los nueve años del TLC Perú – China. Su negociación y sus resultados","volume":"26","author":[{"family":"Chan","given":"Julio"}],"issued":{"date-parts":[["2019",10,16]]}}}],"schema":"https://github.com/citation-style-language/schema/raw/master/csl-citation.json"} </w:instrText>
      </w:r>
      <w:r w:rsidR="000C2534">
        <w:rPr>
          <w:rFonts w:ascii="Arial" w:hAnsi="Arial" w:cs="Arial"/>
        </w:rPr>
        <w:fldChar w:fldCharType="separate"/>
      </w:r>
      <w:r w:rsidR="000C2534">
        <w:rPr>
          <w:rFonts w:ascii="Arial" w:hAnsi="Arial" w:cs="Arial"/>
          <w:noProof/>
        </w:rPr>
        <w:t>(Chan, 2019)</w:t>
      </w:r>
      <w:r w:rsidR="000C2534">
        <w:rPr>
          <w:rFonts w:ascii="Arial" w:hAnsi="Arial" w:cs="Arial"/>
        </w:rPr>
        <w:fldChar w:fldCharType="end"/>
      </w:r>
      <w:r w:rsidR="000C2534">
        <w:rPr>
          <w:rFonts w:ascii="Arial" w:hAnsi="Arial" w:cs="Arial"/>
        </w:rPr>
        <w:t>.</w:t>
      </w:r>
    </w:p>
    <w:p w14:paraId="36FF6823" w14:textId="7464F279" w:rsidR="00015050" w:rsidRDefault="00015050" w:rsidP="00015050">
      <w:pPr>
        <w:spacing w:line="360" w:lineRule="auto"/>
        <w:jc w:val="both"/>
        <w:rPr>
          <w:rFonts w:ascii="Arial" w:hAnsi="Arial" w:cs="Arial"/>
        </w:rPr>
      </w:pPr>
      <w:r>
        <w:rPr>
          <w:rFonts w:ascii="Arial" w:hAnsi="Arial" w:cs="Arial"/>
        </w:rPr>
        <w:t>A</w:t>
      </w:r>
      <w:r w:rsidRPr="00054351">
        <w:rPr>
          <w:rFonts w:ascii="Arial" w:hAnsi="Arial" w:cs="Arial"/>
        </w:rPr>
        <w:t xml:space="preserve"> pesar del notable crecimiento en el valor de las exportaciones, la estructura de estas no ha cambiado significativamente. La mayoría de las exportaciones peruanas siguen siendo productos primarios, lo que refleja una continuidad en la dependencia de </w:t>
      </w:r>
      <w:proofErr w:type="spellStart"/>
      <w:r w:rsidRPr="00054351">
        <w:rPr>
          <w:rFonts w:ascii="Arial" w:hAnsi="Arial" w:cs="Arial"/>
        </w:rPr>
        <w:t>commodities</w:t>
      </w:r>
      <w:proofErr w:type="spellEnd"/>
      <w:r w:rsidRPr="00054351">
        <w:rPr>
          <w:rFonts w:ascii="Arial" w:hAnsi="Arial" w:cs="Arial"/>
        </w:rPr>
        <w:t xml:space="preserve"> con poco valor agregado. Esto plantea interrogantes sobre la '</w:t>
      </w:r>
      <w:proofErr w:type="spellStart"/>
      <w:r w:rsidRPr="00054351">
        <w:rPr>
          <w:rFonts w:ascii="Arial" w:hAnsi="Arial" w:cs="Arial"/>
        </w:rPr>
        <w:t>reprimarización</w:t>
      </w:r>
      <w:proofErr w:type="spellEnd"/>
      <w:r w:rsidRPr="00054351">
        <w:rPr>
          <w:rFonts w:ascii="Arial" w:hAnsi="Arial" w:cs="Arial"/>
        </w:rPr>
        <w:t xml:space="preserve">' de la economía peruana, un fenómeno en el que el país aumenta su dependencia en materias primas para exportación en lugar de diversificar hacia productos con mayor elaboración </w:t>
      </w:r>
      <w:r>
        <w:rPr>
          <w:rFonts w:ascii="Arial" w:hAnsi="Arial" w:cs="Arial"/>
        </w:rPr>
        <w:fldChar w:fldCharType="begin"/>
      </w:r>
      <w:r>
        <w:rPr>
          <w:rFonts w:ascii="Arial" w:hAnsi="Arial" w:cs="Arial"/>
        </w:rPr>
        <w:instrText xml:space="preserve"> ADDIN ZOTERO_ITEM CSL_CITATION {"citationID":"m9uKOqou","properties":{"formattedCitation":"(Chan, 2019)","plainCitation":"(Chan, 2019)","noteIndex":0},"citationItems":[{"id":1952,"uris":["http://zotero.org/users/10063313/items/Q9HEDBCS"],"itemData":{"id":1952,"type":"article-journal","abstract":"Resumen\n\t\t\t\t\tEl Acuerdo de libre comercio entre el Perú y la China tiene como características un proceso de larga gestación y un proceso de breve negociación. Las concesiones arancelarias intercambiadas permiten que la inmensa mayoría de los potenciales productos de exportación peruanos puedan tener acceso a beneficios arancelarios. Por otro lado, prácticamente todos los productos peruanos sensibles a la competencia china fueron excluidos del proceso de desgravación tarifaria o se incluyeron a plazos de hasta diecisiete años de reducciones arancelarias. Luego de nueve años de vigencia del acuerdo, se concluye que este ha sido beneficioso para el Perú sin dejar de mantener la característica esencial de la estructura de su comercio: el ser interindustrial.\n\t\t\t\t,","container-title":"Agenda Internacional","DOI":"10.18800/agenda.201901.003","ISSN":"2311-5718","issue":"37","language":"es","license":"Derechos de autor 2019","note":"number: 37","page":"89-117","source":"revistas.pucp.edu.pe","title":"Los nueve años del TLC Perú – China. Su negociación y sus resultados","volume":"26","author":[{"family":"Chan","given":"Julio"}],"issued":{"date-parts":[["2019",10,16]]}}}],"schema":"https://github.com/citation-style-language/schema/raw/master/csl-citation.json"} </w:instrText>
      </w:r>
      <w:r>
        <w:rPr>
          <w:rFonts w:ascii="Arial" w:hAnsi="Arial" w:cs="Arial"/>
        </w:rPr>
        <w:fldChar w:fldCharType="separate"/>
      </w:r>
      <w:r>
        <w:rPr>
          <w:rFonts w:ascii="Arial" w:hAnsi="Arial" w:cs="Arial"/>
          <w:noProof/>
        </w:rPr>
        <w:t>(Chan, 2019)</w:t>
      </w:r>
      <w:r>
        <w:rPr>
          <w:rFonts w:ascii="Arial" w:hAnsi="Arial" w:cs="Arial"/>
        </w:rPr>
        <w:fldChar w:fldCharType="end"/>
      </w:r>
      <w:r>
        <w:rPr>
          <w:rFonts w:ascii="Arial" w:hAnsi="Arial" w:cs="Arial"/>
        </w:rPr>
        <w:t>.</w:t>
      </w:r>
    </w:p>
    <w:p w14:paraId="7212D8C2" w14:textId="4E0B86C2" w:rsidR="00754B8E" w:rsidRPr="00795AAA" w:rsidRDefault="001A6B7B" w:rsidP="00795AAA">
      <w:pPr>
        <w:pStyle w:val="Descripcin"/>
        <w:keepNext/>
        <w:spacing w:after="0" w:line="360" w:lineRule="auto"/>
        <w:rPr>
          <w:rFonts w:ascii="Arial" w:hAnsi="Arial" w:cs="Arial"/>
          <w:color w:val="000000" w:themeColor="text1"/>
          <w:sz w:val="24"/>
          <w:szCs w:val="24"/>
        </w:rPr>
      </w:pPr>
      <w:bookmarkStart w:id="58" w:name="_Toc215907249"/>
      <w:r w:rsidRPr="00795AAA">
        <w:rPr>
          <w:rFonts w:ascii="Arial" w:hAnsi="Arial" w:cs="Arial"/>
          <w:b/>
          <w:bCs/>
          <w:color w:val="000000" w:themeColor="text1"/>
          <w:sz w:val="24"/>
          <w:szCs w:val="24"/>
        </w:rPr>
        <w:lastRenderedPageBreak/>
        <w:t xml:space="preserve">Gráfico </w:t>
      </w:r>
      <w:r w:rsidRPr="00795AAA">
        <w:rPr>
          <w:rFonts w:ascii="Arial" w:hAnsi="Arial" w:cs="Arial"/>
          <w:b/>
          <w:bCs/>
          <w:color w:val="000000" w:themeColor="text1"/>
          <w:sz w:val="24"/>
          <w:szCs w:val="24"/>
        </w:rPr>
        <w:fldChar w:fldCharType="begin"/>
      </w:r>
      <w:r w:rsidRPr="00795AAA">
        <w:rPr>
          <w:rFonts w:ascii="Arial" w:hAnsi="Arial" w:cs="Arial"/>
          <w:b/>
          <w:bCs/>
          <w:color w:val="000000" w:themeColor="text1"/>
          <w:sz w:val="24"/>
          <w:szCs w:val="24"/>
        </w:rPr>
        <w:instrText xml:space="preserve"> SEQ Gráfico \* ARABIC </w:instrText>
      </w:r>
      <w:r w:rsidRPr="00795AAA">
        <w:rPr>
          <w:rFonts w:ascii="Arial" w:hAnsi="Arial" w:cs="Arial"/>
          <w:b/>
          <w:bCs/>
          <w:color w:val="000000" w:themeColor="text1"/>
          <w:sz w:val="24"/>
          <w:szCs w:val="24"/>
        </w:rPr>
        <w:fldChar w:fldCharType="separate"/>
      </w:r>
      <w:r w:rsidR="00C41F6F" w:rsidRPr="00795AAA">
        <w:rPr>
          <w:rFonts w:ascii="Arial" w:hAnsi="Arial" w:cs="Arial"/>
          <w:b/>
          <w:bCs/>
          <w:noProof/>
          <w:color w:val="000000" w:themeColor="text1"/>
          <w:sz w:val="24"/>
          <w:szCs w:val="24"/>
        </w:rPr>
        <w:t>8</w:t>
      </w:r>
      <w:r w:rsidRPr="00795AAA">
        <w:rPr>
          <w:rFonts w:ascii="Arial" w:hAnsi="Arial" w:cs="Arial"/>
          <w:b/>
          <w:bCs/>
          <w:color w:val="000000" w:themeColor="text1"/>
          <w:sz w:val="24"/>
          <w:szCs w:val="24"/>
        </w:rPr>
        <w:fldChar w:fldCharType="end"/>
      </w:r>
      <w:r w:rsidRPr="00795AAA">
        <w:rPr>
          <w:rFonts w:ascii="Arial" w:hAnsi="Arial" w:cs="Arial"/>
          <w:b/>
          <w:bCs/>
          <w:color w:val="000000" w:themeColor="text1"/>
          <w:sz w:val="24"/>
          <w:szCs w:val="24"/>
        </w:rPr>
        <w:t xml:space="preserve"> </w:t>
      </w:r>
      <w:r w:rsidRPr="00795AAA">
        <w:rPr>
          <w:rFonts w:ascii="Arial" w:hAnsi="Arial" w:cs="Arial"/>
          <w:color w:val="000000" w:themeColor="text1"/>
          <w:sz w:val="24"/>
          <w:szCs w:val="24"/>
        </w:rPr>
        <w:t xml:space="preserve">Balanza Comercial de Perú y China de 2001 </w:t>
      </w:r>
      <w:r w:rsidR="00754B8E" w:rsidRPr="00795AAA">
        <w:rPr>
          <w:rFonts w:ascii="Arial" w:hAnsi="Arial" w:cs="Arial"/>
          <w:color w:val="000000" w:themeColor="text1"/>
          <w:sz w:val="24"/>
          <w:szCs w:val="24"/>
        </w:rPr>
        <w:t>–</w:t>
      </w:r>
      <w:r w:rsidRPr="00795AAA">
        <w:rPr>
          <w:rFonts w:ascii="Arial" w:hAnsi="Arial" w:cs="Arial"/>
          <w:color w:val="000000" w:themeColor="text1"/>
          <w:sz w:val="24"/>
          <w:szCs w:val="24"/>
        </w:rPr>
        <w:t xml:space="preserve"> 2022</w:t>
      </w:r>
      <w:bookmarkEnd w:id="58"/>
      <w:r w:rsidR="00754B8E" w:rsidRPr="00795AAA">
        <w:rPr>
          <w:rFonts w:ascii="Arial" w:hAnsi="Arial" w:cs="Arial"/>
          <w:color w:val="000000" w:themeColor="text1"/>
          <w:sz w:val="24"/>
          <w:szCs w:val="24"/>
        </w:rPr>
        <w:t xml:space="preserve"> </w:t>
      </w:r>
    </w:p>
    <w:p w14:paraId="5B6BC0DF" w14:textId="58126D4E" w:rsidR="001A6B7B" w:rsidRPr="00795AAA" w:rsidRDefault="001A6B7B" w:rsidP="00795AAA">
      <w:pPr>
        <w:pStyle w:val="Descripcin"/>
        <w:keepNext/>
        <w:spacing w:after="0" w:line="360" w:lineRule="auto"/>
        <w:rPr>
          <w:rFonts w:ascii="Arial" w:hAnsi="Arial" w:cs="Arial"/>
          <w:color w:val="000000" w:themeColor="text1"/>
          <w:sz w:val="24"/>
          <w:szCs w:val="24"/>
        </w:rPr>
      </w:pPr>
      <w:r w:rsidRPr="00795AAA">
        <w:rPr>
          <w:rFonts w:ascii="Arial" w:hAnsi="Arial" w:cs="Arial"/>
          <w:color w:val="000000" w:themeColor="text1"/>
          <w:sz w:val="24"/>
          <w:szCs w:val="24"/>
        </w:rPr>
        <w:t>(Miles de dólares estadounidenses)</w:t>
      </w:r>
    </w:p>
    <w:p w14:paraId="710AD1B1" w14:textId="678939ED" w:rsidR="001A6B7B" w:rsidRDefault="001A6B7B" w:rsidP="00495A7E">
      <w:pPr>
        <w:rPr>
          <w:rFonts w:ascii="Arial" w:hAnsi="Arial" w:cs="Arial"/>
        </w:rPr>
      </w:pPr>
      <w:r w:rsidRPr="001A6B7B">
        <w:rPr>
          <w:rFonts w:ascii="Arial" w:hAnsi="Arial" w:cs="Arial"/>
          <w:noProof/>
        </w:rPr>
        <w:drawing>
          <wp:inline distT="0" distB="0" distL="0" distR="0" wp14:anchorId="16801650" wp14:editId="5C64D17E">
            <wp:extent cx="5982511" cy="4572000"/>
            <wp:effectExtent l="0" t="0" r="12065" b="12700"/>
            <wp:docPr id="918575373" name="Gráfico 1">
              <a:extLst xmlns:a="http://schemas.openxmlformats.org/drawingml/2006/main">
                <a:ext uri="{FF2B5EF4-FFF2-40B4-BE49-F238E27FC236}">
                  <a16:creationId xmlns:a16="http://schemas.microsoft.com/office/drawing/2014/main" id="{D91FED2B-F14F-E895-3A57-2A621DAD73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0EB6ECA" w14:textId="7DBD5AE3" w:rsidR="001A6B7B" w:rsidRPr="001A6B7B" w:rsidRDefault="001A6B7B" w:rsidP="00495A7E">
      <w:pPr>
        <w:rPr>
          <w:rFonts w:ascii="Arial" w:hAnsi="Arial" w:cs="Arial"/>
        </w:rPr>
      </w:pPr>
      <w:r w:rsidRPr="001A6B7B">
        <w:rPr>
          <w:rFonts w:ascii="Arial" w:hAnsi="Arial" w:cs="Arial"/>
        </w:rPr>
        <w:t xml:space="preserve">Fuente: Elaboración propia con datos </w:t>
      </w:r>
      <w:r>
        <w:rPr>
          <w:rFonts w:ascii="Arial" w:hAnsi="Arial" w:cs="Arial"/>
        </w:rPr>
        <w:t>del ITC</w:t>
      </w:r>
    </w:p>
    <w:p w14:paraId="40F0EDCF" w14:textId="28B029AB" w:rsidR="00054351" w:rsidRDefault="00BA5377" w:rsidP="00015050">
      <w:pPr>
        <w:spacing w:after="240" w:line="360" w:lineRule="auto"/>
        <w:jc w:val="both"/>
        <w:rPr>
          <w:rFonts w:ascii="Arial" w:hAnsi="Arial" w:cs="Arial"/>
        </w:rPr>
      </w:pPr>
      <w:r>
        <w:rPr>
          <w:rFonts w:ascii="Arial" w:hAnsi="Arial" w:cs="Arial"/>
        </w:rPr>
        <w:br/>
      </w:r>
      <w:r w:rsidR="00560B5F" w:rsidRPr="00601509">
        <w:rPr>
          <w:rFonts w:ascii="Arial" w:hAnsi="Arial" w:cs="Arial"/>
          <w:color w:val="000000" w:themeColor="text1"/>
        </w:rPr>
        <w:t xml:space="preserve">En </w:t>
      </w:r>
      <w:r w:rsidR="001A6B7B" w:rsidRPr="00601509">
        <w:rPr>
          <w:rFonts w:ascii="Arial" w:hAnsi="Arial" w:cs="Arial"/>
          <w:color w:val="000000" w:themeColor="text1"/>
        </w:rPr>
        <w:t xml:space="preserve">el año 2022, las exportaciones de Perú a China alcanzaron un valor total de 17,489,368 (miles de dólares). Dentro de este valor, las exportaciones del sector minero fueron </w:t>
      </w:r>
      <w:r w:rsidR="001A6B7B" w:rsidRPr="001A6B7B">
        <w:rPr>
          <w:rFonts w:ascii="Arial" w:hAnsi="Arial" w:cs="Arial"/>
        </w:rPr>
        <w:t>especialmente destacadas, representando un 91% del total de exportaciones en dicho rubro. Dentro del sector minero, los envíos más significativos incluyeron cobre (representando el 70.8% del total del rubro), hierro (8.4%), plomo (6.5%) y zinc (3.8% del total del rubro). Le siguen en la lista las exportaciones pesqueras, especialmente la harina de pescado (7% del total del rubro), y el petróleo y sus derivados (1.2%)</w:t>
      </w:r>
      <w:r w:rsidR="001A6B7B">
        <w:rPr>
          <w:rFonts w:ascii="Arial" w:hAnsi="Arial" w:cs="Arial"/>
        </w:rPr>
        <w:t xml:space="preserve"> </w:t>
      </w:r>
      <w:r w:rsidR="001A6B7B">
        <w:rPr>
          <w:rFonts w:ascii="Arial" w:hAnsi="Arial" w:cs="Arial"/>
        </w:rPr>
        <w:fldChar w:fldCharType="begin"/>
      </w:r>
      <w:r w:rsidR="001A6B7B">
        <w:rPr>
          <w:rFonts w:ascii="Arial" w:hAnsi="Arial" w:cs="Arial"/>
        </w:rPr>
        <w:instrText xml:space="preserve"> ADDIN ZOTERO_ITEM CSL_CITATION {"citationID":"XkOsnfbO","properties":{"formattedCitation":"(ComexPer\\uc0\\u250{}, 2023)","plainCitation":"(ComexPerú, 2023)","noteIndex":0},"citationItems":[{"id":1903,"uris":["http://zotero.org/users/10063313/items/55E3WJ5M"],"itemData":{"id":1903,"type":"webpage","abstract":"Tras trece años del TLC Perú-China, resulta relevante analizar los avances que se han logrado en términos de importaciones y exportaciones, así como las oportunidades que se han gestado para nuevos productos.","container-title":"COMEXPERU - Sociedad de Comercio Exterior del Perú","language":"en","title":"Trece años del TLC Perú-China: Análisis de los resultados de nuestro intercambio internacional","title-short":"TRECE AÑOS DEL TLC PERÚ-CHINA","URL":"https://www.comexperu.org.pe/articulo/trece-anos-del-tlc-peru-china-analisis-de-los-resultados-de-nuestro-intercambio-internacional","author":[{"family":"ComexPerú","given":""}],"accessed":{"date-parts":[["2024",3,7]]},"issued":{"date-parts":[["2023",3]]}}}],"schema":"https://github.com/citation-style-language/schema/raw/master/csl-citation.json"} </w:instrText>
      </w:r>
      <w:r w:rsidR="001A6B7B">
        <w:rPr>
          <w:rFonts w:ascii="Arial" w:hAnsi="Arial" w:cs="Arial"/>
        </w:rPr>
        <w:fldChar w:fldCharType="separate"/>
      </w:r>
      <w:r w:rsidR="001A6B7B" w:rsidRPr="001A6B7B">
        <w:rPr>
          <w:rFonts w:ascii="Arial" w:hAnsi="Arial" w:cs="Arial"/>
          <w:lang w:val="es-MX"/>
        </w:rPr>
        <w:t>(ComexPerú, 2023)</w:t>
      </w:r>
      <w:r w:rsidR="001A6B7B">
        <w:rPr>
          <w:rFonts w:ascii="Arial" w:hAnsi="Arial" w:cs="Arial"/>
        </w:rPr>
        <w:fldChar w:fldCharType="end"/>
      </w:r>
      <w:r w:rsidR="001A6B7B" w:rsidRPr="001A6B7B">
        <w:rPr>
          <w:rFonts w:ascii="Arial" w:hAnsi="Arial" w:cs="Arial"/>
        </w:rPr>
        <w:t>.</w:t>
      </w:r>
    </w:p>
    <w:p w14:paraId="1D258094" w14:textId="53B1C548" w:rsidR="001A6B7B" w:rsidRPr="001A6B7B" w:rsidRDefault="00054351" w:rsidP="00015050">
      <w:pPr>
        <w:spacing w:after="240" w:line="360" w:lineRule="auto"/>
        <w:jc w:val="both"/>
        <w:rPr>
          <w:rFonts w:ascii="Arial" w:hAnsi="Arial" w:cs="Arial"/>
        </w:rPr>
      </w:pPr>
      <w:r w:rsidRPr="00054351">
        <w:rPr>
          <w:rFonts w:ascii="Arial" w:hAnsi="Arial" w:cs="Arial"/>
        </w:rPr>
        <w:t xml:space="preserve">En cuanto a las importaciones, </w:t>
      </w:r>
      <w:r w:rsidR="000C2534">
        <w:rPr>
          <w:rFonts w:ascii="Arial" w:hAnsi="Arial" w:cs="Arial"/>
        </w:rPr>
        <w:t xml:space="preserve">de acuerdo a los datos de </w:t>
      </w:r>
      <w:r w:rsidR="000C2534" w:rsidRPr="00015050">
        <w:rPr>
          <w:rFonts w:ascii="Arial" w:hAnsi="Arial" w:cs="Arial"/>
        </w:rPr>
        <w:t>Observatorio de Complejidad Económica (OEC),</w:t>
      </w:r>
      <w:r w:rsidR="000C2534">
        <w:rPr>
          <w:rFonts w:ascii="Arial" w:hAnsi="Arial" w:cs="Arial"/>
        </w:rPr>
        <w:t xml:space="preserve"> </w:t>
      </w:r>
      <w:r w:rsidRPr="00054351">
        <w:rPr>
          <w:rFonts w:ascii="Arial" w:hAnsi="Arial" w:cs="Arial"/>
        </w:rPr>
        <w:t xml:space="preserve">Perú ha incrementado considerablemente la adquisición de bienes manufacturados de China, incluyendo tecnología avanzada y productos </w:t>
      </w:r>
      <w:r>
        <w:rPr>
          <w:rFonts w:ascii="Arial" w:hAnsi="Arial" w:cs="Arial"/>
        </w:rPr>
        <w:t xml:space="preserve">electrónicos (i.e. equipo de transmisión, ordenadores, </w:t>
      </w:r>
      <w:r>
        <w:rPr>
          <w:rFonts w:ascii="Arial" w:hAnsi="Arial" w:cs="Arial"/>
        </w:rPr>
        <w:lastRenderedPageBreak/>
        <w:t>coches)</w:t>
      </w:r>
      <w:r w:rsidRPr="00054351">
        <w:rPr>
          <w:rFonts w:ascii="Arial" w:hAnsi="Arial" w:cs="Arial"/>
        </w:rPr>
        <w:t xml:space="preserve">. Este patrón de importación subraya la transformación industrial de China y su papel como un exportador crucial de productos manufacturados de alta tecnología a nivel mundial. Aunque esto beneficia a los consumidores peruanos al proporcionar acceso a productos a precios competitivos y de tecnología avanzada, también presenta desafíos para los productores locales que enfrentan competencia de importaciones de bajo costo </w:t>
      </w:r>
      <w:r w:rsidR="000C2534">
        <w:rPr>
          <w:rFonts w:ascii="Arial" w:hAnsi="Arial" w:cs="Arial"/>
        </w:rPr>
        <w:fldChar w:fldCharType="begin"/>
      </w:r>
      <w:r w:rsidR="000C2534">
        <w:rPr>
          <w:rFonts w:ascii="Arial" w:hAnsi="Arial" w:cs="Arial"/>
        </w:rPr>
        <w:instrText xml:space="preserve"> ADDIN ZOTERO_ITEM CSL_CITATION {"citationID":"wJMFosaW","properties":{"formattedCitation":"(Chan, 2019)","plainCitation":"(Chan, 2019)","noteIndex":0},"citationItems":[{"id":1952,"uris":["http://zotero.org/users/10063313/items/Q9HEDBCS"],"itemData":{"id":1952,"type":"article-journal","abstract":"Resumen\n\t\t\t\t\tEl Acuerdo de libre comercio entre el Perú y la China tiene como características un proceso de larga gestación y un proceso de breve negociación. Las concesiones arancelarias intercambiadas permiten que la inmensa mayoría de los potenciales productos de exportación peruanos puedan tener acceso a beneficios arancelarios. Por otro lado, prácticamente todos los productos peruanos sensibles a la competencia china fueron excluidos del proceso de desgravación tarifaria o se incluyeron a plazos de hasta diecisiete años de reducciones arancelarias. Luego de nueve años de vigencia del acuerdo, se concluye que este ha sido beneficioso para el Perú sin dejar de mantener la característica esencial de la estructura de su comercio: el ser interindustrial.\n\t\t\t\t,","container-title":"Agenda Internacional","DOI":"10.18800/agenda.201901.003","ISSN":"2311-5718","issue":"37","language":"es","license":"Derechos de autor 2019","note":"number: 37","page":"89-117","source":"revistas.pucp.edu.pe","title":"Los nueve años del TLC Perú – China. Su negociación y sus resultados","volume":"26","author":[{"family":"Chan","given":"Julio"}],"issued":{"date-parts":[["2019",10,16]]}}}],"schema":"https://github.com/citation-style-language/schema/raw/master/csl-citation.json"} </w:instrText>
      </w:r>
      <w:r w:rsidR="000C2534">
        <w:rPr>
          <w:rFonts w:ascii="Arial" w:hAnsi="Arial" w:cs="Arial"/>
        </w:rPr>
        <w:fldChar w:fldCharType="separate"/>
      </w:r>
      <w:r w:rsidR="000C2534">
        <w:rPr>
          <w:rFonts w:ascii="Arial" w:hAnsi="Arial" w:cs="Arial"/>
          <w:noProof/>
        </w:rPr>
        <w:t>(Chan, 2019)</w:t>
      </w:r>
      <w:r w:rsidR="000C2534">
        <w:rPr>
          <w:rFonts w:ascii="Arial" w:hAnsi="Arial" w:cs="Arial"/>
        </w:rPr>
        <w:fldChar w:fldCharType="end"/>
      </w:r>
      <w:r w:rsidR="000C2534">
        <w:rPr>
          <w:rFonts w:ascii="Arial" w:hAnsi="Arial" w:cs="Arial"/>
        </w:rPr>
        <w:t>.</w:t>
      </w:r>
    </w:p>
    <w:p w14:paraId="0A72DCDD" w14:textId="5290A33A" w:rsidR="00CF4214" w:rsidRPr="00560B5F" w:rsidRDefault="00560B5F" w:rsidP="00015050">
      <w:pPr>
        <w:spacing w:line="360" w:lineRule="auto"/>
        <w:jc w:val="both"/>
        <w:rPr>
          <w:rFonts w:ascii="Arial" w:hAnsi="Arial" w:cs="Arial"/>
          <w:color w:val="0D78CA" w:themeColor="background2" w:themeShade="80"/>
        </w:rPr>
      </w:pPr>
      <w:r w:rsidRPr="00601509">
        <w:rPr>
          <w:rFonts w:ascii="Arial" w:hAnsi="Arial" w:cs="Arial"/>
          <w:color w:val="000000" w:themeColor="text1"/>
        </w:rPr>
        <w:t>Por otra parte, e</w:t>
      </w:r>
      <w:r w:rsidR="0054571B" w:rsidRPr="00601509">
        <w:rPr>
          <w:rFonts w:ascii="Arial" w:hAnsi="Arial" w:cs="Arial"/>
          <w:color w:val="000000" w:themeColor="text1"/>
        </w:rPr>
        <w:t xml:space="preserve">n el periodo comprendido entre 1980 y 1990, el saldo de IED, como aporte al capital, mantuvo un promedio de 23 millones de dólares, sin experimentar variaciones significativas. Un punto de inflexión se observa en 1992 con la adquisición de Hierro Perú, lo que denota el inicio de un interés creciente por parte de China en el mercado peruano </w:t>
      </w:r>
      <w:r w:rsidR="006D4FAF" w:rsidRPr="00601509">
        <w:rPr>
          <w:rFonts w:ascii="Arial" w:hAnsi="Arial" w:cs="Arial"/>
          <w:color w:val="000000" w:themeColor="text1"/>
        </w:rPr>
        <w:fldChar w:fldCharType="begin"/>
      </w:r>
      <w:r w:rsidR="00FA3C64">
        <w:rPr>
          <w:rFonts w:ascii="Arial" w:hAnsi="Arial" w:cs="Arial"/>
          <w:color w:val="000000" w:themeColor="text1"/>
        </w:rPr>
        <w:instrText xml:space="preserve"> ADDIN ZOTERO_ITEM CSL_CITATION {"citationID":"acd3pYx8","properties":{"formattedCitation":"(Torres C., 2010)","plainCitation":"(Torres C., 2010)","dontUpdate":true,"noteIndex":0},"citationItems":[{"id":1909,"uris":["http://zotero.org/users/10063313/items/UGNB9B8U"],"itemData":{"id":1909,"type":"book","abstract":"El presente informe tiene como objetivo efectuar un primer análisis del contenido del acuerdo comercial del TCL entre el Perú y China, e identificar los posibles riesgos que éste podría implicar para determinados sectores sensibles de la industria nacional, y para el desarrollo de largo plazo del país. Para una mejor exposición el informe ha sido elaborado en tres partes, que comprenden situación preliminar existente, el proceso de negociación y la evolución del tratado mismo","collection-number":"5","collection-title":"Cuaderno Globalización con Equidad","edition":"1. ed","ISBN":"978-9972-722-15-8","language":"es","number-of-pages":"109","publisher":"Centro Peruano de Estudios Sociales, CEPES","publisher-place":"Lima, Perú","source":"Library of Congress ISBN","title":"El TLC Perú-China:¿oportunidad o amenaza? posibles implicancias para el Perú","title-short":"El TLC Perú-China","author":[{"family":"Torres C.","given":"Víctor"}],"issued":{"date-parts":[["2010"]]}}}],"schema":"https://github.com/citation-style-language/schema/raw/master/csl-citation.json"} </w:instrText>
      </w:r>
      <w:r w:rsidR="006D4FAF" w:rsidRPr="00601509">
        <w:rPr>
          <w:rFonts w:ascii="Arial" w:hAnsi="Arial" w:cs="Arial"/>
          <w:color w:val="000000" w:themeColor="text1"/>
        </w:rPr>
        <w:fldChar w:fldCharType="separate"/>
      </w:r>
      <w:r w:rsidR="001419A0" w:rsidRPr="00601509">
        <w:rPr>
          <w:rFonts w:ascii="Arial" w:hAnsi="Arial" w:cs="Arial"/>
          <w:noProof/>
          <w:color w:val="000000" w:themeColor="text1"/>
        </w:rPr>
        <w:t>(Torres, 2010)</w:t>
      </w:r>
      <w:r w:rsidR="006D4FAF" w:rsidRPr="00601509">
        <w:rPr>
          <w:rFonts w:ascii="Arial" w:hAnsi="Arial" w:cs="Arial"/>
          <w:color w:val="000000" w:themeColor="text1"/>
        </w:rPr>
        <w:fldChar w:fldCharType="end"/>
      </w:r>
      <w:r w:rsidR="0054571B" w:rsidRPr="00601509">
        <w:rPr>
          <w:rFonts w:ascii="Arial" w:hAnsi="Arial" w:cs="Arial"/>
          <w:color w:val="000000" w:themeColor="text1"/>
        </w:rPr>
        <w:t>. Pese a este incremento en la inversión</w:t>
      </w:r>
      <w:r w:rsidR="0054571B" w:rsidRPr="0054571B">
        <w:rPr>
          <w:rFonts w:ascii="Arial" w:hAnsi="Arial" w:cs="Arial"/>
        </w:rPr>
        <w:t xml:space="preserve">, los flujos se mantuvieron relativamente constantes, sin cambios notorios, incluso con la implementación del Tratado de Libre Comercio (TLC) en 2010. No obstante, </w:t>
      </w:r>
      <w:r w:rsidR="0054571B" w:rsidRPr="00601509">
        <w:rPr>
          <w:rFonts w:ascii="Arial" w:hAnsi="Arial" w:cs="Arial"/>
          <w:color w:val="000000" w:themeColor="text1"/>
        </w:rPr>
        <w:t>es a partir de 2020 cuando la IED China cobra un dinamismo sin precedentes</w:t>
      </w:r>
      <w:r w:rsidRPr="00601509">
        <w:rPr>
          <w:rFonts w:ascii="Arial" w:hAnsi="Arial" w:cs="Arial"/>
          <w:color w:val="000000" w:themeColor="text1"/>
        </w:rPr>
        <w:t xml:space="preserve">, tal y como lo ilustra el gráfico 7. </w:t>
      </w:r>
    </w:p>
    <w:p w14:paraId="6AB7E74C" w14:textId="77777777" w:rsidR="00CF4214" w:rsidRPr="00CF4214" w:rsidRDefault="00CF4214" w:rsidP="00CF4214">
      <w:pPr>
        <w:spacing w:line="360" w:lineRule="auto"/>
        <w:jc w:val="both"/>
        <w:rPr>
          <w:rFonts w:ascii="Arial" w:hAnsi="Arial" w:cs="Arial"/>
        </w:rPr>
      </w:pPr>
    </w:p>
    <w:p w14:paraId="047A6B09" w14:textId="20D3748C" w:rsidR="00F87E19" w:rsidRPr="001A1F49" w:rsidRDefault="00F87E19" w:rsidP="00795AAA">
      <w:pPr>
        <w:pStyle w:val="Descripcin"/>
        <w:keepNext/>
        <w:spacing w:line="360" w:lineRule="auto"/>
        <w:rPr>
          <w:rFonts w:ascii="Arial" w:hAnsi="Arial" w:cs="Arial"/>
          <w:color w:val="000000" w:themeColor="text1"/>
          <w:sz w:val="24"/>
          <w:szCs w:val="24"/>
        </w:rPr>
      </w:pPr>
      <w:bookmarkStart w:id="59" w:name="_Toc215907250"/>
      <w:r w:rsidRPr="00795AAA">
        <w:rPr>
          <w:rFonts w:ascii="Arial" w:hAnsi="Arial" w:cs="Arial"/>
          <w:b/>
          <w:bCs/>
          <w:i w:val="0"/>
          <w:iCs w:val="0"/>
          <w:color w:val="000000" w:themeColor="text1"/>
          <w:sz w:val="24"/>
          <w:szCs w:val="24"/>
        </w:rPr>
        <w:t xml:space="preserve">Gráfico </w:t>
      </w:r>
      <w:r w:rsidRPr="00795AAA">
        <w:rPr>
          <w:rFonts w:ascii="Arial" w:hAnsi="Arial" w:cs="Arial"/>
          <w:b/>
          <w:bCs/>
          <w:i w:val="0"/>
          <w:iCs w:val="0"/>
          <w:color w:val="000000" w:themeColor="text1"/>
          <w:sz w:val="24"/>
          <w:szCs w:val="24"/>
        </w:rPr>
        <w:fldChar w:fldCharType="begin"/>
      </w:r>
      <w:r w:rsidRPr="00795AAA">
        <w:rPr>
          <w:rFonts w:ascii="Arial" w:hAnsi="Arial" w:cs="Arial"/>
          <w:b/>
          <w:bCs/>
          <w:i w:val="0"/>
          <w:iCs w:val="0"/>
          <w:color w:val="000000" w:themeColor="text1"/>
          <w:sz w:val="24"/>
          <w:szCs w:val="24"/>
        </w:rPr>
        <w:instrText xml:space="preserve"> SEQ Gráfico \* ARABIC </w:instrText>
      </w:r>
      <w:r w:rsidRPr="00795AAA">
        <w:rPr>
          <w:rFonts w:ascii="Arial" w:hAnsi="Arial" w:cs="Arial"/>
          <w:b/>
          <w:bCs/>
          <w:i w:val="0"/>
          <w:iCs w:val="0"/>
          <w:color w:val="000000" w:themeColor="text1"/>
          <w:sz w:val="24"/>
          <w:szCs w:val="24"/>
        </w:rPr>
        <w:fldChar w:fldCharType="separate"/>
      </w:r>
      <w:r w:rsidR="00C41F6F" w:rsidRPr="00795AAA">
        <w:rPr>
          <w:rFonts w:ascii="Arial" w:hAnsi="Arial" w:cs="Arial"/>
          <w:b/>
          <w:bCs/>
          <w:i w:val="0"/>
          <w:iCs w:val="0"/>
          <w:noProof/>
          <w:color w:val="000000" w:themeColor="text1"/>
          <w:sz w:val="24"/>
          <w:szCs w:val="24"/>
        </w:rPr>
        <w:t>9</w:t>
      </w:r>
      <w:r w:rsidRPr="00795AAA">
        <w:rPr>
          <w:rFonts w:ascii="Arial" w:hAnsi="Arial" w:cs="Arial"/>
          <w:b/>
          <w:bCs/>
          <w:i w:val="0"/>
          <w:iCs w:val="0"/>
          <w:color w:val="000000" w:themeColor="text1"/>
          <w:sz w:val="24"/>
          <w:szCs w:val="24"/>
        </w:rPr>
        <w:fldChar w:fldCharType="end"/>
      </w:r>
      <w:r w:rsidRPr="001A1F49">
        <w:rPr>
          <w:rFonts w:ascii="Arial" w:hAnsi="Arial" w:cs="Arial"/>
          <w:color w:val="000000" w:themeColor="text1"/>
          <w:sz w:val="24"/>
          <w:szCs w:val="24"/>
        </w:rPr>
        <w:t xml:space="preserve"> </w:t>
      </w:r>
      <w:r w:rsidRPr="00795AAA">
        <w:rPr>
          <w:rFonts w:ascii="Arial" w:hAnsi="Arial" w:cs="Arial"/>
          <w:color w:val="000000" w:themeColor="text1"/>
          <w:sz w:val="24"/>
          <w:szCs w:val="24"/>
        </w:rPr>
        <w:t>Inversión Extranjera Directa desde China hacia Perú (1980-2022)</w:t>
      </w:r>
      <w:r w:rsidR="00754B8E" w:rsidRPr="00795AAA">
        <w:rPr>
          <w:rFonts w:ascii="Arial" w:hAnsi="Arial" w:cs="Arial"/>
          <w:color w:val="000000" w:themeColor="text1"/>
          <w:sz w:val="24"/>
          <w:szCs w:val="24"/>
        </w:rPr>
        <w:t xml:space="preserve"> </w:t>
      </w:r>
      <w:r w:rsidR="00754B8E" w:rsidRPr="00795AAA">
        <w:rPr>
          <w:rFonts w:ascii="Arial" w:hAnsi="Arial" w:cs="Arial"/>
          <w:color w:val="000000" w:themeColor="text1"/>
          <w:sz w:val="24"/>
          <w:szCs w:val="24"/>
        </w:rPr>
        <w:br/>
        <w:t>(</w:t>
      </w:r>
      <w:r w:rsidR="0054571B" w:rsidRPr="00795AAA">
        <w:rPr>
          <w:rFonts w:ascii="Arial" w:hAnsi="Arial" w:cs="Arial"/>
          <w:color w:val="000000" w:themeColor="text1"/>
          <w:sz w:val="24"/>
          <w:szCs w:val="24"/>
        </w:rPr>
        <w:t>Millones de dólares</w:t>
      </w:r>
      <w:r w:rsidR="00754B8E" w:rsidRPr="00795AAA">
        <w:rPr>
          <w:rFonts w:ascii="Arial" w:hAnsi="Arial" w:cs="Arial"/>
          <w:color w:val="000000" w:themeColor="text1"/>
          <w:sz w:val="24"/>
          <w:szCs w:val="24"/>
        </w:rPr>
        <w:t>)</w:t>
      </w:r>
      <w:bookmarkEnd w:id="59"/>
    </w:p>
    <w:p w14:paraId="0EB400A1" w14:textId="6F35712C" w:rsidR="00A32050" w:rsidRDefault="00F87E19" w:rsidP="00780D93">
      <w:pPr>
        <w:rPr>
          <w:rFonts w:ascii="Arial" w:hAnsi="Arial" w:cs="Arial"/>
          <w:b/>
          <w:bCs/>
          <w:sz w:val="28"/>
          <w:szCs w:val="28"/>
        </w:rPr>
      </w:pPr>
      <w:r>
        <w:rPr>
          <w:noProof/>
        </w:rPr>
        <w:drawing>
          <wp:inline distT="0" distB="0" distL="0" distR="0" wp14:anchorId="704385B7" wp14:editId="5D93E9B3">
            <wp:extent cx="5470769" cy="2938585"/>
            <wp:effectExtent l="0" t="0" r="0" b="0"/>
            <wp:docPr id="1941417223" name="Gráfico 1">
              <a:extLst xmlns:a="http://schemas.openxmlformats.org/drawingml/2006/main">
                <a:ext uri="{FF2B5EF4-FFF2-40B4-BE49-F238E27FC236}">
                  <a16:creationId xmlns:a16="http://schemas.microsoft.com/office/drawing/2014/main" id="{8C0A9930-27D6-9D71-BACD-00D12D0C9C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3BB2149" w14:textId="6232949F" w:rsidR="0054571B" w:rsidRPr="001A6B7B" w:rsidRDefault="0054571B" w:rsidP="0054571B">
      <w:pPr>
        <w:rPr>
          <w:rFonts w:ascii="Arial" w:hAnsi="Arial" w:cs="Arial"/>
        </w:rPr>
      </w:pPr>
      <w:r w:rsidRPr="001A6B7B">
        <w:rPr>
          <w:rFonts w:ascii="Arial" w:hAnsi="Arial" w:cs="Arial"/>
        </w:rPr>
        <w:t xml:space="preserve">Fuente: Elaboración propia con datos </w:t>
      </w:r>
      <w:r>
        <w:rPr>
          <w:rFonts w:ascii="Arial" w:hAnsi="Arial" w:cs="Arial"/>
        </w:rPr>
        <w:t>de PROINVERSIÓN</w:t>
      </w:r>
    </w:p>
    <w:p w14:paraId="04E7E2C1" w14:textId="77777777" w:rsidR="001A6B7B" w:rsidRDefault="001A6B7B" w:rsidP="001A6B7B">
      <w:pPr>
        <w:ind w:left="708"/>
        <w:rPr>
          <w:rFonts w:ascii="Arial" w:hAnsi="Arial" w:cs="Arial"/>
          <w:b/>
          <w:bCs/>
          <w:sz w:val="28"/>
          <w:szCs w:val="28"/>
        </w:rPr>
      </w:pPr>
    </w:p>
    <w:p w14:paraId="56E10B14" w14:textId="700604EF" w:rsidR="00B72B0A" w:rsidRDefault="00B72B0A" w:rsidP="00015050">
      <w:pPr>
        <w:spacing w:after="240" w:line="360" w:lineRule="auto"/>
        <w:jc w:val="both"/>
        <w:rPr>
          <w:rFonts w:ascii="Arial" w:hAnsi="Arial" w:cs="Arial"/>
        </w:rPr>
      </w:pPr>
      <w:r w:rsidRPr="00CF4214">
        <w:rPr>
          <w:rFonts w:ascii="Arial" w:hAnsi="Arial" w:cs="Arial"/>
        </w:rPr>
        <w:lastRenderedPageBreak/>
        <w:t>De acuerdo con el análisis de</w:t>
      </w:r>
      <w:r w:rsidR="00B003E8">
        <w:rPr>
          <w:rFonts w:ascii="Arial" w:hAnsi="Arial" w:cs="Arial"/>
        </w:rPr>
        <w:t xml:space="preserve"> </w:t>
      </w:r>
      <w:r w:rsidR="00B003E8" w:rsidRPr="00B003E8">
        <w:rPr>
          <w:rFonts w:ascii="Arial" w:hAnsi="Arial" w:cs="Arial"/>
        </w:rPr>
        <w:t>Echave</w:t>
      </w:r>
      <w:r w:rsidR="00B003E8">
        <w:rPr>
          <w:rFonts w:ascii="Arial" w:hAnsi="Arial" w:cs="Arial"/>
        </w:rPr>
        <w:t xml:space="preserve"> et. al </w:t>
      </w:r>
      <w:r w:rsidR="00B003E8">
        <w:rPr>
          <w:rFonts w:ascii="Arial" w:hAnsi="Arial" w:cs="Arial"/>
        </w:rPr>
        <w:fldChar w:fldCharType="begin"/>
      </w:r>
      <w:r w:rsidR="009605D9">
        <w:rPr>
          <w:rFonts w:ascii="Arial" w:hAnsi="Arial" w:cs="Arial"/>
        </w:rPr>
        <w:instrText xml:space="preserve"> ADDIN ZOTERO_ITEM CSL_CITATION {"citationID":"PAPg9heu","properties":{"formattedCitation":"(Echave &amp; Yauri, 2023)","plainCitation":"(Echave &amp; Yauri, 2023)","dontUpdate":true,"noteIndex":0},"citationItems":[{"id":1907,"uris":["http://zotero.org/users/10063313/items/EZ7RQ4GM"],"itemData":{"id":1907,"type":"article-journal","language":"es","source":"Zotero","title":"La Creciente Presencia China en la Economía Peruana","author":[{"family":"Echave","given":"José De"},{"family":"Yauri","given":"Josselin"}],"issued":{"date-parts":[["2023",4]]}}}],"schema":"https://github.com/citation-style-language/schema/raw/master/csl-citation.json"} </w:instrText>
      </w:r>
      <w:r w:rsidR="00B003E8">
        <w:rPr>
          <w:rFonts w:ascii="Arial" w:hAnsi="Arial" w:cs="Arial"/>
        </w:rPr>
        <w:fldChar w:fldCharType="separate"/>
      </w:r>
      <w:r w:rsidR="006D4FAF">
        <w:rPr>
          <w:rFonts w:ascii="Arial" w:hAnsi="Arial" w:cs="Arial"/>
          <w:noProof/>
        </w:rPr>
        <w:t>(2023)</w:t>
      </w:r>
      <w:r w:rsidR="00B003E8">
        <w:rPr>
          <w:rFonts w:ascii="Arial" w:hAnsi="Arial" w:cs="Arial"/>
        </w:rPr>
        <w:fldChar w:fldCharType="end"/>
      </w:r>
      <w:r w:rsidRPr="00CF4214">
        <w:rPr>
          <w:rFonts w:ascii="Arial" w:hAnsi="Arial" w:cs="Arial"/>
        </w:rPr>
        <w:t>, las inversiones chinas se han concentrado principalmente en minería, hidrocarburos, infraestructura, pesca y recientemente en servicios como las telecomunicaciones</w:t>
      </w:r>
      <w:r>
        <w:rPr>
          <w:rFonts w:ascii="Arial" w:hAnsi="Arial" w:cs="Arial"/>
        </w:rPr>
        <w:t>:</w:t>
      </w:r>
    </w:p>
    <w:p w14:paraId="14D000C7" w14:textId="60226F6E" w:rsidR="00B72B0A" w:rsidRPr="00B72B0A" w:rsidRDefault="00B72B0A" w:rsidP="00015050">
      <w:pPr>
        <w:spacing w:after="240" w:line="360" w:lineRule="auto"/>
        <w:jc w:val="both"/>
        <w:rPr>
          <w:rFonts w:ascii="Arial" w:hAnsi="Arial" w:cs="Arial"/>
        </w:rPr>
      </w:pPr>
      <w:r w:rsidRPr="00B72B0A">
        <w:rPr>
          <w:rFonts w:ascii="Arial" w:hAnsi="Arial" w:cs="Arial"/>
        </w:rPr>
        <w:t xml:space="preserve">En el sector minero, la presencia china es destacada con inversiones en proyectos significativos como Las Bambas, una de las minas de cobre más grandes del país, y Toromocho, otro proyecto minero de gran </w:t>
      </w:r>
      <w:r>
        <w:rPr>
          <w:rFonts w:ascii="Arial" w:hAnsi="Arial" w:cs="Arial"/>
        </w:rPr>
        <w:t>magnitud</w:t>
      </w:r>
      <w:r w:rsidRPr="00B72B0A">
        <w:rPr>
          <w:rFonts w:ascii="Arial" w:hAnsi="Arial" w:cs="Arial"/>
        </w:rPr>
        <w:t>.</w:t>
      </w:r>
      <w:r>
        <w:rPr>
          <w:rFonts w:ascii="Arial" w:hAnsi="Arial" w:cs="Arial"/>
        </w:rPr>
        <w:t xml:space="preserve"> </w:t>
      </w:r>
      <w:r w:rsidRPr="00B72B0A">
        <w:rPr>
          <w:rFonts w:ascii="Arial" w:hAnsi="Arial" w:cs="Arial"/>
        </w:rPr>
        <w:t>E</w:t>
      </w:r>
      <w:r>
        <w:rPr>
          <w:rFonts w:ascii="Arial" w:hAnsi="Arial" w:cs="Arial"/>
        </w:rPr>
        <w:t>n el</w:t>
      </w:r>
      <w:r w:rsidRPr="00B72B0A">
        <w:rPr>
          <w:rFonts w:ascii="Arial" w:hAnsi="Arial" w:cs="Arial"/>
        </w:rPr>
        <w:t xml:space="preserve"> sector de hidrocarburo</w:t>
      </w:r>
      <w:r>
        <w:rPr>
          <w:rFonts w:ascii="Arial" w:hAnsi="Arial" w:cs="Arial"/>
        </w:rPr>
        <w:t>, e</w:t>
      </w:r>
      <w:r w:rsidRPr="00B72B0A">
        <w:rPr>
          <w:rFonts w:ascii="Arial" w:hAnsi="Arial" w:cs="Arial"/>
        </w:rPr>
        <w:t xml:space="preserve">mpresas como China </w:t>
      </w:r>
      <w:proofErr w:type="spellStart"/>
      <w:r w:rsidRPr="00B72B0A">
        <w:rPr>
          <w:rFonts w:ascii="Arial" w:hAnsi="Arial" w:cs="Arial"/>
        </w:rPr>
        <w:t>National</w:t>
      </w:r>
      <w:proofErr w:type="spellEnd"/>
      <w:r>
        <w:rPr>
          <w:rFonts w:ascii="Arial" w:hAnsi="Arial" w:cs="Arial"/>
        </w:rPr>
        <w:t xml:space="preserve"> </w:t>
      </w:r>
      <w:proofErr w:type="spellStart"/>
      <w:r w:rsidRPr="00B72B0A">
        <w:rPr>
          <w:rFonts w:ascii="Arial" w:hAnsi="Arial" w:cs="Arial"/>
        </w:rPr>
        <w:t>Petroleum</w:t>
      </w:r>
      <w:proofErr w:type="spellEnd"/>
      <w:r w:rsidRPr="00B72B0A">
        <w:rPr>
          <w:rFonts w:ascii="Arial" w:hAnsi="Arial" w:cs="Arial"/>
        </w:rPr>
        <w:t xml:space="preserve"> </w:t>
      </w:r>
      <w:proofErr w:type="spellStart"/>
      <w:r w:rsidRPr="00B72B0A">
        <w:rPr>
          <w:rFonts w:ascii="Arial" w:hAnsi="Arial" w:cs="Arial"/>
        </w:rPr>
        <w:t>Corporation</w:t>
      </w:r>
      <w:proofErr w:type="spellEnd"/>
      <w:r>
        <w:rPr>
          <w:rFonts w:ascii="Arial" w:hAnsi="Arial" w:cs="Arial"/>
        </w:rPr>
        <w:t xml:space="preserve"> (</w:t>
      </w:r>
      <w:r w:rsidRPr="00B72B0A">
        <w:rPr>
          <w:rFonts w:ascii="Arial" w:hAnsi="Arial" w:cs="Arial"/>
        </w:rPr>
        <w:t>CNPC</w:t>
      </w:r>
      <w:r>
        <w:rPr>
          <w:rFonts w:ascii="Arial" w:hAnsi="Arial" w:cs="Arial"/>
        </w:rPr>
        <w:t>)</w:t>
      </w:r>
      <w:r w:rsidRPr="00B72B0A">
        <w:rPr>
          <w:rFonts w:ascii="Arial" w:hAnsi="Arial" w:cs="Arial"/>
        </w:rPr>
        <w:t xml:space="preserve"> y </w:t>
      </w:r>
      <w:proofErr w:type="spellStart"/>
      <w:r w:rsidRPr="00B72B0A">
        <w:rPr>
          <w:rFonts w:ascii="Arial" w:hAnsi="Arial" w:cs="Arial"/>
        </w:rPr>
        <w:t>Sinopec</w:t>
      </w:r>
      <w:proofErr w:type="spellEnd"/>
      <w:r w:rsidRPr="00B72B0A">
        <w:rPr>
          <w:rFonts w:ascii="Arial" w:hAnsi="Arial" w:cs="Arial"/>
        </w:rPr>
        <w:t xml:space="preserve"> han establecido operaciones en la explotación de petróleo y gas, adquiriendo lotes y participando en la exploración y producción de hidrocarburos.</w:t>
      </w:r>
    </w:p>
    <w:p w14:paraId="767755BE" w14:textId="672E7E97" w:rsidR="001A6B7B" w:rsidRPr="00015050" w:rsidRDefault="00B72B0A" w:rsidP="00015050">
      <w:pPr>
        <w:spacing w:after="240" w:line="360" w:lineRule="auto"/>
        <w:jc w:val="both"/>
        <w:rPr>
          <w:rFonts w:ascii="Arial" w:hAnsi="Arial" w:cs="Arial"/>
        </w:rPr>
      </w:pPr>
      <w:r w:rsidRPr="00B72B0A">
        <w:rPr>
          <w:rFonts w:ascii="Arial" w:hAnsi="Arial" w:cs="Arial"/>
        </w:rPr>
        <w:t>La infraestructura es otro sector donde la IED china ha tenido un impacto visible</w:t>
      </w:r>
      <w:r>
        <w:rPr>
          <w:rFonts w:ascii="Arial" w:hAnsi="Arial" w:cs="Arial"/>
        </w:rPr>
        <w:t xml:space="preserve"> en los últimos años de acuerdo al informe de</w:t>
      </w:r>
      <w:r w:rsidR="006D4FAF" w:rsidRPr="006D4FAF">
        <w:rPr>
          <w:rFonts w:ascii="Arial" w:hAnsi="Arial" w:cs="Arial"/>
        </w:rPr>
        <w:t xml:space="preserve"> </w:t>
      </w:r>
      <w:r w:rsidR="006D4FAF" w:rsidRPr="00B003E8">
        <w:rPr>
          <w:rFonts w:ascii="Arial" w:hAnsi="Arial" w:cs="Arial"/>
        </w:rPr>
        <w:t>Echave</w:t>
      </w:r>
      <w:r w:rsidR="006D4FAF">
        <w:rPr>
          <w:rFonts w:ascii="Arial" w:hAnsi="Arial" w:cs="Arial"/>
        </w:rPr>
        <w:t xml:space="preserve"> et. al</w:t>
      </w:r>
      <w:r>
        <w:rPr>
          <w:rFonts w:ascii="Arial" w:hAnsi="Arial" w:cs="Arial"/>
        </w:rPr>
        <w:t>.</w:t>
      </w:r>
      <w:r w:rsidR="006D4FAF">
        <w:rPr>
          <w:rFonts w:ascii="Arial" w:hAnsi="Arial" w:cs="Arial"/>
        </w:rPr>
        <w:t xml:space="preserve"> </w:t>
      </w:r>
      <w:r w:rsidR="006D4FAF">
        <w:rPr>
          <w:rFonts w:ascii="Arial" w:hAnsi="Arial" w:cs="Arial"/>
        </w:rPr>
        <w:fldChar w:fldCharType="begin"/>
      </w:r>
      <w:r w:rsidR="009605D9">
        <w:rPr>
          <w:rFonts w:ascii="Arial" w:hAnsi="Arial" w:cs="Arial"/>
        </w:rPr>
        <w:instrText xml:space="preserve"> ADDIN ZOTERO_ITEM CSL_CITATION {"citationID":"8CAeW97G","properties":{"formattedCitation":"(Echave &amp; Yauri, 2023)","plainCitation":"(Echave &amp; Yauri, 2023)","dontUpdate":true,"noteIndex":0},"citationItems":[{"id":1907,"uris":["http://zotero.org/users/10063313/items/EZ7RQ4GM"],"itemData":{"id":1907,"type":"article-journal","language":"es","source":"Zotero","title":"La Creciente Presencia China en la Economía Peruana","author":[{"family":"Echave","given":"José De"},{"family":"Yauri","given":"Josselin"}],"issued":{"date-parts":[["2023",4]]}}}],"schema":"https://github.com/citation-style-language/schema/raw/master/csl-citation.json"} </w:instrText>
      </w:r>
      <w:r w:rsidR="006D4FAF">
        <w:rPr>
          <w:rFonts w:ascii="Arial" w:hAnsi="Arial" w:cs="Arial"/>
        </w:rPr>
        <w:fldChar w:fldCharType="separate"/>
      </w:r>
      <w:r w:rsidR="006D4FAF">
        <w:rPr>
          <w:rFonts w:ascii="Arial" w:hAnsi="Arial" w:cs="Arial"/>
          <w:noProof/>
        </w:rPr>
        <w:t>(2023)</w:t>
      </w:r>
      <w:r w:rsidR="006D4FAF">
        <w:rPr>
          <w:rFonts w:ascii="Arial" w:hAnsi="Arial" w:cs="Arial"/>
        </w:rPr>
        <w:fldChar w:fldCharType="end"/>
      </w:r>
      <w:r w:rsidR="006D4FAF">
        <w:rPr>
          <w:rFonts w:ascii="Arial" w:hAnsi="Arial" w:cs="Arial"/>
        </w:rPr>
        <w:t xml:space="preserve">. </w:t>
      </w:r>
      <w:r>
        <w:rPr>
          <w:rFonts w:ascii="Arial" w:hAnsi="Arial" w:cs="Arial"/>
        </w:rPr>
        <w:t>Asimismo, e</w:t>
      </w:r>
      <w:r w:rsidRPr="00B72B0A">
        <w:rPr>
          <w:rFonts w:ascii="Arial" w:hAnsi="Arial" w:cs="Arial"/>
        </w:rPr>
        <w:t>n el ámbito de la pesca, China ha invertido en la adquisición de compañías peruanas y en la construcción de plantas de procesamiento de pescado, lo que ha ampliado la capacidad de producción y exportación en este sector.</w:t>
      </w:r>
    </w:p>
    <w:p w14:paraId="5DBC25A0" w14:textId="6DB9A82D" w:rsidR="001A6B7B" w:rsidRPr="00601509" w:rsidRDefault="00560B5F" w:rsidP="00560B5F">
      <w:pPr>
        <w:spacing w:line="360" w:lineRule="auto"/>
        <w:rPr>
          <w:rFonts w:ascii="Arial" w:hAnsi="Arial" w:cs="Arial"/>
          <w:b/>
          <w:bCs/>
          <w:color w:val="000000" w:themeColor="text1"/>
          <w:sz w:val="28"/>
          <w:szCs w:val="28"/>
        </w:rPr>
      </w:pPr>
      <w:r w:rsidRPr="00601509">
        <w:rPr>
          <w:rFonts w:ascii="Arial" w:hAnsi="Arial" w:cs="Arial"/>
          <w:b/>
          <w:bCs/>
          <w:color w:val="000000" w:themeColor="text1"/>
          <w:sz w:val="28"/>
          <w:szCs w:val="28"/>
        </w:rPr>
        <w:t>Tratado de Libre Comercio entre</w:t>
      </w:r>
      <w:r w:rsidR="001A6B7B" w:rsidRPr="00601509">
        <w:rPr>
          <w:rFonts w:ascii="Arial" w:hAnsi="Arial" w:cs="Arial"/>
          <w:b/>
          <w:bCs/>
          <w:color w:val="000000" w:themeColor="text1"/>
          <w:sz w:val="28"/>
          <w:szCs w:val="28"/>
        </w:rPr>
        <w:t xml:space="preserve"> </w:t>
      </w:r>
      <w:r w:rsidR="00F90210">
        <w:rPr>
          <w:rFonts w:ascii="Arial" w:hAnsi="Arial" w:cs="Arial"/>
          <w:b/>
          <w:bCs/>
          <w:color w:val="000000" w:themeColor="text1"/>
          <w:sz w:val="28"/>
          <w:szCs w:val="28"/>
        </w:rPr>
        <w:t xml:space="preserve">Costa Rica </w:t>
      </w:r>
      <w:r w:rsidRPr="00601509">
        <w:rPr>
          <w:rFonts w:ascii="Arial" w:hAnsi="Arial" w:cs="Arial"/>
          <w:b/>
          <w:bCs/>
          <w:color w:val="000000" w:themeColor="text1"/>
          <w:sz w:val="28"/>
          <w:szCs w:val="28"/>
        </w:rPr>
        <w:t>y China</w:t>
      </w:r>
    </w:p>
    <w:p w14:paraId="1D56BE07" w14:textId="56D3A388" w:rsidR="000A06C7" w:rsidRDefault="0039393A" w:rsidP="00015050">
      <w:pPr>
        <w:spacing w:line="360" w:lineRule="auto"/>
        <w:jc w:val="both"/>
        <w:rPr>
          <w:rFonts w:ascii="Arial" w:hAnsi="Arial" w:cs="Arial"/>
        </w:rPr>
      </w:pPr>
      <w:r w:rsidRPr="000A06C7">
        <w:rPr>
          <w:rFonts w:ascii="Arial" w:hAnsi="Arial" w:cs="Arial"/>
        </w:rPr>
        <w:t>En el mes de junio de 20</w:t>
      </w:r>
      <w:r w:rsidR="00010115">
        <w:rPr>
          <w:rFonts w:ascii="Arial" w:hAnsi="Arial" w:cs="Arial"/>
        </w:rPr>
        <w:t>0</w:t>
      </w:r>
      <w:r w:rsidRPr="000A06C7">
        <w:rPr>
          <w:rFonts w:ascii="Arial" w:hAnsi="Arial" w:cs="Arial"/>
        </w:rPr>
        <w:t xml:space="preserve">7, Costa Rica y China anunciaron el </w:t>
      </w:r>
      <w:r w:rsidR="006D3FFE" w:rsidRPr="000A06C7">
        <w:rPr>
          <w:rFonts w:ascii="Arial" w:hAnsi="Arial" w:cs="Arial"/>
        </w:rPr>
        <w:t>inicio</w:t>
      </w:r>
      <w:r w:rsidRPr="000A06C7">
        <w:rPr>
          <w:rFonts w:ascii="Arial" w:hAnsi="Arial" w:cs="Arial"/>
        </w:rPr>
        <w:t xml:space="preserve"> de relaciones diplomáticas entre ambos países, para 2008 se empezó la negociación de un tratado de libre comercio, el cual tuvo seis rondas y concluyo con la firma del acuerdo en abril del 2010</w:t>
      </w:r>
      <w:r w:rsidR="0096165A" w:rsidRPr="000A06C7">
        <w:rPr>
          <w:rFonts w:ascii="Arial" w:hAnsi="Arial" w:cs="Arial"/>
        </w:rPr>
        <w:t>, siendo el primer país centroamericano en hacerlo</w:t>
      </w:r>
      <w:r w:rsidR="00682FA1" w:rsidRPr="000A06C7">
        <w:rPr>
          <w:rFonts w:ascii="Arial" w:hAnsi="Arial" w:cs="Arial"/>
        </w:rPr>
        <w:t xml:space="preserve"> </w:t>
      </w:r>
      <w:r w:rsidR="00682FA1" w:rsidRPr="000A06C7">
        <w:rPr>
          <w:rFonts w:ascii="Arial" w:hAnsi="Arial" w:cs="Arial"/>
        </w:rPr>
        <w:fldChar w:fldCharType="begin"/>
      </w:r>
      <w:r w:rsidR="00682FA1" w:rsidRPr="000A06C7">
        <w:rPr>
          <w:rFonts w:ascii="Arial" w:hAnsi="Arial" w:cs="Arial"/>
        </w:rPr>
        <w:instrText xml:space="preserve"> ADDIN ZOTERO_ITEM CSL_CITATION {"citationID":"48c3abHT","properties":{"formattedCitation":"(Ministerio de Comercio Exterior (COMEX), s.\\uc0\\u160{}f.)","plainCitation":"(Ministerio de Comercio Exterior (COMEX), s. f.)","noteIndex":0},"citationItems":[{"id":1914,"uris":["http://zotero.org/users/10063313/items/WTZHBPLJ"],"itemData":{"id":1914,"type":"webpage","title":"Tratado de Libre Comercio entre el Gobierno de la República de Costa Rica y el Gobierno de la República Popular China","URL":"https://www.comex.go.cr/tratados/china/","author":[{"family":"Ministerio de Comercio Exterior (COMEX)","given":""}],"accessed":{"date-parts":[["2024",4,14]]}}}],"schema":"https://github.com/citation-style-language/schema/raw/master/csl-citation.json"} </w:instrText>
      </w:r>
      <w:r w:rsidR="00682FA1" w:rsidRPr="000A06C7">
        <w:rPr>
          <w:rFonts w:ascii="Arial" w:hAnsi="Arial" w:cs="Arial"/>
        </w:rPr>
        <w:fldChar w:fldCharType="separate"/>
      </w:r>
      <w:r w:rsidR="00682FA1" w:rsidRPr="000A06C7">
        <w:rPr>
          <w:rFonts w:ascii="Arial" w:hAnsi="Arial" w:cs="Arial"/>
          <w:lang w:val="es-MX"/>
        </w:rPr>
        <w:t>(Ministerio de Comercio Exterior (COMEX), s. f.)</w:t>
      </w:r>
      <w:r w:rsidR="00682FA1" w:rsidRPr="000A06C7">
        <w:rPr>
          <w:rFonts w:ascii="Arial" w:hAnsi="Arial" w:cs="Arial"/>
        </w:rPr>
        <w:fldChar w:fldCharType="end"/>
      </w:r>
      <w:r w:rsidR="0096165A" w:rsidRPr="000A06C7">
        <w:rPr>
          <w:rFonts w:ascii="Arial" w:hAnsi="Arial" w:cs="Arial"/>
        </w:rPr>
        <w:t>.</w:t>
      </w:r>
    </w:p>
    <w:p w14:paraId="091AAE68" w14:textId="77777777" w:rsidR="00560B5F" w:rsidRPr="000A06C7" w:rsidRDefault="00560B5F" w:rsidP="00015050">
      <w:pPr>
        <w:spacing w:line="360" w:lineRule="auto"/>
        <w:jc w:val="both"/>
        <w:rPr>
          <w:rFonts w:ascii="Arial" w:hAnsi="Arial" w:cs="Arial"/>
        </w:rPr>
      </w:pPr>
    </w:p>
    <w:p w14:paraId="31F410B0" w14:textId="38397FBA" w:rsidR="001A6B7B" w:rsidRPr="000A06C7" w:rsidRDefault="00F04CEA" w:rsidP="00015050">
      <w:pPr>
        <w:spacing w:after="240" w:line="360" w:lineRule="auto"/>
        <w:jc w:val="both"/>
        <w:rPr>
          <w:rFonts w:ascii="Arial" w:hAnsi="Arial" w:cs="Arial"/>
        </w:rPr>
      </w:pPr>
      <w:r w:rsidRPr="000A06C7">
        <w:rPr>
          <w:rFonts w:ascii="Arial" w:hAnsi="Arial" w:cs="Arial"/>
        </w:rPr>
        <w:t xml:space="preserve">En este </w:t>
      </w:r>
      <w:r w:rsidR="00702963" w:rsidRPr="000A06C7">
        <w:rPr>
          <w:rFonts w:ascii="Arial" w:hAnsi="Arial" w:cs="Arial"/>
        </w:rPr>
        <w:t>momento</w:t>
      </w:r>
      <w:r w:rsidRPr="000A06C7">
        <w:rPr>
          <w:rFonts w:ascii="Arial" w:hAnsi="Arial" w:cs="Arial"/>
        </w:rPr>
        <w:t xml:space="preserve"> de firma del TLC, China era la segunda economía del </w:t>
      </w:r>
      <w:r w:rsidR="00702963" w:rsidRPr="000A06C7">
        <w:rPr>
          <w:rFonts w:ascii="Arial" w:hAnsi="Arial" w:cs="Arial"/>
        </w:rPr>
        <w:t>mundo</w:t>
      </w:r>
      <w:r w:rsidRPr="000A06C7">
        <w:rPr>
          <w:rFonts w:ascii="Arial" w:hAnsi="Arial" w:cs="Arial"/>
        </w:rPr>
        <w:t xml:space="preserve"> después de Estados Unidos, lo que convertía </w:t>
      </w:r>
      <w:r w:rsidR="00713E73" w:rsidRPr="000A06C7">
        <w:rPr>
          <w:rFonts w:ascii="Arial" w:hAnsi="Arial" w:cs="Arial"/>
        </w:rPr>
        <w:t>en</w:t>
      </w:r>
      <w:r w:rsidRPr="000A06C7">
        <w:rPr>
          <w:rFonts w:ascii="Arial" w:hAnsi="Arial" w:cs="Arial"/>
        </w:rPr>
        <w:t xml:space="preserve"> este país en el principal motor de crecimiento </w:t>
      </w:r>
      <w:r w:rsidR="00702963" w:rsidRPr="000A06C7">
        <w:rPr>
          <w:rFonts w:ascii="Arial" w:hAnsi="Arial" w:cs="Arial"/>
        </w:rPr>
        <w:t>económico</w:t>
      </w:r>
      <w:r w:rsidRPr="000A06C7">
        <w:rPr>
          <w:rFonts w:ascii="Arial" w:hAnsi="Arial" w:cs="Arial"/>
        </w:rPr>
        <w:t xml:space="preserve"> global y una palanca para las economías de países latinoamericanos </w:t>
      </w:r>
      <w:r w:rsidR="000A06C7" w:rsidRPr="000A06C7">
        <w:rPr>
          <w:rFonts w:ascii="Arial" w:hAnsi="Arial" w:cs="Arial"/>
        </w:rPr>
        <w:fldChar w:fldCharType="begin"/>
      </w:r>
      <w:r w:rsidR="000A06C7" w:rsidRPr="000A06C7">
        <w:rPr>
          <w:rFonts w:ascii="Arial" w:hAnsi="Arial" w:cs="Arial"/>
        </w:rPr>
        <w:instrText xml:space="preserve"> ADDIN ZOTERO_ITEM CSL_CITATION {"citationID":"FCE9n0op","properties":{"formattedCitation":"(Ruiz, 2023)","plainCitation":"(Ruiz, 2023)","noteIndex":0},"citationItems":[{"id":1916,"uris":["http://zotero.org/users/10063313/items/4PU475T2"],"itemData":{"id":1916,"type":"article-journal","container-title":"Vicerrectoría de Investigación","journalAbbreviation":"Observatorio de Comercio Exterior","title":"TLC con China: geopolítica, comercio y diplomacia","URL":"https://www.uned.ac.cr/ocex/index.php/capsulas/647-abriendo-las-puertas-a-asia-10-anos-del-tlc-con-china","author":[{"family":"Ruiz","given":"Hellen"}],"accessed":{"date-parts":[["2024",4,14]]},"issued":{"date-parts":[["2023"]]}}}],"schema":"https://github.com/citation-style-language/schema/raw/master/csl-citation.json"} </w:instrText>
      </w:r>
      <w:r w:rsidR="000A06C7" w:rsidRPr="000A06C7">
        <w:rPr>
          <w:rFonts w:ascii="Arial" w:hAnsi="Arial" w:cs="Arial"/>
        </w:rPr>
        <w:fldChar w:fldCharType="separate"/>
      </w:r>
      <w:r w:rsidR="000A06C7" w:rsidRPr="000A06C7">
        <w:rPr>
          <w:rFonts w:ascii="Arial" w:hAnsi="Arial" w:cs="Arial"/>
          <w:noProof/>
        </w:rPr>
        <w:t>(Ruiz, 2023)</w:t>
      </w:r>
      <w:r w:rsidR="000A06C7" w:rsidRPr="000A06C7">
        <w:rPr>
          <w:rFonts w:ascii="Arial" w:hAnsi="Arial" w:cs="Arial"/>
        </w:rPr>
        <w:fldChar w:fldCharType="end"/>
      </w:r>
      <w:r w:rsidR="000A06C7" w:rsidRPr="000A06C7">
        <w:rPr>
          <w:rFonts w:ascii="Arial" w:hAnsi="Arial" w:cs="Arial"/>
        </w:rPr>
        <w:t xml:space="preserve">. </w:t>
      </w:r>
    </w:p>
    <w:p w14:paraId="30448FDD" w14:textId="0D76CD54" w:rsidR="00070F27" w:rsidRPr="000A06C7" w:rsidRDefault="00B741E2" w:rsidP="00015050">
      <w:pPr>
        <w:spacing w:after="240" w:line="360" w:lineRule="auto"/>
        <w:jc w:val="both"/>
        <w:rPr>
          <w:rFonts w:ascii="Arial" w:hAnsi="Arial" w:cs="Arial"/>
        </w:rPr>
      </w:pPr>
      <w:r w:rsidRPr="000A06C7">
        <w:rPr>
          <w:rFonts w:ascii="Arial" w:hAnsi="Arial" w:cs="Arial"/>
        </w:rPr>
        <w:t>Según el informe de la UNED</w:t>
      </w:r>
      <w:r w:rsidR="000A06C7" w:rsidRPr="000A06C7">
        <w:rPr>
          <w:rFonts w:ascii="Arial" w:hAnsi="Arial" w:cs="Arial"/>
        </w:rPr>
        <w:t xml:space="preserve"> por Ruiz (2023)</w:t>
      </w:r>
      <w:r w:rsidRPr="000A06C7">
        <w:rPr>
          <w:rFonts w:ascii="Arial" w:hAnsi="Arial" w:cs="Arial"/>
        </w:rPr>
        <w:t xml:space="preserve">, </w:t>
      </w:r>
      <w:r w:rsidR="00070F27" w:rsidRPr="000A06C7">
        <w:rPr>
          <w:rFonts w:ascii="Arial" w:hAnsi="Arial" w:cs="Arial"/>
        </w:rPr>
        <w:t xml:space="preserve">hacia 2007, América Latina se destacaba como un proveedor clave para China, suministrándole el 55% del cobre, 57% de las semillas oleaginosas y 95% del aceite de soja que importaba, y a diferencia de otros países latinoamericanos, Costa Rica no se perfilaba como un gran exportador de materias primas a China. En lugar de eso, su perfil </w:t>
      </w:r>
      <w:r w:rsidR="00070F27" w:rsidRPr="000A06C7">
        <w:rPr>
          <w:rFonts w:ascii="Arial" w:hAnsi="Arial" w:cs="Arial"/>
        </w:rPr>
        <w:lastRenderedPageBreak/>
        <w:t>exportador se asemejaba más al de naciones asiáticas especializadas en alta tecnología, como la exportación de circuitos electrónicos de Intel desde zonas francas</w:t>
      </w:r>
      <w:r w:rsidR="000A06C7">
        <w:rPr>
          <w:rFonts w:ascii="Arial" w:hAnsi="Arial" w:cs="Arial"/>
        </w:rPr>
        <w:t xml:space="preserve"> </w:t>
      </w:r>
      <w:r w:rsidR="000A06C7" w:rsidRPr="000A06C7">
        <w:rPr>
          <w:rFonts w:ascii="Arial" w:hAnsi="Arial" w:cs="Arial"/>
        </w:rPr>
        <w:fldChar w:fldCharType="begin"/>
      </w:r>
      <w:r w:rsidR="00F34A04">
        <w:rPr>
          <w:rFonts w:ascii="Arial" w:hAnsi="Arial" w:cs="Arial"/>
        </w:rPr>
        <w:instrText xml:space="preserve"> ADDIN ZOTERO_ITEM CSL_CITATION {"citationID":"EOUSMfL8","properties":{"formattedCitation":"(Ruiz, 2023)","plainCitation":"(Ruiz, 2023)","noteIndex":0},"citationItems":[{"id":1916,"uris":["http://zotero.org/users/10063313/items/4PU475T2"],"itemData":{"id":1916,"type":"article-journal","container-title":"Vicerrectoría de Investigación","journalAbbreviation":"Observatorio de Comercio Exterior","title":"TLC con China: geopolítica, comercio y diplomacia","URL":"https://www.uned.ac.cr/ocex/index.php/capsulas/647-abriendo-las-puertas-a-asia-10-anos-del-tlc-con-china","author":[{"family":"Ruiz","given":"Hellen"}],"accessed":{"date-parts":[["2024",4,14]]},"issued":{"date-parts":[["2023"]]}}}],"schema":"https://github.com/citation-style-language/schema/raw/master/csl-citation.json"} </w:instrText>
      </w:r>
      <w:r w:rsidR="000A06C7" w:rsidRPr="000A06C7">
        <w:rPr>
          <w:rFonts w:ascii="Arial" w:hAnsi="Arial" w:cs="Arial"/>
        </w:rPr>
        <w:fldChar w:fldCharType="separate"/>
      </w:r>
      <w:r w:rsidR="000A06C7" w:rsidRPr="000A06C7">
        <w:rPr>
          <w:rFonts w:ascii="Arial" w:hAnsi="Arial" w:cs="Arial"/>
          <w:noProof/>
        </w:rPr>
        <w:t>(Ruiz, 2023)</w:t>
      </w:r>
      <w:r w:rsidR="000A06C7" w:rsidRPr="000A06C7">
        <w:rPr>
          <w:rFonts w:ascii="Arial" w:hAnsi="Arial" w:cs="Arial"/>
        </w:rPr>
        <w:fldChar w:fldCharType="end"/>
      </w:r>
      <w:r w:rsidR="00070F27" w:rsidRPr="000A06C7">
        <w:rPr>
          <w:rFonts w:ascii="Arial" w:hAnsi="Arial" w:cs="Arial"/>
        </w:rPr>
        <w:t>. Según este mismo informe, estratégicamente, China buscó reforzar su política de “una sola China” con este acercamiento, y Costa Rica reconoció a Beijing como el único gobierno legítimo, en un contexto donde varios países centroamericanos todavía reconocían a Taiwán</w:t>
      </w:r>
      <w:r w:rsidR="00015050">
        <w:rPr>
          <w:rFonts w:ascii="Arial" w:hAnsi="Arial" w:cs="Arial"/>
        </w:rPr>
        <w:t>.</w:t>
      </w:r>
    </w:p>
    <w:p w14:paraId="012745DF" w14:textId="5EB0C7DD" w:rsidR="00070F27" w:rsidRPr="000A06C7" w:rsidRDefault="00A53F87" w:rsidP="00015050">
      <w:pPr>
        <w:spacing w:after="240" w:line="360" w:lineRule="auto"/>
        <w:jc w:val="both"/>
        <w:rPr>
          <w:rFonts w:ascii="Arial" w:hAnsi="Arial" w:cs="Arial"/>
          <w:b/>
          <w:bCs/>
        </w:rPr>
      </w:pPr>
      <w:r w:rsidRPr="000A06C7">
        <w:rPr>
          <w:rFonts w:ascii="Arial" w:hAnsi="Arial" w:cs="Arial"/>
          <w:b/>
          <w:bCs/>
        </w:rPr>
        <w:t>Programa de desgravación</w:t>
      </w:r>
      <w:r w:rsidR="00B340E8" w:rsidRPr="000A06C7">
        <w:rPr>
          <w:rFonts w:ascii="Arial" w:hAnsi="Arial" w:cs="Arial"/>
          <w:b/>
          <w:bCs/>
        </w:rPr>
        <w:t xml:space="preserve"> arancelaria</w:t>
      </w:r>
    </w:p>
    <w:p w14:paraId="1BC15806" w14:textId="7DF95D38" w:rsidR="00B340E8" w:rsidRPr="00601509" w:rsidRDefault="00B340E8" w:rsidP="00015050">
      <w:pPr>
        <w:spacing w:after="240" w:line="360" w:lineRule="auto"/>
        <w:jc w:val="both"/>
        <w:rPr>
          <w:rFonts w:ascii="Arial" w:hAnsi="Arial" w:cs="Arial"/>
          <w:color w:val="000000" w:themeColor="text1"/>
        </w:rPr>
      </w:pPr>
      <w:r w:rsidRPr="00601509">
        <w:rPr>
          <w:rFonts w:ascii="Arial" w:hAnsi="Arial" w:cs="Arial"/>
          <w:color w:val="000000" w:themeColor="text1"/>
        </w:rPr>
        <w:t xml:space="preserve">Al igual que </w:t>
      </w:r>
      <w:r w:rsidR="00560B5F" w:rsidRPr="00601509">
        <w:rPr>
          <w:rFonts w:ascii="Arial" w:hAnsi="Arial" w:cs="Arial"/>
          <w:color w:val="000000" w:themeColor="text1"/>
        </w:rPr>
        <w:t>en los TLC negocia</w:t>
      </w:r>
      <w:r w:rsidR="00601509" w:rsidRPr="00601509">
        <w:rPr>
          <w:rFonts w:ascii="Arial" w:hAnsi="Arial" w:cs="Arial"/>
          <w:color w:val="000000" w:themeColor="text1"/>
        </w:rPr>
        <w:t>d</w:t>
      </w:r>
      <w:r w:rsidR="00560B5F" w:rsidRPr="00601509">
        <w:rPr>
          <w:rFonts w:ascii="Arial" w:hAnsi="Arial" w:cs="Arial"/>
          <w:color w:val="000000" w:themeColor="text1"/>
        </w:rPr>
        <w:t xml:space="preserve">os por Chile y Perú analizados </w:t>
      </w:r>
      <w:r w:rsidRPr="00601509">
        <w:rPr>
          <w:rFonts w:ascii="Arial" w:hAnsi="Arial" w:cs="Arial"/>
          <w:color w:val="000000" w:themeColor="text1"/>
        </w:rPr>
        <w:t xml:space="preserve">anteriormente, el TLC entre Costa Rica y China, cuenta con un programa de desgravación arancelaria por categorías. </w:t>
      </w:r>
    </w:p>
    <w:p w14:paraId="525166A6" w14:textId="1E6E57F1" w:rsidR="00F34A04" w:rsidRDefault="00B340E8" w:rsidP="00015050">
      <w:pPr>
        <w:spacing w:after="240" w:line="360" w:lineRule="auto"/>
        <w:jc w:val="both"/>
        <w:rPr>
          <w:rFonts w:ascii="Arial" w:hAnsi="Arial" w:cs="Arial"/>
        </w:rPr>
      </w:pPr>
      <w:r w:rsidRPr="000A06C7">
        <w:rPr>
          <w:rFonts w:ascii="Arial" w:hAnsi="Arial" w:cs="Arial"/>
        </w:rPr>
        <w:t xml:space="preserve">De acuerdo con el Tratado, los productos clasificados bajo la categoría "A" eliminan sus aranceles inmediatamente al entrar en vigencia el acuerdo. Los productos en la categoría "B" tienen una eliminación gradual de aranceles en cinco etapas anuales, quedando exentos al quinto año. Para los de la categoría "C", la reducción de aranceles se hace en diez etapas anuales, eliminándose completamente al décimo año. Los productos categoría "D" experimentan una eliminación de aranceles en quince etapas anuales, alcanzando la exención total en el décimo quinto año. Los productos bajo la categoría "E" quedan excluidos del Tratado y mantendrán sus aranceles actuales. Por último, la categoría "F" están sujetos a una cuota de importación sin aranceles </w:t>
      </w:r>
      <w:r w:rsidR="00F34A04">
        <w:rPr>
          <w:rFonts w:ascii="Arial" w:hAnsi="Arial" w:cs="Arial"/>
        </w:rPr>
        <w:fldChar w:fldCharType="begin"/>
      </w:r>
      <w:r w:rsidR="00F34A04">
        <w:rPr>
          <w:rFonts w:ascii="Arial" w:hAnsi="Arial" w:cs="Arial"/>
        </w:rPr>
        <w:instrText xml:space="preserve"> ADDIN ZOTERO_ITEM CSL_CITATION {"citationID":"AEgCXxZ1","properties":{"formattedCitation":"(Ministerio de Comercio Exterior (COMEX), 2010)","plainCitation":"(Ministerio de Comercio Exterior (COMEX), 2010)","dontUpdate":true,"noteIndex":0},"citationItems":[{"id":1919,"uris":["http://zotero.org/users/10063313/items/NHJANFC9"],"itemData":{"id":1919,"type":"article-journal","language":"es","source":"Zotero","title":"Documento Explicativo Tratado de Libre Comercio Costa Rica - China","author":[{"family":"Ministerio de Comercio Exterior (COMEX)","given":""}],"issued":{"date-parts":[["2010",3]]}}}],"schema":"https://github.com/citation-style-language/schema/raw/master/csl-citation.json"} </w:instrText>
      </w:r>
      <w:r w:rsidR="00F34A04">
        <w:rPr>
          <w:rFonts w:ascii="Arial" w:hAnsi="Arial" w:cs="Arial"/>
        </w:rPr>
        <w:fldChar w:fldCharType="separate"/>
      </w:r>
      <w:r w:rsidR="00F34A04">
        <w:rPr>
          <w:rFonts w:ascii="Arial" w:hAnsi="Arial" w:cs="Arial"/>
          <w:noProof/>
        </w:rPr>
        <w:t>(COMEX, 2010a)</w:t>
      </w:r>
      <w:r w:rsidR="00F34A04">
        <w:rPr>
          <w:rFonts w:ascii="Arial" w:hAnsi="Arial" w:cs="Arial"/>
        </w:rPr>
        <w:fldChar w:fldCharType="end"/>
      </w:r>
      <w:r w:rsidR="00F34A04">
        <w:rPr>
          <w:rFonts w:ascii="Arial" w:hAnsi="Arial" w:cs="Arial"/>
        </w:rPr>
        <w:t>.</w:t>
      </w:r>
    </w:p>
    <w:p w14:paraId="3C2B63B3" w14:textId="0A307B3E" w:rsidR="00834C99" w:rsidRPr="000A06C7" w:rsidRDefault="00834C99" w:rsidP="00015050">
      <w:pPr>
        <w:spacing w:after="240" w:line="360" w:lineRule="auto"/>
        <w:jc w:val="both"/>
        <w:rPr>
          <w:rFonts w:ascii="Arial" w:hAnsi="Arial" w:cs="Arial"/>
        </w:rPr>
      </w:pPr>
      <w:r w:rsidRPr="000A06C7">
        <w:rPr>
          <w:rFonts w:ascii="Arial" w:hAnsi="Arial" w:cs="Arial"/>
        </w:rPr>
        <w:t xml:space="preserve">Con la entrada en vigor del acuerdo, China desgrava inmediatamente el 65% de su universo arancelario. El 29% de las líneas arancelarias alcanza la condición de libre comercio en un período de cinco años. Además, el 2% lo logra en diez años, y el 1% se desgrava en quince años. Adicionalmente, el 3% de las fracciones arancelarias quedan excluidas del programa de desgravación y continúan sujetas al arancel vigente. Por su parte, Costa Rica aplica también una desgravación inmediata del 63% de su universo arancelario al entrar en vigor el tratado. Un 4% de las líneas arancelarias alcanza la libre circulación de bienes en cinco años y un 21.5% en diez años. Un 2.5% alcanza este estado en quince años. Se otorga un tratamiento de exclusión a un 9% de las fracciones </w:t>
      </w:r>
      <w:r w:rsidRPr="000A06C7">
        <w:rPr>
          <w:rFonts w:ascii="Arial" w:hAnsi="Arial" w:cs="Arial"/>
        </w:rPr>
        <w:lastRenderedPageBreak/>
        <w:t>arancelarias, manteniendo los aranceles actuales, y un 0.1% de las líneas está sujeta a cuotas de importación</w:t>
      </w:r>
      <w:r w:rsidR="00F34A04">
        <w:rPr>
          <w:rFonts w:ascii="Arial" w:hAnsi="Arial" w:cs="Arial"/>
        </w:rPr>
        <w:t xml:space="preserve"> </w:t>
      </w:r>
      <w:r w:rsidR="00F34A04">
        <w:rPr>
          <w:rFonts w:ascii="Arial" w:hAnsi="Arial" w:cs="Arial"/>
        </w:rPr>
        <w:fldChar w:fldCharType="begin"/>
      </w:r>
      <w:r w:rsidR="00F34A04">
        <w:rPr>
          <w:rFonts w:ascii="Arial" w:hAnsi="Arial" w:cs="Arial"/>
        </w:rPr>
        <w:instrText xml:space="preserve"> ADDIN ZOTERO_ITEM CSL_CITATION {"citationID":"jCmztwHP","properties":{"formattedCitation":"(Ministerio de Comercio Exterior (COMEX), 2010)","plainCitation":"(Ministerio de Comercio Exterior (COMEX), 2010)","dontUpdate":true,"noteIndex":0},"citationItems":[{"id":1919,"uris":["http://zotero.org/users/10063313/items/NHJANFC9"],"itemData":{"id":1919,"type":"article-journal","language":"es","source":"Zotero","title":"Documento Explicativo Tratado de Libre Comercio Costa Rica - China","author":[{"family":"Ministerio de Comercio Exterior (COMEX)","given":""}],"issued":{"date-parts":[["2010",3]]}}}],"schema":"https://github.com/citation-style-language/schema/raw/master/csl-citation.json"} </w:instrText>
      </w:r>
      <w:r w:rsidR="00F34A04">
        <w:rPr>
          <w:rFonts w:ascii="Arial" w:hAnsi="Arial" w:cs="Arial"/>
        </w:rPr>
        <w:fldChar w:fldCharType="separate"/>
      </w:r>
      <w:r w:rsidR="00F34A04">
        <w:rPr>
          <w:rFonts w:ascii="Arial" w:hAnsi="Arial" w:cs="Arial"/>
          <w:noProof/>
        </w:rPr>
        <w:t>(COMEX, 2010a)</w:t>
      </w:r>
      <w:r w:rsidR="00F34A04">
        <w:rPr>
          <w:rFonts w:ascii="Arial" w:hAnsi="Arial" w:cs="Arial"/>
        </w:rPr>
        <w:fldChar w:fldCharType="end"/>
      </w:r>
      <w:r w:rsidR="00F34A04">
        <w:rPr>
          <w:rFonts w:ascii="Arial" w:hAnsi="Arial" w:cs="Arial"/>
        </w:rPr>
        <w:t>.</w:t>
      </w:r>
      <w:r w:rsidRPr="000A06C7">
        <w:rPr>
          <w:rFonts w:ascii="Arial" w:hAnsi="Arial" w:cs="Arial"/>
        </w:rPr>
        <w:t xml:space="preserve"> </w:t>
      </w:r>
    </w:p>
    <w:p w14:paraId="520F179E" w14:textId="7CB8CF3E" w:rsidR="00834C99" w:rsidRPr="000A06C7" w:rsidRDefault="00560B5F" w:rsidP="00015050">
      <w:pPr>
        <w:spacing w:after="240" w:line="360" w:lineRule="auto"/>
        <w:jc w:val="both"/>
        <w:rPr>
          <w:rFonts w:ascii="Arial" w:hAnsi="Arial" w:cs="Arial"/>
        </w:rPr>
      </w:pPr>
      <w:r w:rsidRPr="00822BBD">
        <w:rPr>
          <w:rFonts w:ascii="Arial" w:hAnsi="Arial" w:cs="Arial"/>
          <w:color w:val="000000" w:themeColor="text1"/>
        </w:rPr>
        <w:t>Dentro de l</w:t>
      </w:r>
      <w:r w:rsidR="00834C99" w:rsidRPr="00822BBD">
        <w:rPr>
          <w:rFonts w:ascii="Arial" w:hAnsi="Arial" w:cs="Arial"/>
          <w:color w:val="000000" w:themeColor="text1"/>
        </w:rPr>
        <w:t>os productos costarricenses que</w:t>
      </w:r>
      <w:r w:rsidR="00702963" w:rsidRPr="00822BBD">
        <w:rPr>
          <w:rFonts w:ascii="Arial" w:hAnsi="Arial" w:cs="Arial"/>
          <w:color w:val="000000" w:themeColor="text1"/>
        </w:rPr>
        <w:t xml:space="preserve"> </w:t>
      </w:r>
      <w:r w:rsidR="00834C99" w:rsidRPr="00822BBD">
        <w:rPr>
          <w:rFonts w:ascii="Arial" w:hAnsi="Arial" w:cs="Arial"/>
          <w:color w:val="000000" w:themeColor="text1"/>
        </w:rPr>
        <w:t>ingresa</w:t>
      </w:r>
      <w:r w:rsidR="00702963" w:rsidRPr="00822BBD">
        <w:rPr>
          <w:rFonts w:ascii="Arial" w:hAnsi="Arial" w:cs="Arial"/>
          <w:color w:val="000000" w:themeColor="text1"/>
        </w:rPr>
        <w:t>n</w:t>
      </w:r>
      <w:r w:rsidR="00834C99" w:rsidRPr="00822BBD">
        <w:rPr>
          <w:rFonts w:ascii="Arial" w:hAnsi="Arial" w:cs="Arial"/>
          <w:color w:val="000000" w:themeColor="text1"/>
        </w:rPr>
        <w:t xml:space="preserve"> al mercado chino sin pagar aranceles desde que el </w:t>
      </w:r>
      <w:r w:rsidR="00702963" w:rsidRPr="00822BBD">
        <w:rPr>
          <w:rFonts w:ascii="Arial" w:hAnsi="Arial" w:cs="Arial"/>
          <w:color w:val="000000" w:themeColor="text1"/>
        </w:rPr>
        <w:t>TLC</w:t>
      </w:r>
      <w:r w:rsidR="00834C99" w:rsidRPr="00822BBD">
        <w:rPr>
          <w:rFonts w:ascii="Arial" w:hAnsi="Arial" w:cs="Arial"/>
          <w:color w:val="000000" w:themeColor="text1"/>
        </w:rPr>
        <w:t xml:space="preserve"> entra en vigor, se incluyen</w:t>
      </w:r>
      <w:r w:rsidR="00702963" w:rsidRPr="00822BBD">
        <w:rPr>
          <w:rFonts w:ascii="Arial" w:hAnsi="Arial" w:cs="Arial"/>
          <w:color w:val="000000" w:themeColor="text1"/>
        </w:rPr>
        <w:t xml:space="preserve"> algunos como</w:t>
      </w:r>
      <w:r w:rsidR="00834C99" w:rsidRPr="00822BBD">
        <w:rPr>
          <w:rFonts w:ascii="Arial" w:hAnsi="Arial" w:cs="Arial"/>
          <w:color w:val="000000" w:themeColor="text1"/>
        </w:rPr>
        <w:t xml:space="preserve"> el jugo de naranja congelado, tilapia, camarón, flores, plantas, cacao, chocolates, palmito, ron y cueros. En un periodo de 5 años se desgravan productos como carne de bovino, porcino y avícola; melón; sandía</w:t>
      </w:r>
      <w:r w:rsidR="00834C99" w:rsidRPr="000A06C7">
        <w:rPr>
          <w:rFonts w:ascii="Arial" w:hAnsi="Arial" w:cs="Arial"/>
        </w:rPr>
        <w:t xml:space="preserve">; algunos aceites vegetales; preparaciones de carne; galletas; algunas jaleas y mermeladas; jugo de piña; y salsas, entre otros. Productos como peces vivos y café se desgravan en un </w:t>
      </w:r>
      <w:r w:rsidR="00834C99" w:rsidRPr="00822BBD">
        <w:rPr>
          <w:rFonts w:ascii="Arial" w:hAnsi="Arial" w:cs="Arial"/>
          <w:color w:val="000000" w:themeColor="text1"/>
        </w:rPr>
        <w:t xml:space="preserve">plazo de 10 años. Dentro de la categoría de 15 años se incluyen los productos lácteos y algunas frutas como banano y mango. </w:t>
      </w:r>
      <w:r w:rsidRPr="00822BBD">
        <w:rPr>
          <w:rFonts w:ascii="Arial" w:hAnsi="Arial" w:cs="Arial"/>
          <w:color w:val="000000" w:themeColor="text1"/>
        </w:rPr>
        <w:t xml:space="preserve">Precisamente, las desgravaciones de ésta categoría entrarán a regir en el año 2026. </w:t>
      </w:r>
      <w:r w:rsidR="00834C99" w:rsidRPr="00822BBD">
        <w:rPr>
          <w:rFonts w:ascii="Arial" w:hAnsi="Arial" w:cs="Arial"/>
          <w:color w:val="000000" w:themeColor="text1"/>
        </w:rPr>
        <w:t>Finalmente, en la categoría de exclusión están el trigo y harina de trigo; arroz; maíz; aceite de palma, girasol y algodón</w:t>
      </w:r>
      <w:r w:rsidR="00834C99" w:rsidRPr="000A06C7">
        <w:rPr>
          <w:rFonts w:ascii="Arial" w:hAnsi="Arial" w:cs="Arial"/>
        </w:rPr>
        <w:t>; azúcar; tabaco; cigarrillos; productos de la industria forestal; y papel, entre otros.</w:t>
      </w:r>
    </w:p>
    <w:p w14:paraId="2DD4A97A" w14:textId="699A5C3F" w:rsidR="00B340E8" w:rsidRPr="000A06C7" w:rsidRDefault="00702963" w:rsidP="00015050">
      <w:pPr>
        <w:spacing w:after="240" w:line="360" w:lineRule="auto"/>
        <w:jc w:val="both"/>
        <w:rPr>
          <w:rFonts w:ascii="Arial" w:hAnsi="Arial" w:cs="Arial"/>
        </w:rPr>
      </w:pPr>
      <w:r w:rsidRPr="000A06C7">
        <w:rPr>
          <w:rFonts w:ascii="Arial" w:hAnsi="Arial" w:cs="Arial"/>
        </w:rPr>
        <w:t>Dentro de la categoría de libre comercio inmediato, Costa Rica incluye para China los productos que ya tienen un arancel nación más favorecida de 0%, como son los huevos, flores, espárragos, higos, manzanas, albaricoques, canela, anchoas, melocotones en conserva, materias primas textiles, instrumentos musicales, calzado para deporte, tostadores, aparatos para el cuidado del cabello, equipos de sonido y de video. En la canasta de desgravación a 5 años se encuentran productos como la carne de res refrigerada, trigo bulgur, líquido para frenos, ambulancias, partes para automóviles, relojes, y mobiliario médico-quirúrgico. Dentro de la canasta de 10 años figuran algunos productos de pesca, tomate en conserva, herbicidas e insecticidas, alfombras, algunas prendas de vestir, ladrillos, placas y baldosas de cerámica, clavos, y varios aparatos eléctricos. La canasta de 15 años incluye aceite de jojoba, cemento, gomas, desinfectantes, candados y cerraduras, y letreros luminosos</w:t>
      </w:r>
      <w:r w:rsidR="00F34A04">
        <w:rPr>
          <w:rFonts w:ascii="Arial" w:hAnsi="Arial" w:cs="Arial"/>
        </w:rPr>
        <w:t xml:space="preserve"> </w:t>
      </w:r>
      <w:r w:rsidR="00F34A04">
        <w:rPr>
          <w:rFonts w:ascii="Arial" w:hAnsi="Arial" w:cs="Arial"/>
        </w:rPr>
        <w:fldChar w:fldCharType="begin"/>
      </w:r>
      <w:r w:rsidR="00072553">
        <w:rPr>
          <w:rFonts w:ascii="Arial" w:hAnsi="Arial" w:cs="Arial"/>
        </w:rPr>
        <w:instrText xml:space="preserve"> ADDIN ZOTERO_ITEM CSL_CITATION {"citationID":"IeBneWR9","properties":{"formattedCitation":"(COMEX, 2010)","plainCitation":"(COMEX, 2010)","dontUpdate":true,"noteIndex":0},"citationItems":[{"id":1920,"uris":["http://zotero.org/users/10063313/items/KFMSEUKP"],"itemData":{"id":1920,"type":"article-newspaper","title":"Tras seis rondas de negociación, Costa Rica y China concluyen Tratado de Libre Comercio","URL":"http://www.sice.oas.org/TPD/CRI_CHN/Negotiations/neg_conclusion_s.pdf","author":[{"family":"COMEX","given":""}],"issued":{"date-parts":[["2010",2,10]]}}}],"schema":"https://github.com/citation-style-language/schema/raw/master/csl-citation.json"} </w:instrText>
      </w:r>
      <w:r w:rsidR="00F34A04">
        <w:rPr>
          <w:rFonts w:ascii="Arial" w:hAnsi="Arial" w:cs="Arial"/>
        </w:rPr>
        <w:fldChar w:fldCharType="separate"/>
      </w:r>
      <w:r w:rsidR="00F34A04">
        <w:rPr>
          <w:rFonts w:ascii="Arial" w:hAnsi="Arial" w:cs="Arial"/>
          <w:noProof/>
        </w:rPr>
        <w:t>(COMEX, 2010b)</w:t>
      </w:r>
      <w:r w:rsidR="00F34A04">
        <w:rPr>
          <w:rFonts w:ascii="Arial" w:hAnsi="Arial" w:cs="Arial"/>
        </w:rPr>
        <w:fldChar w:fldCharType="end"/>
      </w:r>
      <w:r w:rsidRPr="000A06C7">
        <w:rPr>
          <w:rFonts w:ascii="Arial" w:hAnsi="Arial" w:cs="Arial"/>
        </w:rPr>
        <w:t>.</w:t>
      </w:r>
    </w:p>
    <w:p w14:paraId="58EC96C4" w14:textId="08471B6A" w:rsidR="00070F27" w:rsidRPr="000A06C7" w:rsidRDefault="00176E79" w:rsidP="00015050">
      <w:pPr>
        <w:spacing w:after="240" w:line="360" w:lineRule="auto"/>
        <w:jc w:val="both"/>
        <w:rPr>
          <w:rFonts w:ascii="Arial" w:hAnsi="Arial" w:cs="Arial"/>
        </w:rPr>
      </w:pPr>
      <w:r w:rsidRPr="000A06C7">
        <w:rPr>
          <w:rFonts w:ascii="Arial" w:hAnsi="Arial" w:cs="Arial"/>
        </w:rPr>
        <w:t xml:space="preserve">Según </w:t>
      </w:r>
      <w:r w:rsidR="00F34A04">
        <w:rPr>
          <w:rFonts w:ascii="Arial" w:hAnsi="Arial" w:cs="Arial"/>
        </w:rPr>
        <w:t>el</w:t>
      </w:r>
      <w:r w:rsidRPr="000A06C7">
        <w:rPr>
          <w:rFonts w:ascii="Arial" w:hAnsi="Arial" w:cs="Arial"/>
        </w:rPr>
        <w:t xml:space="preserve"> informe de la UNED </w:t>
      </w:r>
      <w:r w:rsidR="00F34A04">
        <w:rPr>
          <w:rFonts w:ascii="Arial" w:hAnsi="Arial" w:cs="Arial"/>
        </w:rPr>
        <w:t>por Ruiz (2023), d</w:t>
      </w:r>
      <w:r w:rsidR="00D963E1" w:rsidRPr="000A06C7">
        <w:rPr>
          <w:rFonts w:ascii="Arial" w:hAnsi="Arial" w:cs="Arial"/>
        </w:rPr>
        <w:t>esde la entrada en vigor del acuerdo, los flujos comerciales experimentaron un notable incremento</w:t>
      </w:r>
      <w:r w:rsidRPr="000A06C7">
        <w:rPr>
          <w:rFonts w:ascii="Arial" w:hAnsi="Arial" w:cs="Arial"/>
        </w:rPr>
        <w:t xml:space="preserve">, con un crecimiento promedio anual del 8.1% en el año 2011. Aunque este aumento fue </w:t>
      </w:r>
      <w:r w:rsidRPr="000A06C7">
        <w:rPr>
          <w:rFonts w:ascii="Arial" w:hAnsi="Arial" w:cs="Arial"/>
        </w:rPr>
        <w:lastRenderedPageBreak/>
        <w:t>general, se observó una notable disparidad entre el vigoroso aumento de las importaciones y la significativa reducción de las exportaciones. Como resultado, el déficit comercial de Costa Rica con China creció del 17% al 36% de su déficit total.</w:t>
      </w:r>
    </w:p>
    <w:p w14:paraId="551E0165" w14:textId="452446DA" w:rsidR="00176E79" w:rsidRPr="000A06C7" w:rsidRDefault="00176E79" w:rsidP="00015050">
      <w:pPr>
        <w:spacing w:after="240" w:line="360" w:lineRule="auto"/>
        <w:jc w:val="both"/>
        <w:rPr>
          <w:rFonts w:ascii="Arial" w:hAnsi="Arial" w:cs="Arial"/>
        </w:rPr>
      </w:pPr>
      <w:r w:rsidRPr="000A06C7">
        <w:rPr>
          <w:rFonts w:ascii="Arial" w:hAnsi="Arial" w:cs="Arial"/>
        </w:rPr>
        <w:t>Específicamente, las exportaciones costarricenses hacia China disminuyeron a un ritmo anual del 12%, reduciendo su participación en el mercado de exportaciones del 3% al 1%. Por otro lado, las importaciones procedentes de China se intensificaron tras el TLC, creciendo a un ritmo anual del 10.1%. La proporción de importaciones desde China aumentó del 7% en el inicio del período al 13% en 2016.</w:t>
      </w:r>
    </w:p>
    <w:p w14:paraId="75CAE6CD" w14:textId="77777777" w:rsidR="00BC1FB3" w:rsidRPr="000A06C7" w:rsidRDefault="00810373" w:rsidP="00015050">
      <w:pPr>
        <w:spacing w:after="240" w:line="360" w:lineRule="auto"/>
        <w:jc w:val="both"/>
        <w:rPr>
          <w:rFonts w:ascii="Arial" w:hAnsi="Arial" w:cs="Arial"/>
        </w:rPr>
      </w:pPr>
      <w:r w:rsidRPr="000A06C7">
        <w:rPr>
          <w:rFonts w:ascii="Arial" w:hAnsi="Arial" w:cs="Arial"/>
        </w:rPr>
        <w:t>Según el investigador del Observatorio de la Política Internacional (OPI), Oscar Garro,</w:t>
      </w:r>
    </w:p>
    <w:p w14:paraId="1BEC5B03" w14:textId="2AF0DFEA" w:rsidR="00810373" w:rsidRPr="000A06C7" w:rsidRDefault="00BC1FB3" w:rsidP="00015050">
      <w:pPr>
        <w:spacing w:after="240" w:line="360" w:lineRule="auto"/>
        <w:ind w:left="708"/>
        <w:jc w:val="both"/>
        <w:rPr>
          <w:rFonts w:ascii="Arial" w:hAnsi="Arial" w:cs="Arial"/>
        </w:rPr>
      </w:pPr>
      <w:r w:rsidRPr="000A06C7">
        <w:rPr>
          <w:rFonts w:ascii="Arial" w:hAnsi="Arial" w:cs="Arial"/>
        </w:rPr>
        <w:t xml:space="preserve">“Hay un desbalance muy peligroso entre el crecimiento de importaciones en comparación con las exportaciones, que apuntan a una mayor dependencia. En términos de saldo comercial, teníamos mejores relaciones con China antes de la firma del TLC”. </w:t>
      </w:r>
    </w:p>
    <w:p w14:paraId="1A27194C" w14:textId="0E1008BD" w:rsidR="00B92B56" w:rsidRPr="00822BBD" w:rsidRDefault="00BC1FB3" w:rsidP="00015050">
      <w:pPr>
        <w:spacing w:after="240" w:line="360" w:lineRule="auto"/>
        <w:jc w:val="both"/>
        <w:rPr>
          <w:rFonts w:ascii="Arial" w:hAnsi="Arial" w:cs="Arial"/>
          <w:color w:val="000000" w:themeColor="text1"/>
        </w:rPr>
      </w:pPr>
      <w:r w:rsidRPr="00822BBD">
        <w:rPr>
          <w:rFonts w:ascii="Arial" w:hAnsi="Arial" w:cs="Arial"/>
          <w:color w:val="000000" w:themeColor="text1"/>
        </w:rPr>
        <w:t xml:space="preserve">Durante el periodo de 2000 a 2022, China ascendió del puesto 30 al 8 en términos de su contribución a las exportaciones </w:t>
      </w:r>
      <w:r w:rsidR="00560B5F" w:rsidRPr="00822BBD">
        <w:rPr>
          <w:rFonts w:ascii="Arial" w:hAnsi="Arial" w:cs="Arial"/>
          <w:color w:val="000000" w:themeColor="text1"/>
        </w:rPr>
        <w:t>costarricenses</w:t>
      </w:r>
      <w:r w:rsidR="00822BBD" w:rsidRPr="00822BBD">
        <w:rPr>
          <w:rFonts w:ascii="Arial" w:hAnsi="Arial" w:cs="Arial"/>
          <w:color w:val="000000" w:themeColor="text1"/>
        </w:rPr>
        <w:t xml:space="preserve">, </w:t>
      </w:r>
      <w:r w:rsidRPr="00822BBD">
        <w:rPr>
          <w:rFonts w:ascii="Arial" w:hAnsi="Arial" w:cs="Arial"/>
          <w:color w:val="000000" w:themeColor="text1"/>
        </w:rPr>
        <w:t xml:space="preserve">y en el ámbito de las importaciones, avanzó del puesto 15 al 2. En los años comprendidos entre 2020 y 2022, se observó una disminución en las exportaciones a China en todas las categorías de producción nacional, excepto en el sector de alimentos y bebidas </w:t>
      </w:r>
      <w:r w:rsidR="00F34A04" w:rsidRPr="00822BBD">
        <w:rPr>
          <w:rFonts w:ascii="Arial" w:hAnsi="Arial" w:cs="Arial"/>
          <w:color w:val="000000" w:themeColor="text1"/>
        </w:rPr>
        <w:fldChar w:fldCharType="begin"/>
      </w:r>
      <w:r w:rsidR="00B92B56" w:rsidRPr="00822BBD">
        <w:rPr>
          <w:rFonts w:ascii="Arial" w:hAnsi="Arial" w:cs="Arial"/>
          <w:color w:val="000000" w:themeColor="text1"/>
        </w:rPr>
        <w:instrText xml:space="preserve"> ADDIN ZOTERO_ITEM CSL_CITATION {"citationID":"GuSAo2jK","properties":{"formattedCitation":"(Molina, 2023)","plainCitation":"(Molina, 2023)","noteIndex":0},"citationItems":[{"id":1921,"uris":["http://zotero.org/users/10063313/items/MR5RYENJ"],"itemData":{"id":1921,"type":"article-newspaper","container-title":"Seminario Universidad","title":"A 12 años del TLC con China, Costa Rica importa cada vez más y exporta menos","author":[{"family":"Molina","given":"Lucía"}],"issued":{"date-parts":[["2023",11,8]]}}}],"schema":"https://github.com/citation-style-language/schema/raw/master/csl-citation.json"} </w:instrText>
      </w:r>
      <w:r w:rsidR="00F34A04" w:rsidRPr="00822BBD">
        <w:rPr>
          <w:rFonts w:ascii="Arial" w:hAnsi="Arial" w:cs="Arial"/>
          <w:color w:val="000000" w:themeColor="text1"/>
        </w:rPr>
        <w:fldChar w:fldCharType="separate"/>
      </w:r>
      <w:r w:rsidR="00B92B56" w:rsidRPr="00822BBD">
        <w:rPr>
          <w:rFonts w:ascii="Arial" w:hAnsi="Arial" w:cs="Arial"/>
          <w:noProof/>
          <w:color w:val="000000" w:themeColor="text1"/>
        </w:rPr>
        <w:t>(Molina, 2023)</w:t>
      </w:r>
      <w:r w:rsidR="00F34A04" w:rsidRPr="00822BBD">
        <w:rPr>
          <w:rFonts w:ascii="Arial" w:hAnsi="Arial" w:cs="Arial"/>
          <w:color w:val="000000" w:themeColor="text1"/>
        </w:rPr>
        <w:fldChar w:fldCharType="end"/>
      </w:r>
      <w:r w:rsidR="00B92B56" w:rsidRPr="00822BBD">
        <w:rPr>
          <w:rFonts w:ascii="Arial" w:hAnsi="Arial" w:cs="Arial"/>
          <w:color w:val="000000" w:themeColor="text1"/>
        </w:rPr>
        <w:t>.</w:t>
      </w:r>
    </w:p>
    <w:p w14:paraId="3E122685" w14:textId="58A10C94" w:rsidR="00955B5C" w:rsidRPr="00015050" w:rsidRDefault="00BC1FB3" w:rsidP="00015050">
      <w:pPr>
        <w:spacing w:after="240" w:line="360" w:lineRule="auto"/>
        <w:jc w:val="both"/>
        <w:rPr>
          <w:rFonts w:ascii="Arial" w:hAnsi="Arial" w:cs="Arial"/>
        </w:rPr>
      </w:pPr>
      <w:r w:rsidRPr="00015050">
        <w:rPr>
          <w:rFonts w:ascii="Arial" w:hAnsi="Arial" w:cs="Arial"/>
        </w:rPr>
        <w:t xml:space="preserve">Mientras las exportaciones de Chile y Perú hacia China han mostrado un crecimiento sostenido, incluso antes de la implementación de sus respectivos tratados comerciales, Costa Rica no ha experimentado un patrón similar. En contraste con Chile y Perú, que mantienen una balanza comercial positiva con China, principalmente gracias a sus </w:t>
      </w:r>
      <w:r w:rsidR="00955B5C" w:rsidRPr="00015050">
        <w:rPr>
          <w:rFonts w:ascii="Arial" w:hAnsi="Arial" w:cs="Arial"/>
        </w:rPr>
        <w:t xml:space="preserve">exportaciones </w:t>
      </w:r>
      <w:r w:rsidRPr="00015050">
        <w:rPr>
          <w:rFonts w:ascii="Arial" w:hAnsi="Arial" w:cs="Arial"/>
        </w:rPr>
        <w:t xml:space="preserve">en el sector minero, Costa Rica ha visto incrementar su déficit comercial con este país, como se muestra en el </w:t>
      </w:r>
      <w:r w:rsidR="00955B5C" w:rsidRPr="00015050">
        <w:rPr>
          <w:rFonts w:ascii="Arial" w:hAnsi="Arial" w:cs="Arial"/>
        </w:rPr>
        <w:fldChar w:fldCharType="begin"/>
      </w:r>
      <w:r w:rsidR="00955B5C" w:rsidRPr="00015050">
        <w:rPr>
          <w:rFonts w:ascii="Arial" w:hAnsi="Arial" w:cs="Arial"/>
        </w:rPr>
        <w:instrText xml:space="preserve"> REF _Ref163991881 \h  \* MERGEFORMAT </w:instrText>
      </w:r>
      <w:r w:rsidR="00955B5C" w:rsidRPr="00015050">
        <w:rPr>
          <w:rFonts w:ascii="Arial" w:hAnsi="Arial" w:cs="Arial"/>
        </w:rPr>
      </w:r>
      <w:r w:rsidR="00955B5C" w:rsidRPr="00015050">
        <w:rPr>
          <w:rFonts w:ascii="Arial" w:hAnsi="Arial" w:cs="Arial"/>
        </w:rPr>
        <w:fldChar w:fldCharType="separate"/>
      </w:r>
      <w:r w:rsidR="00C41F6F" w:rsidRPr="00C41F6F">
        <w:rPr>
          <w:rFonts w:ascii="Arial" w:hAnsi="Arial" w:cs="Arial"/>
        </w:rPr>
        <w:t xml:space="preserve">Gráfico </w:t>
      </w:r>
      <w:r w:rsidR="00C41F6F" w:rsidRPr="00C41F6F">
        <w:rPr>
          <w:rFonts w:ascii="Arial" w:hAnsi="Arial" w:cs="Arial"/>
          <w:noProof/>
        </w:rPr>
        <w:t>10</w:t>
      </w:r>
      <w:r w:rsidR="00C41F6F" w:rsidRPr="001A6B7B">
        <w:rPr>
          <w:rFonts w:ascii="Arial" w:hAnsi="Arial" w:cs="Arial"/>
          <w:b/>
          <w:bCs/>
        </w:rPr>
        <w:t xml:space="preserve"> </w:t>
      </w:r>
      <w:r w:rsidR="00C41F6F" w:rsidRPr="001A6B7B">
        <w:rPr>
          <w:rFonts w:ascii="Arial" w:hAnsi="Arial" w:cs="Arial"/>
        </w:rPr>
        <w:t>Balanza Comercial de Costa Rica y China de 2000 - 2023</w:t>
      </w:r>
      <w:r w:rsidR="00955B5C" w:rsidRPr="00015050">
        <w:rPr>
          <w:rFonts w:ascii="Arial" w:hAnsi="Arial" w:cs="Arial"/>
        </w:rPr>
        <w:fldChar w:fldCharType="end"/>
      </w:r>
      <w:r w:rsidR="00B92B56" w:rsidRPr="00015050">
        <w:rPr>
          <w:rFonts w:ascii="Arial" w:hAnsi="Arial" w:cs="Arial"/>
        </w:rPr>
        <w:t>.</w:t>
      </w:r>
    </w:p>
    <w:p w14:paraId="0B29EDDA" w14:textId="23CDAB8A" w:rsidR="006D3FFE" w:rsidRPr="00015050" w:rsidRDefault="000176E2" w:rsidP="00015050">
      <w:pPr>
        <w:spacing w:after="240" w:line="360" w:lineRule="auto"/>
        <w:jc w:val="both"/>
        <w:rPr>
          <w:rFonts w:ascii="Arial" w:hAnsi="Arial" w:cs="Arial"/>
        </w:rPr>
      </w:pPr>
      <w:r w:rsidRPr="00015050">
        <w:rPr>
          <w:rFonts w:ascii="Arial" w:hAnsi="Arial" w:cs="Arial"/>
        </w:rPr>
        <w:lastRenderedPageBreak/>
        <w:t xml:space="preserve">De acuerdo con el  informe: Perspectivas del Comercio Internacional de América Latina y el Caribe de la CEPAL </w:t>
      </w:r>
      <w:r w:rsidRPr="00015050">
        <w:rPr>
          <w:rFonts w:ascii="Arial" w:hAnsi="Arial" w:cs="Arial"/>
        </w:rPr>
        <w:fldChar w:fldCharType="begin"/>
      </w:r>
      <w:r w:rsidR="00072553" w:rsidRPr="00015050">
        <w:rPr>
          <w:rFonts w:ascii="Arial" w:hAnsi="Arial" w:cs="Arial"/>
        </w:rPr>
        <w:instrText xml:space="preserve"> ADDIN ZOTERO_ITEM CSL_CITATION {"citationID":"3a59TrkA","properties":{"formattedCitation":"(Divisi\\uc0\\u243{}n de Comercio Internacional e, 2023)","plainCitation":"(División de Comercio Internacional e, 2023)","dontUpdate":true,"noteIndex":0},"citationItems":[{"id":1923,"uris":["http://zotero.org/users/10063313/items/Y7RFKDK9"],"itemData":{"id":1923,"type":"article-journal","language":"es","source":"Zotero","title":"Perspectivas del Comercio Internacional de América Latina y el Caribe, 2023","author":[{"literal":"División de Comercio Internacional e Integración de la Comisión Económica para América Latina y el Caribe (CEPAL)"}],"issued":{"date-parts":[["2023"]]}}}],"schema":"https://github.com/citation-style-language/schema/raw/master/csl-citation.json"} </w:instrText>
      </w:r>
      <w:r w:rsidRPr="00015050">
        <w:rPr>
          <w:rFonts w:ascii="Arial" w:hAnsi="Arial" w:cs="Arial"/>
        </w:rPr>
        <w:fldChar w:fldCharType="separate"/>
      </w:r>
      <w:r w:rsidRPr="00015050">
        <w:rPr>
          <w:rFonts w:ascii="Arial" w:hAnsi="Arial" w:cs="Arial"/>
          <w:lang w:val="es-MX"/>
        </w:rPr>
        <w:t>(2023)</w:t>
      </w:r>
      <w:r w:rsidRPr="00015050">
        <w:rPr>
          <w:rFonts w:ascii="Arial" w:hAnsi="Arial" w:cs="Arial"/>
        </w:rPr>
        <w:fldChar w:fldCharType="end"/>
      </w:r>
      <w:r w:rsidRPr="00015050">
        <w:rPr>
          <w:rFonts w:ascii="Arial" w:hAnsi="Arial" w:cs="Arial"/>
        </w:rPr>
        <w:t xml:space="preserve">, Costa Rica no ha logrado expandir sus exportaciones agrícolas hacia China tanto como se anticipaba tras la firma del acuerdo comercial, según lo indicaban previsiones de estudios anteriores </w:t>
      </w:r>
      <w:r w:rsidRPr="006F2556">
        <w:rPr>
          <w:rFonts w:ascii="Arial" w:hAnsi="Arial" w:cs="Arial"/>
        </w:rPr>
        <w:t>(Córdoba y Paladini, 2012; Chen Sui, 2016).</w:t>
      </w:r>
      <w:r w:rsidRPr="00015050">
        <w:rPr>
          <w:rFonts w:ascii="Arial" w:hAnsi="Arial" w:cs="Arial"/>
        </w:rPr>
        <w:t xml:space="preserve"> Esta situación se atribuye a limitaciones de escala y a obstáculos en la obtención de las necesarias autorizaciones de comercialización en China. Hasta la fecha, las autoridades de ambos países han establecido 15 protocolos sanitarios y fitosanitarios, incluyendo para productos como la piña congelada, carne de res y cerdo, y piña deshidratada, con el fin de facilitar a los exportadores el cumplimiento de los estándares sanitarios y fitosanitarios chinos. Los productos agropecuarios que más se exportan a China incluyen carne de bovino, desperdicios de bovino y cítricos preparados. La colaboración entre el Servicio Nacional de Salud Animal, el Servicio Fitosanitario del Estado y el Ministerio de Salud ha sido crucial para acelerar las autorizaciones de exportación para las empresas costarricenses. </w:t>
      </w:r>
    </w:p>
    <w:p w14:paraId="76C024EA" w14:textId="3A53ECEC" w:rsidR="001A6B7B" w:rsidRPr="00795AAA" w:rsidRDefault="001A6B7B" w:rsidP="00795AAA">
      <w:pPr>
        <w:spacing w:line="360" w:lineRule="auto"/>
        <w:jc w:val="both"/>
        <w:rPr>
          <w:rFonts w:ascii="Arial" w:hAnsi="Arial" w:cs="Arial"/>
          <w:i/>
          <w:iCs/>
          <w:color w:val="000000" w:themeColor="text1"/>
        </w:rPr>
      </w:pPr>
      <w:bookmarkStart w:id="60" w:name="_Ref163991881"/>
      <w:bookmarkStart w:id="61" w:name="_Toc215907251"/>
      <w:r w:rsidRPr="001A6B7B">
        <w:rPr>
          <w:rFonts w:ascii="Arial" w:hAnsi="Arial" w:cs="Arial"/>
          <w:b/>
          <w:bCs/>
        </w:rPr>
        <w:t xml:space="preserve">Gráfico </w:t>
      </w:r>
      <w:r w:rsidRPr="001A6B7B">
        <w:rPr>
          <w:rFonts w:ascii="Arial" w:hAnsi="Arial" w:cs="Arial"/>
          <w:b/>
          <w:bCs/>
        </w:rPr>
        <w:fldChar w:fldCharType="begin"/>
      </w:r>
      <w:r w:rsidRPr="001A6B7B">
        <w:rPr>
          <w:rFonts w:ascii="Arial" w:hAnsi="Arial" w:cs="Arial"/>
          <w:b/>
          <w:bCs/>
        </w:rPr>
        <w:instrText xml:space="preserve"> SEQ Gráfico \* ARABIC </w:instrText>
      </w:r>
      <w:r w:rsidRPr="001A6B7B">
        <w:rPr>
          <w:rFonts w:ascii="Arial" w:hAnsi="Arial" w:cs="Arial"/>
          <w:b/>
          <w:bCs/>
        </w:rPr>
        <w:fldChar w:fldCharType="separate"/>
      </w:r>
      <w:r w:rsidR="00C41F6F">
        <w:rPr>
          <w:rFonts w:ascii="Arial" w:hAnsi="Arial" w:cs="Arial"/>
          <w:b/>
          <w:bCs/>
          <w:noProof/>
        </w:rPr>
        <w:t>10</w:t>
      </w:r>
      <w:r w:rsidRPr="001A6B7B">
        <w:rPr>
          <w:rFonts w:ascii="Arial" w:hAnsi="Arial" w:cs="Arial"/>
          <w:b/>
          <w:bCs/>
        </w:rPr>
        <w:fldChar w:fldCharType="end"/>
      </w:r>
      <w:r w:rsidRPr="001A6B7B">
        <w:rPr>
          <w:rFonts w:ascii="Arial" w:hAnsi="Arial" w:cs="Arial"/>
          <w:b/>
          <w:bCs/>
        </w:rPr>
        <w:t xml:space="preserve"> </w:t>
      </w:r>
      <w:r w:rsidRPr="00795AAA">
        <w:rPr>
          <w:rFonts w:ascii="Arial" w:hAnsi="Arial" w:cs="Arial"/>
          <w:i/>
          <w:iCs/>
          <w:color w:val="000000" w:themeColor="text1"/>
        </w:rPr>
        <w:t>Balanza Comercial de Costa Rica y China de 2000 - 2023</w:t>
      </w:r>
      <w:bookmarkEnd w:id="60"/>
      <w:bookmarkEnd w:id="61"/>
    </w:p>
    <w:p w14:paraId="445526B5" w14:textId="77777777" w:rsidR="001A6B7B" w:rsidRPr="00795AAA" w:rsidRDefault="001A6B7B" w:rsidP="00795AAA">
      <w:pPr>
        <w:pStyle w:val="Descripcin"/>
        <w:keepNext/>
        <w:spacing w:after="0" w:line="360" w:lineRule="auto"/>
        <w:rPr>
          <w:rFonts w:ascii="Arial" w:hAnsi="Arial" w:cs="Arial"/>
          <w:color w:val="000000" w:themeColor="text1"/>
          <w:sz w:val="24"/>
          <w:szCs w:val="24"/>
        </w:rPr>
      </w:pPr>
      <w:r w:rsidRPr="00795AAA">
        <w:rPr>
          <w:rFonts w:ascii="Arial" w:hAnsi="Arial" w:cs="Arial"/>
          <w:color w:val="000000" w:themeColor="text1"/>
          <w:sz w:val="24"/>
          <w:szCs w:val="24"/>
        </w:rPr>
        <w:t>(Miles de dólares estadounidenses)</w:t>
      </w:r>
    </w:p>
    <w:p w14:paraId="51D0A962" w14:textId="11BAD7C8" w:rsidR="001A6B7B" w:rsidRDefault="001A6B7B" w:rsidP="001A6B7B">
      <w:pPr>
        <w:pStyle w:val="Descripcin"/>
        <w:keepNext/>
      </w:pPr>
    </w:p>
    <w:p w14:paraId="3480A79B" w14:textId="211BC645" w:rsidR="001A6B7B" w:rsidRDefault="001A6B7B" w:rsidP="001A6B7B">
      <w:pPr>
        <w:rPr>
          <w:rFonts w:ascii="Arial" w:hAnsi="Arial" w:cs="Arial"/>
        </w:rPr>
      </w:pPr>
      <w:r w:rsidRPr="001A6B7B">
        <w:rPr>
          <w:rFonts w:ascii="Arial" w:hAnsi="Arial" w:cs="Arial"/>
          <w:noProof/>
        </w:rPr>
        <w:drawing>
          <wp:inline distT="0" distB="0" distL="0" distR="0" wp14:anchorId="41920907" wp14:editId="49085E2D">
            <wp:extent cx="5603132" cy="3463046"/>
            <wp:effectExtent l="0" t="0" r="0" b="0"/>
            <wp:docPr id="1457120589" name="Gráfico 1">
              <a:extLst xmlns:a="http://schemas.openxmlformats.org/drawingml/2006/main">
                <a:ext uri="{FF2B5EF4-FFF2-40B4-BE49-F238E27FC236}">
                  <a16:creationId xmlns:a16="http://schemas.microsoft.com/office/drawing/2014/main" id="{810B8C70-1875-17CB-30C9-988574040C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5F9FD11" w14:textId="743A683A" w:rsidR="00560B5F" w:rsidRDefault="001A6B7B" w:rsidP="00EF5192">
      <w:pPr>
        <w:rPr>
          <w:rFonts w:ascii="Arial" w:hAnsi="Arial" w:cs="Arial"/>
        </w:rPr>
      </w:pPr>
      <w:r w:rsidRPr="001A6B7B">
        <w:rPr>
          <w:rFonts w:ascii="Arial" w:hAnsi="Arial" w:cs="Arial"/>
        </w:rPr>
        <w:t xml:space="preserve">Fuente: Elaboración propia con datos </w:t>
      </w:r>
      <w:r>
        <w:rPr>
          <w:rFonts w:ascii="Arial" w:hAnsi="Arial" w:cs="Arial"/>
        </w:rPr>
        <w:t>de la SIECA</w:t>
      </w:r>
    </w:p>
    <w:p w14:paraId="60E5D340" w14:textId="77777777" w:rsidR="00EF5192" w:rsidRPr="00EF5192" w:rsidRDefault="00EF5192" w:rsidP="00EF5192">
      <w:pPr>
        <w:rPr>
          <w:rFonts w:ascii="Arial" w:hAnsi="Arial" w:cs="Arial"/>
        </w:rPr>
      </w:pPr>
    </w:p>
    <w:p w14:paraId="7EBE49FF" w14:textId="70609F9A" w:rsidR="002D52A0" w:rsidRPr="0082417D" w:rsidRDefault="00475914" w:rsidP="00015050">
      <w:pPr>
        <w:spacing w:after="240" w:line="360" w:lineRule="auto"/>
        <w:jc w:val="both"/>
        <w:rPr>
          <w:rFonts w:ascii="Arial" w:eastAsiaTheme="minorHAnsi" w:hAnsi="Arial" w:cs="Arial"/>
          <w:color w:val="000000" w:themeColor="text1"/>
          <w:lang w:eastAsia="en-US"/>
        </w:rPr>
      </w:pPr>
      <w:r w:rsidRPr="00822BBD">
        <w:rPr>
          <w:rFonts w:ascii="Arial" w:eastAsiaTheme="minorHAnsi" w:hAnsi="Arial" w:cs="Arial"/>
          <w:color w:val="000000" w:themeColor="text1"/>
          <w:lang w:eastAsia="en-US"/>
        </w:rPr>
        <w:lastRenderedPageBreak/>
        <w:t xml:space="preserve">Desde la entrada en vigor de relaciones diplomáticas </w:t>
      </w:r>
      <w:r w:rsidR="00560B5F" w:rsidRPr="00822BBD">
        <w:rPr>
          <w:rFonts w:ascii="Arial" w:eastAsiaTheme="minorHAnsi" w:hAnsi="Arial" w:cs="Arial"/>
          <w:color w:val="000000" w:themeColor="text1"/>
          <w:lang w:eastAsia="en-US"/>
        </w:rPr>
        <w:t xml:space="preserve">entre Costa Rica y </w:t>
      </w:r>
      <w:r w:rsidRPr="00822BBD">
        <w:rPr>
          <w:rFonts w:ascii="Arial" w:eastAsiaTheme="minorHAnsi" w:hAnsi="Arial" w:cs="Arial"/>
          <w:color w:val="000000" w:themeColor="text1"/>
          <w:lang w:eastAsia="en-US"/>
        </w:rPr>
        <w:t>China, la IED ha tenido comportamientos</w:t>
      </w:r>
      <w:r w:rsidR="00560B5F" w:rsidRPr="00822BBD">
        <w:rPr>
          <w:rFonts w:ascii="Arial" w:eastAsiaTheme="minorHAnsi" w:hAnsi="Arial" w:cs="Arial"/>
          <w:color w:val="000000" w:themeColor="text1"/>
          <w:lang w:eastAsia="en-US"/>
        </w:rPr>
        <w:t xml:space="preserve"> inestables</w:t>
      </w:r>
      <w:r w:rsidRPr="00015050">
        <w:rPr>
          <w:rFonts w:ascii="Arial" w:eastAsiaTheme="minorHAnsi" w:hAnsi="Arial" w:cs="Arial"/>
          <w:color w:val="000000" w:themeColor="text1"/>
          <w:lang w:eastAsia="en-US"/>
        </w:rPr>
        <w:t>. Entre 2008 y 2022, la inversión tuvo fluctuaciones considerables, alcanzando su máximo en 2014 con USD 8.9 millones, pero a partir de 2015, los ingresos han sido mínimos</w:t>
      </w:r>
      <w:r w:rsidR="00D14823" w:rsidRPr="00015050">
        <w:rPr>
          <w:rFonts w:ascii="Arial" w:eastAsiaTheme="minorHAnsi" w:hAnsi="Arial" w:cs="Arial"/>
          <w:color w:val="000000" w:themeColor="text1"/>
          <w:lang w:eastAsia="en-US"/>
        </w:rPr>
        <w:t xml:space="preserve"> </w:t>
      </w:r>
      <w:r w:rsidR="00D14823" w:rsidRPr="0082417D">
        <w:rPr>
          <w:rFonts w:ascii="Arial" w:eastAsiaTheme="minorHAnsi" w:hAnsi="Arial" w:cs="Arial"/>
          <w:color w:val="000000" w:themeColor="text1"/>
          <w:lang w:eastAsia="en-US"/>
        </w:rPr>
        <w:t>(</w:t>
      </w:r>
      <w:r w:rsidR="00D14823" w:rsidRPr="0082417D">
        <w:rPr>
          <w:rFonts w:ascii="Arial" w:eastAsiaTheme="minorHAnsi" w:hAnsi="Arial" w:cs="Arial"/>
          <w:color w:val="000000" w:themeColor="text1"/>
          <w:lang w:eastAsia="en-US"/>
        </w:rPr>
        <w:fldChar w:fldCharType="begin"/>
      </w:r>
      <w:r w:rsidR="00D14823" w:rsidRPr="0082417D">
        <w:rPr>
          <w:rFonts w:ascii="Arial" w:eastAsiaTheme="minorHAnsi" w:hAnsi="Arial" w:cs="Arial"/>
          <w:color w:val="000000" w:themeColor="text1"/>
          <w:lang w:eastAsia="en-US"/>
        </w:rPr>
        <w:instrText xml:space="preserve"> REF _Ref163999203 \h  \* MERGEFORMAT </w:instrText>
      </w:r>
      <w:r w:rsidR="00D14823" w:rsidRPr="0082417D">
        <w:rPr>
          <w:rFonts w:ascii="Arial" w:eastAsiaTheme="minorHAnsi" w:hAnsi="Arial" w:cs="Arial"/>
          <w:color w:val="000000" w:themeColor="text1"/>
          <w:lang w:eastAsia="en-US"/>
        </w:rPr>
      </w:r>
      <w:r w:rsidR="00D14823" w:rsidRPr="0082417D">
        <w:rPr>
          <w:rFonts w:ascii="Arial" w:eastAsiaTheme="minorHAnsi" w:hAnsi="Arial" w:cs="Arial"/>
          <w:color w:val="000000" w:themeColor="text1"/>
          <w:lang w:eastAsia="en-US"/>
        </w:rPr>
        <w:fldChar w:fldCharType="separate"/>
      </w:r>
      <w:r w:rsidR="00C41F6F" w:rsidRPr="0082417D">
        <w:rPr>
          <w:rFonts w:ascii="Arial" w:hAnsi="Arial" w:cs="Arial"/>
          <w:color w:val="000000" w:themeColor="text1"/>
        </w:rPr>
        <w:t xml:space="preserve">Gráfico </w:t>
      </w:r>
      <w:r w:rsidR="00C41F6F" w:rsidRPr="0082417D">
        <w:rPr>
          <w:rFonts w:ascii="Arial" w:hAnsi="Arial" w:cs="Arial"/>
          <w:noProof/>
          <w:color w:val="000000" w:themeColor="text1"/>
        </w:rPr>
        <w:t>11</w:t>
      </w:r>
      <w:r w:rsidR="00C41F6F" w:rsidRPr="0082417D">
        <w:t xml:space="preserve"> </w:t>
      </w:r>
      <w:r w:rsidR="00C41F6F" w:rsidRPr="0082417D">
        <w:rPr>
          <w:rFonts w:ascii="Arial" w:hAnsi="Arial" w:cs="Arial"/>
        </w:rPr>
        <w:t>Inversión Extranjera Directa desde China hacia Costa Rica (2008-2022)</w:t>
      </w:r>
      <w:r w:rsidR="00D14823" w:rsidRPr="0082417D">
        <w:rPr>
          <w:rFonts w:ascii="Arial" w:eastAsiaTheme="minorHAnsi" w:hAnsi="Arial" w:cs="Arial"/>
          <w:color w:val="000000" w:themeColor="text1"/>
          <w:lang w:eastAsia="en-US"/>
        </w:rPr>
        <w:fldChar w:fldCharType="end"/>
      </w:r>
      <w:r w:rsidR="00D14823" w:rsidRPr="0082417D">
        <w:rPr>
          <w:rFonts w:ascii="Arial" w:eastAsiaTheme="minorHAnsi" w:hAnsi="Arial" w:cs="Arial"/>
          <w:color w:val="000000" w:themeColor="text1"/>
          <w:lang w:eastAsia="en-US"/>
        </w:rPr>
        <w:t>)</w:t>
      </w:r>
      <w:r w:rsidR="002D52A0" w:rsidRPr="0082417D">
        <w:rPr>
          <w:rFonts w:ascii="Arial" w:eastAsiaTheme="minorHAnsi" w:hAnsi="Arial" w:cs="Arial"/>
          <w:color w:val="000000" w:themeColor="text1"/>
          <w:lang w:eastAsia="en-US"/>
        </w:rPr>
        <w:t>.</w:t>
      </w:r>
    </w:p>
    <w:p w14:paraId="6661BCC5" w14:textId="77777777" w:rsidR="000176E2" w:rsidRPr="00015050" w:rsidRDefault="000176E2" w:rsidP="00015050">
      <w:pPr>
        <w:spacing w:after="240" w:line="360" w:lineRule="auto"/>
        <w:jc w:val="both"/>
        <w:rPr>
          <w:rFonts w:ascii="Arial" w:eastAsiaTheme="minorHAnsi" w:hAnsi="Arial" w:cs="Arial"/>
          <w:color w:val="000000" w:themeColor="text1"/>
          <w:lang w:eastAsia="en-US"/>
        </w:rPr>
      </w:pPr>
      <w:r w:rsidRPr="00015050">
        <w:rPr>
          <w:rFonts w:ascii="Arial" w:eastAsiaTheme="minorHAnsi" w:hAnsi="Arial" w:cs="Arial"/>
          <w:color w:val="000000" w:themeColor="text1"/>
          <w:lang w:eastAsia="en-US"/>
        </w:rPr>
        <w:t xml:space="preserve">Según </w:t>
      </w:r>
      <w:r w:rsidRPr="00015050">
        <w:rPr>
          <w:rFonts w:ascii="Arial" w:eastAsiaTheme="minorHAnsi" w:hAnsi="Arial" w:cs="Arial"/>
          <w:color w:val="000000" w:themeColor="text1"/>
          <w:lang w:eastAsia="en-US"/>
        </w:rPr>
        <w:fldChar w:fldCharType="begin"/>
      </w:r>
      <w:r w:rsidRPr="00015050">
        <w:rPr>
          <w:rFonts w:ascii="Arial" w:eastAsiaTheme="minorHAnsi" w:hAnsi="Arial" w:cs="Arial"/>
          <w:color w:val="000000" w:themeColor="text1"/>
          <w:lang w:eastAsia="en-US"/>
        </w:rPr>
        <w:instrText xml:space="preserve"> ADDIN ZOTERO_ITEM CSL_CITATION {"citationID":"6JgxHEck","properties":{"formattedCitation":"(Ruiz, 2023)","plainCitation":"(Ruiz, 2023)","noteIndex":0},"citationItems":[{"id":1916,"uris":["http://zotero.org/users/10063313/items/4PU475T2"],"itemData":{"id":1916,"type":"article-journal","container-title":"Vicerrectoría de Investigación","journalAbbreviation":"Observatorio de Comercio Exterior","title":"TLC con China: geopolítica, comercio y diplomacia","URL":"https://www.uned.ac.cr/ocex/index.php/capsulas/647-abriendo-las-puertas-a-asia-10-anos-del-tlc-con-china","author":[{"family":"Ruiz","given":"Hellen"}],"accessed":{"date-parts":[["2024",4,14]]},"issued":{"date-parts":[["2023"]]}}}],"schema":"https://github.com/citation-style-language/schema/raw/master/csl-citation.json"} </w:instrText>
      </w:r>
      <w:r w:rsidRPr="00015050">
        <w:rPr>
          <w:rFonts w:ascii="Arial" w:eastAsiaTheme="minorHAnsi" w:hAnsi="Arial" w:cs="Arial"/>
          <w:color w:val="000000" w:themeColor="text1"/>
          <w:lang w:eastAsia="en-US"/>
        </w:rPr>
        <w:fldChar w:fldCharType="separate"/>
      </w:r>
      <w:r w:rsidRPr="00015050">
        <w:rPr>
          <w:rFonts w:ascii="Arial" w:eastAsiaTheme="minorHAnsi" w:hAnsi="Arial" w:cs="Arial"/>
          <w:noProof/>
          <w:color w:val="000000" w:themeColor="text1"/>
          <w:lang w:eastAsia="en-US"/>
        </w:rPr>
        <w:t>(Ruiz, 2023)</w:t>
      </w:r>
      <w:r w:rsidRPr="00015050">
        <w:rPr>
          <w:rFonts w:ascii="Arial" w:eastAsiaTheme="minorHAnsi" w:hAnsi="Arial" w:cs="Arial"/>
          <w:color w:val="000000" w:themeColor="text1"/>
          <w:lang w:eastAsia="en-US"/>
        </w:rPr>
        <w:fldChar w:fldCharType="end"/>
      </w:r>
      <w:r w:rsidRPr="00015050">
        <w:rPr>
          <w:rFonts w:ascii="Arial" w:eastAsiaTheme="minorHAnsi" w:hAnsi="Arial" w:cs="Arial"/>
          <w:color w:val="000000" w:themeColor="text1"/>
          <w:lang w:eastAsia="en-US"/>
        </w:rPr>
        <w:t>, esto se debe a que el 47% de la fuerza laboral costarricense está en la informalidad y el mercado local es pequeño, con bajo poder adquisitivo y poco atractivo para inversiones significativas. Costa Rica no dispone de recursos naturales abundantes que sean de interés para China, y carece de una industria extractiva relevante. La eficiencia de costos del país no puede competir con la de naciones asiáticas más cercanas a China, ni con países regionales como El Salvador o Panamá.</w:t>
      </w:r>
    </w:p>
    <w:p w14:paraId="1A5089F2" w14:textId="243A9EE2" w:rsidR="00993959" w:rsidRPr="00015050" w:rsidRDefault="000176E2" w:rsidP="00015050">
      <w:pPr>
        <w:spacing w:after="240" w:line="360" w:lineRule="auto"/>
        <w:jc w:val="both"/>
        <w:rPr>
          <w:rFonts w:ascii="Arial" w:eastAsiaTheme="minorHAnsi" w:hAnsi="Arial" w:cs="Arial"/>
          <w:color w:val="000000" w:themeColor="text1"/>
          <w:lang w:eastAsia="en-US"/>
        </w:rPr>
      </w:pPr>
      <w:r w:rsidRPr="00015050">
        <w:rPr>
          <w:rFonts w:ascii="Arial" w:eastAsiaTheme="minorHAnsi" w:hAnsi="Arial" w:cs="Arial"/>
          <w:color w:val="000000" w:themeColor="text1"/>
          <w:lang w:eastAsia="en-US"/>
        </w:rPr>
        <w:t>En el periodo de 2013-2022, la IED percibida de China representó solo el 0.1% del total percibido por Costa Rica según datos de COMEX (</w:t>
      </w:r>
      <w:r w:rsidRPr="00015050">
        <w:rPr>
          <w:rFonts w:ascii="Arial" w:eastAsiaTheme="minorHAnsi" w:hAnsi="Arial" w:cs="Arial"/>
          <w:color w:val="000000" w:themeColor="text1"/>
          <w:lang w:eastAsia="en-US"/>
        </w:rPr>
        <w:fldChar w:fldCharType="begin"/>
      </w:r>
      <w:r w:rsidR="00072553" w:rsidRPr="00015050">
        <w:rPr>
          <w:rFonts w:ascii="Arial" w:eastAsiaTheme="minorHAnsi" w:hAnsi="Arial" w:cs="Arial"/>
          <w:color w:val="000000" w:themeColor="text1"/>
          <w:lang w:eastAsia="en-US"/>
        </w:rPr>
        <w:instrText xml:space="preserve"> ADDIN ZOTERO_ITEM CSL_CITATION {"citationID":"iytFkPGA","properties":{"formattedCitation":"(Ministerio de Comercio Exterior (COMEX), s.\\uc0\\u160{}f.)","plainCitation":"(Ministerio de Comercio Exterior (COMEX), s. f.)","dontUpdate":true,"noteIndex":0},"citationItems":[{"id":1914,"uris":["http://zotero.org/users/10063313/items/WTZHBPLJ"],"itemData":{"id":1914,"type":"webpage","title":"Tratado de Libre Comercio entre el Gobierno de la República de Costa Rica y el Gobierno de la República Popular China","URL":"https://www.comex.go.cr/tratados/china/","author":[{"family":"Ministerio de Comercio Exterior (COMEX)","given":""}],"accessed":{"date-parts":[["2024",4,14]]}}}],"schema":"https://github.com/citation-style-language/schema/raw/master/csl-citation.json"} </w:instrText>
      </w:r>
      <w:r w:rsidRPr="00015050">
        <w:rPr>
          <w:rFonts w:ascii="Arial" w:eastAsiaTheme="minorHAnsi" w:hAnsi="Arial" w:cs="Arial"/>
          <w:color w:val="000000" w:themeColor="text1"/>
          <w:lang w:eastAsia="en-US"/>
        </w:rPr>
        <w:fldChar w:fldCharType="separate"/>
      </w:r>
      <w:r w:rsidRPr="00015050">
        <w:rPr>
          <w:rFonts w:ascii="Arial" w:hAnsi="Arial" w:cs="Arial"/>
          <w:color w:val="000000"/>
          <w:lang w:val="es-MX"/>
        </w:rPr>
        <w:t>s. f.)</w:t>
      </w:r>
      <w:r w:rsidRPr="00015050">
        <w:rPr>
          <w:rFonts w:ascii="Arial" w:eastAsiaTheme="minorHAnsi" w:hAnsi="Arial" w:cs="Arial"/>
          <w:color w:val="000000" w:themeColor="text1"/>
          <w:lang w:eastAsia="en-US"/>
        </w:rPr>
        <w:fldChar w:fldCharType="end"/>
      </w:r>
      <w:r w:rsidRPr="00015050">
        <w:rPr>
          <w:rFonts w:ascii="Arial" w:eastAsiaTheme="minorHAnsi" w:hAnsi="Arial" w:cs="Arial"/>
          <w:color w:val="000000" w:themeColor="text1"/>
          <w:lang w:eastAsia="en-US"/>
        </w:rPr>
        <w:t xml:space="preserve"> en 2022 se registró inversión en dos sectores principalmente en el sector financiero (53.7%) e inmobiliario (46.3%) provenientes del país asiático. </w:t>
      </w:r>
    </w:p>
    <w:p w14:paraId="333AD02E" w14:textId="77777777" w:rsidR="00795AAA" w:rsidRDefault="00475914" w:rsidP="00795AAA">
      <w:pPr>
        <w:pStyle w:val="Descripcin"/>
        <w:keepNext/>
        <w:spacing w:line="360" w:lineRule="auto"/>
        <w:rPr>
          <w:rFonts w:ascii="Arial" w:hAnsi="Arial" w:cs="Arial"/>
          <w:color w:val="000000" w:themeColor="text1"/>
          <w:sz w:val="24"/>
          <w:szCs w:val="24"/>
        </w:rPr>
      </w:pPr>
      <w:bookmarkStart w:id="62" w:name="_Ref163999203"/>
      <w:bookmarkStart w:id="63" w:name="_Toc215907252"/>
      <w:r w:rsidRPr="00795AAA">
        <w:rPr>
          <w:rFonts w:ascii="Arial" w:hAnsi="Arial" w:cs="Arial"/>
          <w:b/>
          <w:bCs/>
          <w:i w:val="0"/>
          <w:iCs w:val="0"/>
          <w:color w:val="000000" w:themeColor="text1"/>
          <w:sz w:val="24"/>
          <w:szCs w:val="24"/>
        </w:rPr>
        <w:t xml:space="preserve">Gráfico </w:t>
      </w:r>
      <w:r w:rsidRPr="00795AAA">
        <w:rPr>
          <w:rFonts w:ascii="Arial" w:hAnsi="Arial" w:cs="Arial"/>
          <w:b/>
          <w:bCs/>
          <w:i w:val="0"/>
          <w:iCs w:val="0"/>
          <w:color w:val="000000" w:themeColor="text1"/>
          <w:sz w:val="24"/>
          <w:szCs w:val="24"/>
        </w:rPr>
        <w:fldChar w:fldCharType="begin"/>
      </w:r>
      <w:r w:rsidRPr="00795AAA">
        <w:rPr>
          <w:rFonts w:ascii="Arial" w:hAnsi="Arial" w:cs="Arial"/>
          <w:b/>
          <w:bCs/>
          <w:i w:val="0"/>
          <w:iCs w:val="0"/>
          <w:color w:val="000000" w:themeColor="text1"/>
          <w:sz w:val="24"/>
          <w:szCs w:val="24"/>
        </w:rPr>
        <w:instrText xml:space="preserve"> SEQ Gráfico \* ARABIC </w:instrText>
      </w:r>
      <w:r w:rsidRPr="00795AAA">
        <w:rPr>
          <w:rFonts w:ascii="Arial" w:hAnsi="Arial" w:cs="Arial"/>
          <w:b/>
          <w:bCs/>
          <w:i w:val="0"/>
          <w:iCs w:val="0"/>
          <w:color w:val="000000" w:themeColor="text1"/>
          <w:sz w:val="24"/>
          <w:szCs w:val="24"/>
        </w:rPr>
        <w:fldChar w:fldCharType="separate"/>
      </w:r>
      <w:r w:rsidR="00C41F6F" w:rsidRPr="00795AAA">
        <w:rPr>
          <w:rFonts w:ascii="Arial" w:hAnsi="Arial" w:cs="Arial"/>
          <w:b/>
          <w:bCs/>
          <w:i w:val="0"/>
          <w:iCs w:val="0"/>
          <w:noProof/>
          <w:color w:val="000000" w:themeColor="text1"/>
          <w:sz w:val="24"/>
          <w:szCs w:val="24"/>
        </w:rPr>
        <w:t>11</w:t>
      </w:r>
      <w:r w:rsidRPr="00795AAA">
        <w:rPr>
          <w:rFonts w:ascii="Arial" w:hAnsi="Arial" w:cs="Arial"/>
          <w:b/>
          <w:bCs/>
          <w:i w:val="0"/>
          <w:iCs w:val="0"/>
          <w:color w:val="000000" w:themeColor="text1"/>
          <w:sz w:val="24"/>
          <w:szCs w:val="24"/>
        </w:rPr>
        <w:fldChar w:fldCharType="end"/>
      </w:r>
      <w:r w:rsidRPr="00795AAA">
        <w:rPr>
          <w:i w:val="0"/>
          <w:iCs w:val="0"/>
          <w:color w:val="000000" w:themeColor="text1"/>
          <w:sz w:val="24"/>
          <w:szCs w:val="24"/>
        </w:rPr>
        <w:t xml:space="preserve"> </w:t>
      </w:r>
      <w:r w:rsidRPr="00795AAA">
        <w:rPr>
          <w:rFonts w:ascii="Arial" w:hAnsi="Arial" w:cs="Arial"/>
          <w:color w:val="000000" w:themeColor="text1"/>
          <w:sz w:val="24"/>
          <w:szCs w:val="24"/>
        </w:rPr>
        <w:t>Inversión Extranjera Directa desde China hacia Costa Rica (2008-2022)</w:t>
      </w:r>
      <w:bookmarkEnd w:id="62"/>
      <w:bookmarkEnd w:id="63"/>
    </w:p>
    <w:p w14:paraId="2F9635E1" w14:textId="1469A064" w:rsidR="00475914" w:rsidRPr="00795AAA" w:rsidRDefault="00795AAA" w:rsidP="00795AAA">
      <w:pPr>
        <w:pStyle w:val="Descripcin"/>
        <w:keepNext/>
        <w:spacing w:line="360" w:lineRule="auto"/>
        <w:rPr>
          <w:rFonts w:ascii="Arial" w:hAnsi="Arial" w:cs="Arial"/>
          <w:color w:val="000000" w:themeColor="text1"/>
          <w:sz w:val="24"/>
          <w:szCs w:val="24"/>
        </w:rPr>
      </w:pPr>
      <w:r>
        <w:rPr>
          <w:rFonts w:ascii="Arial" w:hAnsi="Arial" w:cs="Arial"/>
          <w:color w:val="000000" w:themeColor="text1"/>
          <w:sz w:val="24"/>
          <w:szCs w:val="24"/>
        </w:rPr>
        <w:t>(</w:t>
      </w:r>
      <w:r w:rsidR="00475914" w:rsidRPr="00795AAA">
        <w:rPr>
          <w:rFonts w:ascii="Arial" w:hAnsi="Arial" w:cs="Arial"/>
          <w:color w:val="000000" w:themeColor="text1"/>
          <w:sz w:val="24"/>
          <w:szCs w:val="24"/>
        </w:rPr>
        <w:t>Millones de dólares</w:t>
      </w:r>
      <w:r>
        <w:rPr>
          <w:rFonts w:ascii="Arial" w:hAnsi="Arial" w:cs="Arial"/>
          <w:color w:val="000000" w:themeColor="text1"/>
          <w:sz w:val="24"/>
          <w:szCs w:val="24"/>
        </w:rPr>
        <w:t>)</w:t>
      </w:r>
    </w:p>
    <w:p w14:paraId="49C59D46" w14:textId="4F625DD3" w:rsidR="00475914" w:rsidRDefault="00475914" w:rsidP="006D3FFE">
      <w:pPr>
        <w:spacing w:line="360" w:lineRule="auto"/>
        <w:jc w:val="both"/>
        <w:rPr>
          <w:rFonts w:ascii="Arial" w:eastAsiaTheme="minorHAnsi" w:hAnsi="Arial" w:cs="Arial"/>
          <w:b/>
          <w:bCs/>
          <w:color w:val="000000" w:themeColor="text1"/>
          <w:lang w:eastAsia="en-US"/>
        </w:rPr>
      </w:pPr>
      <w:r>
        <w:rPr>
          <w:noProof/>
        </w:rPr>
        <w:drawing>
          <wp:inline distT="0" distB="0" distL="0" distR="0" wp14:anchorId="0BB63F2C" wp14:editId="327EDD12">
            <wp:extent cx="5400040" cy="2596362"/>
            <wp:effectExtent l="0" t="0" r="0" b="0"/>
            <wp:docPr id="48177497" name="Gráfico 1">
              <a:extLst xmlns:a="http://schemas.openxmlformats.org/drawingml/2006/main">
                <a:ext uri="{FF2B5EF4-FFF2-40B4-BE49-F238E27FC236}">
                  <a16:creationId xmlns:a16="http://schemas.microsoft.com/office/drawing/2014/main" id="{2ED6B1B3-698E-58B6-6B55-0F325A3835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F52E971" w14:textId="009CEAC0" w:rsidR="006D3FFE" w:rsidRDefault="00D14823" w:rsidP="006D3FFE">
      <w:pPr>
        <w:spacing w:line="360" w:lineRule="auto"/>
        <w:jc w:val="both"/>
        <w:rPr>
          <w:rFonts w:ascii="Arial" w:eastAsiaTheme="minorHAnsi" w:hAnsi="Arial" w:cs="Arial"/>
          <w:color w:val="000000" w:themeColor="text1"/>
          <w:sz w:val="22"/>
          <w:szCs w:val="22"/>
          <w:lang w:eastAsia="en-US"/>
        </w:rPr>
      </w:pPr>
      <w:r w:rsidRPr="00D14823">
        <w:rPr>
          <w:rFonts w:ascii="Arial" w:eastAsiaTheme="minorHAnsi" w:hAnsi="Arial" w:cs="Arial"/>
          <w:color w:val="000000" w:themeColor="text1"/>
          <w:sz w:val="22"/>
          <w:szCs w:val="22"/>
          <w:lang w:eastAsia="en-US"/>
        </w:rPr>
        <w:t>Fuente: SIECA</w:t>
      </w:r>
    </w:p>
    <w:p w14:paraId="7DCC9E93" w14:textId="10253047" w:rsidR="001A6B7B" w:rsidRPr="006D3FFE" w:rsidRDefault="001A6B7B" w:rsidP="001A6B7B">
      <w:pPr>
        <w:rPr>
          <w:rFonts w:ascii="Arial" w:hAnsi="Arial" w:cs="Arial"/>
        </w:rPr>
      </w:pPr>
    </w:p>
    <w:p w14:paraId="4E9F502C" w14:textId="3D72808C" w:rsidR="00B72B0A" w:rsidRPr="00822BBD" w:rsidRDefault="00560B5F" w:rsidP="00560B5F">
      <w:pPr>
        <w:rPr>
          <w:rFonts w:ascii="Arial" w:hAnsi="Arial" w:cs="Arial"/>
          <w:b/>
          <w:bCs/>
          <w:color w:val="000000" w:themeColor="text1"/>
          <w:sz w:val="28"/>
          <w:szCs w:val="28"/>
        </w:rPr>
      </w:pPr>
      <w:r w:rsidRPr="00822BBD">
        <w:rPr>
          <w:rFonts w:ascii="Arial" w:hAnsi="Arial" w:cs="Arial"/>
          <w:b/>
          <w:bCs/>
          <w:color w:val="000000" w:themeColor="text1"/>
          <w:sz w:val="28"/>
          <w:szCs w:val="28"/>
        </w:rPr>
        <w:lastRenderedPageBreak/>
        <w:t xml:space="preserve">Tratado de Libre Comercio entre </w:t>
      </w:r>
      <w:r w:rsidR="00B72B0A" w:rsidRPr="00822BBD">
        <w:rPr>
          <w:rFonts w:ascii="Arial" w:hAnsi="Arial" w:cs="Arial"/>
          <w:b/>
          <w:bCs/>
          <w:color w:val="000000" w:themeColor="text1"/>
          <w:sz w:val="28"/>
          <w:szCs w:val="28"/>
        </w:rPr>
        <w:t xml:space="preserve">Nicaragua </w:t>
      </w:r>
      <w:r w:rsidRPr="00822BBD">
        <w:rPr>
          <w:rFonts w:ascii="Arial" w:hAnsi="Arial" w:cs="Arial"/>
          <w:b/>
          <w:bCs/>
          <w:color w:val="000000" w:themeColor="text1"/>
          <w:sz w:val="28"/>
          <w:szCs w:val="28"/>
        </w:rPr>
        <w:t>y China</w:t>
      </w:r>
    </w:p>
    <w:p w14:paraId="4DA23C46" w14:textId="77777777" w:rsidR="001A6B7B" w:rsidRDefault="001A6B7B" w:rsidP="00C720E0">
      <w:pPr>
        <w:spacing w:line="360" w:lineRule="auto"/>
        <w:jc w:val="both"/>
        <w:rPr>
          <w:rFonts w:ascii="Arial" w:hAnsi="Arial" w:cs="Arial"/>
        </w:rPr>
      </w:pPr>
    </w:p>
    <w:p w14:paraId="0C572FA3" w14:textId="5988E0AE" w:rsidR="008555C0" w:rsidRDefault="008072CB" w:rsidP="00015050">
      <w:pPr>
        <w:spacing w:after="240" w:line="360" w:lineRule="auto"/>
        <w:jc w:val="both"/>
        <w:rPr>
          <w:rFonts w:ascii="Arial" w:hAnsi="Arial" w:cs="Arial"/>
        </w:rPr>
      </w:pPr>
      <w:r>
        <w:rPr>
          <w:rFonts w:ascii="Arial" w:hAnsi="Arial" w:cs="Arial"/>
        </w:rPr>
        <w:t>El 9 de diciembre del 2021, se reanudaron las relaciones diplomáticas entre la República Popular de China y Nicaragua</w:t>
      </w:r>
      <w:r w:rsidR="00D21DF1">
        <w:rPr>
          <w:rFonts w:ascii="Arial" w:hAnsi="Arial" w:cs="Arial"/>
        </w:rPr>
        <w:t xml:space="preserve"> </w:t>
      </w:r>
      <w:r w:rsidR="00D21DF1">
        <w:rPr>
          <w:rFonts w:ascii="Arial" w:hAnsi="Arial" w:cs="Arial"/>
        </w:rPr>
        <w:fldChar w:fldCharType="begin"/>
      </w:r>
      <w:r w:rsidR="00D21DF1">
        <w:rPr>
          <w:rFonts w:ascii="Arial" w:hAnsi="Arial" w:cs="Arial"/>
        </w:rPr>
        <w:instrText xml:space="preserve"> ADDIN ZOTERO_ITEM CSL_CITATION {"citationID":"x6gpgEQo","properties":{"formattedCitation":"(Embajada da la Rep\\uc0\\u250{}blica Popular China en la Rep\\uc0\\u250{}blica de Nicaragua, 2022)","plainCitation":"(Embajada da la República Popular China en la República de Nicaragua, 2022)","noteIndex":0},"citationItems":[{"id":1924,"uris":["http://zotero.org/users/10063313/items/U65H4BM8"],"itemData":{"id":1924,"type":"webpage","title":"Artículo de Opinión del Embajador Chen Xi en 19 Digital: Nueva partida hacia un futuro más brillante","URL":"http://ni.china-embassy.gov.cn/esp/sgxw/202212/t20221214_10990120.htm","author":[{"literal":"Embajada da la República Popular China en la República de Nicaragua"}],"accessed":{"date-parts":[["2024",4,15]]},"issued":{"date-parts":[["2022",12,14]]}}}],"schema":"https://github.com/citation-style-language/schema/raw/master/csl-citation.json"} </w:instrText>
      </w:r>
      <w:r w:rsidR="00D21DF1">
        <w:rPr>
          <w:rFonts w:ascii="Arial" w:hAnsi="Arial" w:cs="Arial"/>
        </w:rPr>
        <w:fldChar w:fldCharType="separate"/>
      </w:r>
      <w:r w:rsidR="00D21DF1" w:rsidRPr="00D21DF1">
        <w:rPr>
          <w:rFonts w:ascii="Arial" w:hAnsi="Arial" w:cs="Arial"/>
          <w:lang w:val="es-MX"/>
        </w:rPr>
        <w:t>(Embajada da la República Popular China en la República de Nicaragua, 2022)</w:t>
      </w:r>
      <w:r w:rsidR="00D21DF1">
        <w:rPr>
          <w:rFonts w:ascii="Arial" w:hAnsi="Arial" w:cs="Arial"/>
        </w:rPr>
        <w:fldChar w:fldCharType="end"/>
      </w:r>
      <w:r>
        <w:rPr>
          <w:rFonts w:ascii="Arial" w:hAnsi="Arial" w:cs="Arial"/>
        </w:rPr>
        <w:t xml:space="preserve">. </w:t>
      </w:r>
      <w:r w:rsidR="00560B5F">
        <w:rPr>
          <w:rFonts w:ascii="Arial" w:hAnsi="Arial" w:cs="Arial"/>
        </w:rPr>
        <w:t xml:space="preserve"> </w:t>
      </w:r>
      <w:r w:rsidR="00C720E0">
        <w:rPr>
          <w:rFonts w:ascii="Arial" w:hAnsi="Arial" w:cs="Arial"/>
        </w:rPr>
        <w:t xml:space="preserve">A finales del mismo año, se comenzó las </w:t>
      </w:r>
      <w:r w:rsidR="008555C0">
        <w:rPr>
          <w:rFonts w:ascii="Arial" w:hAnsi="Arial" w:cs="Arial"/>
        </w:rPr>
        <w:t>negociaciones del</w:t>
      </w:r>
      <w:r w:rsidR="00C720E0">
        <w:rPr>
          <w:rFonts w:ascii="Arial" w:hAnsi="Arial" w:cs="Arial"/>
        </w:rPr>
        <w:t xml:space="preserve"> Acuerdo de Cosecha Temprana del tratado, firmándose el 12 de julio para ser vigente el 1 de mayo del 2023, y al finalizar el 2023 se </w:t>
      </w:r>
      <w:r w:rsidR="00D21DF1">
        <w:rPr>
          <w:rFonts w:ascii="Arial" w:hAnsi="Arial" w:cs="Arial"/>
        </w:rPr>
        <w:t>firmó</w:t>
      </w:r>
      <w:r w:rsidR="00C720E0">
        <w:rPr>
          <w:rFonts w:ascii="Arial" w:hAnsi="Arial" w:cs="Arial"/>
        </w:rPr>
        <w:t xml:space="preserve"> el TLC entre ambos países </w:t>
      </w:r>
      <w:r w:rsidR="00D21DF1">
        <w:rPr>
          <w:rFonts w:ascii="Arial" w:hAnsi="Arial" w:cs="Arial"/>
        </w:rPr>
        <w:fldChar w:fldCharType="begin"/>
      </w:r>
      <w:r w:rsidR="00F50AD1">
        <w:rPr>
          <w:rFonts w:ascii="Arial" w:hAnsi="Arial" w:cs="Arial"/>
        </w:rPr>
        <w:instrText xml:space="preserve"> ADDIN ZOTERO_ITEM CSL_CITATION {"citationID":"odUT72dz","properties":{"formattedCitation":"(Asamblea Nacional de Nicaragua, 2023)","plainCitation":"(Asamblea Nacional de Nicaragua, 2023)","noteIndex":0},"citationItems":[{"id":1928,"uris":["http://zotero.org/users/10063313/items/VE3R2XUD"],"itemData":{"id":1928,"type":"webpage","title":"Asamblea Nacional aprueba TLC entre China y Nicaragua","URL":"https://noticias.asamblea.gob.ni/asamblea-nacional-aprueba-tlc-entre-el-gobierno-de-la-republica-popular-china-y-el-gobierno-de-la-republica-de-nicaragua/","author":[{"literal":"Asamblea Nacional de Nicaragua"}],"accessed":{"date-parts":[["2024",4,15]]},"issued":{"date-parts":[["2023",11]]}}}],"schema":"https://github.com/citation-style-language/schema/raw/master/csl-citation.json"} </w:instrText>
      </w:r>
      <w:r w:rsidR="00D21DF1">
        <w:rPr>
          <w:rFonts w:ascii="Arial" w:hAnsi="Arial" w:cs="Arial"/>
        </w:rPr>
        <w:fldChar w:fldCharType="separate"/>
      </w:r>
      <w:r w:rsidR="00F50AD1">
        <w:rPr>
          <w:rFonts w:ascii="Arial" w:hAnsi="Arial" w:cs="Arial"/>
          <w:noProof/>
        </w:rPr>
        <w:t>(Asamblea Nacional de Nicaragua, 2023)</w:t>
      </w:r>
      <w:r w:rsidR="00D21DF1">
        <w:rPr>
          <w:rFonts w:ascii="Arial" w:hAnsi="Arial" w:cs="Arial"/>
        </w:rPr>
        <w:fldChar w:fldCharType="end"/>
      </w:r>
      <w:r w:rsidR="00F50AD1">
        <w:rPr>
          <w:rFonts w:ascii="Arial" w:hAnsi="Arial" w:cs="Arial"/>
        </w:rPr>
        <w:t xml:space="preserve">, </w:t>
      </w:r>
      <w:r w:rsidR="008555C0">
        <w:rPr>
          <w:rFonts w:ascii="Arial" w:hAnsi="Arial" w:cs="Arial"/>
        </w:rPr>
        <w:t xml:space="preserve">entrando en vigencia el 1 de enero del 2024. </w:t>
      </w:r>
    </w:p>
    <w:p w14:paraId="09480E5B" w14:textId="03EE7544" w:rsidR="006D6BF1" w:rsidRDefault="006D6BF1" w:rsidP="00015050">
      <w:pPr>
        <w:spacing w:after="240" w:line="360" w:lineRule="auto"/>
        <w:jc w:val="both"/>
        <w:rPr>
          <w:rFonts w:ascii="Arial" w:hAnsi="Arial" w:cs="Arial"/>
          <w:b/>
          <w:bCs/>
        </w:rPr>
      </w:pPr>
      <w:r w:rsidRPr="006D6BF1">
        <w:rPr>
          <w:rFonts w:ascii="Arial" w:hAnsi="Arial" w:cs="Arial"/>
          <w:b/>
          <w:bCs/>
        </w:rPr>
        <w:t>Programa de desgravación arancelaria</w:t>
      </w:r>
    </w:p>
    <w:p w14:paraId="223F1BC5" w14:textId="023C000D" w:rsidR="006D6BF1" w:rsidRDefault="006D6BF1" w:rsidP="00015050">
      <w:pPr>
        <w:spacing w:after="240" w:line="360" w:lineRule="auto"/>
        <w:jc w:val="both"/>
        <w:rPr>
          <w:rFonts w:ascii="Arial" w:hAnsi="Arial" w:cs="Arial"/>
        </w:rPr>
      </w:pPr>
      <w:r w:rsidRPr="006D6BF1">
        <w:rPr>
          <w:rFonts w:ascii="Arial" w:hAnsi="Arial" w:cs="Arial"/>
        </w:rPr>
        <w:t>El programa se implementa bajo el principio de la eliminación gradual de aranceles, lo cual permite a ambos países ajustar sus economías internas a las nuevas condiciones de mercado. Las mercancías clasificadas en diferentes categorías dentro de las listas anexas al tratado verán eliminados sus aranceles en períodos que van desde la entrada en vigor del tratado hasta quince años después, dependiendo de la categoría asignada.</w:t>
      </w:r>
    </w:p>
    <w:p w14:paraId="2B5FBE9A" w14:textId="77777777" w:rsidR="00015717" w:rsidRDefault="00015717" w:rsidP="00015050">
      <w:pPr>
        <w:spacing w:after="240" w:line="360" w:lineRule="auto"/>
        <w:jc w:val="both"/>
        <w:rPr>
          <w:rFonts w:ascii="Arial" w:hAnsi="Arial" w:cs="Arial"/>
        </w:rPr>
      </w:pPr>
      <w:r w:rsidRPr="00015717">
        <w:rPr>
          <w:rFonts w:ascii="Arial" w:hAnsi="Arial" w:cs="Arial"/>
        </w:rPr>
        <w:t>La categoría A0 engloba productos cuyos aranceles son eliminados inmediatamente al entrar en vigor el tratado, facilitando el acceso instantáneo a mercados sin barreras arancelarias para aquellos productos de interés mutuo. Por otro lado, la categoría A5 prevé una eliminación arancelaria progresiva en cinco etapas anuales, adecuada para productos que requieren una adaptación económica más gradual.</w:t>
      </w:r>
      <w:r>
        <w:rPr>
          <w:rFonts w:ascii="Arial" w:hAnsi="Arial" w:cs="Arial"/>
        </w:rPr>
        <w:t xml:space="preserve"> </w:t>
      </w:r>
      <w:r w:rsidRPr="00015717">
        <w:rPr>
          <w:rFonts w:ascii="Arial" w:hAnsi="Arial" w:cs="Arial"/>
        </w:rPr>
        <w:t>Extendiendo este principio, la categoría A10 dispone de un período de desgravación de diez años, ideado para productos que necesitan un ajuste más prolongado ante la competencia internacional, mientras que la categoría A15 se extiende hasta quince años para los productos extremadamente sensibles, proporcionando un amplio margen para la adaptación de los sectores más vulnerables a las nuevas dinámicas de mercado.</w:t>
      </w:r>
    </w:p>
    <w:p w14:paraId="5D8FDD14" w14:textId="4F79BF75" w:rsidR="006D6BF1" w:rsidRPr="00015717" w:rsidRDefault="00015717" w:rsidP="00015050">
      <w:pPr>
        <w:spacing w:after="240" w:line="360" w:lineRule="auto"/>
        <w:jc w:val="both"/>
        <w:rPr>
          <w:rFonts w:ascii="Arial" w:hAnsi="Arial" w:cs="Arial"/>
        </w:rPr>
      </w:pPr>
      <w:r w:rsidRPr="00015717">
        <w:rPr>
          <w:rFonts w:ascii="Arial" w:hAnsi="Arial" w:cs="Arial"/>
        </w:rPr>
        <w:t xml:space="preserve">Adicionalmente, se establece la categoría TRQ para productos específicos sujetos a cuotas arancelarias, aplicando una tasa preferencial hasta un límite cuantitativo establecido, con tasas normales aplicables más allá de ese límite. Esta modalidad se emplea típicamente para productos agrícolas o aquellos de especial sensibilidad comercial. Finalmente, la categoría E mantiene los </w:t>
      </w:r>
      <w:r w:rsidRPr="00015717">
        <w:rPr>
          <w:rFonts w:ascii="Arial" w:hAnsi="Arial" w:cs="Arial"/>
        </w:rPr>
        <w:lastRenderedPageBreak/>
        <w:t xml:space="preserve">aranceles inalterados durante la vigencia del tratado </w:t>
      </w:r>
      <w:r w:rsidR="00F50AD1" w:rsidRPr="004263B6">
        <w:rPr>
          <w:rFonts w:ascii="Arial" w:hAnsi="Arial" w:cs="Arial"/>
        </w:rPr>
        <w:fldChar w:fldCharType="begin"/>
      </w:r>
      <w:r w:rsidR="00F50AD1" w:rsidRPr="004263B6">
        <w:rPr>
          <w:rFonts w:ascii="Arial" w:hAnsi="Arial" w:cs="Arial"/>
        </w:rPr>
        <w:instrText xml:space="preserve"> ADDIN ZOTERO_ITEM CSL_CITATION {"citationID":"qb32vGGY","properties":{"formattedCitation":"({\\i{}Tratado de Libre Comercio entre el Gobierno de la Rep\\uc0\\u250{}blica Popular China y el Gobierno de la Rep\\uc0\\u250{}blica de Nicaragua}, 2022)","plainCitation":"(Tratado de Libre Comercio entre el Gobierno de la República Popular China y el Gobierno de la República de Nicaragua, 2022)","noteIndex":0},"citationItems":[{"id":1932,"uris":["http://zotero.org/users/10063313/items/B7FJKA6W"],"itemData":{"id":1932,"type":"webpage","title":"Tratado de Libre Comercio entre el Gobierno de la República Popular China y el Gobierno de la República de Nicaragua","URL":"http://fta.mofcom.gov.cn/nicaragua/xieyi/njly_xdzw_es.pdf","accessed":{"date-parts":[["2024",4,15]]},"issued":{"date-parts":[["2022"]]}}}],"schema":"https://github.com/citation-style-language/schema/raw/master/csl-citation.json"} </w:instrText>
      </w:r>
      <w:r w:rsidR="00F50AD1" w:rsidRPr="004263B6">
        <w:rPr>
          <w:rFonts w:ascii="Arial" w:hAnsi="Arial" w:cs="Arial"/>
        </w:rPr>
        <w:fldChar w:fldCharType="separate"/>
      </w:r>
      <w:r w:rsidR="00F50AD1" w:rsidRPr="004263B6">
        <w:rPr>
          <w:rFonts w:ascii="Arial" w:hAnsi="Arial" w:cs="Arial"/>
          <w:lang w:val="es-MX"/>
        </w:rPr>
        <w:t>(Tratado de Libre Comercio entre el Gobierno de la República Popular China y el Gobierno de la República de Nicaragua, 2022)</w:t>
      </w:r>
      <w:r w:rsidR="00F50AD1" w:rsidRPr="004263B6">
        <w:rPr>
          <w:rFonts w:ascii="Arial" w:hAnsi="Arial" w:cs="Arial"/>
        </w:rPr>
        <w:fldChar w:fldCharType="end"/>
      </w:r>
      <w:r w:rsidR="00F50AD1" w:rsidRPr="004263B6">
        <w:rPr>
          <w:rFonts w:ascii="Arial" w:hAnsi="Arial" w:cs="Arial"/>
        </w:rPr>
        <w:t>.</w:t>
      </w:r>
      <w:r w:rsidR="00F50AD1">
        <w:rPr>
          <w:rFonts w:ascii="Arial" w:hAnsi="Arial" w:cs="Arial"/>
        </w:rPr>
        <w:t xml:space="preserve"> </w:t>
      </w:r>
    </w:p>
    <w:p w14:paraId="0A949009" w14:textId="5DA97E32" w:rsidR="00F04BE6" w:rsidRDefault="00F04BE6" w:rsidP="00015050">
      <w:pPr>
        <w:spacing w:after="240" w:line="360" w:lineRule="auto"/>
        <w:jc w:val="both"/>
        <w:rPr>
          <w:rFonts w:ascii="Arial" w:hAnsi="Arial" w:cs="Arial"/>
        </w:rPr>
      </w:pPr>
      <w:r>
        <w:rPr>
          <w:rFonts w:ascii="Arial" w:hAnsi="Arial" w:cs="Arial"/>
        </w:rPr>
        <w:t xml:space="preserve">Entre los principales productos chinos que Nicaragua aplica aranceles cero están </w:t>
      </w:r>
      <w:r w:rsidRPr="00F04BE6">
        <w:rPr>
          <w:rFonts w:ascii="Arial" w:hAnsi="Arial" w:cs="Arial"/>
        </w:rPr>
        <w:t>los automóviles</w:t>
      </w:r>
      <w:r w:rsidR="006D0C7D">
        <w:rPr>
          <w:rFonts w:ascii="Arial" w:hAnsi="Arial" w:cs="Arial"/>
        </w:rPr>
        <w:t>, i</w:t>
      </w:r>
      <w:r w:rsidRPr="00F04BE6">
        <w:rPr>
          <w:rFonts w:ascii="Arial" w:hAnsi="Arial" w:cs="Arial"/>
        </w:rPr>
        <w:t>ncluidos los vehículos de nueva energía</w:t>
      </w:r>
      <w:r w:rsidR="00560B5F">
        <w:rPr>
          <w:rFonts w:ascii="Arial" w:hAnsi="Arial" w:cs="Arial"/>
        </w:rPr>
        <w:t xml:space="preserve"> </w:t>
      </w:r>
      <w:r w:rsidR="006D0C7D" w:rsidRPr="006D0C7D">
        <w:rPr>
          <w:rFonts w:ascii="Arial" w:hAnsi="Arial" w:cs="Arial"/>
        </w:rPr>
        <w:t>(vehículos eléctricos, híbridos enchufables y de hidrógeno)</w:t>
      </w:r>
      <w:r w:rsidRPr="00F04BE6">
        <w:rPr>
          <w:rFonts w:ascii="Arial" w:hAnsi="Arial" w:cs="Arial"/>
        </w:rPr>
        <w:t xml:space="preserve"> las motocicletas, las baterías, los componentes fotovoltaicos, la ropa y los textiles, los zapatos y las botas fabricados en China. productos, </w:t>
      </w:r>
      <w:r w:rsidRPr="00822BBD">
        <w:rPr>
          <w:rFonts w:ascii="Arial" w:hAnsi="Arial" w:cs="Arial"/>
          <w:color w:val="000000" w:themeColor="text1"/>
        </w:rPr>
        <w:t xml:space="preserve">verduras, etc. </w:t>
      </w:r>
      <w:r w:rsidR="00560B5F" w:rsidRPr="00822BBD">
        <w:rPr>
          <w:rFonts w:ascii="Arial" w:hAnsi="Arial" w:cs="Arial"/>
          <w:color w:val="000000" w:themeColor="text1"/>
        </w:rPr>
        <w:t xml:space="preserve">Los </w:t>
      </w:r>
      <w:r w:rsidRPr="00822BBD">
        <w:rPr>
          <w:rFonts w:ascii="Arial" w:hAnsi="Arial" w:cs="Arial"/>
          <w:color w:val="000000" w:themeColor="text1"/>
        </w:rPr>
        <w:t xml:space="preserve">productos nicaragüenses </w:t>
      </w:r>
      <w:r w:rsidR="00560B5F" w:rsidRPr="00822BBD">
        <w:rPr>
          <w:rFonts w:ascii="Arial" w:hAnsi="Arial" w:cs="Arial"/>
          <w:color w:val="000000" w:themeColor="text1"/>
        </w:rPr>
        <w:t xml:space="preserve">en que se aplica con la entrada en vigencia una exoneración arancelaria completa </w:t>
      </w:r>
      <w:r w:rsidRPr="00822BBD">
        <w:rPr>
          <w:rFonts w:ascii="Arial" w:hAnsi="Arial" w:cs="Arial"/>
          <w:color w:val="000000" w:themeColor="text1"/>
        </w:rPr>
        <w:t xml:space="preserve">son productos </w:t>
      </w:r>
      <w:r w:rsidRPr="00F04BE6">
        <w:rPr>
          <w:rFonts w:ascii="Arial" w:hAnsi="Arial" w:cs="Arial"/>
        </w:rPr>
        <w:t>como carne de res, camarones, café, cacao, mermelada, maní, caracoles congelados y etanol</w:t>
      </w:r>
      <w:r>
        <w:rPr>
          <w:rFonts w:ascii="Arial" w:hAnsi="Arial" w:cs="Arial"/>
        </w:rPr>
        <w:t xml:space="preserve"> </w:t>
      </w:r>
      <w:r w:rsidR="00F50AD1">
        <w:rPr>
          <w:rFonts w:ascii="Arial" w:hAnsi="Arial" w:cs="Arial"/>
        </w:rPr>
        <w:fldChar w:fldCharType="begin"/>
      </w:r>
      <w:r w:rsidR="00F50AD1">
        <w:rPr>
          <w:rFonts w:ascii="Arial" w:hAnsi="Arial" w:cs="Arial"/>
        </w:rPr>
        <w:instrText xml:space="preserve"> ADDIN ZOTERO_ITEM CSL_CITATION {"citationID":"nSIqpVNP","properties":{"formattedCitation":"(Gobierno de China, 2023)","plainCitation":"(Gobierno de China, 2023)","noteIndex":0},"citationItems":[{"id":1933,"uris":["http://zotero.org/users/10063313/items/KS28PHLE"],"itemData":{"id":1933,"type":"webpage","title":"El jefe del Departamento Internacional del Ministerio de Comercio interpreta el Tratado de Libre Comercio China-Nicaragua","URL":"https://www.gov.cn/lianbo/bumen/202308/content_6901306.htm","author":[{"literal":"Gobierno de China"}],"accessed":{"date-parts":[["2024",4,15]]},"issued":{"date-parts":[["2023"]]}}}],"schema":"https://github.com/citation-style-language/schema/raw/master/csl-citation.json"} </w:instrText>
      </w:r>
      <w:r w:rsidR="00F50AD1">
        <w:rPr>
          <w:rFonts w:ascii="Arial" w:hAnsi="Arial" w:cs="Arial"/>
        </w:rPr>
        <w:fldChar w:fldCharType="separate"/>
      </w:r>
      <w:r w:rsidR="00F50AD1">
        <w:rPr>
          <w:rFonts w:ascii="Arial" w:hAnsi="Arial" w:cs="Arial"/>
          <w:noProof/>
        </w:rPr>
        <w:t>(Gobierno de China, 2023)</w:t>
      </w:r>
      <w:r w:rsidR="00F50AD1">
        <w:rPr>
          <w:rFonts w:ascii="Arial" w:hAnsi="Arial" w:cs="Arial"/>
        </w:rPr>
        <w:fldChar w:fldCharType="end"/>
      </w:r>
      <w:r w:rsidR="00F50AD1">
        <w:rPr>
          <w:rFonts w:ascii="Arial" w:hAnsi="Arial" w:cs="Arial"/>
        </w:rPr>
        <w:t>.</w:t>
      </w:r>
    </w:p>
    <w:p w14:paraId="78940051" w14:textId="7700E331" w:rsidR="00593C75" w:rsidRDefault="00593C75" w:rsidP="00015050">
      <w:pPr>
        <w:spacing w:after="240" w:line="360" w:lineRule="auto"/>
        <w:jc w:val="both"/>
        <w:rPr>
          <w:rFonts w:ascii="Arial" w:hAnsi="Arial" w:cs="Arial"/>
        </w:rPr>
      </w:pPr>
      <w:r w:rsidRPr="00822BBD">
        <w:rPr>
          <w:rFonts w:ascii="Arial" w:hAnsi="Arial" w:cs="Arial"/>
          <w:color w:val="000000" w:themeColor="text1"/>
        </w:rPr>
        <w:t xml:space="preserve">El tratado entre ambos países, </w:t>
      </w:r>
      <w:r w:rsidR="00560B5F" w:rsidRPr="00822BBD">
        <w:rPr>
          <w:rFonts w:ascii="Arial" w:hAnsi="Arial" w:cs="Arial"/>
          <w:color w:val="000000" w:themeColor="text1"/>
        </w:rPr>
        <w:t xml:space="preserve">tiene una particularidad y es que se constituye como </w:t>
      </w:r>
      <w:r w:rsidRPr="00822BBD">
        <w:rPr>
          <w:rFonts w:ascii="Arial" w:hAnsi="Arial" w:cs="Arial"/>
          <w:color w:val="000000" w:themeColor="text1"/>
        </w:rPr>
        <w:t xml:space="preserve">el primero en su tipo </w:t>
      </w:r>
      <w:r w:rsidR="00560B5F" w:rsidRPr="00822BBD">
        <w:rPr>
          <w:rFonts w:ascii="Arial" w:hAnsi="Arial" w:cs="Arial"/>
          <w:color w:val="000000" w:themeColor="text1"/>
        </w:rPr>
        <w:t xml:space="preserve">negociado </w:t>
      </w:r>
      <w:r w:rsidRPr="00822BBD">
        <w:rPr>
          <w:rFonts w:ascii="Arial" w:hAnsi="Arial" w:cs="Arial"/>
          <w:color w:val="000000" w:themeColor="text1"/>
        </w:rPr>
        <w:t xml:space="preserve">con China, permite la entrada de servicios, incluyendo los financieros, bajo un modelo de lista negativa, </w:t>
      </w:r>
      <w:r w:rsidRPr="00593C75">
        <w:rPr>
          <w:rFonts w:ascii="Arial" w:hAnsi="Arial" w:cs="Arial"/>
        </w:rPr>
        <w:t xml:space="preserve">asegurando a las partes condiciones de mercado no inferiores a las otorgadas a otros socios comerciales. De manera relevante, </w:t>
      </w:r>
      <w:r w:rsidR="00F50AD1" w:rsidRPr="00593C75">
        <w:rPr>
          <w:rFonts w:ascii="Arial" w:hAnsi="Arial" w:cs="Arial"/>
        </w:rPr>
        <w:t>Nicaragua</w:t>
      </w:r>
      <w:r w:rsidRPr="00593C75">
        <w:rPr>
          <w:rFonts w:ascii="Arial" w:hAnsi="Arial" w:cs="Arial"/>
        </w:rPr>
        <w:t xml:space="preserve"> se ha comprometido a niveles superiores de apertura en sectores claves como la manufactura y el transporte marítimo, lo que amplía las oportunidades para las empresas chinas en estos ámbitos.</w:t>
      </w:r>
      <w:r>
        <w:rPr>
          <w:rFonts w:ascii="Arial" w:hAnsi="Arial" w:cs="Arial"/>
        </w:rPr>
        <w:t xml:space="preserve"> </w:t>
      </w:r>
      <w:r w:rsidRPr="00593C75">
        <w:rPr>
          <w:rFonts w:ascii="Arial" w:hAnsi="Arial" w:cs="Arial"/>
        </w:rPr>
        <w:t>Por otro lado, el acuerdo incorpora por primera vez un capítulo sobre economía digital, abordando aspectos cruciales como las transacciones electrónicas, la firma electrónica y la protección del consumidor en línea. Este capítulo respalda el comercio electrónico, la reducción de barreras regulatorias y el impulso hacia un comercio sin papel</w:t>
      </w:r>
      <w:r>
        <w:rPr>
          <w:rFonts w:ascii="Arial" w:hAnsi="Arial" w:cs="Arial"/>
        </w:rPr>
        <w:t xml:space="preserve"> </w:t>
      </w:r>
      <w:r w:rsidR="00F50AD1">
        <w:rPr>
          <w:rFonts w:ascii="Arial" w:hAnsi="Arial" w:cs="Arial"/>
        </w:rPr>
        <w:fldChar w:fldCharType="begin"/>
      </w:r>
      <w:r w:rsidR="00F50AD1">
        <w:rPr>
          <w:rFonts w:ascii="Arial" w:hAnsi="Arial" w:cs="Arial"/>
        </w:rPr>
        <w:instrText xml:space="preserve"> ADDIN ZOTERO_ITEM CSL_CITATION {"citationID":"Jji3xxzO","properties":{"formattedCitation":"(Gobierno de China, 2023)","plainCitation":"(Gobierno de China, 2023)","noteIndex":0},"citationItems":[{"id":1933,"uris":["http://zotero.org/users/10063313/items/KS28PHLE"],"itemData":{"id":1933,"type":"webpage","title":"El jefe del Departamento Internacional del Ministerio de Comercio interpreta el Tratado de Libre Comercio China-Nicaragua","URL":"https://www.gov.cn/lianbo/bumen/202308/content_6901306.htm","author":[{"literal":"Gobierno de China"}],"accessed":{"date-parts":[["2024",4,15]]},"issued":{"date-parts":[["2023"]]}}}],"schema":"https://github.com/citation-style-language/schema/raw/master/csl-citation.json"} </w:instrText>
      </w:r>
      <w:r w:rsidR="00F50AD1">
        <w:rPr>
          <w:rFonts w:ascii="Arial" w:hAnsi="Arial" w:cs="Arial"/>
        </w:rPr>
        <w:fldChar w:fldCharType="separate"/>
      </w:r>
      <w:r w:rsidR="00F50AD1">
        <w:rPr>
          <w:rFonts w:ascii="Arial" w:hAnsi="Arial" w:cs="Arial"/>
          <w:noProof/>
        </w:rPr>
        <w:t>(Gobierno de China, 2023)</w:t>
      </w:r>
      <w:r w:rsidR="00F50AD1">
        <w:rPr>
          <w:rFonts w:ascii="Arial" w:hAnsi="Arial" w:cs="Arial"/>
        </w:rPr>
        <w:fldChar w:fldCharType="end"/>
      </w:r>
      <w:r w:rsidR="00F50AD1">
        <w:rPr>
          <w:rFonts w:ascii="Arial" w:hAnsi="Arial" w:cs="Arial"/>
        </w:rPr>
        <w:t xml:space="preserve">. </w:t>
      </w:r>
    </w:p>
    <w:p w14:paraId="6BE5BB30" w14:textId="6330AD2A" w:rsidR="00560B5F" w:rsidRPr="00822BBD" w:rsidRDefault="00142C39" w:rsidP="00015050">
      <w:pPr>
        <w:spacing w:after="240" w:line="360" w:lineRule="auto"/>
        <w:jc w:val="both"/>
        <w:rPr>
          <w:rFonts w:ascii="Arial" w:hAnsi="Arial" w:cs="Arial"/>
          <w:strike/>
        </w:rPr>
      </w:pPr>
      <w:r w:rsidRPr="00822BBD">
        <w:rPr>
          <w:rFonts w:ascii="Arial" w:hAnsi="Arial" w:cs="Arial"/>
          <w:color w:val="000000" w:themeColor="text1"/>
        </w:rPr>
        <w:t xml:space="preserve">La relación comercial </w:t>
      </w:r>
      <w:r w:rsidR="00560B5F" w:rsidRPr="00822BBD">
        <w:rPr>
          <w:rFonts w:ascii="Arial" w:hAnsi="Arial" w:cs="Arial"/>
          <w:color w:val="000000" w:themeColor="text1"/>
        </w:rPr>
        <w:t xml:space="preserve">entre Nicaragua y </w:t>
      </w:r>
      <w:r w:rsidRPr="00822BBD">
        <w:rPr>
          <w:rFonts w:ascii="Arial" w:hAnsi="Arial" w:cs="Arial"/>
          <w:color w:val="000000" w:themeColor="text1"/>
        </w:rPr>
        <w:t>China no ha sido del todo favorable para</w:t>
      </w:r>
      <w:r w:rsidR="00822BBD" w:rsidRPr="00822BBD">
        <w:rPr>
          <w:rFonts w:ascii="Arial" w:hAnsi="Arial" w:cs="Arial"/>
          <w:color w:val="000000" w:themeColor="text1"/>
        </w:rPr>
        <w:t xml:space="preserve"> </w:t>
      </w:r>
      <w:r w:rsidR="00560B5F" w:rsidRPr="00822BBD">
        <w:rPr>
          <w:rFonts w:ascii="Arial" w:hAnsi="Arial" w:cs="Arial"/>
          <w:color w:val="000000" w:themeColor="text1"/>
        </w:rPr>
        <w:t>el país centroamericano</w:t>
      </w:r>
      <w:r w:rsidRPr="00822BBD">
        <w:rPr>
          <w:rFonts w:ascii="Arial" w:hAnsi="Arial" w:cs="Arial"/>
          <w:color w:val="000000" w:themeColor="text1"/>
        </w:rPr>
        <w:t xml:space="preserve"> en los últimos 20 años, de hecho, </w:t>
      </w:r>
      <w:r w:rsidR="00560B5F" w:rsidRPr="00822BBD">
        <w:rPr>
          <w:rFonts w:ascii="Arial" w:hAnsi="Arial" w:cs="Arial"/>
          <w:color w:val="000000" w:themeColor="text1"/>
        </w:rPr>
        <w:t xml:space="preserve">ya que </w:t>
      </w:r>
      <w:r w:rsidRPr="00822BBD">
        <w:rPr>
          <w:rFonts w:ascii="Arial" w:hAnsi="Arial" w:cs="Arial"/>
          <w:color w:val="000000" w:themeColor="text1"/>
        </w:rPr>
        <w:t>ha sido deficitaria año con año, aumentado las exportaciones de China hacia Nicaragua, mientras el valor de las exportaciones de Nicaragua hacia China no ha superado el monto de 65, 768 miles de dólares (monto más alto en 2018) según datos del ITC (</w:t>
      </w:r>
      <w:r w:rsidRPr="00822BBD">
        <w:rPr>
          <w:rFonts w:ascii="Arial" w:hAnsi="Arial" w:cs="Arial"/>
          <w:color w:val="000000" w:themeColor="text1"/>
        </w:rPr>
        <w:fldChar w:fldCharType="begin"/>
      </w:r>
      <w:r w:rsidRPr="00822BBD">
        <w:rPr>
          <w:rFonts w:ascii="Arial" w:hAnsi="Arial" w:cs="Arial"/>
          <w:color w:val="000000" w:themeColor="text1"/>
        </w:rPr>
        <w:instrText xml:space="preserve"> REF _Ref164029198 \h </w:instrText>
      </w:r>
      <w:r w:rsidR="00F50AD1" w:rsidRPr="00822BBD">
        <w:rPr>
          <w:rFonts w:ascii="Arial" w:hAnsi="Arial" w:cs="Arial"/>
          <w:color w:val="000000" w:themeColor="text1"/>
        </w:rPr>
        <w:instrText xml:space="preserve"> \* MERGEFORMAT </w:instrText>
      </w:r>
      <w:r w:rsidRPr="00822BBD">
        <w:rPr>
          <w:rFonts w:ascii="Arial" w:hAnsi="Arial" w:cs="Arial"/>
          <w:color w:val="000000" w:themeColor="text1"/>
        </w:rPr>
      </w:r>
      <w:r w:rsidRPr="00822BBD">
        <w:rPr>
          <w:rFonts w:ascii="Arial" w:hAnsi="Arial" w:cs="Arial"/>
          <w:color w:val="000000" w:themeColor="text1"/>
        </w:rPr>
        <w:fldChar w:fldCharType="separate"/>
      </w:r>
      <w:r w:rsidR="00C41F6F" w:rsidRPr="00C41F6F">
        <w:rPr>
          <w:rFonts w:ascii="Arial" w:hAnsi="Arial" w:cs="Arial"/>
          <w:color w:val="000000" w:themeColor="text1"/>
        </w:rPr>
        <w:t xml:space="preserve">Gráfico </w:t>
      </w:r>
      <w:r w:rsidR="00C41F6F" w:rsidRPr="00C41F6F">
        <w:rPr>
          <w:rFonts w:ascii="Arial" w:hAnsi="Arial" w:cs="Arial"/>
          <w:noProof/>
          <w:color w:val="000000" w:themeColor="text1"/>
        </w:rPr>
        <w:t>12</w:t>
      </w:r>
      <w:r w:rsidR="00C41F6F" w:rsidRPr="001A6B7B">
        <w:rPr>
          <w:rFonts w:ascii="Arial" w:hAnsi="Arial" w:cs="Arial"/>
          <w:color w:val="000000" w:themeColor="text1"/>
        </w:rPr>
        <w:t xml:space="preserve"> Balanza Comercial de </w:t>
      </w:r>
      <w:r w:rsidR="00C41F6F">
        <w:rPr>
          <w:rFonts w:ascii="Arial" w:hAnsi="Arial" w:cs="Arial"/>
          <w:color w:val="000000" w:themeColor="text1"/>
        </w:rPr>
        <w:t>Nicaragua</w:t>
      </w:r>
      <w:r w:rsidR="00C41F6F" w:rsidRPr="001A6B7B">
        <w:rPr>
          <w:rFonts w:ascii="Arial" w:hAnsi="Arial" w:cs="Arial"/>
          <w:color w:val="000000" w:themeColor="text1"/>
        </w:rPr>
        <w:t xml:space="preserve"> y China de 2000 - 2023</w:t>
      </w:r>
      <w:r w:rsidRPr="00822BBD">
        <w:rPr>
          <w:rFonts w:ascii="Arial" w:hAnsi="Arial" w:cs="Arial"/>
          <w:color w:val="000000" w:themeColor="text1"/>
        </w:rPr>
        <w:fldChar w:fldCharType="end"/>
      </w:r>
      <w:r w:rsidRPr="00F50AD1">
        <w:rPr>
          <w:rFonts w:ascii="Arial" w:hAnsi="Arial" w:cs="Arial"/>
        </w:rPr>
        <w:t>).</w:t>
      </w:r>
      <w:r>
        <w:rPr>
          <w:rFonts w:ascii="Arial" w:hAnsi="Arial" w:cs="Arial"/>
        </w:rPr>
        <w:t xml:space="preserve"> </w:t>
      </w:r>
    </w:p>
    <w:p w14:paraId="487DA1E8" w14:textId="77777777" w:rsidR="00560B5F" w:rsidRDefault="00560B5F" w:rsidP="00015050">
      <w:pPr>
        <w:spacing w:after="240" w:line="360" w:lineRule="auto"/>
        <w:jc w:val="both"/>
        <w:rPr>
          <w:rFonts w:ascii="Arial" w:hAnsi="Arial" w:cs="Arial"/>
        </w:rPr>
      </w:pPr>
    </w:p>
    <w:p w14:paraId="33065355" w14:textId="2EDB47F5" w:rsidR="00593C75" w:rsidRPr="00560B5F" w:rsidRDefault="00593C75" w:rsidP="00015050">
      <w:pPr>
        <w:spacing w:after="240" w:line="360" w:lineRule="auto"/>
        <w:jc w:val="both"/>
        <w:rPr>
          <w:rFonts w:ascii="Arial" w:hAnsi="Arial" w:cs="Arial"/>
          <w:color w:val="568D11" w:themeColor="accent3" w:themeShade="80"/>
        </w:rPr>
      </w:pPr>
    </w:p>
    <w:p w14:paraId="2E1E7B38" w14:textId="64AB29A3" w:rsidR="001A6B7B" w:rsidRPr="001A6B7B" w:rsidRDefault="001A6B7B" w:rsidP="00795AAA">
      <w:pPr>
        <w:pStyle w:val="Descripcin"/>
        <w:keepNext/>
        <w:spacing w:after="0" w:line="360" w:lineRule="auto"/>
        <w:rPr>
          <w:rFonts w:ascii="Arial" w:hAnsi="Arial" w:cs="Arial"/>
          <w:color w:val="000000" w:themeColor="text1"/>
          <w:sz w:val="24"/>
          <w:szCs w:val="24"/>
        </w:rPr>
      </w:pPr>
      <w:bookmarkStart w:id="64" w:name="_Ref164029198"/>
      <w:bookmarkStart w:id="65" w:name="_Toc215907253"/>
      <w:r w:rsidRPr="00795AAA">
        <w:rPr>
          <w:rFonts w:ascii="Arial" w:hAnsi="Arial" w:cs="Arial"/>
          <w:b/>
          <w:bCs/>
          <w:i w:val="0"/>
          <w:iCs w:val="0"/>
          <w:color w:val="000000" w:themeColor="text1"/>
          <w:sz w:val="24"/>
          <w:szCs w:val="24"/>
        </w:rPr>
        <w:lastRenderedPageBreak/>
        <w:t xml:space="preserve">Gráfico </w:t>
      </w:r>
      <w:r w:rsidRPr="00795AAA">
        <w:rPr>
          <w:rFonts w:ascii="Arial" w:hAnsi="Arial" w:cs="Arial"/>
          <w:b/>
          <w:bCs/>
          <w:i w:val="0"/>
          <w:iCs w:val="0"/>
          <w:color w:val="000000" w:themeColor="text1"/>
          <w:sz w:val="24"/>
          <w:szCs w:val="24"/>
        </w:rPr>
        <w:fldChar w:fldCharType="begin"/>
      </w:r>
      <w:r w:rsidRPr="00795AAA">
        <w:rPr>
          <w:rFonts w:ascii="Arial" w:hAnsi="Arial" w:cs="Arial"/>
          <w:b/>
          <w:bCs/>
          <w:i w:val="0"/>
          <w:iCs w:val="0"/>
          <w:color w:val="000000" w:themeColor="text1"/>
          <w:sz w:val="24"/>
          <w:szCs w:val="24"/>
        </w:rPr>
        <w:instrText xml:space="preserve"> SEQ Gráfico \* ARABIC </w:instrText>
      </w:r>
      <w:r w:rsidRPr="00795AAA">
        <w:rPr>
          <w:rFonts w:ascii="Arial" w:hAnsi="Arial" w:cs="Arial"/>
          <w:b/>
          <w:bCs/>
          <w:i w:val="0"/>
          <w:iCs w:val="0"/>
          <w:color w:val="000000" w:themeColor="text1"/>
          <w:sz w:val="24"/>
          <w:szCs w:val="24"/>
        </w:rPr>
        <w:fldChar w:fldCharType="separate"/>
      </w:r>
      <w:r w:rsidR="00C41F6F" w:rsidRPr="00795AAA">
        <w:rPr>
          <w:rFonts w:ascii="Arial" w:hAnsi="Arial" w:cs="Arial"/>
          <w:b/>
          <w:bCs/>
          <w:i w:val="0"/>
          <w:iCs w:val="0"/>
          <w:noProof/>
          <w:color w:val="000000" w:themeColor="text1"/>
          <w:sz w:val="24"/>
          <w:szCs w:val="24"/>
        </w:rPr>
        <w:t>12</w:t>
      </w:r>
      <w:r w:rsidRPr="00795AAA">
        <w:rPr>
          <w:rFonts w:ascii="Arial" w:hAnsi="Arial" w:cs="Arial"/>
          <w:b/>
          <w:bCs/>
          <w:i w:val="0"/>
          <w:iCs w:val="0"/>
          <w:color w:val="000000" w:themeColor="text1"/>
          <w:sz w:val="24"/>
          <w:szCs w:val="24"/>
        </w:rPr>
        <w:fldChar w:fldCharType="end"/>
      </w:r>
      <w:r w:rsidRPr="001A6B7B">
        <w:rPr>
          <w:rFonts w:ascii="Arial" w:hAnsi="Arial" w:cs="Arial"/>
          <w:color w:val="000000" w:themeColor="text1"/>
          <w:sz w:val="24"/>
          <w:szCs w:val="24"/>
        </w:rPr>
        <w:t xml:space="preserve"> Balanza Comercial de </w:t>
      </w:r>
      <w:r>
        <w:rPr>
          <w:rFonts w:ascii="Arial" w:hAnsi="Arial" w:cs="Arial"/>
          <w:color w:val="000000" w:themeColor="text1"/>
          <w:sz w:val="24"/>
          <w:szCs w:val="24"/>
        </w:rPr>
        <w:t>Nicaragua</w:t>
      </w:r>
      <w:r w:rsidRPr="001A6B7B">
        <w:rPr>
          <w:rFonts w:ascii="Arial" w:hAnsi="Arial" w:cs="Arial"/>
          <w:color w:val="000000" w:themeColor="text1"/>
          <w:sz w:val="24"/>
          <w:szCs w:val="24"/>
        </w:rPr>
        <w:t xml:space="preserve"> y China de 2000 - 2023</w:t>
      </w:r>
      <w:bookmarkEnd w:id="64"/>
      <w:bookmarkEnd w:id="65"/>
    </w:p>
    <w:p w14:paraId="57FEEFCA" w14:textId="17F885AD" w:rsidR="001A6B7B" w:rsidRPr="00320994" w:rsidRDefault="001A6B7B" w:rsidP="00795AAA">
      <w:pPr>
        <w:pStyle w:val="Descripcin"/>
        <w:keepNext/>
        <w:spacing w:after="0" w:line="360" w:lineRule="auto"/>
        <w:rPr>
          <w:rFonts w:ascii="Arial" w:hAnsi="Arial" w:cs="Arial"/>
          <w:color w:val="000000" w:themeColor="text1"/>
          <w:sz w:val="24"/>
          <w:szCs w:val="24"/>
        </w:rPr>
      </w:pPr>
      <w:r w:rsidRPr="001A6B7B">
        <w:rPr>
          <w:rFonts w:ascii="Arial" w:hAnsi="Arial" w:cs="Arial"/>
          <w:color w:val="000000" w:themeColor="text1"/>
          <w:sz w:val="24"/>
          <w:szCs w:val="24"/>
        </w:rPr>
        <w:t>(Miles de dólares estadounidenses)</w:t>
      </w:r>
    </w:p>
    <w:p w14:paraId="3DEC892D" w14:textId="3AF09BD0" w:rsidR="001A6B7B" w:rsidRDefault="001A6B7B" w:rsidP="00495A7E">
      <w:pPr>
        <w:rPr>
          <w:rFonts w:ascii="Arial" w:hAnsi="Arial" w:cs="Arial"/>
        </w:rPr>
      </w:pPr>
      <w:r w:rsidRPr="001A6B7B">
        <w:rPr>
          <w:rFonts w:ascii="Arial" w:hAnsi="Arial" w:cs="Arial"/>
          <w:noProof/>
        </w:rPr>
        <w:drawing>
          <wp:inline distT="0" distB="0" distL="0" distR="0" wp14:anchorId="3B963BAD" wp14:editId="6BE61EAE">
            <wp:extent cx="5885234" cy="3540868"/>
            <wp:effectExtent l="0" t="0" r="0" b="2540"/>
            <wp:docPr id="1796799175" name="Gráfico 1">
              <a:extLst xmlns:a="http://schemas.openxmlformats.org/drawingml/2006/main">
                <a:ext uri="{FF2B5EF4-FFF2-40B4-BE49-F238E27FC236}">
                  <a16:creationId xmlns:a16="http://schemas.microsoft.com/office/drawing/2014/main" id="{1283A0B7-43B0-5B07-314F-7755C4D6A5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FF84F8C" w14:textId="7633F0A5" w:rsidR="00560B5F" w:rsidRDefault="001A6B7B" w:rsidP="00EF5192">
      <w:pPr>
        <w:rPr>
          <w:rFonts w:ascii="Arial" w:hAnsi="Arial" w:cs="Arial"/>
        </w:rPr>
      </w:pPr>
      <w:r w:rsidRPr="001A6B7B">
        <w:rPr>
          <w:rFonts w:ascii="Arial" w:hAnsi="Arial" w:cs="Arial"/>
        </w:rPr>
        <w:t xml:space="preserve">Fuente: Elaboración propia con datos </w:t>
      </w:r>
      <w:r>
        <w:rPr>
          <w:rFonts w:ascii="Arial" w:hAnsi="Arial" w:cs="Arial"/>
        </w:rPr>
        <w:t>del ITC</w:t>
      </w:r>
    </w:p>
    <w:p w14:paraId="45AE3DF8" w14:textId="77777777" w:rsidR="00EF5192" w:rsidRDefault="00EF5192" w:rsidP="00EF5192">
      <w:pPr>
        <w:rPr>
          <w:rFonts w:ascii="Arial" w:hAnsi="Arial" w:cs="Arial"/>
        </w:rPr>
      </w:pPr>
    </w:p>
    <w:p w14:paraId="003A9FFC" w14:textId="641836B9" w:rsidR="00560B5F" w:rsidRDefault="00560B5F" w:rsidP="00560B5F">
      <w:pPr>
        <w:spacing w:after="240" w:line="360" w:lineRule="auto"/>
        <w:jc w:val="both"/>
        <w:rPr>
          <w:rFonts w:ascii="Arial" w:hAnsi="Arial" w:cs="Arial"/>
        </w:rPr>
      </w:pPr>
      <w:r>
        <w:rPr>
          <w:rFonts w:ascii="Arial" w:hAnsi="Arial" w:cs="Arial"/>
        </w:rPr>
        <w:t xml:space="preserve">No ajenos a estos datos, expertos opinan que este acuerdo comercial no beneficia al país centroamericano. </w:t>
      </w:r>
      <w:r w:rsidRPr="000D10BB">
        <w:rPr>
          <w:rFonts w:ascii="Arial" w:hAnsi="Arial" w:cs="Arial"/>
        </w:rPr>
        <w:t>Margaret Myers, directora del programa Asia y América Latina del Diálogo Interamericano, argumenta que el TLC no generará un impacto comercial significativo para Nicaragua, ya que el país ofrece pocos productos que interesen al mercado chino</w:t>
      </w:r>
      <w:r>
        <w:rPr>
          <w:rFonts w:ascii="Arial" w:hAnsi="Arial" w:cs="Arial"/>
        </w:rPr>
        <w:t xml:space="preserve">, para Myers el interés chino radica en aislar a Taiwán diplomáticamente, internacionalmente, lo que ha conseguido con El Salvador, Panamá, y ahora Nicaragua y Honduras </w:t>
      </w:r>
      <w:r>
        <w:rPr>
          <w:rFonts w:ascii="Arial" w:hAnsi="Arial" w:cs="Arial"/>
        </w:rPr>
        <w:fldChar w:fldCharType="begin"/>
      </w:r>
      <w:r>
        <w:rPr>
          <w:rFonts w:ascii="Arial" w:hAnsi="Arial" w:cs="Arial"/>
        </w:rPr>
        <w:instrText xml:space="preserve"> ADDIN ZOTERO_ITEM CSL_CITATION {"citationID":"lMJW61D3","properties":{"formattedCitation":"(Expediente P\\uc0\\u250{}blico, 2023)","plainCitation":"(Expediente Público, 2023)","noteIndex":0},"citationItems":[{"id":1935,"uris":["http://zotero.org/users/10063313/items/5EFFLCYR"],"itemData":{"id":1935,"type":"post-weblog","language":"es","title":"TLC China-Nicaragua 2024, otra huella del dragón en América Latina","URL":"https://www.expedientepublico.org/tlc-china-nicaragua-2024-otra-huella-del-dragon-en-america-latina/, https://www.expedientepublico.org/tlc-china-nicaragua-2024-otra-huella-del-dragon-en-america-latina/","author":[{"literal":"Expediente Público"}],"accessed":{"date-parts":[["2024",4,15]]},"issued":{"date-parts":[["2023",10,12]]}}}],"schema":"https://github.com/citation-style-language/schema/raw/master/csl-citation.json"} </w:instrText>
      </w:r>
      <w:r>
        <w:rPr>
          <w:rFonts w:ascii="Arial" w:hAnsi="Arial" w:cs="Arial"/>
        </w:rPr>
        <w:fldChar w:fldCharType="separate"/>
      </w:r>
      <w:r w:rsidRPr="000064FD">
        <w:rPr>
          <w:rFonts w:ascii="Arial" w:hAnsi="Arial" w:cs="Arial"/>
          <w:lang w:val="es-MX"/>
        </w:rPr>
        <w:t>(Expediente Público, 2023)</w:t>
      </w:r>
      <w:r>
        <w:rPr>
          <w:rFonts w:ascii="Arial" w:hAnsi="Arial" w:cs="Arial"/>
        </w:rPr>
        <w:fldChar w:fldCharType="end"/>
      </w:r>
      <w:r>
        <w:rPr>
          <w:rFonts w:ascii="Arial" w:hAnsi="Arial" w:cs="Arial"/>
        </w:rPr>
        <w:t xml:space="preserve">. </w:t>
      </w:r>
      <w:r w:rsidRPr="000D10BB">
        <w:rPr>
          <w:rFonts w:ascii="Arial" w:hAnsi="Arial" w:cs="Arial"/>
        </w:rPr>
        <w:t xml:space="preserve"> </w:t>
      </w:r>
    </w:p>
    <w:p w14:paraId="3FECCB6F" w14:textId="24C44208" w:rsidR="0047048D" w:rsidRDefault="0047048D" w:rsidP="00015050">
      <w:pPr>
        <w:spacing w:after="240" w:line="360" w:lineRule="auto"/>
        <w:jc w:val="both"/>
        <w:rPr>
          <w:rFonts w:ascii="Arial" w:hAnsi="Arial" w:cs="Arial"/>
        </w:rPr>
      </w:pPr>
      <w:r>
        <w:rPr>
          <w:rFonts w:ascii="Arial" w:hAnsi="Arial" w:cs="Arial"/>
        </w:rPr>
        <w:t>En el mismo sentido</w:t>
      </w:r>
      <w:r w:rsidR="000D10BB" w:rsidRPr="000D10BB">
        <w:rPr>
          <w:rFonts w:ascii="Arial" w:hAnsi="Arial" w:cs="Arial"/>
        </w:rPr>
        <w:t xml:space="preserve">, Manuel Orozco, director del programa de Migración, Remesas y Desarrollo del mismo instituto, sostiene que China persigue más un interés geopolítico que beneficios económicos concretos, buscando aumentar su influencia en América Latina a través de Nicaragua </w:t>
      </w:r>
      <w:r w:rsidR="000064FD">
        <w:rPr>
          <w:rFonts w:ascii="Arial" w:hAnsi="Arial" w:cs="Arial"/>
        </w:rPr>
        <w:fldChar w:fldCharType="begin"/>
      </w:r>
      <w:r w:rsidR="000064FD">
        <w:rPr>
          <w:rFonts w:ascii="Arial" w:hAnsi="Arial" w:cs="Arial"/>
        </w:rPr>
        <w:instrText xml:space="preserve"> ADDIN ZOTERO_ITEM CSL_CITATION {"citationID":"lIOt9DIY","properties":{"formattedCitation":"(Expediente P\\uc0\\u250{}blico, 2023)","plainCitation":"(Expediente Público, 2023)","noteIndex":0},"citationItems":[{"id":1935,"uris":["http://zotero.org/users/10063313/items/5EFFLCYR"],"itemData":{"id":1935,"type":"post-weblog","language":"es","title":"TLC China-Nicaragua 2024, otra huella del dragón en América Latina","URL":"https://www.expedientepublico.org/tlc-china-nicaragua-2024-otra-huella-del-dragon-en-america-latina/, https://www.expedientepublico.org/tlc-china-nicaragua-2024-otra-huella-del-dragon-en-america-latina/","author":[{"literal":"Expediente Público"}],"accessed":{"date-parts":[["2024",4,15]]},"issued":{"date-parts":[["2023",10,12]]}}}],"schema":"https://github.com/citation-style-language/schema/raw/master/csl-citation.json"} </w:instrText>
      </w:r>
      <w:r w:rsidR="000064FD">
        <w:rPr>
          <w:rFonts w:ascii="Arial" w:hAnsi="Arial" w:cs="Arial"/>
        </w:rPr>
        <w:fldChar w:fldCharType="separate"/>
      </w:r>
      <w:r w:rsidR="000064FD" w:rsidRPr="000064FD">
        <w:rPr>
          <w:rFonts w:ascii="Arial" w:hAnsi="Arial" w:cs="Arial"/>
          <w:lang w:val="es-MX"/>
        </w:rPr>
        <w:t>(Expediente Público, 2023)</w:t>
      </w:r>
      <w:r w:rsidR="000064FD">
        <w:rPr>
          <w:rFonts w:ascii="Arial" w:hAnsi="Arial" w:cs="Arial"/>
        </w:rPr>
        <w:fldChar w:fldCharType="end"/>
      </w:r>
      <w:r w:rsidR="000064FD">
        <w:rPr>
          <w:rFonts w:ascii="Arial" w:hAnsi="Arial" w:cs="Arial"/>
        </w:rPr>
        <w:t xml:space="preserve">. </w:t>
      </w:r>
      <w:r w:rsidR="000064FD" w:rsidRPr="000D10BB">
        <w:rPr>
          <w:rFonts w:ascii="Arial" w:hAnsi="Arial" w:cs="Arial"/>
        </w:rPr>
        <w:t xml:space="preserve"> </w:t>
      </w:r>
    </w:p>
    <w:p w14:paraId="61A89188" w14:textId="65C0A650" w:rsidR="00340DD5" w:rsidRDefault="00560B5F" w:rsidP="00015050">
      <w:pPr>
        <w:spacing w:after="240" w:line="360" w:lineRule="auto"/>
        <w:jc w:val="both"/>
        <w:rPr>
          <w:rFonts w:ascii="Arial" w:hAnsi="Arial" w:cs="Arial"/>
        </w:rPr>
      </w:pPr>
      <w:r w:rsidRPr="00A31E41">
        <w:rPr>
          <w:rFonts w:ascii="Arial" w:hAnsi="Arial" w:cs="Arial"/>
          <w:color w:val="000000" w:themeColor="text1"/>
        </w:rPr>
        <w:t>En lo que respecta a la I</w:t>
      </w:r>
      <w:r w:rsidR="002C1A4E" w:rsidRPr="00A31E41">
        <w:rPr>
          <w:rFonts w:ascii="Arial" w:hAnsi="Arial" w:cs="Arial"/>
          <w:color w:val="000000" w:themeColor="text1"/>
        </w:rPr>
        <w:t>ED China hacia Nicaragua</w:t>
      </w:r>
      <w:r w:rsidRPr="00A31E41">
        <w:rPr>
          <w:rFonts w:ascii="Arial" w:hAnsi="Arial" w:cs="Arial"/>
          <w:color w:val="000000" w:themeColor="text1"/>
        </w:rPr>
        <w:t>, esta</w:t>
      </w:r>
      <w:r w:rsidR="002C1A4E" w:rsidRPr="00A31E41">
        <w:rPr>
          <w:rFonts w:ascii="Arial" w:hAnsi="Arial" w:cs="Arial"/>
          <w:color w:val="000000" w:themeColor="text1"/>
        </w:rPr>
        <w:t xml:space="preserve"> muestra una tendencia </w:t>
      </w:r>
      <w:r w:rsidRPr="00A31E41">
        <w:rPr>
          <w:rFonts w:ascii="Arial" w:hAnsi="Arial" w:cs="Arial"/>
          <w:color w:val="000000" w:themeColor="text1"/>
        </w:rPr>
        <w:t xml:space="preserve">inestable </w:t>
      </w:r>
      <w:r w:rsidR="002C1A4E" w:rsidRPr="00A31E41">
        <w:rPr>
          <w:rFonts w:ascii="Arial" w:hAnsi="Arial" w:cs="Arial"/>
          <w:color w:val="000000" w:themeColor="text1"/>
        </w:rPr>
        <w:t>entre 2008 y 2020. Hasta 20</w:t>
      </w:r>
      <w:r w:rsidR="002C1A4E" w:rsidRPr="002C1A4E">
        <w:rPr>
          <w:rFonts w:ascii="Arial" w:hAnsi="Arial" w:cs="Arial"/>
        </w:rPr>
        <w:t>10, la IED era prácticamente inexistente, pero comienza a aumentar modestamente en 2010 y 2011</w:t>
      </w:r>
      <w:r w:rsidR="006C328E">
        <w:rPr>
          <w:rFonts w:ascii="Arial" w:hAnsi="Arial" w:cs="Arial"/>
        </w:rPr>
        <w:t xml:space="preserve"> a llegar a un</w:t>
      </w:r>
      <w:r w:rsidR="002C1A4E" w:rsidRPr="002C1A4E">
        <w:rPr>
          <w:rFonts w:ascii="Arial" w:hAnsi="Arial" w:cs="Arial"/>
        </w:rPr>
        <w:t xml:space="preserve"> notable incremento </w:t>
      </w:r>
      <w:r w:rsidR="006C328E">
        <w:rPr>
          <w:rFonts w:ascii="Arial" w:hAnsi="Arial" w:cs="Arial"/>
        </w:rPr>
        <w:t xml:space="preserve">que </w:t>
      </w:r>
      <w:r w:rsidR="002C1A4E" w:rsidRPr="002C1A4E">
        <w:rPr>
          <w:rFonts w:ascii="Arial" w:hAnsi="Arial" w:cs="Arial"/>
        </w:rPr>
        <w:t xml:space="preserve">se da en 2012, seguido de un año sin inversiones en 2013. </w:t>
      </w:r>
    </w:p>
    <w:p w14:paraId="37E0C190" w14:textId="77777777" w:rsidR="00340DD5" w:rsidRDefault="00340DD5" w:rsidP="00142C39">
      <w:pPr>
        <w:rPr>
          <w:rFonts w:ascii="Arial" w:hAnsi="Arial" w:cs="Arial"/>
        </w:rPr>
      </w:pPr>
    </w:p>
    <w:p w14:paraId="72F553C3" w14:textId="7921650E" w:rsidR="002C1A4E" w:rsidRPr="00795AAA" w:rsidRDefault="002C1A4E" w:rsidP="00795AAA">
      <w:pPr>
        <w:pStyle w:val="Descripcin"/>
        <w:keepNext/>
        <w:spacing w:line="360" w:lineRule="auto"/>
        <w:rPr>
          <w:rFonts w:ascii="Arial" w:hAnsi="Arial" w:cs="Arial"/>
          <w:color w:val="000000" w:themeColor="text1"/>
          <w:sz w:val="24"/>
          <w:szCs w:val="24"/>
        </w:rPr>
      </w:pPr>
      <w:bookmarkStart w:id="66" w:name="_Toc215907254"/>
      <w:r w:rsidRPr="00795AAA">
        <w:rPr>
          <w:rFonts w:ascii="Arial" w:hAnsi="Arial" w:cs="Arial"/>
          <w:b/>
          <w:bCs/>
          <w:i w:val="0"/>
          <w:iCs w:val="0"/>
          <w:color w:val="000000" w:themeColor="text1"/>
          <w:sz w:val="24"/>
          <w:szCs w:val="24"/>
        </w:rPr>
        <w:t xml:space="preserve">Gráfico </w:t>
      </w:r>
      <w:r w:rsidRPr="00795AAA">
        <w:rPr>
          <w:rFonts w:ascii="Arial" w:hAnsi="Arial" w:cs="Arial"/>
          <w:b/>
          <w:bCs/>
          <w:i w:val="0"/>
          <w:iCs w:val="0"/>
          <w:color w:val="000000" w:themeColor="text1"/>
          <w:sz w:val="24"/>
          <w:szCs w:val="24"/>
        </w:rPr>
        <w:fldChar w:fldCharType="begin"/>
      </w:r>
      <w:r w:rsidRPr="00795AAA">
        <w:rPr>
          <w:rFonts w:ascii="Arial" w:hAnsi="Arial" w:cs="Arial"/>
          <w:b/>
          <w:bCs/>
          <w:i w:val="0"/>
          <w:iCs w:val="0"/>
          <w:color w:val="000000" w:themeColor="text1"/>
          <w:sz w:val="24"/>
          <w:szCs w:val="24"/>
        </w:rPr>
        <w:instrText xml:space="preserve"> SEQ Gráfico \* ARABIC </w:instrText>
      </w:r>
      <w:r w:rsidRPr="00795AAA">
        <w:rPr>
          <w:rFonts w:ascii="Arial" w:hAnsi="Arial" w:cs="Arial"/>
          <w:b/>
          <w:bCs/>
          <w:i w:val="0"/>
          <w:iCs w:val="0"/>
          <w:color w:val="000000" w:themeColor="text1"/>
          <w:sz w:val="24"/>
          <w:szCs w:val="24"/>
        </w:rPr>
        <w:fldChar w:fldCharType="separate"/>
      </w:r>
      <w:r w:rsidR="00C41F6F" w:rsidRPr="00795AAA">
        <w:rPr>
          <w:rFonts w:ascii="Arial" w:hAnsi="Arial" w:cs="Arial"/>
          <w:b/>
          <w:bCs/>
          <w:i w:val="0"/>
          <w:iCs w:val="0"/>
          <w:noProof/>
          <w:color w:val="000000" w:themeColor="text1"/>
          <w:sz w:val="24"/>
          <w:szCs w:val="24"/>
        </w:rPr>
        <w:t>13</w:t>
      </w:r>
      <w:r w:rsidRPr="00795AAA">
        <w:rPr>
          <w:rFonts w:ascii="Arial" w:hAnsi="Arial" w:cs="Arial"/>
          <w:b/>
          <w:bCs/>
          <w:i w:val="0"/>
          <w:iCs w:val="0"/>
          <w:color w:val="000000" w:themeColor="text1"/>
          <w:sz w:val="24"/>
          <w:szCs w:val="24"/>
        </w:rPr>
        <w:fldChar w:fldCharType="end"/>
      </w:r>
      <w:r w:rsidRPr="002C1A4E">
        <w:rPr>
          <w:rFonts w:ascii="Arial" w:hAnsi="Arial" w:cs="Arial"/>
          <w:color w:val="000000" w:themeColor="text1"/>
          <w:sz w:val="24"/>
          <w:szCs w:val="24"/>
        </w:rPr>
        <w:t xml:space="preserve"> </w:t>
      </w:r>
      <w:r w:rsidRPr="00795AAA">
        <w:rPr>
          <w:rFonts w:ascii="Arial" w:hAnsi="Arial" w:cs="Arial"/>
          <w:color w:val="000000" w:themeColor="text1"/>
          <w:sz w:val="24"/>
          <w:szCs w:val="24"/>
        </w:rPr>
        <w:t xml:space="preserve">Inversión Extranjera Directa desde China hacia </w:t>
      </w:r>
      <w:r w:rsidR="00486200" w:rsidRPr="00795AAA">
        <w:rPr>
          <w:rFonts w:ascii="Arial" w:hAnsi="Arial" w:cs="Arial"/>
          <w:color w:val="000000" w:themeColor="text1"/>
          <w:sz w:val="24"/>
          <w:szCs w:val="24"/>
        </w:rPr>
        <w:t xml:space="preserve">Nicaragua </w:t>
      </w:r>
      <w:r w:rsidRPr="00795AAA">
        <w:rPr>
          <w:rFonts w:ascii="Arial" w:hAnsi="Arial" w:cs="Arial"/>
          <w:color w:val="000000" w:themeColor="text1"/>
          <w:sz w:val="24"/>
          <w:szCs w:val="24"/>
        </w:rPr>
        <w:t>(2008-2022)</w:t>
      </w:r>
      <w:bookmarkEnd w:id="66"/>
    </w:p>
    <w:p w14:paraId="42EC5F29" w14:textId="63656044" w:rsidR="002C1A4E" w:rsidRPr="00795AAA" w:rsidRDefault="002C1A4E" w:rsidP="00795AAA">
      <w:pPr>
        <w:spacing w:line="360" w:lineRule="auto"/>
        <w:rPr>
          <w:rFonts w:ascii="Arial" w:hAnsi="Arial" w:cs="Arial"/>
          <w:i/>
          <w:iCs/>
          <w:color w:val="000000" w:themeColor="text1"/>
        </w:rPr>
      </w:pPr>
      <w:r w:rsidRPr="00795AAA">
        <w:rPr>
          <w:rFonts w:ascii="Arial" w:hAnsi="Arial" w:cs="Arial"/>
          <w:i/>
          <w:iCs/>
          <w:color w:val="000000" w:themeColor="text1"/>
        </w:rPr>
        <w:t>Millones de dólares</w:t>
      </w:r>
    </w:p>
    <w:p w14:paraId="5273618F" w14:textId="77AB3C7F" w:rsidR="00142C39" w:rsidRDefault="00403C37" w:rsidP="00142C39">
      <w:pPr>
        <w:rPr>
          <w:rFonts w:ascii="Arial" w:hAnsi="Arial" w:cs="Arial"/>
        </w:rPr>
      </w:pPr>
      <w:r>
        <w:rPr>
          <w:noProof/>
        </w:rPr>
        <w:drawing>
          <wp:inline distT="0" distB="0" distL="0" distR="0" wp14:anchorId="7F3CD4A3" wp14:editId="14A14A44">
            <wp:extent cx="5515583" cy="2937753"/>
            <wp:effectExtent l="0" t="0" r="0" b="0"/>
            <wp:docPr id="594760256" name="Gráfico 1">
              <a:extLst xmlns:a="http://schemas.openxmlformats.org/drawingml/2006/main">
                <a:ext uri="{FF2B5EF4-FFF2-40B4-BE49-F238E27FC236}">
                  <a16:creationId xmlns:a16="http://schemas.microsoft.com/office/drawing/2014/main" id="{268BD516-8277-A8C7-6881-70E8B5A79D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B9ADA2D" w14:textId="72705C10" w:rsidR="00015050" w:rsidRPr="001A6B7B" w:rsidRDefault="00331BB8" w:rsidP="00015050">
      <w:pPr>
        <w:rPr>
          <w:rFonts w:ascii="Arial" w:hAnsi="Arial" w:cs="Arial"/>
        </w:rPr>
      </w:pPr>
      <w:r>
        <w:rPr>
          <w:rFonts w:ascii="Arial" w:hAnsi="Arial" w:cs="Arial"/>
        </w:rPr>
        <w:t xml:space="preserve">Fuente: </w:t>
      </w:r>
      <w:r w:rsidR="00015050" w:rsidRPr="001A6B7B">
        <w:rPr>
          <w:rFonts w:ascii="Arial" w:hAnsi="Arial" w:cs="Arial"/>
        </w:rPr>
        <w:t xml:space="preserve">Elaboración propia con datos </w:t>
      </w:r>
      <w:r w:rsidR="00015050">
        <w:rPr>
          <w:rFonts w:ascii="Arial" w:hAnsi="Arial" w:cs="Arial"/>
        </w:rPr>
        <w:t>del SIECA</w:t>
      </w:r>
    </w:p>
    <w:p w14:paraId="3FD9204D" w14:textId="77777777" w:rsidR="002E216D" w:rsidRDefault="002E216D" w:rsidP="00015050">
      <w:pPr>
        <w:spacing w:after="240" w:line="360" w:lineRule="auto"/>
        <w:jc w:val="both"/>
        <w:rPr>
          <w:rFonts w:ascii="Arial" w:hAnsi="Arial" w:cs="Arial"/>
        </w:rPr>
      </w:pPr>
    </w:p>
    <w:p w14:paraId="6C8FA78D" w14:textId="7F677AA6" w:rsidR="00331BB8" w:rsidRDefault="00331BB8" w:rsidP="00015050">
      <w:pPr>
        <w:spacing w:after="240" w:line="360" w:lineRule="auto"/>
        <w:jc w:val="both"/>
        <w:rPr>
          <w:rFonts w:ascii="Arial" w:hAnsi="Arial" w:cs="Arial"/>
        </w:rPr>
      </w:pPr>
      <w:r w:rsidRPr="002C1A4E">
        <w:rPr>
          <w:rFonts w:ascii="Arial" w:hAnsi="Arial" w:cs="Arial"/>
        </w:rPr>
        <w:t>La cifra se dispara en 2014 y alcanza su pico en 2015 con 90,55 millones de dólares</w:t>
      </w:r>
      <w:r>
        <w:rPr>
          <w:rFonts w:ascii="Arial" w:hAnsi="Arial" w:cs="Arial"/>
        </w:rPr>
        <w:t xml:space="preserve">, esto coincide con los planes de proyecto del gran canal interoceánico en Nicaragua, en el cual China era el principal inversor con la empresa </w:t>
      </w:r>
      <w:r w:rsidRPr="00331BB8">
        <w:rPr>
          <w:rFonts w:ascii="Arial" w:hAnsi="Arial" w:cs="Arial"/>
        </w:rPr>
        <w:t xml:space="preserve">Hong Kong Nicaragua Canal </w:t>
      </w:r>
      <w:proofErr w:type="spellStart"/>
      <w:r w:rsidRPr="00331BB8">
        <w:rPr>
          <w:rFonts w:ascii="Arial" w:hAnsi="Arial" w:cs="Arial"/>
        </w:rPr>
        <w:t>Development</w:t>
      </w:r>
      <w:proofErr w:type="spellEnd"/>
      <w:r w:rsidRPr="00331BB8">
        <w:rPr>
          <w:rFonts w:ascii="Arial" w:hAnsi="Arial" w:cs="Arial"/>
        </w:rPr>
        <w:t xml:space="preserve"> (HKND)</w:t>
      </w:r>
      <w:r w:rsidR="000064FD">
        <w:rPr>
          <w:rFonts w:ascii="Arial" w:hAnsi="Arial" w:cs="Arial"/>
        </w:rPr>
        <w:t xml:space="preserve"> </w:t>
      </w:r>
      <w:r w:rsidR="000064FD">
        <w:rPr>
          <w:rFonts w:ascii="Arial" w:hAnsi="Arial" w:cs="Arial"/>
        </w:rPr>
        <w:fldChar w:fldCharType="begin"/>
      </w:r>
      <w:r w:rsidR="000064FD">
        <w:rPr>
          <w:rFonts w:ascii="Arial" w:hAnsi="Arial" w:cs="Arial"/>
        </w:rPr>
        <w:instrText xml:space="preserve"> ADDIN ZOTERO_ITEM CSL_CITATION {"citationID":"kwreaTSx","properties":{"formattedCitation":"(Guzm\\uc0\\u225{}n, 2022)","plainCitation":"(Guzmán, 2022)","noteIndex":0},"citationItems":[{"id":1937,"uris":["http://zotero.org/users/10063313/items/5GCE4PHJ"],"itemData":{"id":1937,"type":"webpage","container-title":"dw.com","language":"es","title":"El fantasma del canal de Nicaragua que no se vislumbra","URL":"https://www.dw.com/es/el-fantasma-del-canal-interoce%C3%A1nico-de-nicaragua-que-no-se-vislumbra/a-63933731","author":[{"family":"Guzmán","given":"Nicolás"}],"accessed":{"date-parts":[["2024",4,15]]},"issued":{"date-parts":[["2022",11,29]]}}}],"schema":"https://github.com/citation-style-language/schema/raw/master/csl-citation.json"} </w:instrText>
      </w:r>
      <w:r w:rsidR="000064FD">
        <w:rPr>
          <w:rFonts w:ascii="Arial" w:hAnsi="Arial" w:cs="Arial"/>
        </w:rPr>
        <w:fldChar w:fldCharType="separate"/>
      </w:r>
      <w:r w:rsidR="000064FD" w:rsidRPr="000064FD">
        <w:rPr>
          <w:rFonts w:ascii="Arial" w:hAnsi="Arial" w:cs="Arial"/>
          <w:lang w:val="es-MX"/>
        </w:rPr>
        <w:t>(Guzmán, 2022)</w:t>
      </w:r>
      <w:r w:rsidR="000064FD">
        <w:rPr>
          <w:rFonts w:ascii="Arial" w:hAnsi="Arial" w:cs="Arial"/>
        </w:rPr>
        <w:fldChar w:fldCharType="end"/>
      </w:r>
      <w:r w:rsidR="000064FD">
        <w:rPr>
          <w:rFonts w:ascii="Arial" w:hAnsi="Arial" w:cs="Arial"/>
        </w:rPr>
        <w:t xml:space="preserve">, </w:t>
      </w:r>
      <w:r>
        <w:rPr>
          <w:rFonts w:ascii="Arial" w:hAnsi="Arial" w:cs="Arial"/>
        </w:rPr>
        <w:t>e</w:t>
      </w:r>
      <w:r w:rsidRPr="00331BB8">
        <w:rPr>
          <w:rFonts w:ascii="Arial" w:hAnsi="Arial" w:cs="Arial"/>
        </w:rPr>
        <w:t>ste proyecto no solo pretendía conectar el Atlántico con el Pacífico, sino que también se esperaba que transformara significativamente la economía nicaragüense mediante la creación de empleos y el desarrollo de infraestructura</w:t>
      </w:r>
      <w:r w:rsidR="00A9220C">
        <w:rPr>
          <w:rFonts w:ascii="Arial" w:hAnsi="Arial" w:cs="Arial"/>
        </w:rPr>
        <w:t xml:space="preserve"> </w:t>
      </w:r>
      <w:r w:rsidR="00A9220C">
        <w:rPr>
          <w:rFonts w:ascii="Arial" w:hAnsi="Arial" w:cs="Arial"/>
        </w:rPr>
        <w:fldChar w:fldCharType="begin"/>
      </w:r>
      <w:r w:rsidR="00072553">
        <w:rPr>
          <w:rFonts w:ascii="Arial" w:hAnsi="Arial" w:cs="Arial"/>
        </w:rPr>
        <w:instrText xml:space="preserve"> ADDIN ZOTERO_ITEM CSL_CITATION {"citationID":"mUoiuaWN","properties":{"formattedCitation":"(O\\uc0\\u8217{}Boyle, 2015)","plainCitation":"(O’Boyle, 2015)","noteIndex":0},"citationItems":[{"id":1939,"uris":["http://zotero.org/users/10063313/items/JK2RZ3C6"],"itemData":{"id":1939,"type":"webpage","language":"en","title":"Explainer: Seven Points on Nicaragua's Massive Canal Project","title-short":"Explainer","URL":"https://www.as-coa.org/articles/explainer-seven-points-nicaraguas-massive-canal-project","author":[{"family":"O'Boyle","given":"Brendan"}],"accessed":{"date-parts":[["2024",4,15]]},"issued":{"date-parts":[["2015",1,14]]}}}],"schema":"https://github.com/citation-style-language/schema/raw/master/csl-citation.json"} </w:instrText>
      </w:r>
      <w:r w:rsidR="00A9220C">
        <w:rPr>
          <w:rFonts w:ascii="Arial" w:hAnsi="Arial" w:cs="Arial"/>
        </w:rPr>
        <w:fldChar w:fldCharType="separate"/>
      </w:r>
      <w:r w:rsidR="00A9220C" w:rsidRPr="00A9220C">
        <w:rPr>
          <w:rFonts w:ascii="Arial" w:hAnsi="Arial" w:cs="Arial"/>
          <w:lang w:val="es-MX"/>
        </w:rPr>
        <w:t>(O’Boyle, 2015)</w:t>
      </w:r>
      <w:r w:rsidR="00A9220C">
        <w:rPr>
          <w:rFonts w:ascii="Arial" w:hAnsi="Arial" w:cs="Arial"/>
        </w:rPr>
        <w:fldChar w:fldCharType="end"/>
      </w:r>
      <w:r w:rsidR="00A9220C">
        <w:rPr>
          <w:rFonts w:ascii="Arial" w:hAnsi="Arial" w:cs="Arial"/>
        </w:rPr>
        <w:t xml:space="preserve">, </w:t>
      </w:r>
      <w:r w:rsidR="000064FD">
        <w:rPr>
          <w:rFonts w:ascii="Arial" w:hAnsi="Arial" w:cs="Arial"/>
        </w:rPr>
        <w:t xml:space="preserve"> </w:t>
      </w:r>
      <w:r>
        <w:rPr>
          <w:rFonts w:ascii="Arial" w:hAnsi="Arial" w:cs="Arial"/>
        </w:rPr>
        <w:t xml:space="preserve">sin embargo, </w:t>
      </w:r>
      <w:r w:rsidRPr="00331BB8">
        <w:rPr>
          <w:rFonts w:ascii="Arial" w:hAnsi="Arial" w:cs="Arial"/>
        </w:rPr>
        <w:t>el proyecto se estancó, enfrentando dificultades financieras y preocupaciones ambientales y políticas, lo que llevó a un declive notable después de 2016​</w:t>
      </w:r>
      <w:r>
        <w:rPr>
          <w:rFonts w:ascii="Arial" w:hAnsi="Arial" w:cs="Arial"/>
        </w:rPr>
        <w:t>.</w:t>
      </w:r>
    </w:p>
    <w:p w14:paraId="3A41B139" w14:textId="7315AB3F" w:rsidR="00331BB8" w:rsidRDefault="00331BB8" w:rsidP="00015050">
      <w:pPr>
        <w:spacing w:after="240" w:line="360" w:lineRule="auto"/>
        <w:jc w:val="both"/>
        <w:rPr>
          <w:rFonts w:ascii="Arial" w:hAnsi="Arial" w:cs="Arial"/>
        </w:rPr>
      </w:pPr>
      <w:r>
        <w:rPr>
          <w:rFonts w:ascii="Arial" w:hAnsi="Arial" w:cs="Arial"/>
        </w:rPr>
        <w:t>Para el 2017</w:t>
      </w:r>
      <w:r w:rsidRPr="002C1A4E">
        <w:rPr>
          <w:rFonts w:ascii="Arial" w:hAnsi="Arial" w:cs="Arial"/>
        </w:rPr>
        <w:t>, la IED comienza a declinar considerablemente, llegando a cifras más bajas en años subsiguientes hasta llegar a 2,62 millones en 2020</w:t>
      </w:r>
      <w:r>
        <w:rPr>
          <w:rFonts w:ascii="Arial" w:hAnsi="Arial" w:cs="Arial"/>
        </w:rPr>
        <w:t>.</w:t>
      </w:r>
    </w:p>
    <w:p w14:paraId="5A84C6B6" w14:textId="77777777" w:rsidR="00142C39" w:rsidRPr="00A31E41" w:rsidRDefault="00142C39" w:rsidP="00142C39">
      <w:pPr>
        <w:rPr>
          <w:rFonts w:ascii="Arial" w:hAnsi="Arial" w:cs="Arial"/>
          <w:color w:val="000000" w:themeColor="text1"/>
          <w:sz w:val="28"/>
          <w:szCs w:val="28"/>
        </w:rPr>
      </w:pPr>
    </w:p>
    <w:p w14:paraId="020810F2" w14:textId="7C89A5BD" w:rsidR="00015050" w:rsidRPr="00A31E41" w:rsidRDefault="00560B5F" w:rsidP="00560B5F">
      <w:pPr>
        <w:spacing w:line="360" w:lineRule="auto"/>
        <w:rPr>
          <w:rFonts w:ascii="Arial" w:hAnsi="Arial" w:cs="Arial"/>
          <w:b/>
          <w:bCs/>
          <w:color w:val="000000" w:themeColor="text1"/>
          <w:sz w:val="28"/>
          <w:szCs w:val="28"/>
        </w:rPr>
      </w:pPr>
      <w:r w:rsidRPr="00A31E41">
        <w:rPr>
          <w:rFonts w:ascii="Arial" w:hAnsi="Arial" w:cs="Arial"/>
          <w:b/>
          <w:bCs/>
          <w:color w:val="000000" w:themeColor="text1"/>
          <w:sz w:val="28"/>
          <w:szCs w:val="28"/>
        </w:rPr>
        <w:t xml:space="preserve">Tratado de Libre Comercio entre </w:t>
      </w:r>
      <w:r w:rsidR="00B72B0A" w:rsidRPr="00A31E41">
        <w:rPr>
          <w:rFonts w:ascii="Arial" w:hAnsi="Arial" w:cs="Arial"/>
          <w:b/>
          <w:bCs/>
          <w:color w:val="000000" w:themeColor="text1"/>
          <w:sz w:val="28"/>
          <w:szCs w:val="28"/>
        </w:rPr>
        <w:t>Ecuador</w:t>
      </w:r>
      <w:r w:rsidRPr="00A31E41">
        <w:rPr>
          <w:rFonts w:ascii="Arial" w:hAnsi="Arial" w:cs="Arial"/>
          <w:b/>
          <w:bCs/>
          <w:color w:val="000000" w:themeColor="text1"/>
          <w:sz w:val="28"/>
          <w:szCs w:val="28"/>
        </w:rPr>
        <w:t xml:space="preserve"> y China</w:t>
      </w:r>
    </w:p>
    <w:p w14:paraId="26F3D3EB" w14:textId="311C73EC" w:rsidR="001A028E" w:rsidRPr="00015050" w:rsidRDefault="001A028E" w:rsidP="00015050">
      <w:pPr>
        <w:spacing w:after="240" w:line="360" w:lineRule="auto"/>
        <w:jc w:val="both"/>
        <w:rPr>
          <w:rFonts w:ascii="Arial" w:hAnsi="Arial" w:cs="Arial"/>
        </w:rPr>
      </w:pPr>
      <w:r w:rsidRPr="00015050">
        <w:rPr>
          <w:rFonts w:ascii="Arial" w:hAnsi="Arial" w:cs="Arial"/>
        </w:rPr>
        <w:lastRenderedPageBreak/>
        <w:t>Ecuador, al igual que Nicaragua, negoció el acuerdo comercial con China en 2023</w:t>
      </w:r>
      <w:r w:rsidR="00560B5F">
        <w:rPr>
          <w:rFonts w:ascii="Arial" w:hAnsi="Arial" w:cs="Arial"/>
        </w:rPr>
        <w:t>. A</w:t>
      </w:r>
      <w:r w:rsidRPr="00015050">
        <w:rPr>
          <w:rFonts w:ascii="Arial" w:hAnsi="Arial" w:cs="Arial"/>
        </w:rPr>
        <w:t xml:space="preserve"> pesar de tener relaciones diplomáticas desde 1980 con el país asiático, el país no había entrado en un TLC hasta enero de 2023, cuando después de 4 rondas de negociación se aprobó el acuerdo entre las dos naciones, firmándose el 10 de mayo de 2023</w:t>
      </w:r>
      <w:r w:rsidR="00CE267E" w:rsidRPr="00015050">
        <w:rPr>
          <w:rFonts w:ascii="Arial" w:hAnsi="Arial" w:cs="Arial"/>
        </w:rPr>
        <w:t xml:space="preserve"> </w:t>
      </w:r>
      <w:r w:rsidR="00072553" w:rsidRPr="00015050">
        <w:rPr>
          <w:rFonts w:ascii="Arial" w:hAnsi="Arial" w:cs="Arial"/>
        </w:rPr>
        <w:fldChar w:fldCharType="begin"/>
      </w:r>
      <w:r w:rsidR="00072553" w:rsidRPr="00015050">
        <w:rPr>
          <w:rFonts w:ascii="Arial" w:hAnsi="Arial" w:cs="Arial"/>
        </w:rPr>
        <w:instrText xml:space="preserve"> ADDIN ZOTERO_ITEM CSL_CITATION {"citationID":"IEcMNSKj","properties":{"formattedCitation":"(Canciller\\uc0\\u237{}a del Ecuador, 2021; Sistema de Informaci\\uc0\\u243{}n sobre Comercio Exterior (SICE), 2022)","plainCitation":"(Cancillería del Ecuador, 2021; Sistema de Información sobre Comercio Exterior (SICE), 2022)","noteIndex":0},"citationItems":[{"id":1949,"uris":["http://zotero.org/users/10063313/items/CEXHEB43"],"itemData":{"id":1949,"type":"webpage","title":"Relación Bilateral – China","URL":"https://www.cancilleria.gob.ec/china/relacion-bilateral/","author":[{"literal":"Cancillería del Ecuador"}],"accessed":{"date-parts":[["2024",4,15]]},"issued":{"date-parts":[["2021"]]}}},{"id":1951,"uris":["http://zotero.org/users/10063313/items/QBJQHKJJ"],"itemData":{"id":1951,"type":"report","title":"Ecuador-China","author":[{"literal":"Sistema de Información sobre Comercio Exterior (SICE)"}],"issued":{"date-parts":[["2022"]]}}}],"schema":"https://github.com/citation-style-language/schema/raw/master/csl-citation.json"} </w:instrText>
      </w:r>
      <w:r w:rsidR="00072553" w:rsidRPr="00015050">
        <w:rPr>
          <w:rFonts w:ascii="Arial" w:hAnsi="Arial" w:cs="Arial"/>
        </w:rPr>
        <w:fldChar w:fldCharType="separate"/>
      </w:r>
      <w:r w:rsidR="00072553" w:rsidRPr="00015050">
        <w:rPr>
          <w:rFonts w:ascii="Arial" w:hAnsi="Arial" w:cs="Arial"/>
          <w:lang w:val="es-MX"/>
        </w:rPr>
        <w:t>(Cancillería del Ecuador, 2021; Sistema de Información sobre Comercio Exterior (SICE), 2022)</w:t>
      </w:r>
      <w:r w:rsidR="00072553" w:rsidRPr="00015050">
        <w:rPr>
          <w:rFonts w:ascii="Arial" w:hAnsi="Arial" w:cs="Arial"/>
        </w:rPr>
        <w:fldChar w:fldCharType="end"/>
      </w:r>
      <w:r w:rsidR="00072553" w:rsidRPr="00015050">
        <w:rPr>
          <w:rFonts w:ascii="Arial" w:hAnsi="Arial" w:cs="Arial"/>
        </w:rPr>
        <w:t xml:space="preserve">. </w:t>
      </w:r>
      <w:r w:rsidRPr="00015050">
        <w:rPr>
          <w:rFonts w:ascii="Arial" w:hAnsi="Arial" w:cs="Arial"/>
        </w:rPr>
        <w:t xml:space="preserve">Como confirmó Sonsoles García, ministra de Producción, el acuerdo comercial entra en vigencia a partir de mayo de 2024 </w:t>
      </w:r>
      <w:r w:rsidRPr="00015050">
        <w:rPr>
          <w:rFonts w:ascii="Arial" w:hAnsi="Arial" w:cs="Arial"/>
        </w:rPr>
        <w:fldChar w:fldCharType="begin"/>
      </w:r>
      <w:r w:rsidRPr="00015050">
        <w:rPr>
          <w:rFonts w:ascii="Arial" w:hAnsi="Arial" w:cs="Arial"/>
        </w:rPr>
        <w:instrText xml:space="preserve"> ADDIN ZOTERO_ITEM CSL_CITATION {"citationID":"oeUV88OD","properties":{"formattedCitation":"(Primicias, 2024)","plainCitation":"(Primicias, 2024)","noteIndex":0},"citationItems":[{"id":1941,"uris":["http://zotero.org/users/10063313/items/849MUXK7"],"itemData":{"id":1941,"type":"post-weblog","language":"es","title":"El acuerdo comercial con China entrará en vigencia el 1 de mayo","URL":"https://www.primicias.ec/noticias/economia/acuerdo-comercial-china-exportaciones-importaciones/","author":[{"literal":"Primicias"}],"accessed":{"date-parts":[["2024",4,15]]},"issued":{"date-parts":[["2024"]]}}}],"schema":"https://github.com/citation-style-language/schema/raw/master/csl-citation.json"} </w:instrText>
      </w:r>
      <w:r w:rsidRPr="00015050">
        <w:rPr>
          <w:rFonts w:ascii="Arial" w:hAnsi="Arial" w:cs="Arial"/>
        </w:rPr>
        <w:fldChar w:fldCharType="separate"/>
      </w:r>
      <w:r w:rsidRPr="00015050">
        <w:rPr>
          <w:rFonts w:ascii="Arial" w:hAnsi="Arial" w:cs="Arial"/>
          <w:noProof/>
        </w:rPr>
        <w:t>(Primicias, 2024)</w:t>
      </w:r>
      <w:r w:rsidRPr="00015050">
        <w:rPr>
          <w:rFonts w:ascii="Arial" w:hAnsi="Arial" w:cs="Arial"/>
        </w:rPr>
        <w:fldChar w:fldCharType="end"/>
      </w:r>
      <w:r w:rsidRPr="00015050">
        <w:rPr>
          <w:rFonts w:ascii="Arial" w:hAnsi="Arial" w:cs="Arial"/>
        </w:rPr>
        <w:t>.</w:t>
      </w:r>
    </w:p>
    <w:p w14:paraId="5E73ADD1" w14:textId="08FAEF87" w:rsidR="00346D70" w:rsidRPr="00015050" w:rsidRDefault="00346D70" w:rsidP="00015050">
      <w:pPr>
        <w:spacing w:after="240" w:line="360" w:lineRule="auto"/>
        <w:jc w:val="both"/>
        <w:rPr>
          <w:rFonts w:ascii="Arial" w:hAnsi="Arial" w:cs="Arial"/>
        </w:rPr>
      </w:pPr>
      <w:r w:rsidRPr="00015050">
        <w:rPr>
          <w:rFonts w:ascii="Arial" w:hAnsi="Arial" w:cs="Arial"/>
        </w:rPr>
        <w:t xml:space="preserve">En el análisis de </w:t>
      </w:r>
      <w:r w:rsidR="00685F30" w:rsidRPr="00015050">
        <w:rPr>
          <w:rFonts w:ascii="Arial" w:hAnsi="Arial" w:cs="Arial"/>
        </w:rPr>
        <w:fldChar w:fldCharType="begin"/>
      </w:r>
      <w:r w:rsidR="00072553" w:rsidRPr="00015050">
        <w:rPr>
          <w:rFonts w:ascii="Arial" w:hAnsi="Arial" w:cs="Arial"/>
        </w:rPr>
        <w:instrText xml:space="preserve"> ADDIN ZOTERO_ITEM CSL_CITATION {"citationID":"8e06siwK","properties":{"formattedCitation":"(J. E. Dur\\uc0\\u225{}n Lima &amp; Morales Pi\\uc0\\u241{}ero, 2024)","plainCitation":"(J. E. Durán Lima &amp; Morales Piñero, 2024)","dontUpdate":true,"noteIndex":0},"citationItems":[{"id":1947,"uris":["http://zotero.org/users/10063313/items/VBZM7UD5"],"itemData":{"id":1947,"type":"book","language":"es","note":"journalAbbreviation: Estudio sobre los posibles impactos de un acuerdo comercial entre el Ecuador y China","publisher":"Comisión Económica para América Latina y el Caribe","source":"www.cepal.org","title":"Estudio sobre los posibles impactos de un acuerdo comercial entre el Ecuador y China","URL":"https://www.cepal.org/es/publicaciones/68861-estudio-posibles-impactos-un-acuerdo-comercial-ecuador-china","author":[{"family":"Durán Lima","given":"José Elías"},{"family":"Morales Piñero","given":"Jesús"}],"accessed":{"date-parts":[["2024",4,15]]},"issued":{"date-parts":[["2024",1,26]]}}}],"schema":"https://github.com/citation-style-language/schema/raw/master/csl-citation.json"} </w:instrText>
      </w:r>
      <w:r w:rsidR="00685F30" w:rsidRPr="00015050">
        <w:rPr>
          <w:rFonts w:ascii="Arial" w:hAnsi="Arial" w:cs="Arial"/>
        </w:rPr>
        <w:fldChar w:fldCharType="separate"/>
      </w:r>
      <w:r w:rsidR="00685F30" w:rsidRPr="00015050">
        <w:rPr>
          <w:rFonts w:ascii="Arial" w:hAnsi="Arial" w:cs="Arial"/>
          <w:lang w:val="es-MX"/>
        </w:rPr>
        <w:t>Durán Lima et al. (2024)</w:t>
      </w:r>
      <w:r w:rsidR="00685F30" w:rsidRPr="00015050">
        <w:rPr>
          <w:rFonts w:ascii="Arial" w:hAnsi="Arial" w:cs="Arial"/>
        </w:rPr>
        <w:fldChar w:fldCharType="end"/>
      </w:r>
      <w:r w:rsidR="00685F30" w:rsidRPr="00015050">
        <w:rPr>
          <w:rFonts w:ascii="Arial" w:hAnsi="Arial" w:cs="Arial"/>
        </w:rPr>
        <w:t xml:space="preserve"> </w:t>
      </w:r>
      <w:r w:rsidRPr="00015050">
        <w:rPr>
          <w:rFonts w:ascii="Arial" w:hAnsi="Arial" w:cs="Arial"/>
        </w:rPr>
        <w:t xml:space="preserve">sobre las dinámicas del comercio exterior entre Ecuador y China, se evidencia un significativo incremento en la interacción comercial bilateral. Específicamente, la proporción de las exportaciones ecuatorianas dirigidas a China escaló de menos del 5% en 2017 a 16.3% en 2020, un periodo marcado por la crisis sanitaria derivada de la COVID-19. Paralelamente, las importaciones desde China han representado en promedio el 22.6% en los últimos años, consolidando a China como el segundo mayor socio comercial de Ecuador después de Estados Unidos, tanto en exportaciones como en importaciones. </w:t>
      </w:r>
    </w:p>
    <w:p w14:paraId="79D47532" w14:textId="1744CA93" w:rsidR="00346D70" w:rsidRPr="00015050" w:rsidRDefault="00346D70" w:rsidP="00015050">
      <w:pPr>
        <w:spacing w:after="240" w:line="360" w:lineRule="auto"/>
        <w:jc w:val="both"/>
        <w:rPr>
          <w:rFonts w:ascii="Arial" w:hAnsi="Arial" w:cs="Arial"/>
        </w:rPr>
      </w:pPr>
      <w:r w:rsidRPr="00015050">
        <w:rPr>
          <w:rFonts w:ascii="Arial" w:hAnsi="Arial" w:cs="Arial"/>
        </w:rPr>
        <w:t xml:space="preserve">Entre las principales exportaciones de Ecuador hacia China, se encuentran los camarones, concentrado de cobre y petróleo, </w:t>
      </w:r>
      <w:r w:rsidR="007A102B" w:rsidRPr="00015050">
        <w:rPr>
          <w:rFonts w:ascii="Arial" w:hAnsi="Arial" w:cs="Arial"/>
        </w:rPr>
        <w:t xml:space="preserve">según datos del Observatorio de Complejidad Económica, </w:t>
      </w:r>
      <w:r w:rsidR="00320994" w:rsidRPr="00015050">
        <w:rPr>
          <w:rFonts w:ascii="Arial" w:hAnsi="Arial" w:cs="Arial"/>
        </w:rPr>
        <w:t xml:space="preserve">en cuanto a China, sus exportaciones hacia Ecuador son mucho más diversificadas, pero las principales consisten de automóviles, aceites, hierro, equipos de transmisión y ordenadores. </w:t>
      </w:r>
    </w:p>
    <w:p w14:paraId="6CD18E5A" w14:textId="202E933B" w:rsidR="001A6B7B" w:rsidRPr="00795AAA" w:rsidRDefault="001A6B7B" w:rsidP="00795AAA">
      <w:pPr>
        <w:pStyle w:val="Descripcin"/>
        <w:keepNext/>
        <w:spacing w:after="0" w:line="360" w:lineRule="auto"/>
        <w:rPr>
          <w:rFonts w:ascii="Arial" w:hAnsi="Arial" w:cs="Arial"/>
          <w:color w:val="000000" w:themeColor="text1"/>
          <w:sz w:val="24"/>
          <w:szCs w:val="24"/>
        </w:rPr>
      </w:pPr>
      <w:bookmarkStart w:id="67" w:name="_Toc215907255"/>
      <w:r w:rsidRPr="00795AAA">
        <w:rPr>
          <w:rFonts w:ascii="Arial" w:hAnsi="Arial" w:cs="Arial"/>
          <w:b/>
          <w:bCs/>
          <w:i w:val="0"/>
          <w:iCs w:val="0"/>
          <w:color w:val="000000" w:themeColor="text1"/>
          <w:sz w:val="24"/>
          <w:szCs w:val="24"/>
        </w:rPr>
        <w:lastRenderedPageBreak/>
        <w:t xml:space="preserve">Gráfico </w:t>
      </w:r>
      <w:r w:rsidRPr="00795AAA">
        <w:rPr>
          <w:rFonts w:ascii="Arial" w:hAnsi="Arial" w:cs="Arial"/>
          <w:b/>
          <w:bCs/>
          <w:i w:val="0"/>
          <w:iCs w:val="0"/>
          <w:color w:val="000000" w:themeColor="text1"/>
          <w:sz w:val="24"/>
          <w:szCs w:val="24"/>
        </w:rPr>
        <w:fldChar w:fldCharType="begin"/>
      </w:r>
      <w:r w:rsidRPr="00795AAA">
        <w:rPr>
          <w:rFonts w:ascii="Arial" w:hAnsi="Arial" w:cs="Arial"/>
          <w:b/>
          <w:bCs/>
          <w:i w:val="0"/>
          <w:iCs w:val="0"/>
          <w:color w:val="000000" w:themeColor="text1"/>
          <w:sz w:val="24"/>
          <w:szCs w:val="24"/>
        </w:rPr>
        <w:instrText xml:space="preserve"> SEQ Gráfico \* ARABIC </w:instrText>
      </w:r>
      <w:r w:rsidRPr="00795AAA">
        <w:rPr>
          <w:rFonts w:ascii="Arial" w:hAnsi="Arial" w:cs="Arial"/>
          <w:b/>
          <w:bCs/>
          <w:i w:val="0"/>
          <w:iCs w:val="0"/>
          <w:color w:val="000000" w:themeColor="text1"/>
          <w:sz w:val="24"/>
          <w:szCs w:val="24"/>
        </w:rPr>
        <w:fldChar w:fldCharType="separate"/>
      </w:r>
      <w:r w:rsidR="00C41F6F" w:rsidRPr="00795AAA">
        <w:rPr>
          <w:rFonts w:ascii="Arial" w:hAnsi="Arial" w:cs="Arial"/>
          <w:b/>
          <w:bCs/>
          <w:i w:val="0"/>
          <w:iCs w:val="0"/>
          <w:noProof/>
          <w:color w:val="000000" w:themeColor="text1"/>
          <w:sz w:val="24"/>
          <w:szCs w:val="24"/>
        </w:rPr>
        <w:t>14</w:t>
      </w:r>
      <w:r w:rsidRPr="00795AAA">
        <w:rPr>
          <w:rFonts w:ascii="Arial" w:hAnsi="Arial" w:cs="Arial"/>
          <w:b/>
          <w:bCs/>
          <w:i w:val="0"/>
          <w:iCs w:val="0"/>
          <w:color w:val="000000" w:themeColor="text1"/>
          <w:sz w:val="24"/>
          <w:szCs w:val="24"/>
        </w:rPr>
        <w:fldChar w:fldCharType="end"/>
      </w:r>
      <w:r w:rsidRPr="00795AAA">
        <w:rPr>
          <w:rFonts w:ascii="Arial" w:hAnsi="Arial" w:cs="Arial"/>
          <w:color w:val="000000" w:themeColor="text1"/>
          <w:sz w:val="24"/>
          <w:szCs w:val="24"/>
        </w:rPr>
        <w:t xml:space="preserve"> Balanza Comercial de Ecuador y China de 2000 - 2023</w:t>
      </w:r>
      <w:bookmarkEnd w:id="67"/>
    </w:p>
    <w:p w14:paraId="6D2BCE9F" w14:textId="210333A0" w:rsidR="001A6B7B" w:rsidRPr="00795AAA" w:rsidRDefault="001A6B7B" w:rsidP="00795AAA">
      <w:pPr>
        <w:pStyle w:val="Descripcin"/>
        <w:keepNext/>
        <w:spacing w:after="0" w:line="360" w:lineRule="auto"/>
        <w:rPr>
          <w:rFonts w:ascii="Arial" w:hAnsi="Arial" w:cs="Arial"/>
          <w:color w:val="000000" w:themeColor="text1"/>
          <w:sz w:val="24"/>
          <w:szCs w:val="24"/>
        </w:rPr>
      </w:pPr>
      <w:r w:rsidRPr="00795AAA">
        <w:rPr>
          <w:rFonts w:ascii="Arial" w:hAnsi="Arial" w:cs="Arial"/>
          <w:color w:val="000000" w:themeColor="text1"/>
          <w:sz w:val="24"/>
          <w:szCs w:val="24"/>
        </w:rPr>
        <w:t>(Miles de dólares estadounidenses)</w:t>
      </w:r>
    </w:p>
    <w:p w14:paraId="1476BF13" w14:textId="1F3CC90E" w:rsidR="001A6B7B" w:rsidRDefault="001A6B7B" w:rsidP="00495A7E">
      <w:pPr>
        <w:rPr>
          <w:rFonts w:ascii="Arial" w:hAnsi="Arial" w:cs="Arial"/>
        </w:rPr>
      </w:pPr>
      <w:r w:rsidRPr="001A6B7B">
        <w:rPr>
          <w:rFonts w:ascii="Arial" w:hAnsi="Arial" w:cs="Arial"/>
          <w:noProof/>
        </w:rPr>
        <w:drawing>
          <wp:inline distT="0" distB="0" distL="0" distR="0" wp14:anchorId="79F9E4AA" wp14:editId="488C22D1">
            <wp:extent cx="5719864" cy="3492230"/>
            <wp:effectExtent l="0" t="0" r="0" b="635"/>
            <wp:docPr id="199845085" name="Gráfico 1">
              <a:extLst xmlns:a="http://schemas.openxmlformats.org/drawingml/2006/main">
                <a:ext uri="{FF2B5EF4-FFF2-40B4-BE49-F238E27FC236}">
                  <a16:creationId xmlns:a16="http://schemas.microsoft.com/office/drawing/2014/main" id="{F44E799C-B130-5578-0049-593C7C4463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589DE07" w14:textId="77777777" w:rsidR="001A6B7B" w:rsidRPr="00653596" w:rsidRDefault="001A6B7B" w:rsidP="00653596">
      <w:pPr>
        <w:spacing w:line="360" w:lineRule="auto"/>
        <w:rPr>
          <w:rFonts w:ascii="Arial" w:hAnsi="Arial" w:cs="Arial"/>
        </w:rPr>
      </w:pPr>
      <w:r w:rsidRPr="00653596">
        <w:rPr>
          <w:rFonts w:ascii="Arial" w:hAnsi="Arial" w:cs="Arial"/>
        </w:rPr>
        <w:t>Fuente: Elaboración propia con datos del ITC</w:t>
      </w:r>
    </w:p>
    <w:p w14:paraId="22F83E6B" w14:textId="77777777" w:rsidR="00320994" w:rsidRPr="00653596" w:rsidRDefault="00320994" w:rsidP="00653596">
      <w:pPr>
        <w:spacing w:line="360" w:lineRule="auto"/>
        <w:jc w:val="both"/>
        <w:rPr>
          <w:rFonts w:ascii="Arial" w:hAnsi="Arial" w:cs="Arial"/>
        </w:rPr>
      </w:pPr>
    </w:p>
    <w:p w14:paraId="5CF1F049" w14:textId="79BBD614" w:rsidR="00653596" w:rsidRPr="00653596" w:rsidRDefault="00556599" w:rsidP="00015050">
      <w:pPr>
        <w:spacing w:after="240" w:line="360" w:lineRule="auto"/>
        <w:jc w:val="both"/>
        <w:rPr>
          <w:rFonts w:ascii="Arial" w:hAnsi="Arial" w:cs="Arial"/>
        </w:rPr>
      </w:pPr>
      <w:r w:rsidRPr="00653596">
        <w:rPr>
          <w:rFonts w:ascii="Arial" w:hAnsi="Arial" w:cs="Arial"/>
        </w:rPr>
        <w:t xml:space="preserve">Durante el periodo de 2000 a 2021, Ecuador experimentó un déficit comercial continuo con China, alcanzando picos de déficit entre 2013 y 2014 cuando empresas chinas desempeñaron un papel clave en grandes proyectos de infraestructura bajo el régimen de compras públicas nacionales, con un gasto promedio anual de aproximadamente US$ 9.630 millones durante esos años </w:t>
      </w:r>
      <w:r w:rsidR="00685F30">
        <w:rPr>
          <w:rFonts w:ascii="Arial" w:hAnsi="Arial" w:cs="Arial"/>
        </w:rPr>
        <w:fldChar w:fldCharType="begin"/>
      </w:r>
      <w:r w:rsidR="00072553">
        <w:rPr>
          <w:rFonts w:ascii="Arial" w:hAnsi="Arial" w:cs="Arial"/>
        </w:rPr>
        <w:instrText xml:space="preserve"> ADDIN ZOTERO_ITEM CSL_CITATION {"citationID":"eYh1OPCl","properties":{"formattedCitation":"(J. E. Dur\\uc0\\u225{}n Lima &amp; Morales Pi\\uc0\\u241{}ero, 2024)","plainCitation":"(J. E. Durán Lima &amp; Morales Piñero, 2024)","dontUpdate":true,"noteIndex":0},"citationItems":[{"id":1947,"uris":["http://zotero.org/users/10063313/items/VBZM7UD5"],"itemData":{"id":1947,"type":"book","language":"es","note":"journalAbbreviation: Estudio sobre los posibles impactos de un acuerdo comercial entre el Ecuador y China","publisher":"Comisión Económica para América Latina y el Caribe","source":"www.cepal.org","title":"Estudio sobre los posibles impactos de un acuerdo comercial entre el Ecuador y China","URL":"https://www.cepal.org/es/publicaciones/68861-estudio-posibles-impactos-un-acuerdo-comercial-ecuador-china","author":[{"family":"Durán Lima","given":"José Elías"},{"family":"Morales Piñero","given":"Jesús"}],"accessed":{"date-parts":[["2024",4,15]]},"issued":{"date-parts":[["2024",1,26]]}}}],"schema":"https://github.com/citation-style-language/schema/raw/master/csl-citation.json"} </w:instrText>
      </w:r>
      <w:r w:rsidR="00685F30">
        <w:rPr>
          <w:rFonts w:ascii="Arial" w:hAnsi="Arial" w:cs="Arial"/>
        </w:rPr>
        <w:fldChar w:fldCharType="separate"/>
      </w:r>
      <w:r w:rsidR="00685F30" w:rsidRPr="00685F30">
        <w:rPr>
          <w:rFonts w:ascii="Arial" w:hAnsi="Arial" w:cs="Arial"/>
          <w:lang w:val="es-MX"/>
        </w:rPr>
        <w:t>(Durán Lima</w:t>
      </w:r>
      <w:r w:rsidR="00685F30">
        <w:rPr>
          <w:rFonts w:ascii="Arial" w:hAnsi="Arial" w:cs="Arial"/>
          <w:lang w:val="es-MX"/>
        </w:rPr>
        <w:t xml:space="preserve"> et al.</w:t>
      </w:r>
      <w:r w:rsidR="00685F30" w:rsidRPr="00685F30">
        <w:rPr>
          <w:rFonts w:ascii="Arial" w:hAnsi="Arial" w:cs="Arial"/>
          <w:lang w:val="es-MX"/>
        </w:rPr>
        <w:t>, 2024)</w:t>
      </w:r>
      <w:r w:rsidR="00685F30">
        <w:rPr>
          <w:rFonts w:ascii="Arial" w:hAnsi="Arial" w:cs="Arial"/>
        </w:rPr>
        <w:fldChar w:fldCharType="end"/>
      </w:r>
      <w:r w:rsidR="00685F30">
        <w:rPr>
          <w:rFonts w:ascii="Arial" w:hAnsi="Arial" w:cs="Arial"/>
        </w:rPr>
        <w:t xml:space="preserve">. </w:t>
      </w:r>
      <w:r w:rsidRPr="00653596">
        <w:rPr>
          <w:rFonts w:ascii="Arial" w:hAnsi="Arial" w:cs="Arial"/>
        </w:rPr>
        <w:t xml:space="preserve">A pesar de la pandemia de COVID-19, las exportaciones e importaciones entre ambos países alcanzaron máximos históricos en 2021. </w:t>
      </w:r>
      <w:r w:rsidR="00653596" w:rsidRPr="00653596">
        <w:rPr>
          <w:rFonts w:ascii="Arial" w:hAnsi="Arial" w:cs="Arial"/>
        </w:rPr>
        <w:t xml:space="preserve">El </w:t>
      </w:r>
      <w:r w:rsidRPr="00653596">
        <w:rPr>
          <w:rFonts w:ascii="Arial" w:hAnsi="Arial" w:cs="Arial"/>
        </w:rPr>
        <w:t xml:space="preserve">déficit comercial se redujo a US$ 371 millones en 2020, aumentó a US$ 1.057 millones en 2021, y disminuyó nuevamente a -US$ 665 millones en 2022, reflejando una dependencia preocupante de Ecuador hacia China que podría exponerlo a riesgos significativos en caso de </w:t>
      </w:r>
      <w:r w:rsidR="00685F30">
        <w:rPr>
          <w:rFonts w:ascii="Arial" w:hAnsi="Arial" w:cs="Arial"/>
        </w:rPr>
        <w:t xml:space="preserve">crisis </w:t>
      </w:r>
      <w:r w:rsidR="00685F30">
        <w:rPr>
          <w:rFonts w:ascii="Arial" w:hAnsi="Arial" w:cs="Arial"/>
        </w:rPr>
        <w:fldChar w:fldCharType="begin"/>
      </w:r>
      <w:r w:rsidR="00072553">
        <w:rPr>
          <w:rFonts w:ascii="Arial" w:hAnsi="Arial" w:cs="Arial"/>
        </w:rPr>
        <w:instrText xml:space="preserve"> ADDIN ZOTERO_ITEM CSL_CITATION {"citationID":"QgBIOFrd","properties":{"formattedCitation":"(J. E. Dur\\uc0\\u225{}n Lima &amp; Morales Pi\\uc0\\u241{}ero, 2024)","plainCitation":"(J. E. Durán Lima &amp; Morales Piñero, 2024)","dontUpdate":true,"noteIndex":0},"citationItems":[{"id":1947,"uris":["http://zotero.org/users/10063313/items/VBZM7UD5"],"itemData":{"id":1947,"type":"book","language":"es","note":"journalAbbreviation: Estudio sobre los posibles impactos de un acuerdo comercial entre el Ecuador y China","publisher":"Comisión Económica para América Latina y el Caribe","source":"www.cepal.org","title":"Estudio sobre los posibles impactos de un acuerdo comercial entre el Ecuador y China","URL":"https://www.cepal.org/es/publicaciones/68861-estudio-posibles-impactos-un-acuerdo-comercial-ecuador-china","author":[{"family":"Durán Lima","given":"José Elías"},{"family":"Morales Piñero","given":"Jesús"}],"accessed":{"date-parts":[["2024",4,15]]},"issued":{"date-parts":[["2024",1,26]]}}}],"schema":"https://github.com/citation-style-language/schema/raw/master/csl-citation.json"} </w:instrText>
      </w:r>
      <w:r w:rsidR="00685F30">
        <w:rPr>
          <w:rFonts w:ascii="Arial" w:hAnsi="Arial" w:cs="Arial"/>
        </w:rPr>
        <w:fldChar w:fldCharType="separate"/>
      </w:r>
      <w:r w:rsidR="00685F30" w:rsidRPr="00685F30">
        <w:rPr>
          <w:rFonts w:ascii="Arial" w:hAnsi="Arial" w:cs="Arial"/>
          <w:lang w:val="es-MX"/>
        </w:rPr>
        <w:t>(Durán Lima</w:t>
      </w:r>
      <w:r w:rsidR="00685F30">
        <w:rPr>
          <w:rFonts w:ascii="Arial" w:hAnsi="Arial" w:cs="Arial"/>
          <w:lang w:val="es-MX"/>
        </w:rPr>
        <w:t xml:space="preserve"> et al.</w:t>
      </w:r>
      <w:r w:rsidR="00685F30" w:rsidRPr="00685F30">
        <w:rPr>
          <w:rFonts w:ascii="Arial" w:hAnsi="Arial" w:cs="Arial"/>
          <w:lang w:val="es-MX"/>
        </w:rPr>
        <w:t>, 2024)</w:t>
      </w:r>
      <w:r w:rsidR="00685F30">
        <w:rPr>
          <w:rFonts w:ascii="Arial" w:hAnsi="Arial" w:cs="Arial"/>
        </w:rPr>
        <w:fldChar w:fldCharType="end"/>
      </w:r>
      <w:r w:rsidR="00685F30">
        <w:rPr>
          <w:rFonts w:ascii="Arial" w:hAnsi="Arial" w:cs="Arial"/>
        </w:rPr>
        <w:t>.</w:t>
      </w:r>
    </w:p>
    <w:p w14:paraId="287B5871" w14:textId="77777777" w:rsidR="00653596" w:rsidRPr="00653596" w:rsidRDefault="00653596" w:rsidP="00015050">
      <w:pPr>
        <w:spacing w:after="240" w:line="360" w:lineRule="auto"/>
        <w:jc w:val="both"/>
        <w:rPr>
          <w:rFonts w:ascii="Arial" w:hAnsi="Arial" w:cs="Arial"/>
          <w:b/>
          <w:bCs/>
        </w:rPr>
      </w:pPr>
      <w:r w:rsidRPr="00653596">
        <w:rPr>
          <w:rFonts w:ascii="Arial" w:hAnsi="Arial" w:cs="Arial"/>
          <w:b/>
          <w:bCs/>
        </w:rPr>
        <w:t>Programa de desgravación arancelaria</w:t>
      </w:r>
    </w:p>
    <w:p w14:paraId="5DDD6666" w14:textId="4A40296C" w:rsidR="00653596" w:rsidRDefault="00071E93" w:rsidP="00015050">
      <w:pPr>
        <w:spacing w:after="240" w:line="360" w:lineRule="auto"/>
        <w:jc w:val="both"/>
        <w:rPr>
          <w:rFonts w:ascii="Arial" w:hAnsi="Arial" w:cs="Arial"/>
        </w:rPr>
      </w:pPr>
      <w:r>
        <w:rPr>
          <w:rFonts w:ascii="Arial" w:hAnsi="Arial" w:cs="Arial"/>
        </w:rPr>
        <w:t>El programa de desgravación entre los países, al igual que los demás TLC, está dividido por categorías, l</w:t>
      </w:r>
      <w:r w:rsidRPr="00071E93">
        <w:rPr>
          <w:rFonts w:ascii="Arial" w:hAnsi="Arial" w:cs="Arial"/>
        </w:rPr>
        <w:t xml:space="preserve">a categoría "A0", que contempla la eliminación total de </w:t>
      </w:r>
      <w:r w:rsidRPr="00071E93">
        <w:rPr>
          <w:rFonts w:ascii="Arial" w:hAnsi="Arial" w:cs="Arial"/>
        </w:rPr>
        <w:lastRenderedPageBreak/>
        <w:t>los aranceles para las mercancías originarias desde la entrada en vigor del tratado</w:t>
      </w:r>
      <w:r>
        <w:rPr>
          <w:rFonts w:ascii="Arial" w:hAnsi="Arial" w:cs="Arial"/>
        </w:rPr>
        <w:t>, l</w:t>
      </w:r>
      <w:r w:rsidRPr="00071E93">
        <w:rPr>
          <w:rFonts w:ascii="Arial" w:hAnsi="Arial" w:cs="Arial"/>
        </w:rPr>
        <w:t>as categorías "A5", "A10", "A15", "A17" y "A20", que indican la eliminación gradual de los aranceles en cinco, diez, quince, diecisiete y veinte años respectivamente, con la mercancía quedando libre de aranceles al final de cada período estipulado.</w:t>
      </w:r>
      <w:r>
        <w:rPr>
          <w:rFonts w:ascii="Arial" w:hAnsi="Arial" w:cs="Arial"/>
        </w:rPr>
        <w:t xml:space="preserve"> </w:t>
      </w:r>
      <w:r w:rsidRPr="00071E93">
        <w:rPr>
          <w:rFonts w:ascii="Arial" w:hAnsi="Arial" w:cs="Arial"/>
        </w:rPr>
        <w:t>La categoría "P", que reduce los aranceles a la mitad del arancel base desde la entrada en vigor del tratado</w:t>
      </w:r>
      <w:r>
        <w:rPr>
          <w:rFonts w:ascii="Arial" w:hAnsi="Arial" w:cs="Arial"/>
        </w:rPr>
        <w:t xml:space="preserve"> y l</w:t>
      </w:r>
      <w:r w:rsidRPr="00071E93">
        <w:rPr>
          <w:rFonts w:ascii="Arial" w:hAnsi="Arial" w:cs="Arial"/>
        </w:rPr>
        <w:t>a categoría "E", donde los aranceles permanecerán iguales a los establecidos en el arancel base</w:t>
      </w:r>
      <w:r>
        <w:rPr>
          <w:rFonts w:ascii="Arial" w:hAnsi="Arial" w:cs="Arial"/>
        </w:rPr>
        <w:t xml:space="preserve"> </w:t>
      </w:r>
      <w:r>
        <w:rPr>
          <w:rFonts w:ascii="Arial" w:hAnsi="Arial" w:cs="Arial"/>
        </w:rPr>
        <w:fldChar w:fldCharType="begin"/>
      </w:r>
      <w:r>
        <w:rPr>
          <w:rFonts w:ascii="Arial" w:hAnsi="Arial" w:cs="Arial"/>
        </w:rPr>
        <w:instrText xml:space="preserve"> ADDIN ZOTERO_ITEM CSL_CITATION {"citationID":"LU9sDv5I","properties":{"formattedCitation":"({\\i{}Tratado De Libre Comercio entre El Gobierno De La Rep\\uc0\\u250{}blica del Ecuador y El Gobierno De La Rep\\uc0\\u250{}blica Popular China}, 2024)","plainCitation":"(Tratado De Libre Comercio entre El Gobierno De La República del Ecuador y El Gobierno De La República Popular China, 2024)","noteIndex":0},"citationItems":[{"id":1944,"uris":["http://zotero.org/users/10063313/items/BFK74KZR"],"itemData":{"id":1944,"type":"webpage","title":"Tratado De Libre Comercio entre El Gobierno De La República del Ecuador y El Gobierno De La República Popular China","URL":"https://www.produccion.gob.ec/wp-content/uploads/2023/12/Copia-de-FTA-COPY-ECUADOR-SPANISH_.pdf","accessed":{"date-parts":[["2024",4,15]]},"issued":{"date-parts":[["2024"]]}}}],"schema":"https://github.com/citation-style-language/schema/raw/master/csl-citation.json"} </w:instrText>
      </w:r>
      <w:r>
        <w:rPr>
          <w:rFonts w:ascii="Arial" w:hAnsi="Arial" w:cs="Arial"/>
        </w:rPr>
        <w:fldChar w:fldCharType="separate"/>
      </w:r>
      <w:r w:rsidRPr="00071E93">
        <w:rPr>
          <w:rFonts w:ascii="Arial" w:hAnsi="Arial" w:cs="Arial"/>
          <w:lang w:val="es-MX"/>
        </w:rPr>
        <w:t>(</w:t>
      </w:r>
      <w:r w:rsidRPr="00071E93">
        <w:rPr>
          <w:rFonts w:ascii="Arial" w:hAnsi="Arial" w:cs="Arial"/>
          <w:i/>
          <w:iCs/>
          <w:lang w:val="es-MX"/>
        </w:rPr>
        <w:t>Tratado De Libre Comercio entre El Gobierno De La República del Ecuador y El Gobierno De La República Popular China</w:t>
      </w:r>
      <w:r w:rsidRPr="00071E93">
        <w:rPr>
          <w:rFonts w:ascii="Arial" w:hAnsi="Arial" w:cs="Arial"/>
          <w:lang w:val="es-MX"/>
        </w:rPr>
        <w:t>, 2024)</w:t>
      </w:r>
      <w:r>
        <w:rPr>
          <w:rFonts w:ascii="Arial" w:hAnsi="Arial" w:cs="Arial"/>
        </w:rPr>
        <w:fldChar w:fldCharType="end"/>
      </w:r>
      <w:r w:rsidRPr="00071E93">
        <w:rPr>
          <w:rFonts w:ascii="Arial" w:hAnsi="Arial" w:cs="Arial"/>
        </w:rPr>
        <w:t>.</w:t>
      </w:r>
      <w:r w:rsidR="00075379">
        <w:rPr>
          <w:rFonts w:ascii="Arial" w:hAnsi="Arial" w:cs="Arial"/>
        </w:rPr>
        <w:t xml:space="preserve"> </w:t>
      </w:r>
    </w:p>
    <w:p w14:paraId="74AD05CE" w14:textId="25F2B277" w:rsidR="00075379" w:rsidRPr="00560B5F" w:rsidRDefault="00075379" w:rsidP="00015050">
      <w:pPr>
        <w:spacing w:after="240" w:line="360" w:lineRule="auto"/>
        <w:jc w:val="both"/>
        <w:rPr>
          <w:rFonts w:ascii="Arial" w:hAnsi="Arial" w:cs="Arial"/>
          <w:color w:val="0D78CA" w:themeColor="background2" w:themeShade="80"/>
        </w:rPr>
      </w:pPr>
      <w:r w:rsidRPr="00A31E41">
        <w:rPr>
          <w:rFonts w:ascii="Arial" w:hAnsi="Arial" w:cs="Arial"/>
          <w:color w:val="000000" w:themeColor="text1"/>
        </w:rPr>
        <w:t>Los productos ecuatorianos como el atún, plátano, pitahaya, arándanos y quinua</w:t>
      </w:r>
      <w:r w:rsidR="00560B5F" w:rsidRPr="00A31E41">
        <w:rPr>
          <w:rFonts w:ascii="Arial" w:hAnsi="Arial" w:cs="Arial"/>
          <w:color w:val="000000" w:themeColor="text1"/>
        </w:rPr>
        <w:t xml:space="preserve">, cuentan con desgravación inmediata en China desde la entrada en vigencia del acuerdo comercial, es decir, mayo de 2024.  </w:t>
      </w:r>
      <w:r w:rsidRPr="00A31E41">
        <w:rPr>
          <w:rFonts w:ascii="Arial" w:hAnsi="Arial" w:cs="Arial"/>
          <w:color w:val="000000" w:themeColor="text1"/>
        </w:rPr>
        <w:t xml:space="preserve"> entrarán al mercado chino con desgravación inmediata, permitiendo que estos bienes sean libres de aranceles tan pronto como el tratado comercial entre en vigor. Además</w:t>
      </w:r>
      <w:r w:rsidRPr="00075379">
        <w:rPr>
          <w:rFonts w:ascii="Arial" w:hAnsi="Arial" w:cs="Arial"/>
        </w:rPr>
        <w:t>, productos como el cacao, rosas, piña y mango disfrutarán de una eliminación completa de aranceles en un plazo de cinco años. A largo plazo, en un periodo de diez años, bienes como el camarón, banano y flores preservadas también alcanzarán una exención total de aranceles</w:t>
      </w:r>
      <w:r>
        <w:rPr>
          <w:rFonts w:ascii="Arial" w:hAnsi="Arial" w:cs="Arial"/>
        </w:rPr>
        <w:t xml:space="preserve"> </w:t>
      </w:r>
      <w:r>
        <w:rPr>
          <w:rFonts w:ascii="Arial" w:hAnsi="Arial" w:cs="Arial"/>
        </w:rPr>
        <w:fldChar w:fldCharType="begin"/>
      </w:r>
      <w:r>
        <w:rPr>
          <w:rFonts w:ascii="Arial" w:hAnsi="Arial" w:cs="Arial"/>
        </w:rPr>
        <w:instrText xml:space="preserve"> ADDIN ZOTERO_ITEM CSL_CITATION {"citationID":"aU34PCX3","properties":{"formattedCitation":"(El Universo, 2024)","plainCitation":"(El Universo, 2024)","noteIndex":0},"citationItems":[{"id":1945,"uris":["http://zotero.org/users/10063313/items/4VBGY63S"],"itemData":{"id":1945,"type":"webpage","container-title":"El Universo","language":"es","note":"section: Noticias","title":"Acuerdo comercial: estos son los productos chinos que entrarán con cero arancel a Ecuador","title-short":"Acuerdo comercial","URL":"https://www.eluniverso.com/noticias/economia/acuerdo-comercial-estos-son-los-productos-chinos-que-entraran-con-cero-arancel-a-ecuador-nota/","author":[{"literal":"El Universo"}],"accessed":{"date-parts":[["2024",4,15]]},"issued":{"date-parts":[["2024",2,8]]}}}],"schema":"https://github.com/citation-style-language/schema/raw/master/csl-citation.json"} </w:instrText>
      </w:r>
      <w:r>
        <w:rPr>
          <w:rFonts w:ascii="Arial" w:hAnsi="Arial" w:cs="Arial"/>
        </w:rPr>
        <w:fldChar w:fldCharType="separate"/>
      </w:r>
      <w:r>
        <w:rPr>
          <w:rFonts w:ascii="Arial" w:hAnsi="Arial" w:cs="Arial"/>
          <w:noProof/>
        </w:rPr>
        <w:t>(El Universo, 2024)</w:t>
      </w:r>
      <w:r>
        <w:rPr>
          <w:rFonts w:ascii="Arial" w:hAnsi="Arial" w:cs="Arial"/>
        </w:rPr>
        <w:fldChar w:fldCharType="end"/>
      </w:r>
      <w:r w:rsidRPr="00075379">
        <w:rPr>
          <w:rFonts w:ascii="Arial" w:hAnsi="Arial" w:cs="Arial"/>
        </w:rPr>
        <w:t>.</w:t>
      </w:r>
      <w:r>
        <w:rPr>
          <w:rFonts w:ascii="Arial" w:hAnsi="Arial" w:cs="Arial"/>
        </w:rPr>
        <w:t xml:space="preserve"> </w:t>
      </w:r>
    </w:p>
    <w:p w14:paraId="23228A1F" w14:textId="3A987AE7" w:rsidR="00653596" w:rsidRPr="00A90098" w:rsidRDefault="00075379" w:rsidP="00015050">
      <w:pPr>
        <w:spacing w:after="240" w:line="360" w:lineRule="auto"/>
        <w:jc w:val="both"/>
        <w:rPr>
          <w:rFonts w:ascii="Arial" w:hAnsi="Arial" w:cs="Arial"/>
        </w:rPr>
      </w:pPr>
      <w:r>
        <w:rPr>
          <w:rFonts w:ascii="Arial" w:hAnsi="Arial" w:cs="Arial"/>
        </w:rPr>
        <w:t xml:space="preserve">Para China, </w:t>
      </w:r>
      <w:r w:rsidRPr="00075379">
        <w:rPr>
          <w:rFonts w:ascii="Arial" w:hAnsi="Arial" w:cs="Arial"/>
        </w:rPr>
        <w:t>el pescado fresco, anchoas, anguilas, productos en conserva, microondas, artículos de higiene y tocador, así como confituras y mermeladas, ingresarán a Ecuador con desgravación inmediata, exentos de aranceles. No obstante, para proteger la industria local, algunos productos quedan excluidos del acuerdo, incluyendo cuadernos, cerámica plana, lavabos, tableros de madera, contrachapados, línea blanca, diferentes tipos de telas, calzado escolar y de cuero, prendas de vestir y sombreros de paja toquilla sintéticos. Adicionalmente, se aplicará una desgravación arancelaria gradual que se extenderá entre 15 y 20 años para productos de sensibilidad media como juguetes, carne, maletas, autos y artículos de plástico. Este acuerdo comercial fortalece las relaciones entre Ecuador y China, facilitando el intercambio de una amplia gama de productos bajo condiciones arancelarias preferenciales que benefician tanto la exportación como la importación en ambos países</w:t>
      </w:r>
      <w:r>
        <w:rPr>
          <w:rFonts w:ascii="Arial" w:hAnsi="Arial" w:cs="Arial"/>
        </w:rPr>
        <w:t xml:space="preserve"> </w:t>
      </w:r>
      <w:r>
        <w:rPr>
          <w:rFonts w:ascii="Arial" w:hAnsi="Arial" w:cs="Arial"/>
        </w:rPr>
        <w:fldChar w:fldCharType="begin"/>
      </w:r>
      <w:r>
        <w:rPr>
          <w:rFonts w:ascii="Arial" w:hAnsi="Arial" w:cs="Arial"/>
        </w:rPr>
        <w:instrText xml:space="preserve"> ADDIN ZOTERO_ITEM CSL_CITATION {"citationID":"T9G5eSHl","properties":{"formattedCitation":"(El Universo, 2024)","plainCitation":"(El Universo, 2024)","noteIndex":0},"citationItems":[{"id":1945,"uris":["http://zotero.org/users/10063313/items/4VBGY63S"],"itemData":{"id":1945,"type":"webpage","container-title":"El Universo","language":"es","note":"section: Noticias","title":"Acuerdo comercial: estos son los productos chinos que entrarán con cero arancel a Ecuador","title-short":"Acuerdo comercial","URL":"https://www.eluniverso.com/noticias/economia/acuerdo-comercial-estos-son-los-productos-chinos-que-entraran-con-cero-arancel-a-ecuador-nota/","author":[{"literal":"El Universo"}],"accessed":{"date-parts":[["2024",4,15]]},"issued":{"date-parts":[["2024",2,8]]}}}],"schema":"https://github.com/citation-style-language/schema/raw/master/csl-citation.json"} </w:instrText>
      </w:r>
      <w:r>
        <w:rPr>
          <w:rFonts w:ascii="Arial" w:hAnsi="Arial" w:cs="Arial"/>
        </w:rPr>
        <w:fldChar w:fldCharType="separate"/>
      </w:r>
      <w:r>
        <w:rPr>
          <w:rFonts w:ascii="Arial" w:hAnsi="Arial" w:cs="Arial"/>
          <w:noProof/>
        </w:rPr>
        <w:t>(El Universo, 2024)</w:t>
      </w:r>
      <w:r>
        <w:rPr>
          <w:rFonts w:ascii="Arial" w:hAnsi="Arial" w:cs="Arial"/>
        </w:rPr>
        <w:fldChar w:fldCharType="end"/>
      </w:r>
      <w:r w:rsidRPr="00075379">
        <w:rPr>
          <w:rFonts w:ascii="Arial" w:hAnsi="Arial" w:cs="Arial"/>
        </w:rPr>
        <w:t>.</w:t>
      </w:r>
    </w:p>
    <w:p w14:paraId="2F89DDE2" w14:textId="50A149EC" w:rsidR="00075379" w:rsidRPr="00DD5666" w:rsidRDefault="00653596" w:rsidP="00015050">
      <w:pPr>
        <w:spacing w:after="240" w:line="360" w:lineRule="auto"/>
        <w:jc w:val="both"/>
        <w:rPr>
          <w:rFonts w:ascii="Arial" w:hAnsi="Arial" w:cs="Arial"/>
          <w:b/>
          <w:bCs/>
        </w:rPr>
      </w:pPr>
      <w:r w:rsidRPr="00653596">
        <w:rPr>
          <w:rFonts w:ascii="Arial" w:hAnsi="Arial" w:cs="Arial"/>
          <w:b/>
          <w:bCs/>
        </w:rPr>
        <w:lastRenderedPageBreak/>
        <w:t>Inversión Extranjera Directa de China en Ecuador</w:t>
      </w:r>
    </w:p>
    <w:p w14:paraId="38DA2F23" w14:textId="4BBB3241" w:rsidR="00DD5666" w:rsidRPr="00DD5666" w:rsidRDefault="00DD5666" w:rsidP="00015050">
      <w:pPr>
        <w:spacing w:after="240" w:line="360" w:lineRule="auto"/>
        <w:jc w:val="both"/>
        <w:rPr>
          <w:rFonts w:ascii="Arial" w:hAnsi="Arial" w:cs="Arial"/>
        </w:rPr>
      </w:pPr>
      <w:r w:rsidRPr="00DD5666">
        <w:rPr>
          <w:rFonts w:ascii="Arial" w:hAnsi="Arial" w:cs="Arial"/>
        </w:rPr>
        <w:t xml:space="preserve">En el análisis </w:t>
      </w:r>
      <w:r>
        <w:rPr>
          <w:rFonts w:ascii="Arial" w:hAnsi="Arial" w:cs="Arial"/>
        </w:rPr>
        <w:t xml:space="preserve">publicado por la CEPAL, </w:t>
      </w:r>
      <w:r w:rsidRPr="00DD5666">
        <w:rPr>
          <w:rFonts w:ascii="Arial" w:hAnsi="Arial" w:cs="Arial"/>
        </w:rPr>
        <w:t xml:space="preserve">realizado por </w:t>
      </w:r>
      <w:r w:rsidRPr="00685F30">
        <w:rPr>
          <w:rFonts w:ascii="Arial" w:hAnsi="Arial" w:cs="Arial"/>
        </w:rPr>
        <w:t xml:space="preserve">Durán Lima </w:t>
      </w:r>
      <w:r w:rsidR="00685F30">
        <w:rPr>
          <w:rFonts w:ascii="Arial" w:hAnsi="Arial" w:cs="Arial"/>
        </w:rPr>
        <w:t>et al. (</w:t>
      </w:r>
      <w:r w:rsidR="00685F30" w:rsidRPr="00685F30">
        <w:rPr>
          <w:rFonts w:ascii="Arial" w:hAnsi="Arial" w:cs="Arial"/>
        </w:rPr>
        <w:t>2024)</w:t>
      </w:r>
      <w:r w:rsidR="00685F30">
        <w:rPr>
          <w:rFonts w:ascii="Arial" w:hAnsi="Arial" w:cs="Arial"/>
        </w:rPr>
        <w:t xml:space="preserve">, </w:t>
      </w:r>
      <w:r w:rsidRPr="00DD5666">
        <w:rPr>
          <w:rFonts w:ascii="Arial" w:hAnsi="Arial" w:cs="Arial"/>
        </w:rPr>
        <w:t xml:space="preserve">se observa una transformación notable en la dinámica de la </w:t>
      </w:r>
      <w:r w:rsidRPr="002E1F8F">
        <w:rPr>
          <w:rFonts w:ascii="Arial" w:hAnsi="Arial" w:cs="Arial"/>
        </w:rPr>
        <w:t>inversión</w:t>
      </w:r>
      <w:r w:rsidRPr="00DD5666">
        <w:rPr>
          <w:rFonts w:ascii="Arial" w:hAnsi="Arial" w:cs="Arial"/>
        </w:rPr>
        <w:t xml:space="preserve"> extranjera directa de China en Ecuador, que pasó de ser mínima y volátil antes de 2005 a experimentar un crecimiento robusto y sostenido a partir de entonces. Este cambio se evidencia en el aumento promedio anual de 67 millones de dólares en IED </w:t>
      </w:r>
      <w:r w:rsidR="00685F30" w:rsidRPr="00685F30">
        <w:rPr>
          <w:rFonts w:ascii="Arial" w:hAnsi="Arial" w:cs="Arial"/>
        </w:rPr>
        <w:t xml:space="preserve">desde mediados de </w:t>
      </w:r>
      <w:r w:rsidR="00685F30">
        <w:rPr>
          <w:rFonts w:ascii="Arial" w:hAnsi="Arial" w:cs="Arial"/>
        </w:rPr>
        <w:t>la década de los</w:t>
      </w:r>
      <w:r w:rsidR="00685F30" w:rsidRPr="00685F30">
        <w:rPr>
          <w:rFonts w:ascii="Arial" w:hAnsi="Arial" w:cs="Arial"/>
        </w:rPr>
        <w:t xml:space="preserve"> años 2000</w:t>
      </w:r>
      <w:r w:rsidR="00685F30">
        <w:rPr>
          <w:rFonts w:ascii="Arial" w:hAnsi="Arial" w:cs="Arial"/>
        </w:rPr>
        <w:t xml:space="preserve">, </w:t>
      </w:r>
      <w:r w:rsidRPr="00DD5666">
        <w:rPr>
          <w:rFonts w:ascii="Arial" w:hAnsi="Arial" w:cs="Arial"/>
        </w:rPr>
        <w:t xml:space="preserve">coincidiendo con un periodo de intenso desarrollo de infraestructuras liderado por corporaciones chinas. Durante el auge entre 2011 y 2015, empresas como Harbin Electric International Co. Ltd., China CAMC </w:t>
      </w:r>
      <w:proofErr w:type="spellStart"/>
      <w:r w:rsidRPr="00DD5666">
        <w:rPr>
          <w:rFonts w:ascii="Arial" w:hAnsi="Arial" w:cs="Arial"/>
        </w:rPr>
        <w:t>Engineering</w:t>
      </w:r>
      <w:proofErr w:type="spellEnd"/>
      <w:r w:rsidRPr="00DD5666">
        <w:rPr>
          <w:rFonts w:ascii="Arial" w:hAnsi="Arial" w:cs="Arial"/>
        </w:rPr>
        <w:t xml:space="preserve"> Co. Ltd., y China International Water &amp; Electric Corp., se destacaron al adjudicarse proyectos significativos en el sector de la construcción y la ingeniería, lo que refleja una estrategia deliberada de penetración en el mercado ecuatoriano</w:t>
      </w:r>
      <w:r>
        <w:rPr>
          <w:rFonts w:ascii="Arial" w:hAnsi="Arial" w:cs="Arial"/>
        </w:rPr>
        <w:t xml:space="preserve">. </w:t>
      </w:r>
    </w:p>
    <w:p w14:paraId="66DAC97A" w14:textId="712355E9" w:rsidR="00560B5F" w:rsidRDefault="00DD5666" w:rsidP="00015050">
      <w:pPr>
        <w:spacing w:after="240" w:line="360" w:lineRule="auto"/>
        <w:jc w:val="both"/>
        <w:rPr>
          <w:rFonts w:ascii="Arial" w:hAnsi="Arial" w:cs="Arial"/>
        </w:rPr>
      </w:pPr>
      <w:r w:rsidRPr="00DD5666">
        <w:rPr>
          <w:rFonts w:ascii="Arial" w:hAnsi="Arial" w:cs="Arial"/>
        </w:rPr>
        <w:t xml:space="preserve">La expansión de la IED china estuvo intrínsecamente ligada al fortalecimiento de los lazos políticos y económicos, especialmente bajo la administración de créditos otorgados por China en un contexto de alta liquidez debido al aumento de los precios de los </w:t>
      </w:r>
      <w:proofErr w:type="spellStart"/>
      <w:r w:rsidRPr="00A5602E">
        <w:rPr>
          <w:rFonts w:ascii="Arial" w:hAnsi="Arial" w:cs="Arial"/>
          <w:i/>
          <w:iCs/>
        </w:rPr>
        <w:t>commodities</w:t>
      </w:r>
      <w:proofErr w:type="spellEnd"/>
      <w:r w:rsidRPr="00DD5666">
        <w:rPr>
          <w:rFonts w:ascii="Arial" w:hAnsi="Arial" w:cs="Arial"/>
        </w:rPr>
        <w:t xml:space="preserve"> como el petróleo. </w:t>
      </w:r>
      <w:r>
        <w:rPr>
          <w:rFonts w:ascii="Arial" w:hAnsi="Arial" w:cs="Arial"/>
        </w:rPr>
        <w:t>V</w:t>
      </w:r>
      <w:r w:rsidRPr="00DD5666">
        <w:rPr>
          <w:rFonts w:ascii="Arial" w:hAnsi="Arial" w:cs="Arial"/>
        </w:rPr>
        <w:t>arias de estas grandes iniciativas enfrentaron desafíos significativos, desde retrasos en la ejecución hasta investigaciones por alegaciones de sobreprecios en los contratos. Estos problemas resaltan la complejidad de la integración económica y los riesgos asociados con la dependencia de una sola fuente de inversión extranjera. La presencia económica de China en Ecuador ha sido, por lo tanto, una mezcla de avances infraestructurales y desafíos económicos y sociales, reflejando una relación bilateral dinámica pero también cargada de tensio</w:t>
      </w:r>
      <w:r>
        <w:rPr>
          <w:rFonts w:ascii="Arial" w:hAnsi="Arial" w:cs="Arial"/>
        </w:rPr>
        <w:t>nes</w:t>
      </w:r>
      <w:r w:rsidR="00685F30">
        <w:rPr>
          <w:rFonts w:ascii="Arial" w:hAnsi="Arial" w:cs="Arial"/>
        </w:rPr>
        <w:t xml:space="preserve">  </w:t>
      </w:r>
      <w:r w:rsidR="00685F30">
        <w:rPr>
          <w:rFonts w:ascii="Arial" w:hAnsi="Arial" w:cs="Arial"/>
        </w:rPr>
        <w:fldChar w:fldCharType="begin"/>
      </w:r>
      <w:r w:rsidR="00072553">
        <w:rPr>
          <w:rFonts w:ascii="Arial" w:hAnsi="Arial" w:cs="Arial"/>
        </w:rPr>
        <w:instrText xml:space="preserve"> ADDIN ZOTERO_ITEM CSL_CITATION {"citationID":"RzH5rMOy","properties":{"formattedCitation":"(J. E. Dur\\uc0\\u225{}n Lima &amp; Morales Pi\\uc0\\u241{}ero, 2024)","plainCitation":"(J. E. Durán Lima &amp; Morales Piñero, 2024)","dontUpdate":true,"noteIndex":0},"citationItems":[{"id":1947,"uris":["http://zotero.org/users/10063313/items/VBZM7UD5"],"itemData":{"id":1947,"type":"book","language":"es","note":"journalAbbreviation: Estudio sobre los posibles impactos de un acuerdo comercial entre el Ecuador y China","publisher":"Comisión Económica para América Latina y el Caribe","source":"www.cepal.org","title":"Estudio sobre los posibles impactos de un acuerdo comercial entre el Ecuador y China","URL":"https://www.cepal.org/es/publicaciones/68861-estudio-posibles-impactos-un-acuerdo-comercial-ecuador-china","author":[{"family":"Durán Lima","given":"José Elías"},{"family":"Morales Piñero","given":"Jesús"}],"accessed":{"date-parts":[["2024",4,15]]},"issued":{"date-parts":[["2024",1,26]]}}}],"schema":"https://github.com/citation-style-language/schema/raw/master/csl-citation.json"} </w:instrText>
      </w:r>
      <w:r w:rsidR="00685F30">
        <w:rPr>
          <w:rFonts w:ascii="Arial" w:hAnsi="Arial" w:cs="Arial"/>
        </w:rPr>
        <w:fldChar w:fldCharType="separate"/>
      </w:r>
      <w:r w:rsidR="00685F30" w:rsidRPr="00685F30">
        <w:rPr>
          <w:rFonts w:ascii="Arial" w:hAnsi="Arial" w:cs="Arial"/>
          <w:lang w:val="es-MX"/>
        </w:rPr>
        <w:t>(Durán Lima</w:t>
      </w:r>
      <w:r w:rsidR="00685F30">
        <w:rPr>
          <w:rFonts w:ascii="Arial" w:hAnsi="Arial" w:cs="Arial"/>
          <w:lang w:val="es-MX"/>
        </w:rPr>
        <w:t xml:space="preserve"> et al.</w:t>
      </w:r>
      <w:r w:rsidR="00685F30" w:rsidRPr="00685F30">
        <w:rPr>
          <w:rFonts w:ascii="Arial" w:hAnsi="Arial" w:cs="Arial"/>
          <w:lang w:val="es-MX"/>
        </w:rPr>
        <w:t>, 2024)</w:t>
      </w:r>
      <w:r w:rsidR="00685F30">
        <w:rPr>
          <w:rFonts w:ascii="Arial" w:hAnsi="Arial" w:cs="Arial"/>
        </w:rPr>
        <w:fldChar w:fldCharType="end"/>
      </w:r>
      <w:r w:rsidR="00685F30">
        <w:rPr>
          <w:rFonts w:ascii="Arial" w:hAnsi="Arial" w:cs="Arial"/>
        </w:rPr>
        <w:t>.</w:t>
      </w:r>
    </w:p>
    <w:p w14:paraId="55922AEF" w14:textId="21E55B28" w:rsidR="00560B5F" w:rsidRPr="00D23251" w:rsidRDefault="00560B5F" w:rsidP="00015050">
      <w:pPr>
        <w:spacing w:after="240" w:line="360" w:lineRule="auto"/>
        <w:jc w:val="both"/>
        <w:rPr>
          <w:rFonts w:ascii="Arial" w:hAnsi="Arial" w:cs="Arial"/>
          <w:b/>
          <w:bCs/>
          <w:color w:val="000000" w:themeColor="text1"/>
          <w:sz w:val="28"/>
          <w:szCs w:val="28"/>
        </w:rPr>
      </w:pPr>
      <w:r w:rsidRPr="00D23251">
        <w:rPr>
          <w:rFonts w:ascii="Arial" w:hAnsi="Arial" w:cs="Arial"/>
          <w:b/>
          <w:bCs/>
          <w:color w:val="000000" w:themeColor="text1"/>
          <w:sz w:val="28"/>
          <w:szCs w:val="28"/>
        </w:rPr>
        <w:t>Balance de los TLC firmados por China con países Latinoamericanos</w:t>
      </w:r>
    </w:p>
    <w:p w14:paraId="0F7CF36E" w14:textId="75C6A7D2" w:rsidR="00B569F5" w:rsidRPr="00F54022" w:rsidRDefault="002E1F8F" w:rsidP="00F54022">
      <w:pPr>
        <w:spacing w:after="240" w:line="360" w:lineRule="auto"/>
        <w:jc w:val="both"/>
        <w:rPr>
          <w:rFonts w:ascii="Arial" w:hAnsi="Arial" w:cs="Arial"/>
        </w:rPr>
      </w:pPr>
      <w:r w:rsidRPr="00A31E41">
        <w:rPr>
          <w:rFonts w:ascii="Arial" w:hAnsi="Arial" w:cs="Arial"/>
          <w:color w:val="000000" w:themeColor="text1"/>
        </w:rPr>
        <w:t xml:space="preserve">China ha firmado acuerdos comerciales con </w:t>
      </w:r>
      <w:r w:rsidR="00560B5F" w:rsidRPr="00A31E41">
        <w:rPr>
          <w:rFonts w:ascii="Arial" w:hAnsi="Arial" w:cs="Arial"/>
          <w:color w:val="000000" w:themeColor="text1"/>
        </w:rPr>
        <w:t xml:space="preserve">los países anteriormente analizados, </w:t>
      </w:r>
      <w:r w:rsidRPr="00A31E41">
        <w:rPr>
          <w:rFonts w:ascii="Arial" w:hAnsi="Arial" w:cs="Arial"/>
          <w:color w:val="000000" w:themeColor="text1"/>
        </w:rPr>
        <w:t>y aunque las circunstancias de cada uno han sido distintas, el interés chino converge en aspectos similares: el reconocimiento internacional sobre Taiwán, el acceso privilegiado a recursos naturales</w:t>
      </w:r>
      <w:r w:rsidRPr="002E1F8F">
        <w:rPr>
          <w:rFonts w:ascii="Arial" w:hAnsi="Arial" w:cs="Arial"/>
        </w:rPr>
        <w:t xml:space="preserve">, y la ventaja competitiva para </w:t>
      </w:r>
      <w:r w:rsidRPr="002E1F8F">
        <w:rPr>
          <w:rFonts w:ascii="Arial" w:hAnsi="Arial" w:cs="Arial"/>
        </w:rPr>
        <w:lastRenderedPageBreak/>
        <w:t xml:space="preserve">sus manufacturas en estos mercados. </w:t>
      </w:r>
      <w:r w:rsidR="000B030E">
        <w:rPr>
          <w:rFonts w:ascii="Arial" w:hAnsi="Arial" w:cs="Arial"/>
        </w:rPr>
        <w:t>Por lo que se puede identificar</w:t>
      </w:r>
      <w:r w:rsidRPr="002E1F8F">
        <w:rPr>
          <w:rFonts w:ascii="Arial" w:hAnsi="Arial" w:cs="Arial"/>
        </w:rPr>
        <w:t xml:space="preserve"> patrones recurrentes y diferencias clave que </w:t>
      </w:r>
      <w:r w:rsidRPr="00F54022">
        <w:rPr>
          <w:rFonts w:ascii="Arial" w:hAnsi="Arial" w:cs="Arial"/>
        </w:rPr>
        <w:t>destacan en estos acuerdos y sus posibles implicaciones para Honduras.</w:t>
      </w:r>
    </w:p>
    <w:bookmarkEnd w:id="54"/>
    <w:bookmarkEnd w:id="55"/>
    <w:p w14:paraId="591B492D" w14:textId="77777777" w:rsidR="00560B5F" w:rsidRDefault="00DB1646" w:rsidP="00F54022">
      <w:pPr>
        <w:spacing w:after="240" w:line="360" w:lineRule="auto"/>
        <w:jc w:val="both"/>
        <w:rPr>
          <w:rFonts w:ascii="Arial" w:hAnsi="Arial" w:cs="Arial"/>
        </w:rPr>
      </w:pPr>
      <w:r w:rsidRPr="00F54022">
        <w:rPr>
          <w:rFonts w:ascii="Arial" w:hAnsi="Arial" w:cs="Arial"/>
        </w:rPr>
        <w:t xml:space="preserve">Uno de los patrones más evidentes es el incremento en las exportaciones de productos primarios hacia China. Países como Chile y Perú han visto aumentos significativos en sus exportaciones de minerales, especialmente cobre y otros metales, tras la entrada en vigor de sus respectivos TLC </w:t>
      </w:r>
      <w:r w:rsidR="00482AC3">
        <w:rPr>
          <w:rFonts w:ascii="Arial" w:hAnsi="Arial" w:cs="Arial"/>
        </w:rPr>
        <w:fldChar w:fldCharType="begin"/>
      </w:r>
      <w:r w:rsidR="00482AC3">
        <w:rPr>
          <w:rFonts w:ascii="Arial" w:hAnsi="Arial" w:cs="Arial"/>
        </w:rPr>
        <w:instrText xml:space="preserve"> ADDIN ZOTERO_ITEM CSL_CITATION {"citationID":"qTogTR3J","properties":{"formattedCitation":"(Chan, 2019; Departamento de Estudios de la Direcci\\uc0\\u243{}n General de Relaciones Econ\\uc0\\u243{}micas Internacionales del Ministerio de Relaciones Exteriores de Chile, 2015)","plainCitation":"(Chan, 2019; Departamento de Estudios de la Dirección General de Relaciones Económicas Internacionales del Ministerio de Relaciones Exteriores de Chile, 2015)","noteIndex":0},"citationItems":[{"id":1952,"uris":["http://zotero.org/users/10063313/items/Q9HEDBCS"],"itemData":{"id":1952,"type":"article-journal","abstract":"Resumen\n\t\t\t\t\tEl Acuerdo de libre comercio entre el Perú y la China tiene como características un proceso de larga gestación y un proceso de breve negociación. Las concesiones arancelarias intercambiadas permiten que la inmensa mayoría de los potenciales productos de exportación peruanos puedan tener acceso a beneficios arancelarios. Por otro lado, prácticamente todos los productos peruanos sensibles a la competencia china fueron excluidos del proceso de desgravación tarifaria o se incluyeron a plazos de hasta diecisiete años de reducciones arancelarias. Luego de nueve años de vigencia del acuerdo, se concluye que este ha sido beneficioso para el Perú sin dejar de mantener la característica esencial de la estructura de su comercio: el ser interindustrial.\n\t\t\t\t,","container-title":"Agenda Internacional","DOI":"10.18800/agenda.201901.003","ISSN":"2311-5718","issue":"37","language":"es","license":"Derechos de autor 2019","note":"number: 37","page":"89-117","source":"revistas.pucp.edu.pe","title":"Los nueve años del TLC Perú – China. Su negociación y sus resultados","volume":"26","author":[{"family":"Chan","given":"Julio"}],"issued":{"date-parts":[["2019",10,16]]}},"label":"page"},{"id":1905,"uris":["http://zotero.org/users/10063313/items/BPH7VUQ7"],"itemData":{"id":1905,"type":"document","title":"Análisis de las relaciones comerciales entre Chile y China en el marco del Tratado de Libre Comercio Chile-China.","author":[{"family":"Departamento de Estudios de la Dirección General de Relaciones Económicas Internacionales del Ministerio de Relaciones Exteriores de Chile","given":""}],"issued":{"date-parts":[["2015",8]]}},"label":"page"}],"schema":"https://github.com/citation-style-language/schema/raw/master/csl-citation.json"} </w:instrText>
      </w:r>
      <w:r w:rsidR="00482AC3">
        <w:rPr>
          <w:rFonts w:ascii="Arial" w:hAnsi="Arial" w:cs="Arial"/>
        </w:rPr>
        <w:fldChar w:fldCharType="separate"/>
      </w:r>
      <w:r w:rsidR="00482AC3" w:rsidRPr="00482AC3">
        <w:rPr>
          <w:rFonts w:ascii="Arial" w:hAnsi="Arial" w:cs="Arial"/>
          <w:lang w:val="es-MX"/>
        </w:rPr>
        <w:t>(</w:t>
      </w:r>
      <w:r w:rsidR="00AE68CA" w:rsidRPr="00482AC3">
        <w:rPr>
          <w:rFonts w:ascii="Arial" w:hAnsi="Arial" w:cs="Arial"/>
          <w:lang w:val="es-MX"/>
        </w:rPr>
        <w:t>Chan, 2019</w:t>
      </w:r>
      <w:r w:rsidR="00AE68CA">
        <w:rPr>
          <w:rFonts w:ascii="Arial" w:hAnsi="Arial" w:cs="Arial"/>
          <w:lang w:val="es-MX"/>
        </w:rPr>
        <w:t xml:space="preserve">; </w:t>
      </w:r>
      <w:r w:rsidR="00482AC3" w:rsidRPr="00482AC3">
        <w:rPr>
          <w:rFonts w:ascii="Arial" w:hAnsi="Arial" w:cs="Arial"/>
          <w:lang w:val="es-MX"/>
        </w:rPr>
        <w:t>Departamento de Estudios de la Dirección General de Relaciones Económicas Internacionales del Ministerio de Relaciones Exteriores de Chile, 2015)</w:t>
      </w:r>
      <w:r w:rsidR="00482AC3">
        <w:rPr>
          <w:rFonts w:ascii="Arial" w:hAnsi="Arial" w:cs="Arial"/>
        </w:rPr>
        <w:fldChar w:fldCharType="end"/>
      </w:r>
      <w:r w:rsidRPr="00F54022">
        <w:rPr>
          <w:rFonts w:ascii="Arial" w:hAnsi="Arial" w:cs="Arial"/>
        </w:rPr>
        <w:t xml:space="preserve">. </w:t>
      </w:r>
    </w:p>
    <w:p w14:paraId="009BF62C" w14:textId="712A0FE1" w:rsidR="004D5429" w:rsidRPr="00F54022" w:rsidRDefault="00DB1646" w:rsidP="00F54022">
      <w:pPr>
        <w:spacing w:after="240" w:line="360" w:lineRule="auto"/>
        <w:jc w:val="both"/>
        <w:rPr>
          <w:rFonts w:ascii="Arial" w:hAnsi="Arial" w:cs="Arial"/>
        </w:rPr>
      </w:pPr>
      <w:r w:rsidRPr="00F54022">
        <w:rPr>
          <w:rFonts w:ascii="Arial" w:hAnsi="Arial" w:cs="Arial"/>
        </w:rPr>
        <w:t xml:space="preserve">En el caso de Costa Rica y Ecuador, la tendencia ha sido similar, aunque enfocada en productos agrícolas como frutas y camarones </w:t>
      </w:r>
      <w:r w:rsidR="00AE68CA">
        <w:rPr>
          <w:rFonts w:ascii="Arial" w:hAnsi="Arial" w:cs="Arial"/>
        </w:rPr>
        <w:fldChar w:fldCharType="begin"/>
      </w:r>
      <w:r w:rsidR="00AE68CA">
        <w:rPr>
          <w:rFonts w:ascii="Arial" w:hAnsi="Arial" w:cs="Arial"/>
        </w:rPr>
        <w:instrText xml:space="preserve"> ADDIN ZOTERO_ITEM CSL_CITATION {"citationID":"QCM4FgVs","properties":{"formattedCitation":"(J. E. Dur\\uc0\\u225{}n Lima &amp; Morales Pi\\uc0\\u241{}ero, 2024; Ruiz, 2023)","plainCitation":"(J. E. Durán Lima &amp; Morales Piñero, 2024; Ruiz, 2023)","noteIndex":0},"citationItems":[{"id":1947,"uris":["http://zotero.org/users/10063313/items/VBZM7UD5"],"itemData":{"id":1947,"type":"book","language":"es","note":"journalAbbreviation: Estudio sobre los posibles impactos de un acuerdo comercial entre el Ecuador y China","publisher":"Comisión Económica para América Latina y el Caribe","source":"www.cepal.org","title":"Estudio sobre los posibles impactos de un acuerdo comercial entre el Ecuador y China","URL":"https://www.cepal.org/es/publicaciones/68861-estudio-posibles-impactos-un-acuerdo-comercial-ecuador-china","author":[{"family":"Durán Lima","given":"José Elías"},{"family":"Morales Piñero","given":"Jesús"}],"accessed":{"date-parts":[["2024",4,15]]},"issued":{"date-parts":[["2024",1,26]]}},"label":"page"},{"id":1916,"uris":["http://zotero.org/users/10063313/items/4PU475T2"],"itemData":{"id":1916,"type":"article-journal","container-title":"Vicerrectoría de Investigación","journalAbbreviation":"Observatorio de Comercio Exterior","title":"TLC con China: geopolítica, comercio y diplomacia","URL":"https://www.uned.ac.cr/ocex/index.php/capsulas/647-abriendo-las-puertas-a-asia-10-anos-del-tlc-con-china","author":[{"family":"Ruiz","given":"Hellen"}],"accessed":{"date-parts":[["2024",4,14]]},"issued":{"date-parts":[["2023"]]}},"label":"page"}],"schema":"https://github.com/citation-style-language/schema/raw/master/csl-citation.json"} </w:instrText>
      </w:r>
      <w:r w:rsidR="00AE68CA">
        <w:rPr>
          <w:rFonts w:ascii="Arial" w:hAnsi="Arial" w:cs="Arial"/>
        </w:rPr>
        <w:fldChar w:fldCharType="separate"/>
      </w:r>
      <w:r w:rsidR="00AE3E86" w:rsidRPr="00AE3E86">
        <w:rPr>
          <w:rFonts w:ascii="Arial" w:hAnsi="Arial" w:cs="Arial"/>
          <w:lang w:val="es-MX"/>
        </w:rPr>
        <w:t>(J. E. Durán Lima &amp; Morales Piñero, 2024; Ruiz, 2023)</w:t>
      </w:r>
      <w:r w:rsidR="00AE68CA">
        <w:rPr>
          <w:rFonts w:ascii="Arial" w:hAnsi="Arial" w:cs="Arial"/>
        </w:rPr>
        <w:fldChar w:fldCharType="end"/>
      </w:r>
      <w:r w:rsidRPr="00F54022">
        <w:rPr>
          <w:rFonts w:ascii="Arial" w:hAnsi="Arial" w:cs="Arial"/>
        </w:rPr>
        <w:t xml:space="preserve">. Esta estrategia de exportación aprovecha las ventajas comparativas naturales de estos países, permitiéndoles capitalizar en sectores donde tienen una posición competitiva. Sin embargo, este modelo también perpetúa una dependencia de productos con bajo valor agregado, lo que limita las oportunidades para diversificación económica y desarrollo industrial, una situación que Honduras podría enfrentar si no diversifica sus exportaciones más allá de bienes primarios como el café, </w:t>
      </w:r>
      <w:r w:rsidR="00D37DA7">
        <w:rPr>
          <w:rFonts w:ascii="Arial" w:hAnsi="Arial" w:cs="Arial"/>
        </w:rPr>
        <w:t xml:space="preserve">mariscos, azúcar, </w:t>
      </w:r>
      <w:r w:rsidRPr="00F54022">
        <w:rPr>
          <w:rFonts w:ascii="Arial" w:hAnsi="Arial" w:cs="Arial"/>
        </w:rPr>
        <w:t xml:space="preserve">tabaco, </w:t>
      </w:r>
      <w:r w:rsidR="00D37DA7">
        <w:rPr>
          <w:rFonts w:ascii="Arial" w:hAnsi="Arial" w:cs="Arial"/>
        </w:rPr>
        <w:t xml:space="preserve">entre otros más, </w:t>
      </w:r>
      <w:r w:rsidRPr="00F54022">
        <w:rPr>
          <w:rFonts w:ascii="Arial" w:hAnsi="Arial" w:cs="Arial"/>
        </w:rPr>
        <w:t>mismo</w:t>
      </w:r>
      <w:r w:rsidR="00D37DA7">
        <w:rPr>
          <w:rFonts w:ascii="Arial" w:hAnsi="Arial" w:cs="Arial"/>
        </w:rPr>
        <w:t>s</w:t>
      </w:r>
      <w:r w:rsidRPr="00F54022">
        <w:rPr>
          <w:rFonts w:ascii="Arial" w:hAnsi="Arial" w:cs="Arial"/>
        </w:rPr>
        <w:t xml:space="preserve"> que la SDE ha priorizado en las rondas de negociación </w:t>
      </w:r>
      <w:r w:rsidR="00D37DA7" w:rsidRPr="00AE2D0F">
        <w:rPr>
          <w:rFonts w:ascii="Arial" w:hAnsi="Arial" w:cs="Arial"/>
        </w:rPr>
        <w:fldChar w:fldCharType="begin"/>
      </w:r>
      <w:r w:rsidR="00FA3C64" w:rsidRPr="00AE2D0F">
        <w:rPr>
          <w:rFonts w:ascii="Arial" w:hAnsi="Arial" w:cs="Arial"/>
        </w:rPr>
        <w:instrText xml:space="preserve"> ADDIN ZOTERO_ITEM CSL_CITATION {"citationID":"Vdz9gn2x","properties":{"formattedCitation":"(SDE, 2024a)","plainCitation":"(SDE, 2024a)","noteIndex":0},"citationItems":[{"id":1955,"uris":["http://zotero.org/users/10063313/items/I3D9M3QP"],"itemData":{"id":1955,"type":"webpage","title":"Comunicado de Prensa Concluye Quinta Ronda de Negociaciones del TLC entre Honduras y China","URL":"https://sde.gob.hn/wp-content/uploads/2024/09/COMUNICADO-DE-PRENSA_Concluye-V-Ronda-TLC-HN-CN-22.05.24.pdf","author":[{"literal":"SDE"}],"accessed":{"date-parts":[["2024",9,21]]},"issued":{"date-parts":[["2024",5,22]]}}}],"schema":"https://github.com/citation-style-language/schema/raw/master/csl-citation.json"} </w:instrText>
      </w:r>
      <w:r w:rsidR="00D37DA7" w:rsidRPr="00AE2D0F">
        <w:rPr>
          <w:rFonts w:ascii="Arial" w:hAnsi="Arial" w:cs="Arial"/>
        </w:rPr>
        <w:fldChar w:fldCharType="separate"/>
      </w:r>
      <w:r w:rsidR="00FA3C64" w:rsidRPr="00AE2D0F">
        <w:rPr>
          <w:rFonts w:ascii="Arial" w:hAnsi="Arial" w:cs="Arial"/>
          <w:lang w:val="es-MX"/>
        </w:rPr>
        <w:t>(SDE, 2024a)</w:t>
      </w:r>
      <w:r w:rsidR="00D37DA7" w:rsidRPr="00AE2D0F">
        <w:rPr>
          <w:rFonts w:ascii="Arial" w:hAnsi="Arial" w:cs="Arial"/>
        </w:rPr>
        <w:fldChar w:fldCharType="end"/>
      </w:r>
      <w:r w:rsidR="00D37DA7" w:rsidRPr="00AE2D0F">
        <w:rPr>
          <w:rFonts w:ascii="Arial" w:hAnsi="Arial" w:cs="Arial"/>
        </w:rPr>
        <w:t>.</w:t>
      </w:r>
      <w:r w:rsidR="00D37DA7">
        <w:rPr>
          <w:rFonts w:ascii="Arial" w:hAnsi="Arial" w:cs="Arial"/>
        </w:rPr>
        <w:t xml:space="preserve"> </w:t>
      </w:r>
    </w:p>
    <w:p w14:paraId="25C78C49" w14:textId="44B8DBEA" w:rsidR="00F9104B" w:rsidRPr="004A2268" w:rsidRDefault="00F9104B" w:rsidP="00F54022">
      <w:pPr>
        <w:spacing w:after="240" w:line="360" w:lineRule="auto"/>
        <w:jc w:val="both"/>
        <w:rPr>
          <w:rFonts w:ascii="Arial" w:hAnsi="Arial" w:cs="Arial"/>
        </w:rPr>
      </w:pPr>
      <w:r w:rsidRPr="00F54022">
        <w:rPr>
          <w:rFonts w:ascii="Arial" w:hAnsi="Arial" w:cs="Arial"/>
        </w:rPr>
        <w:t xml:space="preserve">Otra similitud significativa es el aumento en las importaciones de productos manufacturados desde China, lo que ha sido una constante en todos los países con TLC vigentes. Este fenómeno ha resultado en un acceso más amplio a bienes de consumo y tecnología avanzada, pero también ha generado presiones sobre las industrias locales debido a la competencia con productos chinos de bajo costo </w:t>
      </w:r>
      <w:r w:rsidR="00153A52">
        <w:rPr>
          <w:rFonts w:ascii="Arial" w:hAnsi="Arial" w:cs="Arial"/>
        </w:rPr>
        <w:fldChar w:fldCharType="begin"/>
      </w:r>
      <w:r w:rsidR="00153A52">
        <w:rPr>
          <w:rFonts w:ascii="Arial" w:hAnsi="Arial" w:cs="Arial"/>
        </w:rPr>
        <w:instrText xml:space="preserve"> ADDIN ZOTERO_ITEM CSL_CITATION {"citationID":"HPxttjZJ","properties":{"formattedCitation":"(Ministerio de Comercio Exterior y Turismo, 2014; Ruiz, 2023)","plainCitation":"(Ministerio de Comercio Exterior y Turismo, 2014; Ruiz, 2023)","noteIndex":0},"citationItems":[{"id":1913,"uris":["http://zotero.org/users/10063313/items/EMUVXJZ6"],"itemData":{"id":1913,"type":"report","publisher":"Oficina de Estudios Económicos Internacionales","title":"Estudio de aprovechamiento del TLC Perú – China: Cuarto año de vigencia del TLC","URL":"http://www.sice.oas.org/tpd/per_chn/Studies/Study_TLC_China_Yr4_s.pdf","author":[{"family":"Ministerio de Comercio Exterior y Turismo","given":""}],"accessed":{"date-parts":[["2024",4,13]]},"issued":{"date-parts":[["2014",4]]}}},{"id":1916,"uris":["http://zotero.org/users/10063313/items/4PU475T2"],"itemData":{"id":1916,"type":"article-journal","container-title":"Vicerrectoría de Investigación","journalAbbreviation":"Observatorio de Comercio Exterior","title":"TLC con China: geopolítica, comercio y diplomacia","URL":"https://www.uned.ac.cr/ocex/index.php/capsulas/647-abriendo-las-puertas-a-asia-10-anos-del-tlc-con-china","author":[{"family":"Ruiz","given":"Hellen"}],"accessed":{"date-parts":[["2024",4,14]]},"issued":{"date-parts":[["2023"]]}}}],"schema":"https://github.com/citation-style-language/schema/raw/master/csl-citation.json"} </w:instrText>
      </w:r>
      <w:r w:rsidR="00153A52">
        <w:rPr>
          <w:rFonts w:ascii="Arial" w:hAnsi="Arial" w:cs="Arial"/>
        </w:rPr>
        <w:fldChar w:fldCharType="separate"/>
      </w:r>
      <w:r w:rsidR="00153A52">
        <w:rPr>
          <w:rFonts w:ascii="Arial" w:hAnsi="Arial" w:cs="Arial"/>
          <w:noProof/>
        </w:rPr>
        <w:t>(Ministerio de Comercio Exterior y Turismo, 2014; Ruiz, 2023)</w:t>
      </w:r>
      <w:r w:rsidR="00153A52">
        <w:rPr>
          <w:rFonts w:ascii="Arial" w:hAnsi="Arial" w:cs="Arial"/>
        </w:rPr>
        <w:fldChar w:fldCharType="end"/>
      </w:r>
      <w:r w:rsidRPr="00F54022">
        <w:rPr>
          <w:rFonts w:ascii="Arial" w:hAnsi="Arial" w:cs="Arial"/>
        </w:rPr>
        <w:t xml:space="preserve">. En Costa Rica, por ejemplo, el déficit comercial con China se amplió significativamente después de la implementación del TLC, en gran parte debido al aumento de las importaciones de bienes manufacturados, lo que podría reflejarse en Honduras dada su tendencia similar de importación de productos industrializados y su rol como exportador de materias primas. </w:t>
      </w:r>
      <w:r w:rsidR="00153A52">
        <w:rPr>
          <w:rFonts w:ascii="Arial" w:hAnsi="Arial" w:cs="Arial"/>
        </w:rPr>
        <w:t xml:space="preserve"> </w:t>
      </w:r>
    </w:p>
    <w:p w14:paraId="726730F1" w14:textId="77777777" w:rsidR="00560B5F" w:rsidRDefault="00541B0D" w:rsidP="00F54022">
      <w:pPr>
        <w:spacing w:after="240" w:line="360" w:lineRule="auto"/>
        <w:jc w:val="both"/>
        <w:rPr>
          <w:rFonts w:ascii="Arial" w:hAnsi="Arial" w:cs="Arial"/>
        </w:rPr>
      </w:pPr>
      <w:r w:rsidRPr="004A2268">
        <w:rPr>
          <w:rFonts w:ascii="Arial" w:hAnsi="Arial" w:cs="Arial"/>
        </w:rPr>
        <w:lastRenderedPageBreak/>
        <w:t xml:space="preserve">Las diferencias en los perfiles exportadores y en las </w:t>
      </w:r>
      <w:r w:rsidR="004A2268" w:rsidRPr="004A2268">
        <w:rPr>
          <w:rFonts w:ascii="Arial" w:hAnsi="Arial" w:cs="Arial"/>
        </w:rPr>
        <w:t xml:space="preserve">negociaciones </w:t>
      </w:r>
      <w:r w:rsidRPr="004A2268">
        <w:rPr>
          <w:rFonts w:ascii="Arial" w:hAnsi="Arial" w:cs="Arial"/>
        </w:rPr>
        <w:t xml:space="preserve">entre estos </w:t>
      </w:r>
      <w:r w:rsidR="004A2268" w:rsidRPr="004A2268">
        <w:rPr>
          <w:rFonts w:ascii="Arial" w:hAnsi="Arial" w:cs="Arial"/>
        </w:rPr>
        <w:t>también son marcadas</w:t>
      </w:r>
      <w:r w:rsidRPr="004A2268">
        <w:rPr>
          <w:rFonts w:ascii="Arial" w:hAnsi="Arial" w:cs="Arial"/>
        </w:rPr>
        <w:t>. Chile y Perú, con un enfoque intensivo en la minería, han conseguido mantener balances comerciales favorables con China</w:t>
      </w:r>
      <w:r w:rsidR="004A2268">
        <w:rPr>
          <w:rFonts w:ascii="Arial" w:hAnsi="Arial" w:cs="Arial"/>
        </w:rPr>
        <w:t xml:space="preserve"> </w:t>
      </w:r>
      <w:r w:rsidR="004A2268">
        <w:rPr>
          <w:rFonts w:ascii="Arial" w:hAnsi="Arial" w:cs="Arial"/>
        </w:rPr>
        <w:fldChar w:fldCharType="begin"/>
      </w:r>
      <w:r w:rsidR="004A2268">
        <w:rPr>
          <w:rFonts w:ascii="Arial" w:hAnsi="Arial" w:cs="Arial"/>
        </w:rPr>
        <w:instrText xml:space="preserve"> ADDIN ZOTERO_ITEM CSL_CITATION {"citationID":"IqC7WfKT","properties":{"formattedCitation":"(Chan, 2019; Departamento de Estudios de la Direcci\\uc0\\u243{}n General de Relaciones Econ\\uc0\\u243{}micas Internacionales del Ministerio de Relaciones Exteriores de Chile, 2015)","plainCitation":"(Chan, 2019; Departamento de Estudios de la Dirección General de Relaciones Económicas Internacionales del Ministerio de Relaciones Exteriores de Chile, 2015)","noteIndex":0},"citationItems":[{"id":1952,"uris":["http://zotero.org/users/10063313/items/Q9HEDBCS"],"itemData":{"id":1952,"type":"article-journal","abstract":"Resumen\n\t\t\t\t\tEl Acuerdo de libre comercio entre el Perú y la China tiene como características un proceso de larga gestación y un proceso de breve negociación. Las concesiones arancelarias intercambiadas permiten que la inmensa mayoría de los potenciales productos de exportación peruanos puedan tener acceso a beneficios arancelarios. Por otro lado, prácticamente todos los productos peruanos sensibles a la competencia china fueron excluidos del proceso de desgravación tarifaria o se incluyeron a plazos de hasta diecisiete años de reducciones arancelarias. Luego de nueve años de vigencia del acuerdo, se concluye que este ha sido beneficioso para el Perú sin dejar de mantener la característica esencial de la estructura de su comercio: el ser interindustrial.\n\t\t\t\t,","container-title":"Agenda Internacional","DOI":"10.18800/agenda.201901.003","ISSN":"2311-5718","issue":"37","language":"es","license":"Derechos de autor 2019","note":"number: 37","page":"89-117","source":"revistas.pucp.edu.pe","title":"Los nueve años del TLC Perú – China. Su negociación y sus resultados","volume":"26","author":[{"family":"Chan","given":"Julio"}],"issued":{"date-parts":[["2019",10,16]]}}},{"id":1905,"uris":["http://zotero.org/users/10063313/items/BPH7VUQ7"],"itemData":{"id":1905,"type":"document","title":"Análisis de las relaciones comerciales entre Chile y China en el marco del Tratado de Libre Comercio Chile-China.","author":[{"family":"Departamento de Estudios de la Dirección General de Relaciones Económicas Internacionales del Ministerio de Relaciones Exteriores de Chile","given":""}],"issued":{"date-parts":[["2015",8]]}}}],"schema":"https://github.com/citation-style-language/schema/raw/master/csl-citation.json"} </w:instrText>
      </w:r>
      <w:r w:rsidR="004A2268">
        <w:rPr>
          <w:rFonts w:ascii="Arial" w:hAnsi="Arial" w:cs="Arial"/>
        </w:rPr>
        <w:fldChar w:fldCharType="separate"/>
      </w:r>
      <w:r w:rsidR="004A2268" w:rsidRPr="004A2268">
        <w:rPr>
          <w:rFonts w:ascii="Arial" w:hAnsi="Arial" w:cs="Arial"/>
          <w:lang w:val="es-MX"/>
        </w:rPr>
        <w:t>(Chan, 2019; Departamento de Estudios de la Dirección General de Relaciones Económicas Internacionales del Ministerio de Relaciones Exteriores de Chile, 2015)</w:t>
      </w:r>
      <w:r w:rsidR="004A2268">
        <w:rPr>
          <w:rFonts w:ascii="Arial" w:hAnsi="Arial" w:cs="Arial"/>
        </w:rPr>
        <w:fldChar w:fldCharType="end"/>
      </w:r>
      <w:r w:rsidRPr="004A2268">
        <w:rPr>
          <w:rFonts w:ascii="Arial" w:hAnsi="Arial" w:cs="Arial"/>
        </w:rPr>
        <w:t xml:space="preserve"> beneficiándose del alto valor de sus exportaciones de cobre y otros minerales. Costa Rica, por otro lado, ha enfrentado retos considerables desde la firma de su TLC con China en 2011. Aunque se esperaba que el acuerdo incrementara significativamente las exportaciones y diversificara su canasta exportadora, el resultado ha sido muy distinto. </w:t>
      </w:r>
    </w:p>
    <w:p w14:paraId="2CCD6615" w14:textId="1BA05EF2" w:rsidR="00273F2F" w:rsidRDefault="00541B0D" w:rsidP="00F54022">
      <w:pPr>
        <w:spacing w:after="240" w:line="360" w:lineRule="auto"/>
        <w:jc w:val="both"/>
        <w:rPr>
          <w:rFonts w:ascii="Arial" w:hAnsi="Arial" w:cs="Arial"/>
        </w:rPr>
      </w:pPr>
      <w:r w:rsidRPr="004A2268">
        <w:rPr>
          <w:rFonts w:ascii="Arial" w:hAnsi="Arial" w:cs="Arial"/>
        </w:rPr>
        <w:t xml:space="preserve">A diferencia de Chile, donde China se convirtió rápidamente en el principal destino de exportaciones, Costa Rica no ha logrado consolidar su relación comercial con el gigante asiático ni disminuir su dependencia de socios tradicionales como Estados Unidos. De hecho, el modesto incremento en las exportaciones costarricenses a China ha sido insuficiente para contrarrestar el creciente déficit comercial que enfrenta el país. En 2023, las exportaciones a China representaron solo el 2.5% del total, una cifra que refleja la lentitud en la consolidación de la relación comercial, muy por debajo de las expectativas iniciales </w:t>
      </w:r>
      <w:r w:rsidR="004A2268" w:rsidRPr="004A2268">
        <w:rPr>
          <w:rFonts w:ascii="Arial" w:hAnsi="Arial" w:cs="Arial"/>
        </w:rPr>
        <w:fldChar w:fldCharType="begin"/>
      </w:r>
      <w:r w:rsidR="004A2268" w:rsidRPr="004A2268">
        <w:rPr>
          <w:rFonts w:ascii="Arial" w:hAnsi="Arial" w:cs="Arial"/>
        </w:rPr>
        <w:instrText xml:space="preserve"> ADDIN ZOTERO_ITEM CSL_CITATION {"citationID":"gCn5AvWe","properties":{"formattedCitation":"(Hannig N\\uc0\\u250{}\\uc0\\u241{}ez, 2024)","plainCitation":"(Hannig Núñez, 2024)","noteIndex":0},"citationItems":[{"id":1956,"uris":["http://zotero.org/users/10063313/items/EXX5R8AZ"],"itemData":{"id":1956,"type":"webpage","abstract":"Parece claro que Pekín ha sido el principal ganador del acuerdo. Tiene en Costa Rica un mercado adicional, creciente y relevante para sus propios productos, lo que se traduce en un déficit comercial más preocupante para San José que el existente con Estados Unidos, lo que podría afectar internamente al país. Políticamente, Costa Rica además abrió la puerta para que otros países de la región rompieran con Taipéi con unas expectativas comerciales y económicas, incluido un TLC, que en el caso costarricense no se han cumplido.","container-title":"CADAL.ORG","language":"Spanish","title":"EL TLC de Costa Rica con China: 12 años de expectativas frustradas","title-short":"EL TLC de Costa Rica con China","URL":"https://www.cadal.org/publicaciones/informes/?id=16728","author":[{"family":"Hannig Núñez","given":"Sascha"}],"accessed":{"date-parts":[["2024",9,21]]},"issued":{"date-parts":[["2024",8,19]]}}}],"schema":"https://github.com/citation-style-language/schema/raw/master/csl-citation.json"} </w:instrText>
      </w:r>
      <w:r w:rsidR="004A2268" w:rsidRPr="004A2268">
        <w:rPr>
          <w:rFonts w:ascii="Arial" w:hAnsi="Arial" w:cs="Arial"/>
        </w:rPr>
        <w:fldChar w:fldCharType="separate"/>
      </w:r>
      <w:r w:rsidR="004A2268" w:rsidRPr="004A2268">
        <w:rPr>
          <w:rFonts w:ascii="Arial" w:hAnsi="Arial" w:cs="Arial"/>
          <w:lang w:val="es-MX"/>
        </w:rPr>
        <w:t>(Hannig Núñez, 2024)</w:t>
      </w:r>
      <w:r w:rsidR="004A2268" w:rsidRPr="004A2268">
        <w:rPr>
          <w:rFonts w:ascii="Arial" w:hAnsi="Arial" w:cs="Arial"/>
        </w:rPr>
        <w:fldChar w:fldCharType="end"/>
      </w:r>
      <w:r w:rsidRPr="004A2268">
        <w:rPr>
          <w:rFonts w:ascii="Arial" w:hAnsi="Arial" w:cs="Arial"/>
        </w:rPr>
        <w:t xml:space="preserve">. Este desempeño limitado puede atribuirse en parte a barreras no arancelarias y a dificultades para que productos agrícolas costarricenses, como la piña y la carne bovina, accedan plenamente al mercado chino, afectando negativamente el crecimiento de sus exportaciones </w:t>
      </w:r>
      <w:r w:rsidR="004A2268" w:rsidRPr="004A2268">
        <w:rPr>
          <w:rFonts w:ascii="Arial" w:hAnsi="Arial" w:cs="Arial"/>
        </w:rPr>
        <w:fldChar w:fldCharType="begin"/>
      </w:r>
      <w:r w:rsidR="004A2268" w:rsidRPr="004A2268">
        <w:rPr>
          <w:rFonts w:ascii="Arial" w:hAnsi="Arial" w:cs="Arial"/>
        </w:rPr>
        <w:instrText xml:space="preserve"> ADDIN ZOTERO_ITEM CSL_CITATION {"citationID":"8hDDyQXZ","properties":{"formattedCitation":"(Hannig N\\uc0\\u250{}\\uc0\\u241{}ez, 2024)","plainCitation":"(Hannig Núñez, 2024)","noteIndex":0},"citationItems":[{"id":1956,"uris":["http://zotero.org/users/10063313/items/EXX5R8AZ"],"itemData":{"id":1956,"type":"webpage","abstract":"Parece claro que Pekín ha sido el principal ganador del acuerdo. Tiene en Costa Rica un mercado adicional, creciente y relevante para sus propios productos, lo que se traduce en un déficit comercial más preocupante para San José que el existente con Estados Unidos, lo que podría afectar internamente al país. Políticamente, Costa Rica además abrió la puerta para que otros países de la región rompieran con Taipéi con unas expectativas comerciales y económicas, incluido un TLC, que en el caso costarricense no se han cumplido.","container-title":"CADAL.ORG","language":"Spanish","title":"EL TLC de Costa Rica con China: 12 años de expectativas frustradas","title-short":"EL TLC de Costa Rica con China","URL":"https://www.cadal.org/publicaciones/informes/?id=16728","author":[{"family":"Hannig Núñez","given":"Sascha"}],"accessed":{"date-parts":[["2024",9,21]]},"issued":{"date-parts":[["2024",8,19]]}}}],"schema":"https://github.com/citation-style-language/schema/raw/master/csl-citation.json"} </w:instrText>
      </w:r>
      <w:r w:rsidR="004A2268" w:rsidRPr="004A2268">
        <w:rPr>
          <w:rFonts w:ascii="Arial" w:hAnsi="Arial" w:cs="Arial"/>
        </w:rPr>
        <w:fldChar w:fldCharType="separate"/>
      </w:r>
      <w:r w:rsidR="004A2268" w:rsidRPr="004A2268">
        <w:rPr>
          <w:rFonts w:ascii="Arial" w:hAnsi="Arial" w:cs="Arial"/>
          <w:lang w:val="es-MX"/>
        </w:rPr>
        <w:t>(Hannig Núñez, 2024)</w:t>
      </w:r>
      <w:r w:rsidR="004A2268" w:rsidRPr="004A2268">
        <w:rPr>
          <w:rFonts w:ascii="Arial" w:hAnsi="Arial" w:cs="Arial"/>
        </w:rPr>
        <w:fldChar w:fldCharType="end"/>
      </w:r>
      <w:r w:rsidR="004A2268" w:rsidRPr="004A2268">
        <w:rPr>
          <w:rFonts w:ascii="Arial" w:hAnsi="Arial" w:cs="Arial"/>
        </w:rPr>
        <w:t xml:space="preserve">. </w:t>
      </w:r>
    </w:p>
    <w:p w14:paraId="73DEB61E" w14:textId="49E403A2" w:rsidR="00A92E34" w:rsidRDefault="00541B0D" w:rsidP="00A92E34">
      <w:pPr>
        <w:spacing w:after="240" w:line="360" w:lineRule="auto"/>
        <w:jc w:val="both"/>
        <w:rPr>
          <w:rFonts w:ascii="Arial" w:hAnsi="Arial" w:cs="Arial"/>
        </w:rPr>
      </w:pPr>
      <w:r w:rsidRPr="004A2268">
        <w:rPr>
          <w:rFonts w:ascii="Arial" w:hAnsi="Arial" w:cs="Arial"/>
        </w:rPr>
        <w:t xml:space="preserve">Ecuador </w:t>
      </w:r>
      <w:r w:rsidR="00273F2F">
        <w:rPr>
          <w:rFonts w:ascii="Arial" w:hAnsi="Arial" w:cs="Arial"/>
        </w:rPr>
        <w:t xml:space="preserve">por su parte </w:t>
      </w:r>
      <w:r w:rsidRPr="004A2268">
        <w:rPr>
          <w:rFonts w:ascii="Arial" w:hAnsi="Arial" w:cs="Arial"/>
        </w:rPr>
        <w:t xml:space="preserve">ha conseguido equilibrar su balanza comercial con China a través de una combinación de exportaciones agrícolas y petróleo, lo que le ha permitido desarrollar una relación más estable y favorable en comparación con otros países de la región </w:t>
      </w:r>
      <w:r w:rsidR="004A2268" w:rsidRPr="004A2268">
        <w:rPr>
          <w:rFonts w:ascii="Arial" w:hAnsi="Arial" w:cs="Arial"/>
        </w:rPr>
        <w:t xml:space="preserve"> </w:t>
      </w:r>
      <w:r w:rsidR="004A2268" w:rsidRPr="004A2268">
        <w:rPr>
          <w:rFonts w:ascii="Arial" w:hAnsi="Arial" w:cs="Arial"/>
        </w:rPr>
        <w:fldChar w:fldCharType="begin"/>
      </w:r>
      <w:r w:rsidR="00AE3E86">
        <w:rPr>
          <w:rFonts w:ascii="Arial" w:hAnsi="Arial" w:cs="Arial"/>
        </w:rPr>
        <w:instrText xml:space="preserve"> ADDIN ZOTERO_ITEM CSL_CITATION {"citationID":"ihSUEhg1","properties":{"formattedCitation":"(J. E. Dur\\uc0\\u225{}n Lima &amp; Morales Pi\\uc0\\u241{}ero, 2024)","plainCitation":"(J. E. Durán Lima &amp; Morales Piñero, 2024)","dontUpdate":true,"noteIndex":0},"citationItems":[{"id":1947,"uris":["http://zotero.org/users/10063313/items/VBZM7UD5"],"itemData":{"id":1947,"type":"book","language":"es","note":"journalAbbreviation: Estudio sobre los posibles impactos de un acuerdo comercial entre el Ecuador y China","publisher":"Comisión Económica para América Latina y el Caribe","source":"www.cepal.org","title":"Estudio sobre los posibles impactos de un acuerdo comercial entre el Ecuador y China","URL":"https://www.cepal.org/es/publicaciones/68861-estudio-posibles-impactos-un-acuerdo-comercial-ecuador-china","author":[{"family":"Durán Lima","given":"José Elías"},{"family":"Morales Piñero","given":"Jesús"}],"accessed":{"date-parts":[["2024",4,15]]},"issued":{"date-parts":[["2024",1,26]]}}}],"schema":"https://github.com/citation-style-language/schema/raw/master/csl-citation.json"} </w:instrText>
      </w:r>
      <w:r w:rsidR="004A2268" w:rsidRPr="004A2268">
        <w:rPr>
          <w:rFonts w:ascii="Arial" w:hAnsi="Arial" w:cs="Arial"/>
        </w:rPr>
        <w:fldChar w:fldCharType="separate"/>
      </w:r>
      <w:r w:rsidR="004A2268" w:rsidRPr="004A2268">
        <w:rPr>
          <w:rFonts w:ascii="Arial" w:hAnsi="Arial" w:cs="Arial"/>
          <w:lang w:val="es-MX"/>
        </w:rPr>
        <w:t>(Durán Lima et al., 2024)</w:t>
      </w:r>
      <w:r w:rsidR="004A2268" w:rsidRPr="004A2268">
        <w:rPr>
          <w:rFonts w:ascii="Arial" w:hAnsi="Arial" w:cs="Arial"/>
        </w:rPr>
        <w:fldChar w:fldCharType="end"/>
      </w:r>
      <w:r w:rsidR="004A2268" w:rsidRPr="004A2268">
        <w:rPr>
          <w:rFonts w:ascii="Arial" w:hAnsi="Arial" w:cs="Arial"/>
        </w:rPr>
        <w:t>.</w:t>
      </w:r>
      <w:r w:rsidR="00273F2F">
        <w:rPr>
          <w:rFonts w:ascii="Arial" w:hAnsi="Arial" w:cs="Arial"/>
        </w:rPr>
        <w:t xml:space="preserve"> </w:t>
      </w:r>
      <w:r w:rsidR="00273F2F" w:rsidRPr="00273F2F">
        <w:rPr>
          <w:rFonts w:ascii="Arial" w:hAnsi="Arial" w:cs="Arial"/>
        </w:rPr>
        <w:t>Sin embargo, en el caso de Nicaragua, cuya base exportadora es limitada, es probable que enfrente desafíos similares a los de Costa Rica, debido a una alta dependencia de las importaciones chinas, lo que podría agravar su ya existente déficit comercial</w:t>
      </w:r>
      <w:r w:rsidR="00273F2F">
        <w:rPr>
          <w:rFonts w:ascii="Arial" w:hAnsi="Arial" w:cs="Arial"/>
        </w:rPr>
        <w:t xml:space="preserve"> con el país asiático</w:t>
      </w:r>
      <w:r w:rsidR="00273F2F" w:rsidRPr="00273F2F">
        <w:rPr>
          <w:rFonts w:ascii="Arial" w:hAnsi="Arial" w:cs="Arial"/>
        </w:rPr>
        <w:t xml:space="preserve">. Al ser Nicaragua y Costa Rica países vecinos que comparten un perfil exportador más similar al de Honduras, sus experiencias pueden ofrecer </w:t>
      </w:r>
      <w:r w:rsidR="00273F2F" w:rsidRPr="002F167C">
        <w:rPr>
          <w:rFonts w:ascii="Arial" w:hAnsi="Arial" w:cs="Arial"/>
        </w:rPr>
        <w:lastRenderedPageBreak/>
        <w:t>una advertencia sobre los posibles efectos que el TLC podría tener en la balanza comercial hondureña y en la atracción de inversión extranjera directa (IED).</w:t>
      </w:r>
    </w:p>
    <w:p w14:paraId="1834C2A4" w14:textId="421112A4" w:rsidR="002F167C" w:rsidRPr="00822279" w:rsidRDefault="00BC2864" w:rsidP="002F167C">
      <w:pPr>
        <w:pStyle w:val="Ttulo2"/>
        <w:numPr>
          <w:ilvl w:val="2"/>
          <w:numId w:val="7"/>
        </w:numPr>
        <w:rPr>
          <w:rFonts w:ascii="Arial" w:hAnsi="Arial" w:cs="Arial"/>
          <w:color w:val="000000" w:themeColor="text1"/>
          <w:sz w:val="24"/>
          <w:szCs w:val="24"/>
          <w:shd w:val="clear" w:color="auto" w:fill="FFFFFF"/>
        </w:rPr>
      </w:pPr>
      <w:bookmarkStart w:id="68" w:name="_Toc236232357"/>
      <w:r w:rsidRPr="00822279">
        <w:rPr>
          <w:rFonts w:ascii="Arial" w:hAnsi="Arial" w:cs="Arial"/>
          <w:color w:val="000000" w:themeColor="text1"/>
          <w:sz w:val="24"/>
          <w:szCs w:val="24"/>
          <w:shd w:val="clear" w:color="auto" w:fill="FFFFFF"/>
        </w:rPr>
        <w:t>Índices</w:t>
      </w:r>
      <w:r w:rsidR="00A92E34" w:rsidRPr="00822279">
        <w:rPr>
          <w:rFonts w:ascii="Arial" w:hAnsi="Arial" w:cs="Arial"/>
          <w:color w:val="000000" w:themeColor="text1"/>
          <w:sz w:val="24"/>
          <w:szCs w:val="24"/>
          <w:shd w:val="clear" w:color="auto" w:fill="FFFFFF"/>
        </w:rPr>
        <w:t xml:space="preserve"> Comerciales</w:t>
      </w:r>
      <w:bookmarkEnd w:id="68"/>
    </w:p>
    <w:p w14:paraId="113FA4C2" w14:textId="349A5864" w:rsidR="00B82A93" w:rsidRDefault="002802AA" w:rsidP="003F46CB">
      <w:pPr>
        <w:spacing w:after="240" w:line="360" w:lineRule="auto"/>
        <w:jc w:val="both"/>
        <w:rPr>
          <w:rFonts w:ascii="Arial" w:hAnsi="Arial" w:cs="Arial"/>
        </w:rPr>
      </w:pPr>
      <w:r>
        <w:rPr>
          <w:rFonts w:ascii="Arial" w:hAnsi="Arial" w:cs="Arial"/>
        </w:rPr>
        <w:br/>
      </w:r>
      <w:r w:rsidR="00B82A93" w:rsidRPr="00B82A93">
        <w:rPr>
          <w:rFonts w:ascii="Arial" w:hAnsi="Arial" w:cs="Arial"/>
        </w:rPr>
        <w:t>Para dimensionar con mayor precisión el panorama comercial hondureño y su relación con China, se recurre a índices complementarios como el Índice de Apertura Comercial y el Índice de Complementariedad Comercial. Estos indicadores permiten evaluar no solo el grado de exposición del país al comercio internacional, sino también la medida en que su estructura exportadora converge con la demanda china, aspecto crucial en el contexto del próximo TLC.</w:t>
      </w:r>
    </w:p>
    <w:p w14:paraId="56F11C02" w14:textId="2CF04CD8" w:rsidR="00F97327" w:rsidRDefault="00B82A93" w:rsidP="00F97327">
      <w:pPr>
        <w:spacing w:line="360" w:lineRule="auto"/>
        <w:jc w:val="both"/>
        <w:rPr>
          <w:rFonts w:ascii="Arial" w:hAnsi="Arial" w:cs="Arial"/>
        </w:rPr>
      </w:pPr>
      <w:r w:rsidRPr="00B82A93">
        <w:rPr>
          <w:rFonts w:ascii="Arial" w:hAnsi="Arial" w:cs="Arial"/>
        </w:rPr>
        <w:t>En el Gráfico 15 se observa que la apertura de Honduras ha sido alta pero volátil, con picos en 2008 (≈84 %) y 2012 (≈75 %), seguidos por caídas en 2019 (≈56 %) y 2024 (≈59 %). En términos de economía política, esta trayectoria confirma una inserción externa estructuralmente elevada pero marcada por ciclos, sensible tanto a shocks globales, como la crisis financiera de 2008–2009 o la pandemia de 2020, como a variaciones internas en el PIB y del comercio.</w:t>
      </w:r>
    </w:p>
    <w:p w14:paraId="364494E3" w14:textId="77777777" w:rsidR="00B82A93" w:rsidRPr="00F97327" w:rsidRDefault="00B82A93" w:rsidP="00F97327">
      <w:pPr>
        <w:spacing w:line="360" w:lineRule="auto"/>
        <w:jc w:val="both"/>
        <w:rPr>
          <w:rFonts w:ascii="Arial" w:hAnsi="Arial" w:cs="Arial"/>
        </w:rPr>
      </w:pPr>
    </w:p>
    <w:p w14:paraId="1D5C098F" w14:textId="72AB45A6" w:rsidR="002E6933" w:rsidRPr="001D1C83" w:rsidRDefault="002E6933" w:rsidP="002E6933">
      <w:pPr>
        <w:pStyle w:val="Descripcin"/>
        <w:keepNext/>
        <w:rPr>
          <w:rFonts w:ascii="Arial" w:hAnsi="Arial" w:cs="Arial"/>
          <w:color w:val="000000" w:themeColor="text1"/>
          <w:sz w:val="24"/>
          <w:szCs w:val="24"/>
        </w:rPr>
      </w:pPr>
      <w:bookmarkStart w:id="69" w:name="_Toc215907256"/>
      <w:bookmarkStart w:id="70" w:name="OLE_LINK20"/>
      <w:r w:rsidRPr="00795AAA">
        <w:rPr>
          <w:rFonts w:ascii="Arial" w:hAnsi="Arial" w:cs="Arial"/>
          <w:b/>
          <w:bCs/>
          <w:i w:val="0"/>
          <w:iCs w:val="0"/>
          <w:color w:val="000000" w:themeColor="text1"/>
          <w:sz w:val="24"/>
          <w:szCs w:val="24"/>
        </w:rPr>
        <w:t xml:space="preserve">Gráfico </w:t>
      </w:r>
      <w:r w:rsidRPr="00795AAA">
        <w:rPr>
          <w:rFonts w:ascii="Arial" w:hAnsi="Arial" w:cs="Arial"/>
          <w:b/>
          <w:bCs/>
          <w:i w:val="0"/>
          <w:iCs w:val="0"/>
          <w:color w:val="000000" w:themeColor="text1"/>
          <w:sz w:val="24"/>
          <w:szCs w:val="24"/>
        </w:rPr>
        <w:fldChar w:fldCharType="begin"/>
      </w:r>
      <w:r w:rsidRPr="00795AAA">
        <w:rPr>
          <w:rFonts w:ascii="Arial" w:hAnsi="Arial" w:cs="Arial"/>
          <w:b/>
          <w:bCs/>
          <w:i w:val="0"/>
          <w:iCs w:val="0"/>
          <w:color w:val="000000" w:themeColor="text1"/>
          <w:sz w:val="24"/>
          <w:szCs w:val="24"/>
        </w:rPr>
        <w:instrText xml:space="preserve"> SEQ Gráfico \* ARABIC </w:instrText>
      </w:r>
      <w:r w:rsidRPr="00795AAA">
        <w:rPr>
          <w:rFonts w:ascii="Arial" w:hAnsi="Arial" w:cs="Arial"/>
          <w:b/>
          <w:bCs/>
          <w:i w:val="0"/>
          <w:iCs w:val="0"/>
          <w:color w:val="000000" w:themeColor="text1"/>
          <w:sz w:val="24"/>
          <w:szCs w:val="24"/>
        </w:rPr>
        <w:fldChar w:fldCharType="separate"/>
      </w:r>
      <w:r w:rsidR="00C41F6F" w:rsidRPr="00795AAA">
        <w:rPr>
          <w:rFonts w:ascii="Arial" w:hAnsi="Arial" w:cs="Arial"/>
          <w:b/>
          <w:bCs/>
          <w:i w:val="0"/>
          <w:iCs w:val="0"/>
          <w:noProof/>
          <w:color w:val="000000" w:themeColor="text1"/>
          <w:sz w:val="24"/>
          <w:szCs w:val="24"/>
        </w:rPr>
        <w:t>15</w:t>
      </w:r>
      <w:r w:rsidRPr="00795AAA">
        <w:rPr>
          <w:rFonts w:ascii="Arial" w:hAnsi="Arial" w:cs="Arial"/>
          <w:b/>
          <w:bCs/>
          <w:i w:val="0"/>
          <w:iCs w:val="0"/>
          <w:color w:val="000000" w:themeColor="text1"/>
          <w:sz w:val="24"/>
          <w:szCs w:val="24"/>
        </w:rPr>
        <w:fldChar w:fldCharType="end"/>
      </w:r>
      <w:r w:rsidRPr="001D1C83">
        <w:rPr>
          <w:rFonts w:ascii="Arial" w:hAnsi="Arial" w:cs="Arial"/>
          <w:color w:val="000000" w:themeColor="text1"/>
          <w:sz w:val="24"/>
          <w:szCs w:val="24"/>
        </w:rPr>
        <w:t xml:space="preserve"> </w:t>
      </w:r>
      <w:r w:rsidR="00507E3F" w:rsidRPr="001D1C83">
        <w:rPr>
          <w:rFonts w:ascii="Arial" w:hAnsi="Arial" w:cs="Arial"/>
          <w:color w:val="000000" w:themeColor="text1"/>
          <w:sz w:val="24"/>
          <w:szCs w:val="24"/>
        </w:rPr>
        <w:t>Índice</w:t>
      </w:r>
      <w:r w:rsidRPr="001D1C83">
        <w:rPr>
          <w:rFonts w:ascii="Arial" w:hAnsi="Arial" w:cs="Arial"/>
          <w:color w:val="000000" w:themeColor="text1"/>
          <w:sz w:val="24"/>
          <w:szCs w:val="24"/>
        </w:rPr>
        <w:t xml:space="preserve"> de Apertura Comercial de Honduras (2005-2024)</w:t>
      </w:r>
      <w:bookmarkEnd w:id="69"/>
    </w:p>
    <w:p w14:paraId="33253B00" w14:textId="1BD68794" w:rsidR="00F97327" w:rsidRPr="00981548" w:rsidRDefault="002E6933" w:rsidP="00A92E34">
      <w:pPr>
        <w:rPr>
          <w:rFonts w:ascii="Arial" w:hAnsi="Arial" w:cs="Arial"/>
        </w:rPr>
      </w:pPr>
      <w:r w:rsidRPr="00981548">
        <w:rPr>
          <w:rFonts w:ascii="Arial" w:hAnsi="Arial" w:cs="Arial"/>
          <w:noProof/>
          <w14:ligatures w14:val="standardContextual"/>
        </w:rPr>
        <w:drawing>
          <wp:inline distT="0" distB="0" distL="0" distR="0" wp14:anchorId="3F6C0007" wp14:editId="4C345DD7">
            <wp:extent cx="5400040" cy="3154045"/>
            <wp:effectExtent l="0" t="0" r="0" b="0"/>
            <wp:docPr id="1870897204" name="Gráfico 1">
              <a:extLst xmlns:a="http://schemas.openxmlformats.org/drawingml/2006/main">
                <a:ext uri="{FF2B5EF4-FFF2-40B4-BE49-F238E27FC236}">
                  <a16:creationId xmlns:a16="http://schemas.microsoft.com/office/drawing/2014/main" id="{24020C2C-F5A8-9EC7-B2D4-C05EB9EEEC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bookmarkEnd w:id="70"/>
    <w:p w14:paraId="7F206590" w14:textId="18805886" w:rsidR="00F97327" w:rsidRPr="00981548" w:rsidRDefault="00981548" w:rsidP="00A92E34">
      <w:pPr>
        <w:rPr>
          <w:rFonts w:ascii="Arial" w:hAnsi="Arial" w:cs="Arial"/>
        </w:rPr>
      </w:pPr>
      <w:r w:rsidRPr="000172E9">
        <w:rPr>
          <w:rFonts w:ascii="Arial" w:hAnsi="Arial" w:cs="Arial"/>
        </w:rPr>
        <w:t>Fuente</w:t>
      </w:r>
      <w:r w:rsidRPr="00981548">
        <w:rPr>
          <w:rFonts w:ascii="Arial" w:hAnsi="Arial" w:cs="Arial"/>
        </w:rPr>
        <w:t xml:space="preserve">: </w:t>
      </w:r>
      <w:r w:rsidR="000172E9">
        <w:rPr>
          <w:rFonts w:ascii="Arial" w:hAnsi="Arial" w:cs="Arial"/>
        </w:rPr>
        <w:t xml:space="preserve">Elaboración propia con datos del </w:t>
      </w:r>
      <w:r w:rsidR="00FA1E4C">
        <w:rPr>
          <w:rFonts w:ascii="Arial" w:hAnsi="Arial" w:cs="Arial"/>
        </w:rPr>
        <w:t>Banco Central de Honduras y SIECA</w:t>
      </w:r>
    </w:p>
    <w:p w14:paraId="2B2559A7" w14:textId="77777777" w:rsidR="009B3DC9" w:rsidRDefault="009B3DC9" w:rsidP="00C74298">
      <w:pPr>
        <w:spacing w:line="360" w:lineRule="auto"/>
        <w:jc w:val="both"/>
        <w:rPr>
          <w:rFonts w:ascii="Arial" w:hAnsi="Arial" w:cs="Arial"/>
          <w:color w:val="000000" w:themeColor="text1"/>
        </w:rPr>
      </w:pPr>
    </w:p>
    <w:p w14:paraId="5EDE2993" w14:textId="7500819B" w:rsidR="00C74298" w:rsidRPr="009B3DC9" w:rsidRDefault="00C74298" w:rsidP="00C74298">
      <w:pPr>
        <w:spacing w:line="360" w:lineRule="auto"/>
        <w:jc w:val="both"/>
        <w:rPr>
          <w:rFonts w:ascii="Arial" w:hAnsi="Arial" w:cs="Arial"/>
          <w:color w:val="000000" w:themeColor="text1"/>
        </w:rPr>
      </w:pPr>
      <w:r w:rsidRPr="00C74298">
        <w:rPr>
          <w:rFonts w:ascii="Arial" w:hAnsi="Arial" w:cs="Arial"/>
          <w:color w:val="000000" w:themeColor="text1"/>
        </w:rPr>
        <w:lastRenderedPageBreak/>
        <w:t>La Figura 1, que presenta el ICC por sectores, permite observar con mayor detalle la compatibilidad de la oferta hondureña con la demanda del mercado chin</w:t>
      </w:r>
      <w:r w:rsidR="00C457C8">
        <w:rPr>
          <w:rFonts w:ascii="Arial" w:hAnsi="Arial" w:cs="Arial"/>
          <w:color w:val="000000" w:themeColor="text1"/>
        </w:rPr>
        <w:t>o, d</w:t>
      </w:r>
      <w:r w:rsidRPr="00C74298">
        <w:rPr>
          <w:rFonts w:ascii="Arial" w:hAnsi="Arial" w:cs="Arial"/>
          <w:color w:val="000000" w:themeColor="text1"/>
        </w:rPr>
        <w:t xml:space="preserve">estaca una complementariedad casi perfecta y estable en zinc, banano y carne bovina, con valores que se mantienen cercanos al 100% durante todo el período, lo que sugiere sectores de aprovechamiento inmediato. El camarón y el tabaco muestran también niveles altos, aunque con mayor variabilidad, reflejando tanto oportunidades como riesgos asociados a factores como costos logísticos, barreras sanitarias y fitosanitarias, o condiciones de estacionalidad. </w:t>
      </w:r>
      <w:r w:rsidRPr="000C18EE">
        <w:rPr>
          <w:rFonts w:ascii="Arial" w:hAnsi="Arial" w:cs="Arial"/>
          <w:color w:val="000000" w:themeColor="text1"/>
        </w:rPr>
        <w:t xml:space="preserve">Finalmente, el café, a pesar de su centralidad histórica en la canasta exportadora hondureña, exhibe una complementariedad </w:t>
      </w:r>
      <w:r w:rsidR="00C457C8" w:rsidRPr="000C18EE">
        <w:rPr>
          <w:rFonts w:ascii="Arial" w:hAnsi="Arial" w:cs="Arial"/>
          <w:color w:val="000000" w:themeColor="text1"/>
        </w:rPr>
        <w:t>menor</w:t>
      </w:r>
      <w:r w:rsidRPr="000C18EE">
        <w:rPr>
          <w:rFonts w:ascii="Arial" w:hAnsi="Arial" w:cs="Arial"/>
          <w:color w:val="000000" w:themeColor="text1"/>
        </w:rPr>
        <w:t xml:space="preserve"> y volátil, con valores entre 82% y 91%, lo que </w:t>
      </w:r>
      <w:r w:rsidR="000C18EE" w:rsidRPr="000C18EE">
        <w:rPr>
          <w:rFonts w:ascii="Arial" w:hAnsi="Arial" w:cs="Arial"/>
          <w:color w:val="000000" w:themeColor="text1"/>
        </w:rPr>
        <w:t xml:space="preserve">podría </w:t>
      </w:r>
      <w:r w:rsidRPr="000C18EE">
        <w:rPr>
          <w:rFonts w:ascii="Arial" w:hAnsi="Arial" w:cs="Arial"/>
          <w:color w:val="000000" w:themeColor="text1"/>
        </w:rPr>
        <w:t>indica</w:t>
      </w:r>
      <w:r w:rsidR="000C18EE" w:rsidRPr="000C18EE">
        <w:rPr>
          <w:rFonts w:ascii="Arial" w:hAnsi="Arial" w:cs="Arial"/>
          <w:color w:val="000000" w:themeColor="text1"/>
        </w:rPr>
        <w:t>r</w:t>
      </w:r>
      <w:r w:rsidRPr="000C18EE">
        <w:rPr>
          <w:rFonts w:ascii="Arial" w:hAnsi="Arial" w:cs="Arial"/>
          <w:color w:val="000000" w:themeColor="text1"/>
        </w:rPr>
        <w:t xml:space="preserve"> una menor sintonía con la estructura de importaciones de China y una mayor sensibilidad a fluctuaciones de precios internacionales y sustituciones</w:t>
      </w:r>
      <w:r w:rsidR="000C18EE" w:rsidRPr="000C18EE">
        <w:rPr>
          <w:rFonts w:ascii="Arial" w:hAnsi="Arial" w:cs="Arial"/>
          <w:color w:val="000000" w:themeColor="text1"/>
        </w:rPr>
        <w:t>, sin embargo est</w:t>
      </w:r>
      <w:r w:rsidR="00B01D10">
        <w:rPr>
          <w:rFonts w:ascii="Arial" w:hAnsi="Arial" w:cs="Arial"/>
          <w:color w:val="000000" w:themeColor="text1"/>
        </w:rPr>
        <w:t>as fluctuaciones,</w:t>
      </w:r>
      <w:r w:rsidR="000C18EE" w:rsidRPr="000C18EE">
        <w:rPr>
          <w:rFonts w:ascii="Arial" w:hAnsi="Arial" w:cs="Arial"/>
          <w:color w:val="000000" w:themeColor="text1"/>
        </w:rPr>
        <w:t xml:space="preserve"> se debe</w:t>
      </w:r>
      <w:r w:rsidR="00B01D10">
        <w:rPr>
          <w:rFonts w:ascii="Arial" w:hAnsi="Arial" w:cs="Arial"/>
          <w:color w:val="000000" w:themeColor="text1"/>
        </w:rPr>
        <w:t>n principalmente</w:t>
      </w:r>
      <w:r w:rsidR="000C18EE" w:rsidRPr="000C18EE">
        <w:rPr>
          <w:rFonts w:ascii="Arial" w:hAnsi="Arial" w:cs="Arial"/>
          <w:color w:val="000000" w:themeColor="text1"/>
        </w:rPr>
        <w:t xml:space="preserve"> a que durante el periodo 2009</w:t>
      </w:r>
      <w:r w:rsidR="00B01D10">
        <w:rPr>
          <w:rFonts w:ascii="Arial" w:hAnsi="Arial" w:cs="Arial"/>
          <w:color w:val="000000" w:themeColor="text1"/>
        </w:rPr>
        <w:t xml:space="preserve"> </w:t>
      </w:r>
      <w:r w:rsidR="000C18EE" w:rsidRPr="000C18EE">
        <w:rPr>
          <w:rFonts w:ascii="Arial" w:hAnsi="Arial" w:cs="Arial"/>
          <w:color w:val="000000" w:themeColor="text1"/>
        </w:rPr>
        <w:t>-</w:t>
      </w:r>
      <w:r w:rsidR="00B01D10">
        <w:rPr>
          <w:rFonts w:ascii="Arial" w:hAnsi="Arial" w:cs="Arial"/>
          <w:color w:val="000000" w:themeColor="text1"/>
        </w:rPr>
        <w:t xml:space="preserve"> </w:t>
      </w:r>
      <w:r w:rsidR="000C18EE" w:rsidRPr="000C18EE">
        <w:rPr>
          <w:rFonts w:ascii="Arial" w:hAnsi="Arial" w:cs="Arial"/>
          <w:color w:val="000000" w:themeColor="text1"/>
        </w:rPr>
        <w:t>2010 existió una serie de importaciones de productos de café de China pero que no se repitió en los próximos años según datos del ITC.</w:t>
      </w:r>
      <w:r w:rsidR="000C18EE">
        <w:rPr>
          <w:rFonts w:ascii="Arial" w:hAnsi="Arial" w:cs="Arial"/>
          <w:color w:val="000000" w:themeColor="text1"/>
        </w:rPr>
        <w:t xml:space="preserve"> </w:t>
      </w:r>
    </w:p>
    <w:p w14:paraId="0BEDDE12" w14:textId="77777777" w:rsidR="00C74298" w:rsidRPr="00C74298" w:rsidRDefault="00C74298" w:rsidP="00C74298">
      <w:pPr>
        <w:spacing w:line="360" w:lineRule="auto"/>
        <w:jc w:val="both"/>
        <w:rPr>
          <w:rFonts w:ascii="Arial" w:hAnsi="Arial" w:cs="Arial"/>
          <w:color w:val="000000" w:themeColor="text1"/>
        </w:rPr>
      </w:pPr>
    </w:p>
    <w:p w14:paraId="09AFB276" w14:textId="50C31EBA" w:rsidR="00647DD0" w:rsidRDefault="00C74298" w:rsidP="00C74298">
      <w:pPr>
        <w:spacing w:line="360" w:lineRule="auto"/>
        <w:jc w:val="both"/>
        <w:rPr>
          <w:rFonts w:ascii="Arial" w:hAnsi="Arial" w:cs="Arial"/>
          <w:color w:val="000000" w:themeColor="text1"/>
        </w:rPr>
      </w:pPr>
      <w:r w:rsidRPr="00C74298">
        <w:rPr>
          <w:rFonts w:ascii="Arial" w:hAnsi="Arial" w:cs="Arial"/>
          <w:color w:val="000000" w:themeColor="text1"/>
        </w:rPr>
        <w:t xml:space="preserve">La lectura conjunta </w:t>
      </w:r>
      <w:r w:rsidR="001F3776">
        <w:rPr>
          <w:rFonts w:ascii="Arial" w:hAnsi="Arial" w:cs="Arial"/>
          <w:color w:val="000000" w:themeColor="text1"/>
        </w:rPr>
        <w:t xml:space="preserve">ambos índices </w:t>
      </w:r>
      <w:r w:rsidRPr="00C74298">
        <w:rPr>
          <w:rFonts w:ascii="Arial" w:hAnsi="Arial" w:cs="Arial"/>
          <w:color w:val="000000" w:themeColor="text1"/>
        </w:rPr>
        <w:t>sugiere que Honduras es una economía abierta cuya mayor compatibilidad con China se concentra en bienes primarios</w:t>
      </w:r>
      <w:r w:rsidR="001F3776">
        <w:rPr>
          <w:rFonts w:ascii="Arial" w:hAnsi="Arial" w:cs="Arial"/>
          <w:color w:val="000000" w:themeColor="text1"/>
        </w:rPr>
        <w:t xml:space="preserve">, </w:t>
      </w:r>
      <w:r w:rsidRPr="00C74298">
        <w:rPr>
          <w:rFonts w:ascii="Arial" w:hAnsi="Arial" w:cs="Arial"/>
          <w:color w:val="000000" w:themeColor="text1"/>
        </w:rPr>
        <w:t xml:space="preserve">dinámica </w:t>
      </w:r>
      <w:r w:rsidR="001F3776">
        <w:rPr>
          <w:rFonts w:ascii="Arial" w:hAnsi="Arial" w:cs="Arial"/>
          <w:color w:val="000000" w:themeColor="text1"/>
        </w:rPr>
        <w:t xml:space="preserve">que </w:t>
      </w:r>
      <w:r w:rsidRPr="00C74298">
        <w:rPr>
          <w:rFonts w:ascii="Arial" w:hAnsi="Arial" w:cs="Arial"/>
          <w:color w:val="000000" w:themeColor="text1"/>
        </w:rPr>
        <w:t>encaja con los patrones observados en otros países latinoamericanos, como la minería en Chile y Perú o las agroexportaciones en Ecuador y Costa Rica, pero al mismo tiempo anticipa el riesgo clásico de una inserción basada en la especialización y la dependencia. Sin políticas de escalamiento y diversificación, la complementariedad actual puede traducirse en un patrón de integración asimétrico, con oportunidades de corto plazo, pero con limitaciones estructurales para el desarrollo económico en el largo plazo.</w:t>
      </w:r>
    </w:p>
    <w:p w14:paraId="313A04EF" w14:textId="77777777" w:rsidR="006E7328" w:rsidRPr="00981548" w:rsidRDefault="006E7328" w:rsidP="00C74298">
      <w:pPr>
        <w:spacing w:line="360" w:lineRule="auto"/>
        <w:jc w:val="both"/>
        <w:rPr>
          <w:rFonts w:ascii="Arial" w:hAnsi="Arial" w:cs="Arial"/>
          <w:b/>
          <w:bCs/>
          <w:color w:val="000000" w:themeColor="text1"/>
        </w:rPr>
      </w:pPr>
    </w:p>
    <w:p w14:paraId="5714B9B1" w14:textId="27C15953" w:rsidR="00981548" w:rsidRPr="00981548" w:rsidRDefault="00981548" w:rsidP="00795AAA">
      <w:pPr>
        <w:pStyle w:val="Descripcin"/>
        <w:keepNext/>
        <w:spacing w:line="360" w:lineRule="auto"/>
        <w:rPr>
          <w:rFonts w:ascii="Arial" w:hAnsi="Arial" w:cs="Arial"/>
          <w:color w:val="000000" w:themeColor="text1"/>
          <w:sz w:val="24"/>
          <w:szCs w:val="24"/>
        </w:rPr>
      </w:pPr>
      <w:bookmarkStart w:id="71" w:name="_Toc215521929"/>
      <w:r w:rsidRPr="00795AAA">
        <w:rPr>
          <w:rFonts w:ascii="Arial" w:hAnsi="Arial" w:cs="Arial"/>
          <w:b/>
          <w:bCs/>
          <w:i w:val="0"/>
          <w:iCs w:val="0"/>
          <w:color w:val="000000" w:themeColor="text1"/>
          <w:sz w:val="24"/>
          <w:szCs w:val="24"/>
        </w:rPr>
        <w:lastRenderedPageBreak/>
        <w:t xml:space="preserve">Figura </w:t>
      </w:r>
      <w:r w:rsidRPr="00795AAA">
        <w:rPr>
          <w:rFonts w:ascii="Arial" w:hAnsi="Arial" w:cs="Arial"/>
          <w:b/>
          <w:bCs/>
          <w:i w:val="0"/>
          <w:iCs w:val="0"/>
          <w:color w:val="000000" w:themeColor="text1"/>
          <w:sz w:val="24"/>
          <w:szCs w:val="24"/>
        </w:rPr>
        <w:fldChar w:fldCharType="begin"/>
      </w:r>
      <w:r w:rsidRPr="00795AAA">
        <w:rPr>
          <w:rFonts w:ascii="Arial" w:hAnsi="Arial" w:cs="Arial"/>
          <w:b/>
          <w:bCs/>
          <w:i w:val="0"/>
          <w:iCs w:val="0"/>
          <w:color w:val="000000" w:themeColor="text1"/>
          <w:sz w:val="24"/>
          <w:szCs w:val="24"/>
        </w:rPr>
        <w:instrText xml:space="preserve"> SEQ Figura \* ARABIC </w:instrText>
      </w:r>
      <w:r w:rsidRPr="00795AAA">
        <w:rPr>
          <w:rFonts w:ascii="Arial" w:hAnsi="Arial" w:cs="Arial"/>
          <w:b/>
          <w:bCs/>
          <w:i w:val="0"/>
          <w:iCs w:val="0"/>
          <w:color w:val="000000" w:themeColor="text1"/>
          <w:sz w:val="24"/>
          <w:szCs w:val="24"/>
        </w:rPr>
        <w:fldChar w:fldCharType="separate"/>
      </w:r>
      <w:r w:rsidR="00C41F6F" w:rsidRPr="00795AAA">
        <w:rPr>
          <w:rFonts w:ascii="Arial" w:hAnsi="Arial" w:cs="Arial"/>
          <w:b/>
          <w:bCs/>
          <w:i w:val="0"/>
          <w:iCs w:val="0"/>
          <w:noProof/>
          <w:color w:val="000000" w:themeColor="text1"/>
          <w:sz w:val="24"/>
          <w:szCs w:val="24"/>
        </w:rPr>
        <w:t>1</w:t>
      </w:r>
      <w:r w:rsidRPr="00795AAA">
        <w:rPr>
          <w:rFonts w:ascii="Arial" w:hAnsi="Arial" w:cs="Arial"/>
          <w:b/>
          <w:bCs/>
          <w:i w:val="0"/>
          <w:iCs w:val="0"/>
          <w:color w:val="000000" w:themeColor="text1"/>
          <w:sz w:val="24"/>
          <w:szCs w:val="24"/>
        </w:rPr>
        <w:fldChar w:fldCharType="end"/>
      </w:r>
      <w:r w:rsidRPr="00981548">
        <w:rPr>
          <w:rFonts w:ascii="Arial" w:hAnsi="Arial" w:cs="Arial"/>
          <w:b/>
          <w:bCs/>
          <w:color w:val="000000" w:themeColor="text1"/>
          <w:sz w:val="24"/>
          <w:szCs w:val="24"/>
        </w:rPr>
        <w:t xml:space="preserve"> </w:t>
      </w:r>
      <w:r w:rsidRPr="00981548">
        <w:rPr>
          <w:rFonts w:ascii="Arial" w:hAnsi="Arial" w:cs="Arial"/>
          <w:color w:val="000000" w:themeColor="text1"/>
          <w:sz w:val="24"/>
          <w:szCs w:val="24"/>
        </w:rPr>
        <w:t>Índice de Complementariedad Comercia</w:t>
      </w:r>
      <w:r>
        <w:rPr>
          <w:rFonts w:ascii="Arial" w:hAnsi="Arial" w:cs="Arial"/>
          <w:color w:val="000000" w:themeColor="text1"/>
          <w:sz w:val="24"/>
          <w:szCs w:val="24"/>
        </w:rPr>
        <w:t xml:space="preserve">l para sectores relevantes </w:t>
      </w:r>
      <w:r w:rsidR="00CF27E3">
        <w:rPr>
          <w:rFonts w:ascii="Arial" w:hAnsi="Arial" w:cs="Arial"/>
          <w:color w:val="000000" w:themeColor="text1"/>
          <w:sz w:val="24"/>
          <w:szCs w:val="24"/>
        </w:rPr>
        <w:t>d</w:t>
      </w:r>
      <w:r>
        <w:rPr>
          <w:rFonts w:ascii="Arial" w:hAnsi="Arial" w:cs="Arial"/>
          <w:color w:val="000000" w:themeColor="text1"/>
          <w:sz w:val="24"/>
          <w:szCs w:val="24"/>
        </w:rPr>
        <w:t>el TLC China – Honduras.</w:t>
      </w:r>
      <w:bookmarkEnd w:id="71"/>
      <w:r>
        <w:rPr>
          <w:rFonts w:ascii="Arial" w:hAnsi="Arial" w:cs="Arial"/>
          <w:color w:val="000000" w:themeColor="text1"/>
          <w:sz w:val="24"/>
          <w:szCs w:val="24"/>
        </w:rPr>
        <w:t xml:space="preserve"> </w:t>
      </w:r>
    </w:p>
    <w:tbl>
      <w:tblPr>
        <w:tblStyle w:val="Tablaconcuadrcula"/>
        <w:tblpPr w:leftFromText="141" w:rightFromText="141" w:vertAnchor="text" w:horzAnchor="margin" w:tblpXSpec="center" w:tblpY="182"/>
        <w:tblW w:w="11338" w:type="dxa"/>
        <w:tblLayout w:type="fixed"/>
        <w:tblCellMar>
          <w:left w:w="70" w:type="dxa"/>
          <w:right w:w="70" w:type="dxa"/>
        </w:tblCellMar>
        <w:tblLook w:val="04A0" w:firstRow="1" w:lastRow="0" w:firstColumn="1" w:lastColumn="0" w:noHBand="0" w:noVBand="1"/>
      </w:tblPr>
      <w:tblGrid>
        <w:gridCol w:w="5669"/>
        <w:gridCol w:w="5669"/>
      </w:tblGrid>
      <w:tr w:rsidR="0047050B" w:rsidRPr="0047050B" w14:paraId="18D9FDCD" w14:textId="77777777" w:rsidTr="00B01D10">
        <w:trPr>
          <w:trHeight w:val="3685"/>
        </w:trPr>
        <w:tc>
          <w:tcPr>
            <w:tcW w:w="5669" w:type="dxa"/>
          </w:tcPr>
          <w:p w14:paraId="193FBDD9" w14:textId="68CA4833" w:rsidR="005E2791" w:rsidRPr="0047050B" w:rsidRDefault="0047050B" w:rsidP="005E2791">
            <w:pPr>
              <w:spacing w:line="360" w:lineRule="auto"/>
              <w:jc w:val="both"/>
              <w:rPr>
                <w:rFonts w:ascii="Arial" w:hAnsi="Arial" w:cs="Arial"/>
                <w:color w:val="000000" w:themeColor="text1"/>
                <w:sz w:val="16"/>
                <w:szCs w:val="16"/>
              </w:rPr>
            </w:pPr>
            <w:r w:rsidRPr="0047050B">
              <w:rPr>
                <w:rFonts w:ascii="Arial" w:hAnsi="Arial" w:cs="Arial"/>
                <w:noProof/>
                <w:color w:val="000000" w:themeColor="text1"/>
                <w:sz w:val="16"/>
                <w:szCs w:val="16"/>
                <w14:ligatures w14:val="standardContextual"/>
              </w:rPr>
              <w:drawing>
                <wp:inline distT="0" distB="0" distL="0" distR="0" wp14:anchorId="3340AB17" wp14:editId="4ACDF845">
                  <wp:extent cx="3420000" cy="2160000"/>
                  <wp:effectExtent l="0" t="0" r="0" b="0"/>
                  <wp:docPr id="1103369013" name="Gráfico 1">
                    <a:extLst xmlns:a="http://schemas.openxmlformats.org/drawingml/2006/main">
                      <a:ext uri="{FF2B5EF4-FFF2-40B4-BE49-F238E27FC236}">
                        <a16:creationId xmlns:a16="http://schemas.microsoft.com/office/drawing/2014/main" id="{0E0A9A9D-7E4C-EE85-29C8-668DFBF293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5669" w:type="dxa"/>
          </w:tcPr>
          <w:p w14:paraId="3D62F83C" w14:textId="0ECF8E44" w:rsidR="005E2791" w:rsidRPr="0047050B" w:rsidRDefault="0047050B" w:rsidP="005E2791">
            <w:pPr>
              <w:spacing w:line="360" w:lineRule="auto"/>
              <w:jc w:val="both"/>
              <w:rPr>
                <w:rFonts w:ascii="Arial" w:hAnsi="Arial" w:cs="Arial"/>
                <w:color w:val="000000" w:themeColor="text1"/>
                <w:sz w:val="16"/>
                <w:szCs w:val="16"/>
              </w:rPr>
            </w:pPr>
            <w:r w:rsidRPr="0047050B">
              <w:rPr>
                <w:rFonts w:ascii="Arial" w:hAnsi="Arial" w:cs="Arial"/>
                <w:noProof/>
                <w:color w:val="000000" w:themeColor="text1"/>
                <w:sz w:val="16"/>
                <w:szCs w:val="16"/>
                <w14:ligatures w14:val="standardContextual"/>
              </w:rPr>
              <w:drawing>
                <wp:inline distT="0" distB="0" distL="0" distR="0" wp14:anchorId="4B918A37" wp14:editId="164C9088">
                  <wp:extent cx="3420000" cy="2160000"/>
                  <wp:effectExtent l="0" t="0" r="0" b="0"/>
                  <wp:docPr id="454472104" name="Gráfico 1">
                    <a:extLst xmlns:a="http://schemas.openxmlformats.org/drawingml/2006/main">
                      <a:ext uri="{FF2B5EF4-FFF2-40B4-BE49-F238E27FC236}">
                        <a16:creationId xmlns:a16="http://schemas.microsoft.com/office/drawing/2014/main" id="{48ADBF49-DE12-E51F-2DA6-E8ADDCA1E3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47050B" w:rsidRPr="0047050B" w14:paraId="2C56781C" w14:textId="77777777" w:rsidTr="00B01D10">
        <w:trPr>
          <w:trHeight w:val="3685"/>
        </w:trPr>
        <w:tc>
          <w:tcPr>
            <w:tcW w:w="5669" w:type="dxa"/>
          </w:tcPr>
          <w:p w14:paraId="7DEA5971" w14:textId="55C5F41E" w:rsidR="005E2791" w:rsidRPr="0047050B" w:rsidRDefault="0047050B" w:rsidP="005E2791">
            <w:pPr>
              <w:spacing w:line="360" w:lineRule="auto"/>
              <w:jc w:val="both"/>
              <w:rPr>
                <w:rFonts w:ascii="Arial" w:hAnsi="Arial" w:cs="Arial"/>
                <w:color w:val="000000" w:themeColor="text1"/>
                <w:sz w:val="16"/>
                <w:szCs w:val="16"/>
              </w:rPr>
            </w:pPr>
            <w:r w:rsidRPr="0047050B">
              <w:rPr>
                <w:rFonts w:ascii="Arial" w:hAnsi="Arial" w:cs="Arial"/>
                <w:noProof/>
                <w:color w:val="000000" w:themeColor="text1"/>
                <w:sz w:val="16"/>
                <w:szCs w:val="16"/>
                <w14:ligatures w14:val="standardContextual"/>
              </w:rPr>
              <w:drawing>
                <wp:inline distT="0" distB="0" distL="0" distR="0" wp14:anchorId="3A834961" wp14:editId="67E636F4">
                  <wp:extent cx="3420000" cy="2160000"/>
                  <wp:effectExtent l="0" t="0" r="0" b="0"/>
                  <wp:docPr id="766958148" name="Gráfico 1">
                    <a:extLst xmlns:a="http://schemas.openxmlformats.org/drawingml/2006/main">
                      <a:ext uri="{FF2B5EF4-FFF2-40B4-BE49-F238E27FC236}">
                        <a16:creationId xmlns:a16="http://schemas.microsoft.com/office/drawing/2014/main" id="{CEFEBCC2-0CA8-AC05-4494-32B04DDC70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c>
          <w:tcPr>
            <w:tcW w:w="5669" w:type="dxa"/>
          </w:tcPr>
          <w:p w14:paraId="22763831" w14:textId="3FCC2F92" w:rsidR="005E2791" w:rsidRPr="0047050B" w:rsidRDefault="0047050B" w:rsidP="005E2791">
            <w:pPr>
              <w:spacing w:line="360" w:lineRule="auto"/>
              <w:jc w:val="both"/>
              <w:rPr>
                <w:rFonts w:ascii="Arial" w:hAnsi="Arial" w:cs="Arial"/>
                <w:color w:val="000000" w:themeColor="text1"/>
                <w:sz w:val="16"/>
                <w:szCs w:val="16"/>
              </w:rPr>
            </w:pPr>
            <w:r w:rsidRPr="0047050B">
              <w:rPr>
                <w:rFonts w:ascii="Arial" w:hAnsi="Arial" w:cs="Arial"/>
                <w:noProof/>
                <w:color w:val="000000" w:themeColor="text1"/>
                <w:sz w:val="16"/>
                <w:szCs w:val="16"/>
                <w14:ligatures w14:val="standardContextual"/>
              </w:rPr>
              <w:drawing>
                <wp:inline distT="0" distB="0" distL="0" distR="0" wp14:anchorId="1749C6D6" wp14:editId="36720AA1">
                  <wp:extent cx="3420000" cy="2160000"/>
                  <wp:effectExtent l="0" t="0" r="0" b="0"/>
                  <wp:docPr id="244756811" name="Gráfico 1">
                    <a:extLst xmlns:a="http://schemas.openxmlformats.org/drawingml/2006/main">
                      <a:ext uri="{FF2B5EF4-FFF2-40B4-BE49-F238E27FC236}">
                        <a16:creationId xmlns:a16="http://schemas.microsoft.com/office/drawing/2014/main" id="{5DF773EF-6551-407F-56A6-90EEA3635F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47050B" w:rsidRPr="0047050B" w14:paraId="6DD0BC5A" w14:textId="77777777" w:rsidTr="00B01D10">
        <w:trPr>
          <w:trHeight w:val="3685"/>
        </w:trPr>
        <w:tc>
          <w:tcPr>
            <w:tcW w:w="5669" w:type="dxa"/>
          </w:tcPr>
          <w:p w14:paraId="0C4A8884" w14:textId="74269A49" w:rsidR="005E2791" w:rsidRPr="0047050B" w:rsidRDefault="0047050B" w:rsidP="005E2791">
            <w:pPr>
              <w:spacing w:line="360" w:lineRule="auto"/>
              <w:jc w:val="both"/>
              <w:rPr>
                <w:rFonts w:ascii="Arial" w:hAnsi="Arial" w:cs="Arial"/>
                <w:color w:val="000000" w:themeColor="text1"/>
                <w:sz w:val="16"/>
                <w:szCs w:val="16"/>
              </w:rPr>
            </w:pPr>
            <w:r w:rsidRPr="0047050B">
              <w:rPr>
                <w:rFonts w:ascii="Arial" w:hAnsi="Arial" w:cs="Arial"/>
                <w:noProof/>
                <w:color w:val="000000" w:themeColor="text1"/>
                <w:sz w:val="16"/>
                <w:szCs w:val="16"/>
                <w14:ligatures w14:val="standardContextual"/>
              </w:rPr>
              <w:drawing>
                <wp:inline distT="0" distB="0" distL="0" distR="0" wp14:anchorId="15701FA1" wp14:editId="712FA0CE">
                  <wp:extent cx="3420000" cy="2160000"/>
                  <wp:effectExtent l="0" t="0" r="0" b="0"/>
                  <wp:docPr id="1058282634" name="Gráfico 1">
                    <a:extLst xmlns:a="http://schemas.openxmlformats.org/drawingml/2006/main">
                      <a:ext uri="{FF2B5EF4-FFF2-40B4-BE49-F238E27FC236}">
                        <a16:creationId xmlns:a16="http://schemas.microsoft.com/office/drawing/2014/main" id="{573C48DD-5031-43D7-96C0-A0617716A6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c>
          <w:tcPr>
            <w:tcW w:w="5669" w:type="dxa"/>
          </w:tcPr>
          <w:p w14:paraId="2263E83A" w14:textId="71EF36AC" w:rsidR="005E2791" w:rsidRPr="0047050B" w:rsidRDefault="0047050B" w:rsidP="005E2791">
            <w:pPr>
              <w:spacing w:line="360" w:lineRule="auto"/>
              <w:jc w:val="both"/>
              <w:rPr>
                <w:rFonts w:ascii="Arial" w:hAnsi="Arial" w:cs="Arial"/>
                <w:color w:val="000000" w:themeColor="text1"/>
                <w:sz w:val="16"/>
                <w:szCs w:val="16"/>
              </w:rPr>
            </w:pPr>
            <w:r w:rsidRPr="0047050B">
              <w:rPr>
                <w:rFonts w:ascii="Arial" w:hAnsi="Arial" w:cs="Arial"/>
                <w:noProof/>
                <w:color w:val="000000" w:themeColor="text1"/>
                <w:sz w:val="16"/>
                <w:szCs w:val="16"/>
                <w14:ligatures w14:val="standardContextual"/>
              </w:rPr>
              <w:drawing>
                <wp:inline distT="0" distB="0" distL="0" distR="0" wp14:anchorId="01114D2A" wp14:editId="3304B4BE">
                  <wp:extent cx="3420000" cy="2160000"/>
                  <wp:effectExtent l="0" t="0" r="0" b="0"/>
                  <wp:docPr id="1302637129" name="Gráfico 1">
                    <a:extLst xmlns:a="http://schemas.openxmlformats.org/drawingml/2006/main">
                      <a:ext uri="{FF2B5EF4-FFF2-40B4-BE49-F238E27FC236}">
                        <a16:creationId xmlns:a16="http://schemas.microsoft.com/office/drawing/2014/main" id="{659111A4-9089-58C6-4B46-04823AE547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bl>
    <w:p w14:paraId="5A94C46A" w14:textId="224D3485" w:rsidR="00F6201F" w:rsidRPr="00234AD9" w:rsidRDefault="00157E5E" w:rsidP="00A92E34">
      <w:pPr>
        <w:rPr>
          <w:rFonts w:ascii="Arial" w:hAnsi="Arial" w:cs="Arial"/>
        </w:rPr>
      </w:pPr>
      <w:r w:rsidRPr="00157E5E">
        <w:rPr>
          <w:rFonts w:ascii="Arial" w:hAnsi="Arial" w:cs="Arial"/>
        </w:rPr>
        <w:t>Nota. La serie utiliza datos de exportaciones a nivel de subpartida arancelaria SAC (4 dígitos).</w:t>
      </w:r>
      <w:r>
        <w:rPr>
          <w:rFonts w:ascii="Arial" w:hAnsi="Arial" w:cs="Arial"/>
        </w:rPr>
        <w:br/>
      </w:r>
      <w:r w:rsidR="00981548" w:rsidRPr="00981548">
        <w:rPr>
          <w:rFonts w:ascii="Arial" w:hAnsi="Arial" w:cs="Arial"/>
        </w:rPr>
        <w:t xml:space="preserve">Fuente: </w:t>
      </w:r>
      <w:r w:rsidR="00EF5192">
        <w:rPr>
          <w:rFonts w:ascii="Arial" w:hAnsi="Arial" w:cs="Arial"/>
        </w:rPr>
        <w:t xml:space="preserve">Elaboración </w:t>
      </w:r>
      <w:r>
        <w:rPr>
          <w:rFonts w:ascii="Arial" w:hAnsi="Arial" w:cs="Arial"/>
        </w:rPr>
        <w:t>p</w:t>
      </w:r>
      <w:r w:rsidR="00EF5192">
        <w:rPr>
          <w:rFonts w:ascii="Arial" w:hAnsi="Arial" w:cs="Arial"/>
        </w:rPr>
        <w:t>ropia con datos</w:t>
      </w:r>
      <w:r w:rsidR="00234AD9">
        <w:rPr>
          <w:rFonts w:ascii="Arial" w:hAnsi="Arial" w:cs="Arial"/>
        </w:rPr>
        <w:t xml:space="preserve"> del ITC</w:t>
      </w:r>
    </w:p>
    <w:p w14:paraId="682AF58B" w14:textId="77777777" w:rsidR="00F6201F" w:rsidRPr="00A04E61" w:rsidRDefault="00F6201F" w:rsidP="00A92E34">
      <w:pPr>
        <w:rPr>
          <w:rFonts w:ascii="Arial" w:hAnsi="Arial" w:cs="Arial"/>
        </w:rPr>
      </w:pPr>
    </w:p>
    <w:p w14:paraId="0C0E0507" w14:textId="77777777" w:rsidR="00BB7471" w:rsidRPr="00A04E61" w:rsidRDefault="00BB7471" w:rsidP="00A92E34">
      <w:pPr>
        <w:rPr>
          <w:rFonts w:ascii="Arial" w:hAnsi="Arial" w:cs="Arial"/>
        </w:rPr>
      </w:pPr>
    </w:p>
    <w:p w14:paraId="40CFE9B7" w14:textId="0745E85F" w:rsidR="00C91819" w:rsidRDefault="00C91819" w:rsidP="00C91819">
      <w:pPr>
        <w:spacing w:line="360" w:lineRule="auto"/>
        <w:jc w:val="both"/>
        <w:rPr>
          <w:rFonts w:ascii="Arial" w:hAnsi="Arial" w:cs="Arial"/>
        </w:rPr>
      </w:pPr>
      <w:r w:rsidRPr="00E6569E">
        <w:rPr>
          <w:rFonts w:ascii="Arial" w:hAnsi="Arial" w:cs="Arial"/>
        </w:rPr>
        <w:lastRenderedPageBreak/>
        <w:t xml:space="preserve">El análisis se completa con </w:t>
      </w:r>
      <w:r w:rsidR="00FA45D7" w:rsidRPr="00E6569E">
        <w:rPr>
          <w:rFonts w:ascii="Arial" w:hAnsi="Arial" w:cs="Arial"/>
        </w:rPr>
        <w:t>un tercer índice, el</w:t>
      </w:r>
      <w:r w:rsidRPr="00E6569E">
        <w:rPr>
          <w:rFonts w:ascii="Arial" w:hAnsi="Arial" w:cs="Arial"/>
        </w:rPr>
        <w:t xml:space="preserve"> Índice de Grubel y Lloyd, presentado en la Tabla 1, que permite observar hasta qué punto la complementariedad estructural se ha traducido en comercio intraindustrial efectivo. Mientras que el IAC confirma la alta exposición externa de Honduras (Gráfico 15) y el ICC identifica sectores de coincidencia con la demanda china (Figura 1), el IGL revela</w:t>
      </w:r>
      <w:r w:rsidRPr="00C91819">
        <w:rPr>
          <w:rFonts w:ascii="Arial" w:hAnsi="Arial" w:cs="Arial"/>
        </w:rPr>
        <w:t xml:space="preserve"> que, en la práctica, la relación bilateral permanece fundamentalmente interindustrial</w:t>
      </w:r>
      <w:r w:rsidR="004B7CE9">
        <w:rPr>
          <w:rFonts w:ascii="Arial" w:hAnsi="Arial" w:cs="Arial"/>
        </w:rPr>
        <w:t>, c</w:t>
      </w:r>
      <w:r w:rsidR="004B7CE9" w:rsidRPr="004B7CE9">
        <w:rPr>
          <w:rFonts w:ascii="Arial" w:hAnsi="Arial" w:cs="Arial"/>
        </w:rPr>
        <w:t>on ello se hace referencia a un patrón en el que Honduras exporta bienes primarios</w:t>
      </w:r>
      <w:r w:rsidR="004B7CE9">
        <w:rPr>
          <w:rFonts w:ascii="Arial" w:hAnsi="Arial" w:cs="Arial"/>
        </w:rPr>
        <w:t xml:space="preserve"> </w:t>
      </w:r>
      <w:r w:rsidR="004B7CE9" w:rsidRPr="004B7CE9">
        <w:rPr>
          <w:rFonts w:ascii="Arial" w:hAnsi="Arial" w:cs="Arial"/>
        </w:rPr>
        <w:t>y, a cambio, importa manufacturas y bienes de capital desde China, sin que se configure un intercambio de productos similares dentro de un mismo sector.</w:t>
      </w:r>
    </w:p>
    <w:p w14:paraId="222FD144" w14:textId="77777777" w:rsidR="009A0293" w:rsidRPr="00C91819" w:rsidRDefault="009A0293" w:rsidP="00C91819">
      <w:pPr>
        <w:spacing w:line="360" w:lineRule="auto"/>
        <w:jc w:val="both"/>
        <w:rPr>
          <w:rFonts w:ascii="Arial" w:hAnsi="Arial" w:cs="Arial"/>
        </w:rPr>
      </w:pPr>
    </w:p>
    <w:p w14:paraId="01234C1A" w14:textId="609CC799" w:rsidR="001F3776" w:rsidRPr="001F3776" w:rsidRDefault="001F3776" w:rsidP="00795AAA">
      <w:pPr>
        <w:pStyle w:val="Descripcin"/>
        <w:keepNext/>
        <w:spacing w:line="360" w:lineRule="auto"/>
        <w:rPr>
          <w:rFonts w:ascii="Arial" w:hAnsi="Arial" w:cs="Arial"/>
          <w:b/>
          <w:bCs/>
          <w:color w:val="000000" w:themeColor="text1"/>
          <w:sz w:val="24"/>
          <w:szCs w:val="24"/>
        </w:rPr>
      </w:pPr>
      <w:bookmarkStart w:id="72" w:name="_Toc236227181"/>
      <w:r w:rsidRPr="00795AAA">
        <w:rPr>
          <w:rFonts w:ascii="Arial" w:hAnsi="Arial" w:cs="Arial"/>
          <w:b/>
          <w:bCs/>
          <w:i w:val="0"/>
          <w:iCs w:val="0"/>
          <w:color w:val="000000" w:themeColor="text1"/>
          <w:sz w:val="24"/>
          <w:szCs w:val="24"/>
        </w:rPr>
        <w:t xml:space="preserve">Tabla </w:t>
      </w:r>
      <w:r w:rsidRPr="00795AAA">
        <w:rPr>
          <w:rFonts w:ascii="Arial" w:hAnsi="Arial" w:cs="Arial"/>
          <w:b/>
          <w:bCs/>
          <w:i w:val="0"/>
          <w:iCs w:val="0"/>
          <w:color w:val="000000" w:themeColor="text1"/>
          <w:sz w:val="24"/>
          <w:szCs w:val="24"/>
        </w:rPr>
        <w:fldChar w:fldCharType="begin"/>
      </w:r>
      <w:r w:rsidRPr="00795AAA">
        <w:rPr>
          <w:rFonts w:ascii="Arial" w:hAnsi="Arial" w:cs="Arial"/>
          <w:b/>
          <w:bCs/>
          <w:i w:val="0"/>
          <w:iCs w:val="0"/>
          <w:color w:val="000000" w:themeColor="text1"/>
          <w:sz w:val="24"/>
          <w:szCs w:val="24"/>
        </w:rPr>
        <w:instrText xml:space="preserve"> SEQ Tabla \* ARABIC </w:instrText>
      </w:r>
      <w:r w:rsidRPr="00795AAA">
        <w:rPr>
          <w:rFonts w:ascii="Arial" w:hAnsi="Arial" w:cs="Arial"/>
          <w:b/>
          <w:bCs/>
          <w:i w:val="0"/>
          <w:iCs w:val="0"/>
          <w:color w:val="000000" w:themeColor="text1"/>
          <w:sz w:val="24"/>
          <w:szCs w:val="24"/>
        </w:rPr>
        <w:fldChar w:fldCharType="separate"/>
      </w:r>
      <w:r w:rsidR="000172E9" w:rsidRPr="00795AAA">
        <w:rPr>
          <w:rFonts w:ascii="Arial" w:hAnsi="Arial" w:cs="Arial"/>
          <w:b/>
          <w:bCs/>
          <w:i w:val="0"/>
          <w:iCs w:val="0"/>
          <w:noProof/>
          <w:color w:val="000000" w:themeColor="text1"/>
          <w:sz w:val="24"/>
          <w:szCs w:val="24"/>
        </w:rPr>
        <w:t>1</w:t>
      </w:r>
      <w:r w:rsidRPr="00795AAA">
        <w:rPr>
          <w:rFonts w:ascii="Arial" w:hAnsi="Arial" w:cs="Arial"/>
          <w:b/>
          <w:bCs/>
          <w:i w:val="0"/>
          <w:iCs w:val="0"/>
          <w:color w:val="000000" w:themeColor="text1"/>
          <w:sz w:val="24"/>
          <w:szCs w:val="24"/>
        </w:rPr>
        <w:fldChar w:fldCharType="end"/>
      </w:r>
      <w:r w:rsidR="00CF27E3">
        <w:rPr>
          <w:rFonts w:ascii="Arial" w:hAnsi="Arial" w:cs="Arial"/>
          <w:b/>
          <w:bCs/>
          <w:color w:val="000000" w:themeColor="text1"/>
          <w:sz w:val="24"/>
          <w:szCs w:val="24"/>
        </w:rPr>
        <w:t xml:space="preserve"> </w:t>
      </w:r>
      <w:r w:rsidR="00B37E5D" w:rsidRPr="00CF27E3">
        <w:rPr>
          <w:rFonts w:ascii="Arial" w:hAnsi="Arial" w:cs="Arial"/>
          <w:color w:val="000000" w:themeColor="text1"/>
          <w:sz w:val="24"/>
          <w:szCs w:val="24"/>
        </w:rPr>
        <w:t>Índice</w:t>
      </w:r>
      <w:r w:rsidR="00CF27E3" w:rsidRPr="00CF27E3">
        <w:rPr>
          <w:rFonts w:ascii="Arial" w:hAnsi="Arial" w:cs="Arial"/>
          <w:color w:val="000000" w:themeColor="text1"/>
          <w:sz w:val="24"/>
          <w:szCs w:val="24"/>
        </w:rPr>
        <w:t xml:space="preserve"> de Grubel y Lloyd</w:t>
      </w:r>
      <w:r w:rsidR="00CF27E3">
        <w:rPr>
          <w:rFonts w:ascii="Arial" w:hAnsi="Arial" w:cs="Arial"/>
          <w:color w:val="000000" w:themeColor="text1"/>
          <w:sz w:val="24"/>
          <w:szCs w:val="24"/>
        </w:rPr>
        <w:t xml:space="preserve"> par</w:t>
      </w:r>
      <w:r w:rsidR="00DE4430">
        <w:rPr>
          <w:rFonts w:ascii="Arial" w:hAnsi="Arial" w:cs="Arial"/>
          <w:color w:val="000000" w:themeColor="text1"/>
          <w:sz w:val="24"/>
          <w:szCs w:val="24"/>
        </w:rPr>
        <w:t>a</w:t>
      </w:r>
      <w:r w:rsidR="00CF27E3">
        <w:rPr>
          <w:rFonts w:ascii="Arial" w:hAnsi="Arial" w:cs="Arial"/>
          <w:color w:val="000000" w:themeColor="text1"/>
          <w:sz w:val="24"/>
          <w:szCs w:val="24"/>
        </w:rPr>
        <w:t xml:space="preserve"> sectores relevantes del TLC China – Honduras (2005-2024)</w:t>
      </w:r>
      <w:bookmarkEnd w:id="72"/>
    </w:p>
    <w:tbl>
      <w:tblPr>
        <w:tblW w:w="9100" w:type="dxa"/>
        <w:tblBorders>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0"/>
        <w:gridCol w:w="1300"/>
        <w:gridCol w:w="1300"/>
        <w:gridCol w:w="1300"/>
        <w:gridCol w:w="1300"/>
        <w:gridCol w:w="1300"/>
        <w:gridCol w:w="1300"/>
      </w:tblGrid>
      <w:tr w:rsidR="00A04E61" w:rsidRPr="006D06C5" w14:paraId="13E387C4" w14:textId="77777777" w:rsidTr="006D06C5">
        <w:trPr>
          <w:trHeight w:val="680"/>
        </w:trPr>
        <w:tc>
          <w:tcPr>
            <w:tcW w:w="1300" w:type="dxa"/>
            <w:tcBorders>
              <w:top w:val="single" w:sz="4" w:space="0" w:color="auto"/>
              <w:bottom w:val="single" w:sz="4" w:space="0" w:color="auto"/>
            </w:tcBorders>
            <w:noWrap/>
            <w:vAlign w:val="center"/>
            <w:hideMark/>
          </w:tcPr>
          <w:p w14:paraId="323D7167" w14:textId="77777777" w:rsidR="00A04E61" w:rsidRPr="006D06C5" w:rsidRDefault="00A04E61">
            <w:pPr>
              <w:rPr>
                <w:rFonts w:ascii="Arial" w:hAnsi="Arial" w:cs="Arial"/>
                <w:b/>
                <w:bCs/>
                <w:sz w:val="20"/>
                <w:szCs w:val="20"/>
              </w:rPr>
            </w:pPr>
            <w:r w:rsidRPr="006D06C5">
              <w:rPr>
                <w:rFonts w:ascii="Arial" w:hAnsi="Arial" w:cs="Arial"/>
                <w:b/>
                <w:bCs/>
                <w:sz w:val="20"/>
                <w:szCs w:val="20"/>
              </w:rPr>
              <w:t>Año</w:t>
            </w:r>
          </w:p>
        </w:tc>
        <w:tc>
          <w:tcPr>
            <w:tcW w:w="1300" w:type="dxa"/>
            <w:tcBorders>
              <w:top w:val="single" w:sz="4" w:space="0" w:color="auto"/>
              <w:bottom w:val="single" w:sz="4" w:space="0" w:color="auto"/>
            </w:tcBorders>
            <w:vAlign w:val="center"/>
            <w:hideMark/>
          </w:tcPr>
          <w:p w14:paraId="7A3444A5" w14:textId="77777777" w:rsidR="00A04E61" w:rsidRPr="006D06C5" w:rsidRDefault="00A04E61">
            <w:pPr>
              <w:rPr>
                <w:rFonts w:ascii="Arial" w:hAnsi="Arial" w:cs="Arial"/>
                <w:b/>
                <w:bCs/>
                <w:sz w:val="20"/>
                <w:szCs w:val="20"/>
              </w:rPr>
            </w:pPr>
            <w:r w:rsidRPr="006D06C5">
              <w:rPr>
                <w:rFonts w:ascii="Arial" w:hAnsi="Arial" w:cs="Arial"/>
                <w:b/>
                <w:bCs/>
                <w:sz w:val="20"/>
                <w:szCs w:val="20"/>
              </w:rPr>
              <w:t xml:space="preserve">Café </w:t>
            </w:r>
          </w:p>
        </w:tc>
        <w:tc>
          <w:tcPr>
            <w:tcW w:w="1300" w:type="dxa"/>
            <w:tcBorders>
              <w:top w:val="single" w:sz="4" w:space="0" w:color="auto"/>
              <w:bottom w:val="single" w:sz="4" w:space="0" w:color="auto"/>
            </w:tcBorders>
            <w:vAlign w:val="center"/>
            <w:hideMark/>
          </w:tcPr>
          <w:p w14:paraId="423A720A" w14:textId="77777777" w:rsidR="00A04E61" w:rsidRPr="006D06C5" w:rsidRDefault="00A04E61">
            <w:pPr>
              <w:rPr>
                <w:rFonts w:ascii="Arial" w:hAnsi="Arial" w:cs="Arial"/>
                <w:b/>
                <w:bCs/>
                <w:sz w:val="20"/>
                <w:szCs w:val="20"/>
              </w:rPr>
            </w:pPr>
            <w:r w:rsidRPr="006D06C5">
              <w:rPr>
                <w:rFonts w:ascii="Arial" w:hAnsi="Arial" w:cs="Arial"/>
                <w:b/>
                <w:bCs/>
                <w:sz w:val="20"/>
                <w:szCs w:val="20"/>
              </w:rPr>
              <w:t>Camarón</w:t>
            </w:r>
          </w:p>
        </w:tc>
        <w:tc>
          <w:tcPr>
            <w:tcW w:w="1300" w:type="dxa"/>
            <w:tcBorders>
              <w:top w:val="single" w:sz="4" w:space="0" w:color="auto"/>
              <w:bottom w:val="single" w:sz="4" w:space="0" w:color="auto"/>
            </w:tcBorders>
            <w:vAlign w:val="center"/>
            <w:hideMark/>
          </w:tcPr>
          <w:p w14:paraId="5735CC76" w14:textId="77777777" w:rsidR="00A04E61" w:rsidRPr="006D06C5" w:rsidRDefault="00A04E61">
            <w:pPr>
              <w:rPr>
                <w:rFonts w:ascii="Arial" w:hAnsi="Arial" w:cs="Arial"/>
                <w:b/>
                <w:bCs/>
                <w:sz w:val="20"/>
                <w:szCs w:val="20"/>
              </w:rPr>
            </w:pPr>
            <w:r w:rsidRPr="006D06C5">
              <w:rPr>
                <w:rFonts w:ascii="Arial" w:hAnsi="Arial" w:cs="Arial"/>
                <w:b/>
                <w:bCs/>
                <w:sz w:val="20"/>
                <w:szCs w:val="20"/>
              </w:rPr>
              <w:t>Tabaco</w:t>
            </w:r>
          </w:p>
        </w:tc>
        <w:tc>
          <w:tcPr>
            <w:tcW w:w="1300" w:type="dxa"/>
            <w:tcBorders>
              <w:top w:val="single" w:sz="4" w:space="0" w:color="auto"/>
              <w:bottom w:val="single" w:sz="4" w:space="0" w:color="auto"/>
            </w:tcBorders>
            <w:vAlign w:val="center"/>
            <w:hideMark/>
          </w:tcPr>
          <w:p w14:paraId="45F1BB1C" w14:textId="77777777" w:rsidR="00A04E61" w:rsidRPr="006D06C5" w:rsidRDefault="00A04E61">
            <w:pPr>
              <w:rPr>
                <w:rFonts w:ascii="Arial" w:hAnsi="Arial" w:cs="Arial"/>
                <w:b/>
                <w:bCs/>
                <w:sz w:val="20"/>
                <w:szCs w:val="20"/>
              </w:rPr>
            </w:pPr>
            <w:r w:rsidRPr="006D06C5">
              <w:rPr>
                <w:rFonts w:ascii="Arial" w:hAnsi="Arial" w:cs="Arial"/>
                <w:b/>
                <w:bCs/>
                <w:sz w:val="20"/>
                <w:szCs w:val="20"/>
              </w:rPr>
              <w:t xml:space="preserve">Zinc </w:t>
            </w:r>
          </w:p>
        </w:tc>
        <w:tc>
          <w:tcPr>
            <w:tcW w:w="1300" w:type="dxa"/>
            <w:tcBorders>
              <w:top w:val="single" w:sz="4" w:space="0" w:color="auto"/>
              <w:bottom w:val="single" w:sz="4" w:space="0" w:color="auto"/>
            </w:tcBorders>
            <w:vAlign w:val="center"/>
            <w:hideMark/>
          </w:tcPr>
          <w:p w14:paraId="65A3FEC1" w14:textId="77777777" w:rsidR="00A04E61" w:rsidRPr="006D06C5" w:rsidRDefault="00A04E61">
            <w:pPr>
              <w:rPr>
                <w:rFonts w:ascii="Arial" w:hAnsi="Arial" w:cs="Arial"/>
                <w:b/>
                <w:bCs/>
                <w:sz w:val="20"/>
                <w:szCs w:val="20"/>
              </w:rPr>
            </w:pPr>
            <w:r w:rsidRPr="006D06C5">
              <w:rPr>
                <w:rFonts w:ascii="Arial" w:hAnsi="Arial" w:cs="Arial"/>
                <w:b/>
                <w:bCs/>
                <w:sz w:val="20"/>
                <w:szCs w:val="20"/>
              </w:rPr>
              <w:t>Banano</w:t>
            </w:r>
          </w:p>
        </w:tc>
        <w:tc>
          <w:tcPr>
            <w:tcW w:w="1300" w:type="dxa"/>
            <w:tcBorders>
              <w:top w:val="single" w:sz="4" w:space="0" w:color="auto"/>
              <w:bottom w:val="single" w:sz="4" w:space="0" w:color="auto"/>
            </w:tcBorders>
            <w:vAlign w:val="center"/>
            <w:hideMark/>
          </w:tcPr>
          <w:p w14:paraId="5F712D4B" w14:textId="77777777" w:rsidR="00A04E61" w:rsidRPr="006D06C5" w:rsidRDefault="00A04E61">
            <w:pPr>
              <w:rPr>
                <w:rFonts w:ascii="Arial" w:hAnsi="Arial" w:cs="Arial"/>
                <w:b/>
                <w:bCs/>
                <w:sz w:val="20"/>
                <w:szCs w:val="20"/>
              </w:rPr>
            </w:pPr>
            <w:r w:rsidRPr="006D06C5">
              <w:rPr>
                <w:rFonts w:ascii="Arial" w:hAnsi="Arial" w:cs="Arial"/>
                <w:b/>
                <w:bCs/>
                <w:sz w:val="20"/>
                <w:szCs w:val="20"/>
              </w:rPr>
              <w:t>Carne Bovina</w:t>
            </w:r>
          </w:p>
        </w:tc>
      </w:tr>
      <w:tr w:rsidR="00A04E61" w:rsidRPr="00A04E61" w14:paraId="0AFB5A40" w14:textId="77777777" w:rsidTr="006D06C5">
        <w:trPr>
          <w:trHeight w:val="320"/>
        </w:trPr>
        <w:tc>
          <w:tcPr>
            <w:tcW w:w="1300" w:type="dxa"/>
            <w:tcBorders>
              <w:top w:val="single" w:sz="4" w:space="0" w:color="auto"/>
            </w:tcBorders>
            <w:noWrap/>
            <w:vAlign w:val="bottom"/>
            <w:hideMark/>
          </w:tcPr>
          <w:p w14:paraId="1ADC24CD" w14:textId="77777777" w:rsidR="00A04E61" w:rsidRPr="00A04E61" w:rsidRDefault="00A04E61">
            <w:pPr>
              <w:jc w:val="center"/>
              <w:rPr>
                <w:rFonts w:ascii="Arial" w:hAnsi="Arial" w:cs="Arial"/>
                <w:b/>
                <w:bCs/>
                <w:color w:val="000000"/>
                <w:sz w:val="20"/>
                <w:szCs w:val="20"/>
              </w:rPr>
            </w:pPr>
            <w:r w:rsidRPr="00A04E61">
              <w:rPr>
                <w:rFonts w:ascii="Arial" w:hAnsi="Arial" w:cs="Arial"/>
                <w:b/>
                <w:bCs/>
                <w:color w:val="000000"/>
                <w:sz w:val="20"/>
                <w:szCs w:val="20"/>
              </w:rPr>
              <w:t>2005</w:t>
            </w:r>
          </w:p>
        </w:tc>
        <w:tc>
          <w:tcPr>
            <w:tcW w:w="1300" w:type="dxa"/>
            <w:tcBorders>
              <w:top w:val="single" w:sz="4" w:space="0" w:color="auto"/>
            </w:tcBorders>
            <w:vAlign w:val="bottom"/>
            <w:hideMark/>
          </w:tcPr>
          <w:p w14:paraId="0A7C819A"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0,0%</w:t>
            </w:r>
          </w:p>
        </w:tc>
        <w:tc>
          <w:tcPr>
            <w:tcW w:w="1300" w:type="dxa"/>
            <w:tcBorders>
              <w:top w:val="single" w:sz="4" w:space="0" w:color="auto"/>
            </w:tcBorders>
            <w:noWrap/>
            <w:vAlign w:val="bottom"/>
            <w:hideMark/>
          </w:tcPr>
          <w:p w14:paraId="65849C1A"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tcBorders>
              <w:top w:val="single" w:sz="4" w:space="0" w:color="auto"/>
            </w:tcBorders>
            <w:noWrap/>
            <w:vAlign w:val="bottom"/>
            <w:hideMark/>
          </w:tcPr>
          <w:p w14:paraId="2B658343"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tcBorders>
              <w:top w:val="single" w:sz="4" w:space="0" w:color="auto"/>
            </w:tcBorders>
            <w:noWrap/>
            <w:vAlign w:val="bottom"/>
            <w:hideMark/>
          </w:tcPr>
          <w:p w14:paraId="706977CE" w14:textId="77777777" w:rsidR="00A04E61" w:rsidRPr="00A04E61" w:rsidRDefault="00A04E61">
            <w:pPr>
              <w:rPr>
                <w:rFonts w:ascii="Arial" w:hAnsi="Arial" w:cs="Arial"/>
                <w:color w:val="000000"/>
                <w:sz w:val="20"/>
                <w:szCs w:val="20"/>
              </w:rPr>
            </w:pPr>
            <w:r w:rsidRPr="00A04E61">
              <w:rPr>
                <w:rFonts w:ascii="Arial" w:hAnsi="Arial" w:cs="Arial"/>
                <w:color w:val="000000"/>
                <w:sz w:val="20"/>
                <w:szCs w:val="20"/>
              </w:rPr>
              <w:t> </w:t>
            </w:r>
          </w:p>
        </w:tc>
        <w:tc>
          <w:tcPr>
            <w:tcW w:w="1300" w:type="dxa"/>
            <w:tcBorders>
              <w:top w:val="single" w:sz="4" w:space="0" w:color="auto"/>
            </w:tcBorders>
            <w:noWrap/>
            <w:vAlign w:val="bottom"/>
            <w:hideMark/>
          </w:tcPr>
          <w:p w14:paraId="19260B35"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tcBorders>
              <w:top w:val="single" w:sz="4" w:space="0" w:color="auto"/>
            </w:tcBorders>
            <w:noWrap/>
            <w:vAlign w:val="bottom"/>
            <w:hideMark/>
          </w:tcPr>
          <w:p w14:paraId="63889CFC"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r>
      <w:tr w:rsidR="00A04E61" w:rsidRPr="00A04E61" w14:paraId="46106C33" w14:textId="77777777" w:rsidTr="006D06C5">
        <w:trPr>
          <w:trHeight w:val="320"/>
        </w:trPr>
        <w:tc>
          <w:tcPr>
            <w:tcW w:w="1300" w:type="dxa"/>
            <w:noWrap/>
            <w:vAlign w:val="bottom"/>
            <w:hideMark/>
          </w:tcPr>
          <w:p w14:paraId="67C1EF89" w14:textId="77777777" w:rsidR="00A04E61" w:rsidRPr="00A04E61" w:rsidRDefault="00A04E61">
            <w:pPr>
              <w:jc w:val="center"/>
              <w:rPr>
                <w:rFonts w:ascii="Arial" w:hAnsi="Arial" w:cs="Arial"/>
                <w:b/>
                <w:bCs/>
                <w:color w:val="000000"/>
                <w:sz w:val="20"/>
                <w:szCs w:val="20"/>
              </w:rPr>
            </w:pPr>
            <w:r w:rsidRPr="00A04E61">
              <w:rPr>
                <w:rFonts w:ascii="Arial" w:hAnsi="Arial" w:cs="Arial"/>
                <w:b/>
                <w:bCs/>
                <w:color w:val="000000"/>
                <w:sz w:val="20"/>
                <w:szCs w:val="20"/>
              </w:rPr>
              <w:t>2006</w:t>
            </w:r>
          </w:p>
        </w:tc>
        <w:tc>
          <w:tcPr>
            <w:tcW w:w="1300" w:type="dxa"/>
            <w:vAlign w:val="bottom"/>
            <w:hideMark/>
          </w:tcPr>
          <w:p w14:paraId="160F5402"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0,0%</w:t>
            </w:r>
          </w:p>
        </w:tc>
        <w:tc>
          <w:tcPr>
            <w:tcW w:w="1300" w:type="dxa"/>
            <w:noWrap/>
            <w:vAlign w:val="bottom"/>
            <w:hideMark/>
          </w:tcPr>
          <w:p w14:paraId="65168027"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0,0%</w:t>
            </w:r>
          </w:p>
        </w:tc>
        <w:tc>
          <w:tcPr>
            <w:tcW w:w="1300" w:type="dxa"/>
            <w:noWrap/>
            <w:vAlign w:val="bottom"/>
            <w:hideMark/>
          </w:tcPr>
          <w:p w14:paraId="2B3F578C"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380E679B"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0,00%</w:t>
            </w:r>
          </w:p>
        </w:tc>
        <w:tc>
          <w:tcPr>
            <w:tcW w:w="1300" w:type="dxa"/>
            <w:noWrap/>
            <w:vAlign w:val="bottom"/>
            <w:hideMark/>
          </w:tcPr>
          <w:p w14:paraId="1BA985AB"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5179BB39"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r>
      <w:tr w:rsidR="00A04E61" w:rsidRPr="00A04E61" w14:paraId="13DCC309" w14:textId="77777777" w:rsidTr="006D06C5">
        <w:trPr>
          <w:trHeight w:val="320"/>
        </w:trPr>
        <w:tc>
          <w:tcPr>
            <w:tcW w:w="1300" w:type="dxa"/>
            <w:noWrap/>
            <w:vAlign w:val="bottom"/>
            <w:hideMark/>
          </w:tcPr>
          <w:p w14:paraId="7F13A8FB" w14:textId="77777777" w:rsidR="00A04E61" w:rsidRPr="00A04E61" w:rsidRDefault="00A04E61">
            <w:pPr>
              <w:jc w:val="center"/>
              <w:rPr>
                <w:rFonts w:ascii="Arial" w:hAnsi="Arial" w:cs="Arial"/>
                <w:b/>
                <w:bCs/>
                <w:color w:val="000000"/>
                <w:sz w:val="20"/>
                <w:szCs w:val="20"/>
              </w:rPr>
            </w:pPr>
            <w:r w:rsidRPr="00A04E61">
              <w:rPr>
                <w:rFonts w:ascii="Arial" w:hAnsi="Arial" w:cs="Arial"/>
                <w:b/>
                <w:bCs/>
                <w:color w:val="000000"/>
                <w:sz w:val="20"/>
                <w:szCs w:val="20"/>
              </w:rPr>
              <w:t>2007</w:t>
            </w:r>
          </w:p>
        </w:tc>
        <w:tc>
          <w:tcPr>
            <w:tcW w:w="1300" w:type="dxa"/>
            <w:vAlign w:val="bottom"/>
            <w:hideMark/>
          </w:tcPr>
          <w:p w14:paraId="304697D3"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0,0%</w:t>
            </w:r>
          </w:p>
        </w:tc>
        <w:tc>
          <w:tcPr>
            <w:tcW w:w="1300" w:type="dxa"/>
            <w:noWrap/>
            <w:vAlign w:val="bottom"/>
            <w:hideMark/>
          </w:tcPr>
          <w:p w14:paraId="1F3B500C"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417AA065"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186819D6"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0,00%</w:t>
            </w:r>
          </w:p>
        </w:tc>
        <w:tc>
          <w:tcPr>
            <w:tcW w:w="1300" w:type="dxa"/>
            <w:noWrap/>
            <w:vAlign w:val="bottom"/>
            <w:hideMark/>
          </w:tcPr>
          <w:p w14:paraId="6CB3E3BB"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4C347797"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r>
      <w:tr w:rsidR="00A04E61" w:rsidRPr="00A04E61" w14:paraId="4EA10162" w14:textId="77777777" w:rsidTr="006D06C5">
        <w:trPr>
          <w:trHeight w:val="320"/>
        </w:trPr>
        <w:tc>
          <w:tcPr>
            <w:tcW w:w="1300" w:type="dxa"/>
            <w:noWrap/>
            <w:vAlign w:val="bottom"/>
            <w:hideMark/>
          </w:tcPr>
          <w:p w14:paraId="1732E852" w14:textId="77777777" w:rsidR="00A04E61" w:rsidRPr="00A04E61" w:rsidRDefault="00A04E61">
            <w:pPr>
              <w:jc w:val="center"/>
              <w:rPr>
                <w:rFonts w:ascii="Arial" w:hAnsi="Arial" w:cs="Arial"/>
                <w:b/>
                <w:bCs/>
                <w:color w:val="000000"/>
                <w:sz w:val="20"/>
                <w:szCs w:val="20"/>
              </w:rPr>
            </w:pPr>
            <w:r w:rsidRPr="00A04E61">
              <w:rPr>
                <w:rFonts w:ascii="Arial" w:hAnsi="Arial" w:cs="Arial"/>
                <w:b/>
                <w:bCs/>
                <w:color w:val="000000"/>
                <w:sz w:val="20"/>
                <w:szCs w:val="20"/>
              </w:rPr>
              <w:t>2008</w:t>
            </w:r>
          </w:p>
        </w:tc>
        <w:tc>
          <w:tcPr>
            <w:tcW w:w="1300" w:type="dxa"/>
            <w:vAlign w:val="bottom"/>
            <w:hideMark/>
          </w:tcPr>
          <w:p w14:paraId="1707402C"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0,0%</w:t>
            </w:r>
          </w:p>
        </w:tc>
        <w:tc>
          <w:tcPr>
            <w:tcW w:w="1300" w:type="dxa"/>
            <w:noWrap/>
            <w:vAlign w:val="bottom"/>
            <w:hideMark/>
          </w:tcPr>
          <w:p w14:paraId="0C359C2C"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0,0%</w:t>
            </w:r>
          </w:p>
        </w:tc>
        <w:tc>
          <w:tcPr>
            <w:tcW w:w="1300" w:type="dxa"/>
            <w:noWrap/>
            <w:vAlign w:val="bottom"/>
            <w:hideMark/>
          </w:tcPr>
          <w:p w14:paraId="7FB502B2"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5E356823"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0,00%</w:t>
            </w:r>
          </w:p>
        </w:tc>
        <w:tc>
          <w:tcPr>
            <w:tcW w:w="1300" w:type="dxa"/>
            <w:noWrap/>
            <w:vAlign w:val="bottom"/>
            <w:hideMark/>
          </w:tcPr>
          <w:p w14:paraId="41E9021F"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23033F52"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r>
      <w:tr w:rsidR="00A04E61" w:rsidRPr="00A04E61" w14:paraId="627CD1B3" w14:textId="77777777" w:rsidTr="006D06C5">
        <w:trPr>
          <w:trHeight w:val="320"/>
        </w:trPr>
        <w:tc>
          <w:tcPr>
            <w:tcW w:w="1300" w:type="dxa"/>
            <w:noWrap/>
            <w:vAlign w:val="bottom"/>
            <w:hideMark/>
          </w:tcPr>
          <w:p w14:paraId="11BEE937" w14:textId="77777777" w:rsidR="00A04E61" w:rsidRPr="00A04E61" w:rsidRDefault="00A04E61">
            <w:pPr>
              <w:jc w:val="center"/>
              <w:rPr>
                <w:rFonts w:ascii="Arial" w:hAnsi="Arial" w:cs="Arial"/>
                <w:b/>
                <w:bCs/>
                <w:color w:val="000000"/>
                <w:sz w:val="20"/>
                <w:szCs w:val="20"/>
              </w:rPr>
            </w:pPr>
            <w:r w:rsidRPr="00A04E61">
              <w:rPr>
                <w:rFonts w:ascii="Arial" w:hAnsi="Arial" w:cs="Arial"/>
                <w:b/>
                <w:bCs/>
                <w:color w:val="000000"/>
                <w:sz w:val="20"/>
                <w:szCs w:val="20"/>
              </w:rPr>
              <w:t>2009</w:t>
            </w:r>
          </w:p>
        </w:tc>
        <w:tc>
          <w:tcPr>
            <w:tcW w:w="1300" w:type="dxa"/>
            <w:vAlign w:val="bottom"/>
            <w:hideMark/>
          </w:tcPr>
          <w:p w14:paraId="6405A9F0"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0,0%</w:t>
            </w:r>
          </w:p>
        </w:tc>
        <w:tc>
          <w:tcPr>
            <w:tcW w:w="1300" w:type="dxa"/>
            <w:noWrap/>
            <w:vAlign w:val="bottom"/>
            <w:hideMark/>
          </w:tcPr>
          <w:p w14:paraId="4855368D"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6,9%</w:t>
            </w:r>
          </w:p>
        </w:tc>
        <w:tc>
          <w:tcPr>
            <w:tcW w:w="1300" w:type="dxa"/>
            <w:noWrap/>
            <w:vAlign w:val="bottom"/>
            <w:hideMark/>
          </w:tcPr>
          <w:p w14:paraId="081A9B50"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7FC5089A"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0,00%</w:t>
            </w:r>
          </w:p>
        </w:tc>
        <w:tc>
          <w:tcPr>
            <w:tcW w:w="1300" w:type="dxa"/>
            <w:noWrap/>
            <w:vAlign w:val="bottom"/>
            <w:hideMark/>
          </w:tcPr>
          <w:p w14:paraId="44E7F328"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11681F13"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r>
      <w:tr w:rsidR="00A04E61" w:rsidRPr="00A04E61" w14:paraId="787BDC28" w14:textId="77777777" w:rsidTr="006D06C5">
        <w:trPr>
          <w:trHeight w:val="320"/>
        </w:trPr>
        <w:tc>
          <w:tcPr>
            <w:tcW w:w="1300" w:type="dxa"/>
            <w:noWrap/>
            <w:vAlign w:val="bottom"/>
            <w:hideMark/>
          </w:tcPr>
          <w:p w14:paraId="6985A9E6" w14:textId="77777777" w:rsidR="00A04E61" w:rsidRPr="00A04E61" w:rsidRDefault="00A04E61">
            <w:pPr>
              <w:jc w:val="center"/>
              <w:rPr>
                <w:rFonts w:ascii="Arial" w:hAnsi="Arial" w:cs="Arial"/>
                <w:b/>
                <w:bCs/>
                <w:color w:val="000000"/>
                <w:sz w:val="20"/>
                <w:szCs w:val="20"/>
              </w:rPr>
            </w:pPr>
            <w:r w:rsidRPr="00A04E61">
              <w:rPr>
                <w:rFonts w:ascii="Arial" w:hAnsi="Arial" w:cs="Arial"/>
                <w:b/>
                <w:bCs/>
                <w:color w:val="000000"/>
                <w:sz w:val="20"/>
                <w:szCs w:val="20"/>
              </w:rPr>
              <w:t>2010</w:t>
            </w:r>
          </w:p>
        </w:tc>
        <w:tc>
          <w:tcPr>
            <w:tcW w:w="1300" w:type="dxa"/>
            <w:vAlign w:val="bottom"/>
            <w:hideMark/>
          </w:tcPr>
          <w:p w14:paraId="47D3CFA5"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10,5%</w:t>
            </w:r>
          </w:p>
        </w:tc>
        <w:tc>
          <w:tcPr>
            <w:tcW w:w="1300" w:type="dxa"/>
            <w:noWrap/>
            <w:vAlign w:val="bottom"/>
            <w:hideMark/>
          </w:tcPr>
          <w:p w14:paraId="23D1C6C8"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4,7%</w:t>
            </w:r>
          </w:p>
        </w:tc>
        <w:tc>
          <w:tcPr>
            <w:tcW w:w="1300" w:type="dxa"/>
            <w:noWrap/>
            <w:vAlign w:val="bottom"/>
            <w:hideMark/>
          </w:tcPr>
          <w:p w14:paraId="41C3B854"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0,00%</w:t>
            </w:r>
          </w:p>
        </w:tc>
        <w:tc>
          <w:tcPr>
            <w:tcW w:w="1300" w:type="dxa"/>
            <w:noWrap/>
            <w:vAlign w:val="bottom"/>
            <w:hideMark/>
          </w:tcPr>
          <w:p w14:paraId="0C8347E9"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0,00%</w:t>
            </w:r>
          </w:p>
        </w:tc>
        <w:tc>
          <w:tcPr>
            <w:tcW w:w="1300" w:type="dxa"/>
            <w:noWrap/>
            <w:vAlign w:val="bottom"/>
            <w:hideMark/>
          </w:tcPr>
          <w:p w14:paraId="236A5D82"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42920FFB"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r>
      <w:tr w:rsidR="00A04E61" w:rsidRPr="00A04E61" w14:paraId="3776B1C1" w14:textId="77777777" w:rsidTr="006D06C5">
        <w:trPr>
          <w:trHeight w:val="320"/>
        </w:trPr>
        <w:tc>
          <w:tcPr>
            <w:tcW w:w="1300" w:type="dxa"/>
            <w:noWrap/>
            <w:vAlign w:val="bottom"/>
            <w:hideMark/>
          </w:tcPr>
          <w:p w14:paraId="42B9F1C7" w14:textId="77777777" w:rsidR="00A04E61" w:rsidRPr="00A04E61" w:rsidRDefault="00A04E61">
            <w:pPr>
              <w:jc w:val="center"/>
              <w:rPr>
                <w:rFonts w:ascii="Arial" w:hAnsi="Arial" w:cs="Arial"/>
                <w:b/>
                <w:bCs/>
                <w:color w:val="000000"/>
                <w:sz w:val="20"/>
                <w:szCs w:val="20"/>
              </w:rPr>
            </w:pPr>
            <w:r w:rsidRPr="00A04E61">
              <w:rPr>
                <w:rFonts w:ascii="Arial" w:hAnsi="Arial" w:cs="Arial"/>
                <w:b/>
                <w:bCs/>
                <w:color w:val="000000"/>
                <w:sz w:val="20"/>
                <w:szCs w:val="20"/>
              </w:rPr>
              <w:t>2011</w:t>
            </w:r>
          </w:p>
        </w:tc>
        <w:tc>
          <w:tcPr>
            <w:tcW w:w="1300" w:type="dxa"/>
            <w:noWrap/>
            <w:vAlign w:val="bottom"/>
            <w:hideMark/>
          </w:tcPr>
          <w:p w14:paraId="727D33E2"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483C6813"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50718E39"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2F69FB12"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0,00%</w:t>
            </w:r>
          </w:p>
        </w:tc>
        <w:tc>
          <w:tcPr>
            <w:tcW w:w="1300" w:type="dxa"/>
            <w:noWrap/>
            <w:vAlign w:val="bottom"/>
            <w:hideMark/>
          </w:tcPr>
          <w:p w14:paraId="0FD1BDA1"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7C648607"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r>
      <w:tr w:rsidR="00A04E61" w:rsidRPr="00A04E61" w14:paraId="6A3253BA" w14:textId="77777777" w:rsidTr="006D06C5">
        <w:trPr>
          <w:trHeight w:val="320"/>
        </w:trPr>
        <w:tc>
          <w:tcPr>
            <w:tcW w:w="1300" w:type="dxa"/>
            <w:noWrap/>
            <w:vAlign w:val="bottom"/>
            <w:hideMark/>
          </w:tcPr>
          <w:p w14:paraId="5F8E12A7" w14:textId="77777777" w:rsidR="00A04E61" w:rsidRPr="00A04E61" w:rsidRDefault="00A04E61">
            <w:pPr>
              <w:jc w:val="center"/>
              <w:rPr>
                <w:rFonts w:ascii="Arial" w:hAnsi="Arial" w:cs="Arial"/>
                <w:b/>
                <w:bCs/>
                <w:color w:val="000000"/>
                <w:sz w:val="20"/>
                <w:szCs w:val="20"/>
              </w:rPr>
            </w:pPr>
            <w:r w:rsidRPr="00A04E61">
              <w:rPr>
                <w:rFonts w:ascii="Arial" w:hAnsi="Arial" w:cs="Arial"/>
                <w:b/>
                <w:bCs/>
                <w:color w:val="000000"/>
                <w:sz w:val="20"/>
                <w:szCs w:val="20"/>
              </w:rPr>
              <w:t>2012</w:t>
            </w:r>
          </w:p>
        </w:tc>
        <w:tc>
          <w:tcPr>
            <w:tcW w:w="1300" w:type="dxa"/>
            <w:vAlign w:val="bottom"/>
            <w:hideMark/>
          </w:tcPr>
          <w:p w14:paraId="686E6CD4"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0,0%</w:t>
            </w:r>
          </w:p>
        </w:tc>
        <w:tc>
          <w:tcPr>
            <w:tcW w:w="1300" w:type="dxa"/>
            <w:noWrap/>
            <w:vAlign w:val="bottom"/>
            <w:hideMark/>
          </w:tcPr>
          <w:p w14:paraId="6F51EAE3"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48,9%</w:t>
            </w:r>
          </w:p>
        </w:tc>
        <w:tc>
          <w:tcPr>
            <w:tcW w:w="1300" w:type="dxa"/>
            <w:noWrap/>
            <w:vAlign w:val="bottom"/>
            <w:hideMark/>
          </w:tcPr>
          <w:p w14:paraId="34ACF98E"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15,20%</w:t>
            </w:r>
          </w:p>
        </w:tc>
        <w:tc>
          <w:tcPr>
            <w:tcW w:w="1300" w:type="dxa"/>
            <w:noWrap/>
            <w:vAlign w:val="bottom"/>
            <w:hideMark/>
          </w:tcPr>
          <w:p w14:paraId="6AEE966C"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0,00%</w:t>
            </w:r>
          </w:p>
        </w:tc>
        <w:tc>
          <w:tcPr>
            <w:tcW w:w="1300" w:type="dxa"/>
            <w:noWrap/>
            <w:vAlign w:val="bottom"/>
            <w:hideMark/>
          </w:tcPr>
          <w:p w14:paraId="5E0DA545"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4C8A2175"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r>
      <w:tr w:rsidR="00A04E61" w:rsidRPr="00A04E61" w14:paraId="3DBA4970" w14:textId="77777777" w:rsidTr="006D06C5">
        <w:trPr>
          <w:trHeight w:val="320"/>
        </w:trPr>
        <w:tc>
          <w:tcPr>
            <w:tcW w:w="1300" w:type="dxa"/>
            <w:noWrap/>
            <w:vAlign w:val="bottom"/>
            <w:hideMark/>
          </w:tcPr>
          <w:p w14:paraId="27C2F8B0" w14:textId="77777777" w:rsidR="00A04E61" w:rsidRPr="00A04E61" w:rsidRDefault="00A04E61">
            <w:pPr>
              <w:jc w:val="center"/>
              <w:rPr>
                <w:rFonts w:ascii="Arial" w:hAnsi="Arial" w:cs="Arial"/>
                <w:b/>
                <w:bCs/>
                <w:color w:val="000000"/>
                <w:sz w:val="20"/>
                <w:szCs w:val="20"/>
              </w:rPr>
            </w:pPr>
            <w:r w:rsidRPr="00A04E61">
              <w:rPr>
                <w:rFonts w:ascii="Arial" w:hAnsi="Arial" w:cs="Arial"/>
                <w:b/>
                <w:bCs/>
                <w:color w:val="000000"/>
                <w:sz w:val="20"/>
                <w:szCs w:val="20"/>
              </w:rPr>
              <w:t>2013</w:t>
            </w:r>
          </w:p>
        </w:tc>
        <w:tc>
          <w:tcPr>
            <w:tcW w:w="1300" w:type="dxa"/>
            <w:vAlign w:val="bottom"/>
            <w:hideMark/>
          </w:tcPr>
          <w:p w14:paraId="7DCB43E9"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0,0%</w:t>
            </w:r>
          </w:p>
        </w:tc>
        <w:tc>
          <w:tcPr>
            <w:tcW w:w="1300" w:type="dxa"/>
            <w:noWrap/>
            <w:vAlign w:val="bottom"/>
            <w:hideMark/>
          </w:tcPr>
          <w:p w14:paraId="79F948E3"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0,0%</w:t>
            </w:r>
          </w:p>
        </w:tc>
        <w:tc>
          <w:tcPr>
            <w:tcW w:w="1300" w:type="dxa"/>
            <w:noWrap/>
            <w:vAlign w:val="bottom"/>
            <w:hideMark/>
          </w:tcPr>
          <w:p w14:paraId="6B6E276B"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0,00%</w:t>
            </w:r>
          </w:p>
        </w:tc>
        <w:tc>
          <w:tcPr>
            <w:tcW w:w="1300" w:type="dxa"/>
            <w:noWrap/>
            <w:vAlign w:val="bottom"/>
            <w:hideMark/>
          </w:tcPr>
          <w:p w14:paraId="7BEB36EB"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0,00%</w:t>
            </w:r>
          </w:p>
        </w:tc>
        <w:tc>
          <w:tcPr>
            <w:tcW w:w="1300" w:type="dxa"/>
            <w:noWrap/>
            <w:vAlign w:val="bottom"/>
            <w:hideMark/>
          </w:tcPr>
          <w:p w14:paraId="09A6C9BD"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5E960E95"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0,00%</w:t>
            </w:r>
          </w:p>
        </w:tc>
      </w:tr>
      <w:tr w:rsidR="00A04E61" w:rsidRPr="00A04E61" w14:paraId="053E4AA3" w14:textId="77777777" w:rsidTr="006D06C5">
        <w:trPr>
          <w:trHeight w:val="320"/>
        </w:trPr>
        <w:tc>
          <w:tcPr>
            <w:tcW w:w="1300" w:type="dxa"/>
            <w:noWrap/>
            <w:vAlign w:val="bottom"/>
            <w:hideMark/>
          </w:tcPr>
          <w:p w14:paraId="2EA02954" w14:textId="77777777" w:rsidR="00A04E61" w:rsidRPr="00A04E61" w:rsidRDefault="00A04E61">
            <w:pPr>
              <w:jc w:val="center"/>
              <w:rPr>
                <w:rFonts w:ascii="Arial" w:hAnsi="Arial" w:cs="Arial"/>
                <w:b/>
                <w:bCs/>
                <w:color w:val="000000"/>
                <w:sz w:val="20"/>
                <w:szCs w:val="20"/>
              </w:rPr>
            </w:pPr>
            <w:r w:rsidRPr="00A04E61">
              <w:rPr>
                <w:rFonts w:ascii="Arial" w:hAnsi="Arial" w:cs="Arial"/>
                <w:b/>
                <w:bCs/>
                <w:color w:val="000000"/>
                <w:sz w:val="20"/>
                <w:szCs w:val="20"/>
              </w:rPr>
              <w:t>2014</w:t>
            </w:r>
          </w:p>
        </w:tc>
        <w:tc>
          <w:tcPr>
            <w:tcW w:w="1300" w:type="dxa"/>
            <w:vAlign w:val="bottom"/>
            <w:hideMark/>
          </w:tcPr>
          <w:p w14:paraId="515E349C"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0,0%</w:t>
            </w:r>
          </w:p>
        </w:tc>
        <w:tc>
          <w:tcPr>
            <w:tcW w:w="1300" w:type="dxa"/>
            <w:noWrap/>
            <w:vAlign w:val="bottom"/>
            <w:hideMark/>
          </w:tcPr>
          <w:p w14:paraId="26152E3F"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93,7%</w:t>
            </w:r>
          </w:p>
        </w:tc>
        <w:tc>
          <w:tcPr>
            <w:tcW w:w="1300" w:type="dxa"/>
            <w:noWrap/>
            <w:vAlign w:val="bottom"/>
            <w:hideMark/>
          </w:tcPr>
          <w:p w14:paraId="159BFE1B"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0,00%</w:t>
            </w:r>
          </w:p>
        </w:tc>
        <w:tc>
          <w:tcPr>
            <w:tcW w:w="1300" w:type="dxa"/>
            <w:noWrap/>
            <w:vAlign w:val="bottom"/>
            <w:hideMark/>
          </w:tcPr>
          <w:p w14:paraId="1C7015C5"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0,00%</w:t>
            </w:r>
          </w:p>
        </w:tc>
        <w:tc>
          <w:tcPr>
            <w:tcW w:w="1300" w:type="dxa"/>
            <w:noWrap/>
            <w:vAlign w:val="bottom"/>
            <w:hideMark/>
          </w:tcPr>
          <w:p w14:paraId="12FFF6BE"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00A99824"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0,00%</w:t>
            </w:r>
          </w:p>
        </w:tc>
      </w:tr>
      <w:tr w:rsidR="00A04E61" w:rsidRPr="00A04E61" w14:paraId="6E0AACDC" w14:textId="77777777" w:rsidTr="006D06C5">
        <w:trPr>
          <w:trHeight w:val="320"/>
        </w:trPr>
        <w:tc>
          <w:tcPr>
            <w:tcW w:w="1300" w:type="dxa"/>
            <w:noWrap/>
            <w:vAlign w:val="bottom"/>
            <w:hideMark/>
          </w:tcPr>
          <w:p w14:paraId="41C2137A" w14:textId="77777777" w:rsidR="00A04E61" w:rsidRPr="00A04E61" w:rsidRDefault="00A04E61">
            <w:pPr>
              <w:jc w:val="center"/>
              <w:rPr>
                <w:rFonts w:ascii="Arial" w:hAnsi="Arial" w:cs="Arial"/>
                <w:b/>
                <w:bCs/>
                <w:color w:val="000000"/>
                <w:sz w:val="20"/>
                <w:szCs w:val="20"/>
              </w:rPr>
            </w:pPr>
            <w:r w:rsidRPr="00A04E61">
              <w:rPr>
                <w:rFonts w:ascii="Arial" w:hAnsi="Arial" w:cs="Arial"/>
                <w:b/>
                <w:bCs/>
                <w:color w:val="000000"/>
                <w:sz w:val="20"/>
                <w:szCs w:val="20"/>
              </w:rPr>
              <w:t>2015</w:t>
            </w:r>
          </w:p>
        </w:tc>
        <w:tc>
          <w:tcPr>
            <w:tcW w:w="1300" w:type="dxa"/>
            <w:vAlign w:val="bottom"/>
            <w:hideMark/>
          </w:tcPr>
          <w:p w14:paraId="4D720081"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0,0%</w:t>
            </w:r>
          </w:p>
        </w:tc>
        <w:tc>
          <w:tcPr>
            <w:tcW w:w="1300" w:type="dxa"/>
            <w:noWrap/>
            <w:vAlign w:val="bottom"/>
            <w:hideMark/>
          </w:tcPr>
          <w:p w14:paraId="298A3A8B"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34,7%</w:t>
            </w:r>
          </w:p>
        </w:tc>
        <w:tc>
          <w:tcPr>
            <w:tcW w:w="1300" w:type="dxa"/>
            <w:noWrap/>
            <w:vAlign w:val="bottom"/>
            <w:hideMark/>
          </w:tcPr>
          <w:p w14:paraId="36F4ACA1"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0,00%</w:t>
            </w:r>
          </w:p>
        </w:tc>
        <w:tc>
          <w:tcPr>
            <w:tcW w:w="1300" w:type="dxa"/>
            <w:noWrap/>
            <w:vAlign w:val="bottom"/>
            <w:hideMark/>
          </w:tcPr>
          <w:p w14:paraId="638F76ED"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0,00%</w:t>
            </w:r>
          </w:p>
        </w:tc>
        <w:tc>
          <w:tcPr>
            <w:tcW w:w="1300" w:type="dxa"/>
            <w:noWrap/>
            <w:vAlign w:val="bottom"/>
            <w:hideMark/>
          </w:tcPr>
          <w:p w14:paraId="11D24528"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4AB3C7F4"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0,00%</w:t>
            </w:r>
          </w:p>
        </w:tc>
      </w:tr>
      <w:tr w:rsidR="00A04E61" w:rsidRPr="00A04E61" w14:paraId="3203342F" w14:textId="77777777" w:rsidTr="006D06C5">
        <w:trPr>
          <w:trHeight w:val="320"/>
        </w:trPr>
        <w:tc>
          <w:tcPr>
            <w:tcW w:w="1300" w:type="dxa"/>
            <w:noWrap/>
            <w:vAlign w:val="bottom"/>
            <w:hideMark/>
          </w:tcPr>
          <w:p w14:paraId="2A96703B" w14:textId="77777777" w:rsidR="00A04E61" w:rsidRPr="00A04E61" w:rsidRDefault="00A04E61">
            <w:pPr>
              <w:jc w:val="center"/>
              <w:rPr>
                <w:rFonts w:ascii="Arial" w:hAnsi="Arial" w:cs="Arial"/>
                <w:b/>
                <w:bCs/>
                <w:color w:val="000000"/>
                <w:sz w:val="20"/>
                <w:szCs w:val="20"/>
              </w:rPr>
            </w:pPr>
            <w:r w:rsidRPr="00A04E61">
              <w:rPr>
                <w:rFonts w:ascii="Arial" w:hAnsi="Arial" w:cs="Arial"/>
                <w:b/>
                <w:bCs/>
                <w:color w:val="000000"/>
                <w:sz w:val="20"/>
                <w:szCs w:val="20"/>
              </w:rPr>
              <w:t>2016</w:t>
            </w:r>
          </w:p>
        </w:tc>
        <w:tc>
          <w:tcPr>
            <w:tcW w:w="1300" w:type="dxa"/>
            <w:vAlign w:val="bottom"/>
            <w:hideMark/>
          </w:tcPr>
          <w:p w14:paraId="685C4818"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0,2%</w:t>
            </w:r>
          </w:p>
        </w:tc>
        <w:tc>
          <w:tcPr>
            <w:tcW w:w="1300" w:type="dxa"/>
            <w:noWrap/>
            <w:vAlign w:val="bottom"/>
            <w:hideMark/>
          </w:tcPr>
          <w:p w14:paraId="3746B78E"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25,2%</w:t>
            </w:r>
          </w:p>
        </w:tc>
        <w:tc>
          <w:tcPr>
            <w:tcW w:w="1300" w:type="dxa"/>
            <w:noWrap/>
            <w:vAlign w:val="bottom"/>
            <w:hideMark/>
          </w:tcPr>
          <w:p w14:paraId="2EFC9F93"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0,00%</w:t>
            </w:r>
          </w:p>
        </w:tc>
        <w:tc>
          <w:tcPr>
            <w:tcW w:w="1300" w:type="dxa"/>
            <w:noWrap/>
            <w:vAlign w:val="bottom"/>
            <w:hideMark/>
          </w:tcPr>
          <w:p w14:paraId="2C828DD7"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2,17%</w:t>
            </w:r>
          </w:p>
        </w:tc>
        <w:tc>
          <w:tcPr>
            <w:tcW w:w="1300" w:type="dxa"/>
            <w:noWrap/>
            <w:vAlign w:val="bottom"/>
            <w:hideMark/>
          </w:tcPr>
          <w:p w14:paraId="278836DE"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2FAD9A3F"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0,00%</w:t>
            </w:r>
          </w:p>
        </w:tc>
      </w:tr>
      <w:tr w:rsidR="00A04E61" w:rsidRPr="00A04E61" w14:paraId="669C9072" w14:textId="77777777" w:rsidTr="006D06C5">
        <w:trPr>
          <w:trHeight w:val="320"/>
        </w:trPr>
        <w:tc>
          <w:tcPr>
            <w:tcW w:w="1300" w:type="dxa"/>
            <w:noWrap/>
            <w:vAlign w:val="bottom"/>
            <w:hideMark/>
          </w:tcPr>
          <w:p w14:paraId="3FF5CBFC" w14:textId="77777777" w:rsidR="00A04E61" w:rsidRPr="00A04E61" w:rsidRDefault="00A04E61">
            <w:pPr>
              <w:jc w:val="center"/>
              <w:rPr>
                <w:rFonts w:ascii="Arial" w:hAnsi="Arial" w:cs="Arial"/>
                <w:b/>
                <w:bCs/>
                <w:color w:val="000000"/>
                <w:sz w:val="20"/>
                <w:szCs w:val="20"/>
              </w:rPr>
            </w:pPr>
            <w:r w:rsidRPr="00A04E61">
              <w:rPr>
                <w:rFonts w:ascii="Arial" w:hAnsi="Arial" w:cs="Arial"/>
                <w:b/>
                <w:bCs/>
                <w:color w:val="000000"/>
                <w:sz w:val="20"/>
                <w:szCs w:val="20"/>
              </w:rPr>
              <w:t>2017</w:t>
            </w:r>
          </w:p>
        </w:tc>
        <w:tc>
          <w:tcPr>
            <w:tcW w:w="1300" w:type="dxa"/>
            <w:vAlign w:val="bottom"/>
            <w:hideMark/>
          </w:tcPr>
          <w:p w14:paraId="539F6560"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0,0%</w:t>
            </w:r>
          </w:p>
        </w:tc>
        <w:tc>
          <w:tcPr>
            <w:tcW w:w="1300" w:type="dxa"/>
            <w:noWrap/>
            <w:vAlign w:val="bottom"/>
            <w:hideMark/>
          </w:tcPr>
          <w:p w14:paraId="2501041F"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0,0%</w:t>
            </w:r>
          </w:p>
        </w:tc>
        <w:tc>
          <w:tcPr>
            <w:tcW w:w="1300" w:type="dxa"/>
            <w:noWrap/>
            <w:vAlign w:val="bottom"/>
            <w:hideMark/>
          </w:tcPr>
          <w:p w14:paraId="3307D07C"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0,00%</w:t>
            </w:r>
          </w:p>
        </w:tc>
        <w:tc>
          <w:tcPr>
            <w:tcW w:w="1300" w:type="dxa"/>
            <w:noWrap/>
            <w:vAlign w:val="bottom"/>
            <w:hideMark/>
          </w:tcPr>
          <w:p w14:paraId="4DD5F9DD"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0,00%</w:t>
            </w:r>
          </w:p>
        </w:tc>
        <w:tc>
          <w:tcPr>
            <w:tcW w:w="1300" w:type="dxa"/>
            <w:noWrap/>
            <w:vAlign w:val="bottom"/>
            <w:hideMark/>
          </w:tcPr>
          <w:p w14:paraId="24DF84CE"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2DF68D6E"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r>
      <w:tr w:rsidR="00A04E61" w:rsidRPr="00A04E61" w14:paraId="0208E30C" w14:textId="77777777" w:rsidTr="006D06C5">
        <w:trPr>
          <w:trHeight w:val="320"/>
        </w:trPr>
        <w:tc>
          <w:tcPr>
            <w:tcW w:w="1300" w:type="dxa"/>
            <w:noWrap/>
            <w:vAlign w:val="bottom"/>
            <w:hideMark/>
          </w:tcPr>
          <w:p w14:paraId="1F5E5D4D" w14:textId="77777777" w:rsidR="00A04E61" w:rsidRPr="00A04E61" w:rsidRDefault="00A04E61">
            <w:pPr>
              <w:jc w:val="center"/>
              <w:rPr>
                <w:rFonts w:ascii="Arial" w:hAnsi="Arial" w:cs="Arial"/>
                <w:b/>
                <w:bCs/>
                <w:color w:val="000000"/>
                <w:sz w:val="20"/>
                <w:szCs w:val="20"/>
              </w:rPr>
            </w:pPr>
            <w:r w:rsidRPr="00A04E61">
              <w:rPr>
                <w:rFonts w:ascii="Arial" w:hAnsi="Arial" w:cs="Arial"/>
                <w:b/>
                <w:bCs/>
                <w:color w:val="000000"/>
                <w:sz w:val="20"/>
                <w:szCs w:val="20"/>
              </w:rPr>
              <w:t>2018</w:t>
            </w:r>
          </w:p>
        </w:tc>
        <w:tc>
          <w:tcPr>
            <w:tcW w:w="1300" w:type="dxa"/>
            <w:vAlign w:val="bottom"/>
            <w:hideMark/>
          </w:tcPr>
          <w:p w14:paraId="022E1E6E"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0,0%</w:t>
            </w:r>
          </w:p>
        </w:tc>
        <w:tc>
          <w:tcPr>
            <w:tcW w:w="1300" w:type="dxa"/>
            <w:noWrap/>
            <w:vAlign w:val="bottom"/>
            <w:hideMark/>
          </w:tcPr>
          <w:p w14:paraId="3E521211"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0,0%</w:t>
            </w:r>
          </w:p>
        </w:tc>
        <w:tc>
          <w:tcPr>
            <w:tcW w:w="1300" w:type="dxa"/>
            <w:noWrap/>
            <w:vAlign w:val="bottom"/>
            <w:hideMark/>
          </w:tcPr>
          <w:p w14:paraId="6D8BE12E"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2A4A8BBC"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0,00%</w:t>
            </w:r>
          </w:p>
        </w:tc>
        <w:tc>
          <w:tcPr>
            <w:tcW w:w="1300" w:type="dxa"/>
            <w:noWrap/>
            <w:vAlign w:val="bottom"/>
            <w:hideMark/>
          </w:tcPr>
          <w:p w14:paraId="08DF860A"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0225DFD7"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r>
      <w:tr w:rsidR="00A04E61" w:rsidRPr="00A04E61" w14:paraId="46F03E90" w14:textId="77777777" w:rsidTr="006D06C5">
        <w:trPr>
          <w:trHeight w:val="320"/>
        </w:trPr>
        <w:tc>
          <w:tcPr>
            <w:tcW w:w="1300" w:type="dxa"/>
            <w:noWrap/>
            <w:vAlign w:val="bottom"/>
            <w:hideMark/>
          </w:tcPr>
          <w:p w14:paraId="29FAEFB9" w14:textId="77777777" w:rsidR="00A04E61" w:rsidRPr="00A04E61" w:rsidRDefault="00A04E61">
            <w:pPr>
              <w:jc w:val="center"/>
              <w:rPr>
                <w:rFonts w:ascii="Arial" w:hAnsi="Arial" w:cs="Arial"/>
                <w:b/>
                <w:bCs/>
                <w:color w:val="000000"/>
                <w:sz w:val="20"/>
                <w:szCs w:val="20"/>
              </w:rPr>
            </w:pPr>
            <w:r w:rsidRPr="00A04E61">
              <w:rPr>
                <w:rFonts w:ascii="Arial" w:hAnsi="Arial" w:cs="Arial"/>
                <w:b/>
                <w:bCs/>
                <w:color w:val="000000"/>
                <w:sz w:val="20"/>
                <w:szCs w:val="20"/>
              </w:rPr>
              <w:t>2019</w:t>
            </w:r>
          </w:p>
        </w:tc>
        <w:tc>
          <w:tcPr>
            <w:tcW w:w="1300" w:type="dxa"/>
            <w:vAlign w:val="bottom"/>
            <w:hideMark/>
          </w:tcPr>
          <w:p w14:paraId="1ACB44B3"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0,3%</w:t>
            </w:r>
          </w:p>
        </w:tc>
        <w:tc>
          <w:tcPr>
            <w:tcW w:w="1300" w:type="dxa"/>
            <w:noWrap/>
            <w:vAlign w:val="bottom"/>
            <w:hideMark/>
          </w:tcPr>
          <w:p w14:paraId="03175794"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13,7%</w:t>
            </w:r>
          </w:p>
        </w:tc>
        <w:tc>
          <w:tcPr>
            <w:tcW w:w="1300" w:type="dxa"/>
            <w:noWrap/>
            <w:vAlign w:val="bottom"/>
            <w:hideMark/>
          </w:tcPr>
          <w:p w14:paraId="3187865C"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373A36BD"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0,00%</w:t>
            </w:r>
          </w:p>
        </w:tc>
        <w:tc>
          <w:tcPr>
            <w:tcW w:w="1300" w:type="dxa"/>
            <w:noWrap/>
            <w:vAlign w:val="bottom"/>
            <w:hideMark/>
          </w:tcPr>
          <w:p w14:paraId="4F52CDCC"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36ADDC7B"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r>
      <w:tr w:rsidR="00A04E61" w:rsidRPr="00A04E61" w14:paraId="74A3259B" w14:textId="77777777" w:rsidTr="006D06C5">
        <w:trPr>
          <w:trHeight w:val="320"/>
        </w:trPr>
        <w:tc>
          <w:tcPr>
            <w:tcW w:w="1300" w:type="dxa"/>
            <w:noWrap/>
            <w:vAlign w:val="bottom"/>
            <w:hideMark/>
          </w:tcPr>
          <w:p w14:paraId="099CF907" w14:textId="77777777" w:rsidR="00A04E61" w:rsidRPr="00A04E61" w:rsidRDefault="00A04E61">
            <w:pPr>
              <w:jc w:val="center"/>
              <w:rPr>
                <w:rFonts w:ascii="Arial" w:hAnsi="Arial" w:cs="Arial"/>
                <w:b/>
                <w:bCs/>
                <w:color w:val="000000"/>
                <w:sz w:val="20"/>
                <w:szCs w:val="20"/>
              </w:rPr>
            </w:pPr>
            <w:r w:rsidRPr="00A04E61">
              <w:rPr>
                <w:rFonts w:ascii="Arial" w:hAnsi="Arial" w:cs="Arial"/>
                <w:b/>
                <w:bCs/>
                <w:color w:val="000000"/>
                <w:sz w:val="20"/>
                <w:szCs w:val="20"/>
              </w:rPr>
              <w:t>2020</w:t>
            </w:r>
          </w:p>
        </w:tc>
        <w:tc>
          <w:tcPr>
            <w:tcW w:w="1300" w:type="dxa"/>
            <w:vAlign w:val="bottom"/>
            <w:hideMark/>
          </w:tcPr>
          <w:p w14:paraId="660A256E"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0,3%</w:t>
            </w:r>
          </w:p>
        </w:tc>
        <w:tc>
          <w:tcPr>
            <w:tcW w:w="1300" w:type="dxa"/>
            <w:noWrap/>
            <w:vAlign w:val="bottom"/>
            <w:hideMark/>
          </w:tcPr>
          <w:p w14:paraId="2E4AED64"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0,0%</w:t>
            </w:r>
          </w:p>
        </w:tc>
        <w:tc>
          <w:tcPr>
            <w:tcW w:w="1300" w:type="dxa"/>
            <w:noWrap/>
            <w:vAlign w:val="bottom"/>
            <w:hideMark/>
          </w:tcPr>
          <w:p w14:paraId="0B81D58C"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0EEA0287"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0,00%</w:t>
            </w:r>
          </w:p>
        </w:tc>
        <w:tc>
          <w:tcPr>
            <w:tcW w:w="1300" w:type="dxa"/>
            <w:noWrap/>
            <w:vAlign w:val="bottom"/>
            <w:hideMark/>
          </w:tcPr>
          <w:p w14:paraId="426F9E07"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4F0E5A18"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r>
      <w:tr w:rsidR="00A04E61" w:rsidRPr="00A04E61" w14:paraId="4B48FB87" w14:textId="77777777" w:rsidTr="006D06C5">
        <w:trPr>
          <w:trHeight w:val="320"/>
        </w:trPr>
        <w:tc>
          <w:tcPr>
            <w:tcW w:w="1300" w:type="dxa"/>
            <w:noWrap/>
            <w:vAlign w:val="bottom"/>
            <w:hideMark/>
          </w:tcPr>
          <w:p w14:paraId="31E691D0" w14:textId="77777777" w:rsidR="00A04E61" w:rsidRPr="00A04E61" w:rsidRDefault="00A04E61">
            <w:pPr>
              <w:jc w:val="center"/>
              <w:rPr>
                <w:rFonts w:ascii="Arial" w:hAnsi="Arial" w:cs="Arial"/>
                <w:b/>
                <w:bCs/>
                <w:color w:val="000000"/>
                <w:sz w:val="20"/>
                <w:szCs w:val="20"/>
              </w:rPr>
            </w:pPr>
            <w:r w:rsidRPr="00A04E61">
              <w:rPr>
                <w:rFonts w:ascii="Arial" w:hAnsi="Arial" w:cs="Arial"/>
                <w:b/>
                <w:bCs/>
                <w:color w:val="000000"/>
                <w:sz w:val="20"/>
                <w:szCs w:val="20"/>
              </w:rPr>
              <w:t>2021</w:t>
            </w:r>
          </w:p>
        </w:tc>
        <w:tc>
          <w:tcPr>
            <w:tcW w:w="1300" w:type="dxa"/>
            <w:vAlign w:val="bottom"/>
            <w:hideMark/>
          </w:tcPr>
          <w:p w14:paraId="75749E9E"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0,0%</w:t>
            </w:r>
          </w:p>
        </w:tc>
        <w:tc>
          <w:tcPr>
            <w:tcW w:w="1300" w:type="dxa"/>
            <w:noWrap/>
            <w:vAlign w:val="bottom"/>
            <w:hideMark/>
          </w:tcPr>
          <w:p w14:paraId="15F60D3C"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0,0%</w:t>
            </w:r>
          </w:p>
        </w:tc>
        <w:tc>
          <w:tcPr>
            <w:tcW w:w="1300" w:type="dxa"/>
            <w:noWrap/>
            <w:vAlign w:val="bottom"/>
            <w:hideMark/>
          </w:tcPr>
          <w:p w14:paraId="1B66779D"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45077A15"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0,00%</w:t>
            </w:r>
          </w:p>
        </w:tc>
        <w:tc>
          <w:tcPr>
            <w:tcW w:w="1300" w:type="dxa"/>
            <w:noWrap/>
            <w:vAlign w:val="bottom"/>
            <w:hideMark/>
          </w:tcPr>
          <w:p w14:paraId="4AE34C5F"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0CF5C310"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r>
      <w:tr w:rsidR="00A04E61" w:rsidRPr="00A04E61" w14:paraId="17D0F8A4" w14:textId="77777777" w:rsidTr="006D06C5">
        <w:trPr>
          <w:trHeight w:val="320"/>
        </w:trPr>
        <w:tc>
          <w:tcPr>
            <w:tcW w:w="1300" w:type="dxa"/>
            <w:noWrap/>
            <w:vAlign w:val="bottom"/>
            <w:hideMark/>
          </w:tcPr>
          <w:p w14:paraId="49E64528" w14:textId="77777777" w:rsidR="00A04E61" w:rsidRPr="00A04E61" w:rsidRDefault="00A04E61">
            <w:pPr>
              <w:jc w:val="center"/>
              <w:rPr>
                <w:rFonts w:ascii="Arial" w:hAnsi="Arial" w:cs="Arial"/>
                <w:b/>
                <w:bCs/>
                <w:color w:val="000000"/>
                <w:sz w:val="20"/>
                <w:szCs w:val="20"/>
              </w:rPr>
            </w:pPr>
            <w:r w:rsidRPr="00A04E61">
              <w:rPr>
                <w:rFonts w:ascii="Arial" w:hAnsi="Arial" w:cs="Arial"/>
                <w:b/>
                <w:bCs/>
                <w:color w:val="000000"/>
                <w:sz w:val="20"/>
                <w:szCs w:val="20"/>
              </w:rPr>
              <w:t>2022</w:t>
            </w:r>
          </w:p>
        </w:tc>
        <w:tc>
          <w:tcPr>
            <w:tcW w:w="1300" w:type="dxa"/>
            <w:vAlign w:val="bottom"/>
            <w:hideMark/>
          </w:tcPr>
          <w:p w14:paraId="21F7E494"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0,0%</w:t>
            </w:r>
          </w:p>
        </w:tc>
        <w:tc>
          <w:tcPr>
            <w:tcW w:w="1300" w:type="dxa"/>
            <w:noWrap/>
            <w:vAlign w:val="bottom"/>
            <w:hideMark/>
          </w:tcPr>
          <w:p w14:paraId="3E08BB76"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0,0%</w:t>
            </w:r>
          </w:p>
        </w:tc>
        <w:tc>
          <w:tcPr>
            <w:tcW w:w="1300" w:type="dxa"/>
            <w:noWrap/>
            <w:vAlign w:val="bottom"/>
            <w:hideMark/>
          </w:tcPr>
          <w:p w14:paraId="700C7275"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288FF57B"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0,00%</w:t>
            </w:r>
          </w:p>
        </w:tc>
        <w:tc>
          <w:tcPr>
            <w:tcW w:w="1300" w:type="dxa"/>
            <w:noWrap/>
            <w:vAlign w:val="bottom"/>
            <w:hideMark/>
          </w:tcPr>
          <w:p w14:paraId="35C936A4"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noWrap/>
            <w:vAlign w:val="bottom"/>
            <w:hideMark/>
          </w:tcPr>
          <w:p w14:paraId="03420BF2"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r>
      <w:tr w:rsidR="00A04E61" w:rsidRPr="00A04E61" w14:paraId="71E376AA" w14:textId="77777777" w:rsidTr="006D06C5">
        <w:trPr>
          <w:trHeight w:val="320"/>
        </w:trPr>
        <w:tc>
          <w:tcPr>
            <w:tcW w:w="1300" w:type="dxa"/>
            <w:tcBorders>
              <w:bottom w:val="single" w:sz="4" w:space="0" w:color="auto"/>
            </w:tcBorders>
            <w:noWrap/>
            <w:vAlign w:val="bottom"/>
            <w:hideMark/>
          </w:tcPr>
          <w:p w14:paraId="46DF681F" w14:textId="77777777" w:rsidR="00A04E61" w:rsidRPr="00A04E61" w:rsidRDefault="00A04E61">
            <w:pPr>
              <w:jc w:val="center"/>
              <w:rPr>
                <w:rFonts w:ascii="Arial" w:hAnsi="Arial" w:cs="Arial"/>
                <w:b/>
                <w:bCs/>
                <w:color w:val="000000"/>
                <w:sz w:val="20"/>
                <w:szCs w:val="20"/>
              </w:rPr>
            </w:pPr>
            <w:r w:rsidRPr="00A04E61">
              <w:rPr>
                <w:rFonts w:ascii="Arial" w:hAnsi="Arial" w:cs="Arial"/>
                <w:b/>
                <w:bCs/>
                <w:color w:val="000000"/>
                <w:sz w:val="20"/>
                <w:szCs w:val="20"/>
              </w:rPr>
              <w:t>2023</w:t>
            </w:r>
          </w:p>
        </w:tc>
        <w:tc>
          <w:tcPr>
            <w:tcW w:w="1300" w:type="dxa"/>
            <w:tcBorders>
              <w:bottom w:val="single" w:sz="4" w:space="0" w:color="auto"/>
            </w:tcBorders>
            <w:vAlign w:val="bottom"/>
            <w:hideMark/>
          </w:tcPr>
          <w:p w14:paraId="03AA551E"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0,0%</w:t>
            </w:r>
          </w:p>
        </w:tc>
        <w:tc>
          <w:tcPr>
            <w:tcW w:w="1300" w:type="dxa"/>
            <w:tcBorders>
              <w:bottom w:val="single" w:sz="4" w:space="0" w:color="auto"/>
            </w:tcBorders>
            <w:noWrap/>
            <w:vAlign w:val="bottom"/>
            <w:hideMark/>
          </w:tcPr>
          <w:p w14:paraId="389009EF"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0,0%</w:t>
            </w:r>
          </w:p>
        </w:tc>
        <w:tc>
          <w:tcPr>
            <w:tcW w:w="1300" w:type="dxa"/>
            <w:tcBorders>
              <w:bottom w:val="single" w:sz="4" w:space="0" w:color="auto"/>
            </w:tcBorders>
            <w:noWrap/>
            <w:vAlign w:val="bottom"/>
            <w:hideMark/>
          </w:tcPr>
          <w:p w14:paraId="08D9EBD8"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tcBorders>
              <w:bottom w:val="single" w:sz="4" w:space="0" w:color="auto"/>
            </w:tcBorders>
            <w:noWrap/>
            <w:vAlign w:val="bottom"/>
            <w:hideMark/>
          </w:tcPr>
          <w:p w14:paraId="2B398507"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0,00%</w:t>
            </w:r>
          </w:p>
        </w:tc>
        <w:tc>
          <w:tcPr>
            <w:tcW w:w="1300" w:type="dxa"/>
            <w:tcBorders>
              <w:bottom w:val="single" w:sz="4" w:space="0" w:color="auto"/>
            </w:tcBorders>
            <w:noWrap/>
            <w:vAlign w:val="bottom"/>
            <w:hideMark/>
          </w:tcPr>
          <w:p w14:paraId="58B122ED"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tcBorders>
              <w:bottom w:val="single" w:sz="4" w:space="0" w:color="auto"/>
            </w:tcBorders>
            <w:noWrap/>
            <w:vAlign w:val="bottom"/>
            <w:hideMark/>
          </w:tcPr>
          <w:p w14:paraId="1E95BF95"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r>
      <w:tr w:rsidR="00A04E61" w:rsidRPr="00A04E61" w14:paraId="15B42DB7" w14:textId="77777777" w:rsidTr="006D06C5">
        <w:trPr>
          <w:trHeight w:val="320"/>
        </w:trPr>
        <w:tc>
          <w:tcPr>
            <w:tcW w:w="1300" w:type="dxa"/>
            <w:tcBorders>
              <w:top w:val="single" w:sz="4" w:space="0" w:color="auto"/>
              <w:bottom w:val="single" w:sz="4" w:space="0" w:color="auto"/>
            </w:tcBorders>
            <w:noWrap/>
            <w:vAlign w:val="bottom"/>
            <w:hideMark/>
          </w:tcPr>
          <w:p w14:paraId="3E4C5929" w14:textId="77777777" w:rsidR="00A04E61" w:rsidRPr="00A04E61" w:rsidRDefault="00A04E61">
            <w:pPr>
              <w:jc w:val="center"/>
              <w:rPr>
                <w:rFonts w:ascii="Arial" w:hAnsi="Arial" w:cs="Arial"/>
                <w:b/>
                <w:bCs/>
                <w:color w:val="000000"/>
                <w:sz w:val="20"/>
                <w:szCs w:val="20"/>
              </w:rPr>
            </w:pPr>
            <w:r w:rsidRPr="00A04E61">
              <w:rPr>
                <w:rFonts w:ascii="Arial" w:hAnsi="Arial" w:cs="Arial"/>
                <w:b/>
                <w:bCs/>
                <w:color w:val="000000"/>
                <w:sz w:val="20"/>
                <w:szCs w:val="20"/>
              </w:rPr>
              <w:t>2024</w:t>
            </w:r>
          </w:p>
        </w:tc>
        <w:tc>
          <w:tcPr>
            <w:tcW w:w="1300" w:type="dxa"/>
            <w:tcBorders>
              <w:top w:val="single" w:sz="4" w:space="0" w:color="auto"/>
              <w:bottom w:val="single" w:sz="4" w:space="0" w:color="auto"/>
            </w:tcBorders>
            <w:vAlign w:val="bottom"/>
            <w:hideMark/>
          </w:tcPr>
          <w:p w14:paraId="1205480C"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0,0%</w:t>
            </w:r>
          </w:p>
        </w:tc>
        <w:tc>
          <w:tcPr>
            <w:tcW w:w="1300" w:type="dxa"/>
            <w:tcBorders>
              <w:top w:val="single" w:sz="4" w:space="0" w:color="auto"/>
              <w:bottom w:val="single" w:sz="4" w:space="0" w:color="auto"/>
            </w:tcBorders>
            <w:noWrap/>
            <w:vAlign w:val="bottom"/>
            <w:hideMark/>
          </w:tcPr>
          <w:p w14:paraId="6FA9B924"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78,6%</w:t>
            </w:r>
          </w:p>
        </w:tc>
        <w:tc>
          <w:tcPr>
            <w:tcW w:w="1300" w:type="dxa"/>
            <w:tcBorders>
              <w:top w:val="single" w:sz="4" w:space="0" w:color="auto"/>
              <w:bottom w:val="single" w:sz="4" w:space="0" w:color="auto"/>
            </w:tcBorders>
            <w:noWrap/>
            <w:vAlign w:val="bottom"/>
            <w:hideMark/>
          </w:tcPr>
          <w:p w14:paraId="5D30908A"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tcBorders>
              <w:top w:val="single" w:sz="4" w:space="0" w:color="auto"/>
              <w:bottom w:val="single" w:sz="4" w:space="0" w:color="auto"/>
            </w:tcBorders>
            <w:noWrap/>
            <w:vAlign w:val="bottom"/>
            <w:hideMark/>
          </w:tcPr>
          <w:p w14:paraId="2B25DEB8" w14:textId="77777777" w:rsidR="00A04E61" w:rsidRPr="00A04E61" w:rsidRDefault="00A04E61">
            <w:pPr>
              <w:jc w:val="right"/>
              <w:rPr>
                <w:rFonts w:ascii="Arial" w:hAnsi="Arial" w:cs="Arial"/>
                <w:color w:val="000000"/>
                <w:sz w:val="20"/>
                <w:szCs w:val="20"/>
              </w:rPr>
            </w:pPr>
            <w:r w:rsidRPr="00A04E61">
              <w:rPr>
                <w:rFonts w:ascii="Arial" w:hAnsi="Arial" w:cs="Arial"/>
                <w:color w:val="000000"/>
                <w:sz w:val="20"/>
                <w:szCs w:val="20"/>
              </w:rPr>
              <w:t>0,00%</w:t>
            </w:r>
          </w:p>
        </w:tc>
        <w:tc>
          <w:tcPr>
            <w:tcW w:w="1300" w:type="dxa"/>
            <w:tcBorders>
              <w:top w:val="single" w:sz="4" w:space="0" w:color="auto"/>
              <w:bottom w:val="single" w:sz="4" w:space="0" w:color="auto"/>
            </w:tcBorders>
            <w:noWrap/>
            <w:vAlign w:val="bottom"/>
            <w:hideMark/>
          </w:tcPr>
          <w:p w14:paraId="66DDF17D"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c>
          <w:tcPr>
            <w:tcW w:w="1300" w:type="dxa"/>
            <w:tcBorders>
              <w:top w:val="single" w:sz="4" w:space="0" w:color="auto"/>
              <w:bottom w:val="single" w:sz="4" w:space="0" w:color="auto"/>
            </w:tcBorders>
            <w:noWrap/>
            <w:vAlign w:val="bottom"/>
            <w:hideMark/>
          </w:tcPr>
          <w:p w14:paraId="6B862E89" w14:textId="77777777" w:rsidR="00A04E61" w:rsidRPr="00A04E61" w:rsidRDefault="00A04E61">
            <w:pPr>
              <w:jc w:val="center"/>
              <w:rPr>
                <w:rFonts w:ascii="Arial" w:hAnsi="Arial" w:cs="Arial"/>
                <w:color w:val="000000"/>
                <w:sz w:val="20"/>
                <w:szCs w:val="20"/>
              </w:rPr>
            </w:pPr>
            <w:r w:rsidRPr="00A04E61">
              <w:rPr>
                <w:rFonts w:ascii="Arial" w:hAnsi="Arial" w:cs="Arial"/>
                <w:color w:val="000000"/>
                <w:sz w:val="20"/>
                <w:szCs w:val="20"/>
              </w:rPr>
              <w:t xml:space="preserve"> - - </w:t>
            </w:r>
          </w:p>
        </w:tc>
      </w:tr>
    </w:tbl>
    <w:p w14:paraId="46C99820" w14:textId="7E329387" w:rsidR="00A04E61" w:rsidRDefault="00FA1E4C" w:rsidP="00A92E34">
      <w:pPr>
        <w:rPr>
          <w:rFonts w:ascii="Arial" w:hAnsi="Arial" w:cs="Arial"/>
        </w:rPr>
      </w:pPr>
      <w:r>
        <w:rPr>
          <w:rFonts w:ascii="Arial" w:hAnsi="Arial" w:cs="Arial"/>
        </w:rPr>
        <w:t>Fuente: Elaboración propia con datos del ITC.</w:t>
      </w:r>
    </w:p>
    <w:p w14:paraId="61A8683D" w14:textId="77777777" w:rsidR="00C91819" w:rsidRDefault="00C91819" w:rsidP="00C91819">
      <w:pPr>
        <w:spacing w:line="360" w:lineRule="auto"/>
        <w:jc w:val="both"/>
        <w:rPr>
          <w:rFonts w:ascii="Arial" w:hAnsi="Arial" w:cs="Arial"/>
        </w:rPr>
      </w:pPr>
    </w:p>
    <w:p w14:paraId="7DEF93CF" w14:textId="4F375F3A" w:rsidR="00C91819" w:rsidRPr="00C91819" w:rsidRDefault="00C91819" w:rsidP="00C91819">
      <w:pPr>
        <w:spacing w:line="360" w:lineRule="auto"/>
        <w:jc w:val="both"/>
        <w:rPr>
          <w:rFonts w:ascii="Arial" w:hAnsi="Arial" w:cs="Arial"/>
        </w:rPr>
      </w:pPr>
      <w:r w:rsidRPr="00C91819">
        <w:rPr>
          <w:rFonts w:ascii="Arial" w:hAnsi="Arial" w:cs="Arial"/>
        </w:rPr>
        <w:lastRenderedPageBreak/>
        <w:t>Los valores del café ilustran esta situación: el índice se mantiene cercano a cero durante casi todo el período, con un repunte aislado en 2010 que no supera el 10,</w:t>
      </w:r>
      <w:r w:rsidR="00CF27E3">
        <w:rPr>
          <w:rFonts w:ascii="Arial" w:hAnsi="Arial" w:cs="Arial"/>
        </w:rPr>
        <w:t>5</w:t>
      </w:r>
      <w:r w:rsidRPr="00C91819">
        <w:rPr>
          <w:rFonts w:ascii="Arial" w:hAnsi="Arial" w:cs="Arial"/>
        </w:rPr>
        <w:t xml:space="preserve">%. Esto refleja un comercio unidireccional en el que Honduras exporta y China no participa como oferente. Dinámicas semejantes se observan en tabaco, zinc, banano y carne bovina, donde los registros son nulos o </w:t>
      </w:r>
      <w:r w:rsidR="00CF27E3">
        <w:rPr>
          <w:rFonts w:ascii="Arial" w:hAnsi="Arial" w:cs="Arial"/>
        </w:rPr>
        <w:t>superficiales</w:t>
      </w:r>
      <w:r w:rsidRPr="00C91819">
        <w:rPr>
          <w:rFonts w:ascii="Arial" w:hAnsi="Arial" w:cs="Arial"/>
        </w:rPr>
        <w:t xml:space="preserve"> a lo largo de dos décadas, pese a que el ICC mostró complementariedades cercanas al 100%. </w:t>
      </w:r>
      <w:r w:rsidR="002E0101">
        <w:rPr>
          <w:rFonts w:ascii="Arial" w:hAnsi="Arial" w:cs="Arial"/>
        </w:rPr>
        <w:t>Existe una</w:t>
      </w:r>
      <w:r w:rsidRPr="00C91819">
        <w:rPr>
          <w:rFonts w:ascii="Arial" w:hAnsi="Arial" w:cs="Arial"/>
        </w:rPr>
        <w:t xml:space="preserve"> paradoja evidente: existe compatibilidad en la estructura, pero no se traduce en flujos intraindustriales.</w:t>
      </w:r>
    </w:p>
    <w:p w14:paraId="6B06570B" w14:textId="77777777" w:rsidR="00C91819" w:rsidRPr="00C91819" w:rsidRDefault="00C91819" w:rsidP="00C91819">
      <w:pPr>
        <w:spacing w:line="360" w:lineRule="auto"/>
        <w:jc w:val="both"/>
        <w:rPr>
          <w:rFonts w:ascii="Arial" w:hAnsi="Arial" w:cs="Arial"/>
        </w:rPr>
      </w:pPr>
    </w:p>
    <w:p w14:paraId="6F3FB75C" w14:textId="2968EE5A" w:rsidR="004607D1" w:rsidRDefault="00C91819" w:rsidP="00C91819">
      <w:pPr>
        <w:spacing w:line="360" w:lineRule="auto"/>
        <w:jc w:val="both"/>
        <w:rPr>
          <w:rFonts w:ascii="Arial" w:hAnsi="Arial" w:cs="Arial"/>
        </w:rPr>
      </w:pPr>
      <w:r w:rsidRPr="00C91819">
        <w:rPr>
          <w:rFonts w:ascii="Arial" w:hAnsi="Arial" w:cs="Arial"/>
        </w:rPr>
        <w:t xml:space="preserve">El camarón constituye la excepción parcial. En 2012, 2014 y 2024 se registraron picos de 48,9%, 93,7% y 78,6%, respectivamente, lo que sugiere episodios puntuales de comercio de dos vías. Sin embargo, su carácter intermitente </w:t>
      </w:r>
      <w:r w:rsidR="00CF27E3">
        <w:rPr>
          <w:rFonts w:ascii="Arial" w:hAnsi="Arial" w:cs="Arial"/>
        </w:rPr>
        <w:t>puede indicar</w:t>
      </w:r>
      <w:r w:rsidRPr="00C91819">
        <w:rPr>
          <w:rFonts w:ascii="Arial" w:hAnsi="Arial" w:cs="Arial"/>
        </w:rPr>
        <w:t xml:space="preserve"> operaciones específicas</w:t>
      </w:r>
      <w:r w:rsidR="004607D1">
        <w:rPr>
          <w:rFonts w:ascii="Arial" w:hAnsi="Arial" w:cs="Arial"/>
        </w:rPr>
        <w:t xml:space="preserve">, </w:t>
      </w:r>
      <w:r w:rsidRPr="00C91819">
        <w:rPr>
          <w:rFonts w:ascii="Arial" w:hAnsi="Arial" w:cs="Arial"/>
        </w:rPr>
        <w:t>como reexportaciones, compras de insumos o movimientos en subpartidas arancelaria</w:t>
      </w:r>
      <w:r w:rsidR="004607D1">
        <w:rPr>
          <w:rFonts w:ascii="Arial" w:hAnsi="Arial" w:cs="Arial"/>
        </w:rPr>
        <w:t>s,</w:t>
      </w:r>
      <w:r w:rsidRPr="00C91819">
        <w:rPr>
          <w:rFonts w:ascii="Arial" w:hAnsi="Arial" w:cs="Arial"/>
        </w:rPr>
        <w:t xml:space="preserve"> </w:t>
      </w:r>
      <w:r w:rsidR="00CF27E3">
        <w:rPr>
          <w:rFonts w:ascii="Arial" w:hAnsi="Arial" w:cs="Arial"/>
        </w:rPr>
        <w:t>y no necesariamente</w:t>
      </w:r>
      <w:r w:rsidRPr="00C91819">
        <w:rPr>
          <w:rFonts w:ascii="Arial" w:hAnsi="Arial" w:cs="Arial"/>
        </w:rPr>
        <w:t xml:space="preserve"> la consolidación de un patrón sostenido de </w:t>
      </w:r>
      <w:proofErr w:type="spellStart"/>
      <w:r w:rsidRPr="00C91819">
        <w:rPr>
          <w:rFonts w:ascii="Arial" w:hAnsi="Arial" w:cs="Arial"/>
        </w:rPr>
        <w:t>intraindustrialidad</w:t>
      </w:r>
      <w:proofErr w:type="spellEnd"/>
      <w:r w:rsidRPr="00C91819">
        <w:rPr>
          <w:rFonts w:ascii="Arial" w:hAnsi="Arial" w:cs="Arial"/>
        </w:rPr>
        <w:t>.</w:t>
      </w:r>
    </w:p>
    <w:p w14:paraId="66FA532F" w14:textId="77777777" w:rsidR="00CF27E3" w:rsidRPr="00C91819" w:rsidRDefault="00CF27E3" w:rsidP="00C91819">
      <w:pPr>
        <w:spacing w:line="360" w:lineRule="auto"/>
        <w:jc w:val="both"/>
        <w:rPr>
          <w:rFonts w:ascii="Arial" w:hAnsi="Arial" w:cs="Arial"/>
        </w:rPr>
      </w:pPr>
    </w:p>
    <w:p w14:paraId="57ED8A77" w14:textId="77777777" w:rsidR="006125B3" w:rsidRDefault="00C91819" w:rsidP="00C91819">
      <w:pPr>
        <w:spacing w:line="360" w:lineRule="auto"/>
        <w:jc w:val="both"/>
        <w:rPr>
          <w:rFonts w:ascii="Arial" w:hAnsi="Arial" w:cs="Arial"/>
          <w:highlight w:val="yellow"/>
        </w:rPr>
      </w:pPr>
      <w:r w:rsidRPr="00C91819">
        <w:rPr>
          <w:rFonts w:ascii="Arial" w:hAnsi="Arial" w:cs="Arial"/>
        </w:rPr>
        <w:t>Este predominio interindustrial no es exclusivo de Honduras. La experiencia regional muestra trayectorias similares. Chile y Perú, aunque han logrado balances comerciales positivos con China gracias a la minería, mantienen relaciones centradas en la exportación de cobre y otros metales frente a la importación de manufacturas. Costa Rica, por el contrario, exhibe una situación más frágil: pese a su TLC con China desde 2011, el país no logró consolidar un comercio intraindustrial y enfrentó un creciente déficit debido a la dependencia de importaciones manufactureras. Ecuador, aunque ha diversificado con petróleo y agroexportaciones, también reproduce un patrón interindustrial, si bien con cierto éxito en equilibrar su balanza</w:t>
      </w:r>
      <w:r w:rsidRPr="00B37E5D">
        <w:rPr>
          <w:rFonts w:ascii="Arial" w:hAnsi="Arial" w:cs="Arial"/>
        </w:rPr>
        <w:t>.</w:t>
      </w:r>
      <w:r w:rsidR="00557004" w:rsidRPr="006125B3">
        <w:rPr>
          <w:rFonts w:ascii="Arial" w:hAnsi="Arial" w:cs="Arial"/>
          <w:highlight w:val="yellow"/>
        </w:rPr>
        <w:t xml:space="preserve"> </w:t>
      </w:r>
    </w:p>
    <w:p w14:paraId="6216AB43" w14:textId="77777777" w:rsidR="006125B3" w:rsidRDefault="006125B3" w:rsidP="00C91819">
      <w:pPr>
        <w:spacing w:line="360" w:lineRule="auto"/>
        <w:jc w:val="both"/>
        <w:rPr>
          <w:rFonts w:ascii="Arial" w:hAnsi="Arial" w:cs="Arial"/>
          <w:highlight w:val="yellow"/>
        </w:rPr>
      </w:pPr>
    </w:p>
    <w:p w14:paraId="764C2E86" w14:textId="6D3BAE37" w:rsidR="00150E3A" w:rsidRPr="00FA1E4C" w:rsidRDefault="006125B3" w:rsidP="00FA1E4C">
      <w:pPr>
        <w:spacing w:line="360" w:lineRule="auto"/>
        <w:jc w:val="both"/>
        <w:rPr>
          <w:rFonts w:ascii="Arial" w:hAnsi="Arial" w:cs="Arial"/>
        </w:rPr>
      </w:pPr>
      <w:r w:rsidRPr="00E6569E">
        <w:rPr>
          <w:rFonts w:ascii="Arial" w:hAnsi="Arial" w:cs="Arial"/>
        </w:rPr>
        <w:t xml:space="preserve">Este fenómeno interindustrial ya es una realidad </w:t>
      </w:r>
      <w:r w:rsidR="00B37E5D" w:rsidRPr="00E6569E">
        <w:rPr>
          <w:rFonts w:ascii="Arial" w:hAnsi="Arial" w:cs="Arial"/>
        </w:rPr>
        <w:t>para</w:t>
      </w:r>
      <w:r w:rsidRPr="00E6569E">
        <w:rPr>
          <w:rFonts w:ascii="Arial" w:hAnsi="Arial" w:cs="Arial"/>
        </w:rPr>
        <w:t xml:space="preserve"> la economía</w:t>
      </w:r>
      <w:r w:rsidR="00B37E5D" w:rsidRPr="00E6569E">
        <w:rPr>
          <w:rFonts w:ascii="Arial" w:hAnsi="Arial" w:cs="Arial"/>
        </w:rPr>
        <w:t xml:space="preserve"> hondureña</w:t>
      </w:r>
      <w:r w:rsidRPr="00E6569E">
        <w:rPr>
          <w:rFonts w:ascii="Arial" w:hAnsi="Arial" w:cs="Arial"/>
        </w:rPr>
        <w:t xml:space="preserve">, </w:t>
      </w:r>
      <w:r w:rsidR="00B37E5D" w:rsidRPr="00E6569E">
        <w:rPr>
          <w:rFonts w:ascii="Arial" w:hAnsi="Arial" w:cs="Arial"/>
        </w:rPr>
        <w:t>en palabras de Victorino Carranza, presidente del gremio de la Micro y Pequeña Empresa (</w:t>
      </w:r>
      <w:proofErr w:type="spellStart"/>
      <w:r w:rsidR="00B37E5D" w:rsidRPr="00E6569E">
        <w:rPr>
          <w:rFonts w:ascii="Arial" w:hAnsi="Arial" w:cs="Arial"/>
        </w:rPr>
        <w:t>Gremipe</w:t>
      </w:r>
      <w:proofErr w:type="spellEnd"/>
      <w:r w:rsidR="00B37E5D" w:rsidRPr="00E6569E">
        <w:rPr>
          <w:rFonts w:ascii="Arial" w:hAnsi="Arial" w:cs="Arial"/>
        </w:rPr>
        <w:t>), la creciente</w:t>
      </w:r>
      <w:r w:rsidR="00B37E5D" w:rsidRPr="00B37E5D">
        <w:rPr>
          <w:rFonts w:ascii="Arial" w:hAnsi="Arial" w:cs="Arial"/>
        </w:rPr>
        <w:t xml:space="preserve"> presencia de productos chinos en el mercado hondureño puede entenderse como una “invasión” comercial, dada la magnitud de bienes importados desde el inicio de la relación diplomática entre ambos países</w:t>
      </w:r>
      <w:r w:rsidR="00EB341D">
        <w:rPr>
          <w:rFonts w:ascii="Arial" w:hAnsi="Arial" w:cs="Arial"/>
        </w:rPr>
        <w:t xml:space="preserve"> en julio de 2023</w:t>
      </w:r>
      <w:r w:rsidR="00B37E5D" w:rsidRPr="00B37E5D">
        <w:rPr>
          <w:rFonts w:ascii="Arial" w:hAnsi="Arial" w:cs="Arial"/>
        </w:rPr>
        <w:t xml:space="preserve">. Según su perspectiva, estas importaciones se caracterizan por ser bienes de bajo costo, frecuentemente de </w:t>
      </w:r>
      <w:r w:rsidR="00B37E5D">
        <w:rPr>
          <w:rFonts w:ascii="Arial" w:hAnsi="Arial" w:cs="Arial"/>
        </w:rPr>
        <w:t xml:space="preserve">baja </w:t>
      </w:r>
      <w:r w:rsidR="00B37E5D" w:rsidRPr="00B37E5D">
        <w:rPr>
          <w:rFonts w:ascii="Arial" w:hAnsi="Arial" w:cs="Arial"/>
        </w:rPr>
        <w:t xml:space="preserve">calidad, cuya </w:t>
      </w:r>
      <w:r w:rsidR="00B37E5D" w:rsidRPr="00B37E5D">
        <w:rPr>
          <w:rFonts w:ascii="Arial" w:hAnsi="Arial" w:cs="Arial"/>
        </w:rPr>
        <w:lastRenderedPageBreak/>
        <w:t>demanda responde a la restricción de ingresos de los consumidores hondureños.</w:t>
      </w:r>
      <w:r w:rsidR="00EB341D">
        <w:rPr>
          <w:rFonts w:ascii="Arial" w:hAnsi="Arial" w:cs="Arial"/>
        </w:rPr>
        <w:t xml:space="preserve"> </w:t>
      </w:r>
      <w:r w:rsidR="00B37E5D" w:rsidRPr="00B37E5D">
        <w:rPr>
          <w:rFonts w:ascii="Arial" w:hAnsi="Arial" w:cs="Arial"/>
        </w:rPr>
        <w:t>El efecto colatera</w:t>
      </w:r>
      <w:r w:rsidR="00EB341D">
        <w:rPr>
          <w:rFonts w:ascii="Arial" w:hAnsi="Arial" w:cs="Arial"/>
        </w:rPr>
        <w:t xml:space="preserve">l, según Carranza, </w:t>
      </w:r>
      <w:r w:rsidR="00B37E5D" w:rsidRPr="00B37E5D">
        <w:rPr>
          <w:rFonts w:ascii="Arial" w:hAnsi="Arial" w:cs="Arial"/>
        </w:rPr>
        <w:t xml:space="preserve">ha sido la pérdida de competitividad de los productores y comerciantes locales frente a grandes almacenes de origen chino, lo que ha derivado en cierres de pequeñas y medianas empresas nacionales y, en consecuencia, en la </w:t>
      </w:r>
      <w:r w:rsidR="00B37E5D">
        <w:rPr>
          <w:rFonts w:ascii="Arial" w:hAnsi="Arial" w:cs="Arial"/>
        </w:rPr>
        <w:t>pérdida de empleos.</w:t>
      </w:r>
    </w:p>
    <w:p w14:paraId="7EE15154" w14:textId="77777777" w:rsidR="00150E3A" w:rsidRPr="00A92E34" w:rsidRDefault="00150E3A" w:rsidP="00A92E34"/>
    <w:p w14:paraId="696D8469" w14:textId="77777777" w:rsidR="00A92E34" w:rsidRDefault="00A92E34">
      <w:pPr>
        <w:pStyle w:val="Ttulo2"/>
        <w:numPr>
          <w:ilvl w:val="2"/>
          <w:numId w:val="7"/>
        </w:numPr>
        <w:rPr>
          <w:rFonts w:ascii="Arial" w:hAnsi="Arial" w:cs="Arial"/>
          <w:color w:val="000000" w:themeColor="text1"/>
          <w:sz w:val="24"/>
          <w:szCs w:val="24"/>
          <w:shd w:val="clear" w:color="auto" w:fill="FFFFFF"/>
        </w:rPr>
      </w:pPr>
      <w:bookmarkStart w:id="73" w:name="_Toc236232358"/>
      <w:r w:rsidRPr="00DA3034">
        <w:rPr>
          <w:rFonts w:ascii="Arial" w:hAnsi="Arial" w:cs="Arial"/>
          <w:color w:val="000000" w:themeColor="text1"/>
          <w:sz w:val="24"/>
          <w:szCs w:val="24"/>
          <w:shd w:val="clear" w:color="auto" w:fill="FFFFFF"/>
        </w:rPr>
        <w:t>Perspectivas frente a</w:t>
      </w:r>
      <w:r w:rsidRPr="00DA3034">
        <w:rPr>
          <w:rFonts w:ascii="Arial" w:hAnsi="Arial" w:cs="Arial"/>
          <w:color w:val="000000" w:themeColor="text1"/>
          <w:sz w:val="24"/>
          <w:szCs w:val="24"/>
        </w:rPr>
        <w:t xml:space="preserve">l </w:t>
      </w:r>
      <w:r w:rsidRPr="00DA3034">
        <w:rPr>
          <w:rFonts w:ascii="Arial" w:hAnsi="Arial" w:cs="Arial"/>
          <w:color w:val="000000" w:themeColor="text1"/>
          <w:sz w:val="24"/>
          <w:szCs w:val="24"/>
          <w:shd w:val="clear" w:color="auto" w:fill="FFFFFF"/>
        </w:rPr>
        <w:t>del TLC</w:t>
      </w:r>
      <w:bookmarkEnd w:id="73"/>
    </w:p>
    <w:p w14:paraId="6F354247" w14:textId="77777777" w:rsidR="00F72804" w:rsidRPr="00DE25FA" w:rsidRDefault="00F72804" w:rsidP="00F72804">
      <w:pPr>
        <w:rPr>
          <w:sz w:val="28"/>
          <w:szCs w:val="28"/>
        </w:rPr>
      </w:pPr>
    </w:p>
    <w:p w14:paraId="749DC282" w14:textId="25964751" w:rsidR="00CC2945" w:rsidRPr="00915E6B" w:rsidRDefault="009D4321" w:rsidP="00915E6B">
      <w:pPr>
        <w:spacing w:after="160" w:line="360" w:lineRule="auto"/>
        <w:jc w:val="both"/>
        <w:rPr>
          <w:rFonts w:ascii="Arial" w:hAnsi="Arial" w:cs="Arial"/>
        </w:rPr>
      </w:pPr>
      <w:r w:rsidRPr="00626EF2">
        <w:rPr>
          <w:rFonts w:ascii="Arial" w:hAnsi="Arial" w:cs="Arial"/>
          <w:color w:val="000000" w:themeColor="text1"/>
        </w:rPr>
        <w:t>En esta sección</w:t>
      </w:r>
      <w:r w:rsidR="00626EF2" w:rsidRPr="00626EF2">
        <w:rPr>
          <w:rFonts w:ascii="Arial" w:hAnsi="Arial" w:cs="Arial"/>
          <w:color w:val="000000" w:themeColor="text1"/>
        </w:rPr>
        <w:t xml:space="preserve"> </w:t>
      </w:r>
      <w:r w:rsidRPr="00626EF2">
        <w:rPr>
          <w:rFonts w:ascii="Arial" w:hAnsi="Arial" w:cs="Arial"/>
          <w:color w:val="000000" w:themeColor="text1"/>
        </w:rPr>
        <w:t xml:space="preserve">se </w:t>
      </w:r>
      <w:r w:rsidR="00560B5F" w:rsidRPr="00626EF2">
        <w:rPr>
          <w:rFonts w:ascii="Arial" w:hAnsi="Arial" w:cs="Arial"/>
          <w:color w:val="000000" w:themeColor="text1"/>
        </w:rPr>
        <w:t>analizan</w:t>
      </w:r>
      <w:r w:rsidRPr="00626EF2">
        <w:rPr>
          <w:rFonts w:ascii="Arial" w:hAnsi="Arial" w:cs="Arial"/>
          <w:color w:val="000000" w:themeColor="text1"/>
        </w:rPr>
        <w:t xml:space="preserve"> las perspectivas encontradas a partir de las entrevistas realizadas a diferentes</w:t>
      </w:r>
      <w:r w:rsidR="00560B5F" w:rsidRPr="00626EF2">
        <w:rPr>
          <w:rFonts w:ascii="Arial" w:hAnsi="Arial" w:cs="Arial"/>
          <w:color w:val="000000" w:themeColor="text1"/>
        </w:rPr>
        <w:t xml:space="preserve"> sectores relacionados con el</w:t>
      </w:r>
      <w:r w:rsidRPr="00626EF2">
        <w:rPr>
          <w:rFonts w:ascii="Arial" w:hAnsi="Arial" w:cs="Arial"/>
          <w:color w:val="000000" w:themeColor="text1"/>
        </w:rPr>
        <w:t xml:space="preserve"> acuerdo comercial. </w:t>
      </w:r>
      <w:r w:rsidR="00560B5F" w:rsidRPr="00626EF2">
        <w:rPr>
          <w:rFonts w:ascii="Arial" w:hAnsi="Arial" w:cs="Arial"/>
          <w:color w:val="000000" w:themeColor="text1"/>
        </w:rPr>
        <w:t>Para estos efectos, el a</w:t>
      </w:r>
      <w:r w:rsidRPr="00626EF2">
        <w:rPr>
          <w:rFonts w:ascii="Arial" w:hAnsi="Arial" w:cs="Arial"/>
          <w:color w:val="000000" w:themeColor="text1"/>
        </w:rPr>
        <w:t>nálisis se organiz</w:t>
      </w:r>
      <w:r w:rsidR="00560B5F" w:rsidRPr="00626EF2">
        <w:rPr>
          <w:rFonts w:ascii="Arial" w:hAnsi="Arial" w:cs="Arial"/>
          <w:color w:val="000000" w:themeColor="text1"/>
        </w:rPr>
        <w:t xml:space="preserve">a por categorías según </w:t>
      </w:r>
      <w:r w:rsidRPr="00626EF2">
        <w:rPr>
          <w:rFonts w:ascii="Arial" w:hAnsi="Arial" w:cs="Arial"/>
          <w:color w:val="000000" w:themeColor="text1"/>
        </w:rPr>
        <w:t>las perspectivas de</w:t>
      </w:r>
      <w:r w:rsidR="00560B5F" w:rsidRPr="00626EF2">
        <w:rPr>
          <w:rFonts w:ascii="Arial" w:hAnsi="Arial" w:cs="Arial"/>
          <w:color w:val="000000" w:themeColor="text1"/>
        </w:rPr>
        <w:t xml:space="preserve">:  </w:t>
      </w:r>
      <w:r w:rsidRPr="00626EF2">
        <w:rPr>
          <w:rFonts w:ascii="Arial" w:hAnsi="Arial" w:cs="Arial"/>
          <w:color w:val="000000" w:themeColor="text1"/>
        </w:rPr>
        <w:t>los productores hondureños y representantes de asociaciones, académicos y profesionales del ámbito comercial y por último la entrevista que se realizó a un representante de la Secretaría de Desarrollo Económico de Honduras</w:t>
      </w:r>
      <w:r w:rsidRPr="00915E6B">
        <w:rPr>
          <w:rFonts w:ascii="Arial" w:hAnsi="Arial" w:cs="Arial"/>
        </w:rPr>
        <w:t xml:space="preserve">. </w:t>
      </w:r>
    </w:p>
    <w:p w14:paraId="72349BD8" w14:textId="489D580C" w:rsidR="00805F70" w:rsidRPr="009F5558" w:rsidRDefault="009D4321">
      <w:pPr>
        <w:pStyle w:val="Ttulo4"/>
        <w:numPr>
          <w:ilvl w:val="3"/>
          <w:numId w:val="7"/>
        </w:numPr>
        <w:spacing w:line="360" w:lineRule="auto"/>
        <w:jc w:val="both"/>
        <w:rPr>
          <w:rFonts w:ascii="Arial" w:hAnsi="Arial" w:cs="Arial"/>
          <w:i w:val="0"/>
          <w:iCs w:val="0"/>
          <w:color w:val="000000" w:themeColor="text1"/>
        </w:rPr>
      </w:pPr>
      <w:r w:rsidRPr="009F5558">
        <w:rPr>
          <w:rFonts w:ascii="Arial" w:hAnsi="Arial" w:cs="Arial"/>
          <w:i w:val="0"/>
          <w:iCs w:val="0"/>
          <w:color w:val="000000" w:themeColor="text1"/>
        </w:rPr>
        <w:t>Perspectivas de</w:t>
      </w:r>
      <w:r w:rsidR="00F72804" w:rsidRPr="009F5558">
        <w:rPr>
          <w:rFonts w:ascii="Arial" w:hAnsi="Arial" w:cs="Arial"/>
          <w:i w:val="0"/>
          <w:iCs w:val="0"/>
          <w:color w:val="000000" w:themeColor="text1"/>
        </w:rPr>
        <w:t xml:space="preserve"> </w:t>
      </w:r>
      <w:r w:rsidRPr="009F5558">
        <w:rPr>
          <w:rFonts w:ascii="Arial" w:hAnsi="Arial" w:cs="Arial"/>
          <w:i w:val="0"/>
          <w:iCs w:val="0"/>
          <w:color w:val="000000" w:themeColor="text1"/>
        </w:rPr>
        <w:t>los</w:t>
      </w:r>
      <w:r w:rsidR="00F72804" w:rsidRPr="009F5558">
        <w:rPr>
          <w:rFonts w:ascii="Arial" w:hAnsi="Arial" w:cs="Arial"/>
          <w:i w:val="0"/>
          <w:iCs w:val="0"/>
          <w:color w:val="000000" w:themeColor="text1"/>
        </w:rPr>
        <w:t xml:space="preserve"> Productores en Honduras y Representantes de Asociaciones de Productores de los sectores prioritarios</w:t>
      </w:r>
    </w:p>
    <w:p w14:paraId="4C533EEA" w14:textId="7921D9FA" w:rsidR="00CC2945" w:rsidRDefault="00300EE4" w:rsidP="00CC2945">
      <w:pPr>
        <w:spacing w:before="240" w:line="360" w:lineRule="auto"/>
        <w:jc w:val="both"/>
        <w:rPr>
          <w:rFonts w:ascii="Arial" w:hAnsi="Arial" w:cs="Arial"/>
        </w:rPr>
      </w:pPr>
      <w:r>
        <w:rPr>
          <w:rFonts w:ascii="Arial" w:hAnsi="Arial" w:cs="Arial"/>
        </w:rPr>
        <w:t>En la aplicación de entrevistas,</w:t>
      </w:r>
      <w:r w:rsidR="00800E24" w:rsidRPr="00800E24">
        <w:rPr>
          <w:rFonts w:ascii="Arial" w:hAnsi="Arial" w:cs="Arial"/>
        </w:rPr>
        <w:t xml:space="preserve"> se logró contar con la participación de ocho productores y representantes de asociaciones de los sectores productivos clave en Honduras, incluyendo café, camarón, banano y </w:t>
      </w:r>
      <w:r w:rsidR="00800E24" w:rsidRPr="00AE3E86">
        <w:rPr>
          <w:rFonts w:ascii="Arial" w:hAnsi="Arial" w:cs="Arial"/>
        </w:rPr>
        <w:t>cacao. Estos sectores han sido identificados como estratégicos debido a su potencial de exportación hacia el mercado chino</w:t>
      </w:r>
      <w:r w:rsidR="00AE3E86" w:rsidRPr="00AE3E86">
        <w:rPr>
          <w:rFonts w:ascii="Arial" w:hAnsi="Arial" w:cs="Arial"/>
        </w:rPr>
        <w:t xml:space="preserve"> desde inicios de la negociación </w:t>
      </w:r>
      <w:r>
        <w:rPr>
          <w:rFonts w:ascii="Arial" w:hAnsi="Arial" w:cs="Arial"/>
        </w:rPr>
        <w:t xml:space="preserve">por el ministro de la SDE </w:t>
      </w:r>
      <w:r w:rsidR="00AE3E86" w:rsidRPr="00AE3E86">
        <w:rPr>
          <w:rFonts w:ascii="Arial" w:hAnsi="Arial" w:cs="Arial"/>
        </w:rPr>
        <w:fldChar w:fldCharType="begin"/>
      </w:r>
      <w:r w:rsidR="00FA3C64">
        <w:rPr>
          <w:rFonts w:ascii="Arial" w:hAnsi="Arial" w:cs="Arial"/>
        </w:rPr>
        <w:instrText xml:space="preserve"> ADDIN ZOTERO_ITEM CSL_CITATION {"citationID":"DXsiX76W","properties":{"formattedCitation":"(Jos\\uc0\\u233{} Quezada, 2023)","plainCitation":"(José Quezada, 2023)","noteIndex":0},"citationItems":[{"id":1958,"uris":["http://zotero.org/users/10063313/items/S6C8VQFP"],"itemData":{"id":1958,"type":"article-newspaper","publisher-place":"Tegucigalpa, Honduras","title":"Honduras inicia negociaciones de Tratado de Libre Comercio con China","URL":"https://www.elheraldo.hn/honduras/honduras-inicia-negociaciones-tratado-libre-comercio-china-fedis-cerrato-wang-wentao-AE14235014","author":[{"literal":"José Quezada"}],"issued":{"date-parts":[["2023",7,4]]}}}],"schema":"https://github.com/citation-style-language/schema/raw/master/csl-citation.json"} </w:instrText>
      </w:r>
      <w:r w:rsidR="00AE3E86" w:rsidRPr="00AE3E86">
        <w:rPr>
          <w:rFonts w:ascii="Arial" w:hAnsi="Arial" w:cs="Arial"/>
        </w:rPr>
        <w:fldChar w:fldCharType="separate"/>
      </w:r>
      <w:r w:rsidR="00AE3E86" w:rsidRPr="00AE3E86">
        <w:rPr>
          <w:rFonts w:ascii="Arial" w:hAnsi="Arial" w:cs="Arial"/>
          <w:lang w:val="es-MX"/>
        </w:rPr>
        <w:t>(José Quezada, 2023)</w:t>
      </w:r>
      <w:r w:rsidR="00AE3E86" w:rsidRPr="00AE3E86">
        <w:rPr>
          <w:rFonts w:ascii="Arial" w:hAnsi="Arial" w:cs="Arial"/>
        </w:rPr>
        <w:fldChar w:fldCharType="end"/>
      </w:r>
      <w:r w:rsidR="00800E24" w:rsidRPr="00AE3E86">
        <w:rPr>
          <w:rFonts w:ascii="Arial" w:hAnsi="Arial" w:cs="Arial"/>
        </w:rPr>
        <w:t>.</w:t>
      </w:r>
      <w:r w:rsidR="00800E24" w:rsidRPr="00800E24">
        <w:rPr>
          <w:rFonts w:ascii="Arial" w:hAnsi="Arial" w:cs="Arial"/>
        </w:rPr>
        <w:t xml:space="preserve"> Los entrevistados desempeñan roles clave en sus respectivas organizaciones, como gerentes generales, directores financieros y presidentes de asociaciones, aportando una visión </w:t>
      </w:r>
      <w:r>
        <w:rPr>
          <w:rFonts w:ascii="Arial" w:hAnsi="Arial" w:cs="Arial"/>
        </w:rPr>
        <w:t>integral</w:t>
      </w:r>
      <w:r w:rsidR="00800E24" w:rsidRPr="00800E24">
        <w:rPr>
          <w:rFonts w:ascii="Arial" w:hAnsi="Arial" w:cs="Arial"/>
        </w:rPr>
        <w:t xml:space="preserve"> de los desafíos y oportunidades que el</w:t>
      </w:r>
      <w:r>
        <w:rPr>
          <w:rFonts w:ascii="Arial" w:hAnsi="Arial" w:cs="Arial"/>
        </w:rPr>
        <w:t xml:space="preserve"> </w:t>
      </w:r>
      <w:r w:rsidR="004A2495" w:rsidRPr="004A2495">
        <w:rPr>
          <w:rFonts w:ascii="Arial" w:hAnsi="Arial" w:cs="Arial"/>
        </w:rPr>
        <w:t>previsto</w:t>
      </w:r>
      <w:r w:rsidR="004A2495">
        <w:rPr>
          <w:rFonts w:ascii="Arial" w:hAnsi="Arial" w:cs="Arial"/>
        </w:rPr>
        <w:t xml:space="preserve"> </w:t>
      </w:r>
      <w:r w:rsidR="00800E24" w:rsidRPr="00800E24">
        <w:rPr>
          <w:rFonts w:ascii="Arial" w:hAnsi="Arial" w:cs="Arial"/>
        </w:rPr>
        <w:t>Tratado de Libre Comercio con China representa para sus industrias.</w:t>
      </w:r>
    </w:p>
    <w:p w14:paraId="105E1641" w14:textId="2ABE71D9" w:rsidR="00800E24" w:rsidRDefault="00800E24" w:rsidP="00CC2945">
      <w:pPr>
        <w:spacing w:before="240" w:line="360" w:lineRule="auto"/>
        <w:jc w:val="both"/>
        <w:rPr>
          <w:rFonts w:ascii="Arial" w:hAnsi="Arial" w:cs="Arial"/>
        </w:rPr>
      </w:pPr>
      <w:r w:rsidRPr="00800E24">
        <w:rPr>
          <w:rFonts w:ascii="Arial" w:hAnsi="Arial" w:cs="Arial"/>
        </w:rPr>
        <w:t>Las entrevistas se llevaron a cabo entre los meses de marzo y junio de</w:t>
      </w:r>
      <w:r w:rsidR="004A2495">
        <w:rPr>
          <w:rFonts w:ascii="Arial" w:hAnsi="Arial" w:cs="Arial"/>
        </w:rPr>
        <w:t>l</w:t>
      </w:r>
      <w:r w:rsidRPr="00800E24">
        <w:rPr>
          <w:rFonts w:ascii="Arial" w:hAnsi="Arial" w:cs="Arial"/>
        </w:rPr>
        <w:t xml:space="preserve"> 2024, </w:t>
      </w:r>
      <w:r w:rsidR="00EB341D">
        <w:rPr>
          <w:rFonts w:ascii="Arial" w:hAnsi="Arial" w:cs="Arial"/>
        </w:rPr>
        <w:t xml:space="preserve">de manera virtual. </w:t>
      </w:r>
      <w:r w:rsidRPr="00800E24">
        <w:rPr>
          <w:rFonts w:ascii="Arial" w:hAnsi="Arial" w:cs="Arial"/>
        </w:rPr>
        <w:t>A continuación, se presenta una tabla con la caracterización de los entrevistados, que proporciona un panorama general de su participación en el estudio:</w:t>
      </w:r>
    </w:p>
    <w:p w14:paraId="3E7C33FD" w14:textId="6E9F7AE9" w:rsidR="00800E24" w:rsidRPr="0024414A" w:rsidRDefault="00800E24" w:rsidP="0024414A">
      <w:pPr>
        <w:pStyle w:val="NormalWeb"/>
        <w:rPr>
          <w:rFonts w:ascii="Arial" w:hAnsi="Arial" w:cs="Arial"/>
        </w:rPr>
      </w:pPr>
      <w:bookmarkStart w:id="74" w:name="_Toc236227182"/>
      <w:r w:rsidRPr="0024414A">
        <w:rPr>
          <w:rFonts w:ascii="Arial" w:hAnsi="Arial" w:cs="Arial"/>
          <w:b/>
          <w:bCs/>
        </w:rPr>
        <w:t xml:space="preserve">Tabla </w:t>
      </w:r>
      <w:r w:rsidRPr="0024414A">
        <w:rPr>
          <w:rFonts w:ascii="Arial" w:hAnsi="Arial" w:cs="Arial"/>
          <w:b/>
          <w:bCs/>
        </w:rPr>
        <w:fldChar w:fldCharType="begin"/>
      </w:r>
      <w:r w:rsidRPr="0024414A">
        <w:rPr>
          <w:rFonts w:ascii="Arial" w:hAnsi="Arial" w:cs="Arial"/>
          <w:b/>
          <w:bCs/>
        </w:rPr>
        <w:instrText xml:space="preserve"> SEQ Tabla \* ARABIC </w:instrText>
      </w:r>
      <w:r w:rsidRPr="0024414A">
        <w:rPr>
          <w:rFonts w:ascii="Arial" w:hAnsi="Arial" w:cs="Arial"/>
          <w:b/>
          <w:bCs/>
        </w:rPr>
        <w:fldChar w:fldCharType="separate"/>
      </w:r>
      <w:r w:rsidR="000172E9">
        <w:rPr>
          <w:rFonts w:ascii="Arial" w:hAnsi="Arial" w:cs="Arial"/>
          <w:b/>
          <w:bCs/>
          <w:noProof/>
        </w:rPr>
        <w:t>2</w:t>
      </w:r>
      <w:r w:rsidRPr="0024414A">
        <w:rPr>
          <w:rFonts w:ascii="Arial" w:hAnsi="Arial" w:cs="Arial"/>
          <w:b/>
          <w:bCs/>
        </w:rPr>
        <w:fldChar w:fldCharType="end"/>
      </w:r>
      <w:r w:rsidR="0024414A">
        <w:rPr>
          <w:rFonts w:ascii="Arial" w:hAnsi="Arial" w:cs="Arial"/>
        </w:rPr>
        <w:t xml:space="preserve"> </w:t>
      </w:r>
      <w:r w:rsidR="0024414A" w:rsidRPr="0024414A">
        <w:rPr>
          <w:rStyle w:val="nfasis"/>
          <w:rFonts w:ascii="Arial" w:eastAsiaTheme="majorEastAsia" w:hAnsi="Arial" w:cs="Arial"/>
        </w:rPr>
        <w:t>Caracterización de los entrevistados en el estudio sobre el TLC entre Honduras y China</w:t>
      </w:r>
      <w:bookmarkEnd w:id="74"/>
    </w:p>
    <w:tbl>
      <w:tblPr>
        <w:tblW w:w="9056" w:type="dxa"/>
        <w:tblBorders>
          <w:insideH w:val="single" w:sz="4" w:space="0" w:color="auto"/>
          <w:insideV w:val="single" w:sz="4" w:space="0" w:color="auto"/>
        </w:tblBorders>
        <w:tblCellMar>
          <w:left w:w="0" w:type="dxa"/>
          <w:right w:w="0" w:type="dxa"/>
        </w:tblCellMar>
        <w:tblLook w:val="04A0" w:firstRow="1" w:lastRow="0" w:firstColumn="1" w:lastColumn="0" w:noHBand="0" w:noVBand="1"/>
      </w:tblPr>
      <w:tblGrid>
        <w:gridCol w:w="1779"/>
        <w:gridCol w:w="2258"/>
        <w:gridCol w:w="2081"/>
        <w:gridCol w:w="1534"/>
        <w:gridCol w:w="1404"/>
      </w:tblGrid>
      <w:tr w:rsidR="0040252A" w:rsidRPr="00C013F9" w14:paraId="2553C693" w14:textId="11FA22C4" w:rsidTr="006D06C5">
        <w:trPr>
          <w:trHeight w:val="315"/>
        </w:trPr>
        <w:tc>
          <w:tcPr>
            <w:tcW w:w="1835" w:type="dxa"/>
            <w:tcBorders>
              <w:top w:val="single" w:sz="4" w:space="0" w:color="auto"/>
              <w:bottom w:val="single" w:sz="4" w:space="0" w:color="auto"/>
            </w:tcBorders>
            <w:tcMar>
              <w:top w:w="30" w:type="dxa"/>
              <w:left w:w="45" w:type="dxa"/>
              <w:bottom w:w="30" w:type="dxa"/>
              <w:right w:w="45" w:type="dxa"/>
            </w:tcMar>
            <w:vAlign w:val="bottom"/>
            <w:hideMark/>
          </w:tcPr>
          <w:p w14:paraId="3BC77A57" w14:textId="77777777" w:rsidR="0040252A" w:rsidRPr="00C013F9" w:rsidRDefault="0040252A" w:rsidP="00C013F9">
            <w:pPr>
              <w:rPr>
                <w:rFonts w:ascii="Arial" w:hAnsi="Arial" w:cs="Arial"/>
                <w:b/>
                <w:bCs/>
                <w:sz w:val="20"/>
                <w:szCs w:val="20"/>
              </w:rPr>
            </w:pPr>
            <w:r w:rsidRPr="00C013F9">
              <w:rPr>
                <w:rFonts w:ascii="Arial" w:hAnsi="Arial" w:cs="Arial"/>
                <w:b/>
                <w:bCs/>
                <w:sz w:val="20"/>
                <w:szCs w:val="20"/>
              </w:rPr>
              <w:lastRenderedPageBreak/>
              <w:t>Fecha de Entrevista</w:t>
            </w:r>
          </w:p>
        </w:tc>
        <w:tc>
          <w:tcPr>
            <w:tcW w:w="2118" w:type="dxa"/>
            <w:tcBorders>
              <w:top w:val="single" w:sz="4" w:space="0" w:color="auto"/>
              <w:bottom w:val="single" w:sz="4" w:space="0" w:color="auto"/>
            </w:tcBorders>
            <w:tcMar>
              <w:top w:w="30" w:type="dxa"/>
              <w:left w:w="45" w:type="dxa"/>
              <w:bottom w:w="30" w:type="dxa"/>
              <w:right w:w="45" w:type="dxa"/>
            </w:tcMar>
            <w:vAlign w:val="bottom"/>
            <w:hideMark/>
          </w:tcPr>
          <w:p w14:paraId="6EAD239C" w14:textId="5A47C357" w:rsidR="0040252A" w:rsidRPr="00C013F9" w:rsidRDefault="007E79AB" w:rsidP="00C013F9">
            <w:pPr>
              <w:rPr>
                <w:rFonts w:ascii="Arial" w:hAnsi="Arial" w:cs="Arial"/>
                <w:b/>
                <w:bCs/>
                <w:sz w:val="20"/>
                <w:szCs w:val="20"/>
              </w:rPr>
            </w:pPr>
            <w:r>
              <w:rPr>
                <w:rFonts w:ascii="Arial" w:hAnsi="Arial" w:cs="Arial"/>
                <w:b/>
                <w:bCs/>
                <w:sz w:val="20"/>
                <w:szCs w:val="20"/>
              </w:rPr>
              <w:t>Tipo de Empresa/Organización</w:t>
            </w:r>
          </w:p>
        </w:tc>
        <w:tc>
          <w:tcPr>
            <w:tcW w:w="2135" w:type="dxa"/>
            <w:tcBorders>
              <w:top w:val="single" w:sz="4" w:space="0" w:color="auto"/>
              <w:bottom w:val="single" w:sz="4" w:space="0" w:color="auto"/>
            </w:tcBorders>
            <w:tcMar>
              <w:top w:w="30" w:type="dxa"/>
              <w:left w:w="45" w:type="dxa"/>
              <w:bottom w:w="30" w:type="dxa"/>
              <w:right w:w="45" w:type="dxa"/>
            </w:tcMar>
            <w:vAlign w:val="bottom"/>
            <w:hideMark/>
          </w:tcPr>
          <w:p w14:paraId="033C06DF" w14:textId="77777777" w:rsidR="0040252A" w:rsidRPr="00C013F9" w:rsidRDefault="0040252A" w:rsidP="00C013F9">
            <w:pPr>
              <w:rPr>
                <w:rFonts w:ascii="Arial" w:hAnsi="Arial" w:cs="Arial"/>
                <w:b/>
                <w:bCs/>
                <w:sz w:val="20"/>
                <w:szCs w:val="20"/>
              </w:rPr>
            </w:pPr>
            <w:r w:rsidRPr="00C013F9">
              <w:rPr>
                <w:rFonts w:ascii="Arial" w:hAnsi="Arial" w:cs="Arial"/>
                <w:b/>
                <w:bCs/>
                <w:sz w:val="20"/>
                <w:szCs w:val="20"/>
              </w:rPr>
              <w:t>Puesto/Cargo</w:t>
            </w:r>
          </w:p>
        </w:tc>
        <w:tc>
          <w:tcPr>
            <w:tcW w:w="1548" w:type="dxa"/>
            <w:tcBorders>
              <w:top w:val="single" w:sz="4" w:space="0" w:color="auto"/>
              <w:bottom w:val="single" w:sz="4" w:space="0" w:color="auto"/>
            </w:tcBorders>
            <w:tcMar>
              <w:top w:w="30" w:type="dxa"/>
              <w:left w:w="45" w:type="dxa"/>
              <w:bottom w:w="30" w:type="dxa"/>
              <w:right w:w="45" w:type="dxa"/>
            </w:tcMar>
            <w:vAlign w:val="bottom"/>
            <w:hideMark/>
          </w:tcPr>
          <w:p w14:paraId="30E03B68" w14:textId="77777777" w:rsidR="0040252A" w:rsidRPr="00C013F9" w:rsidRDefault="0040252A" w:rsidP="00C013F9">
            <w:pPr>
              <w:rPr>
                <w:rFonts w:ascii="Arial" w:hAnsi="Arial" w:cs="Arial"/>
                <w:b/>
                <w:bCs/>
                <w:sz w:val="20"/>
                <w:szCs w:val="20"/>
              </w:rPr>
            </w:pPr>
            <w:r w:rsidRPr="00C013F9">
              <w:rPr>
                <w:rFonts w:ascii="Arial" w:hAnsi="Arial" w:cs="Arial"/>
                <w:b/>
                <w:bCs/>
                <w:sz w:val="20"/>
                <w:szCs w:val="20"/>
              </w:rPr>
              <w:t>Sector/Rubro</w:t>
            </w:r>
          </w:p>
        </w:tc>
        <w:tc>
          <w:tcPr>
            <w:tcW w:w="1420" w:type="dxa"/>
            <w:tcBorders>
              <w:top w:val="single" w:sz="4" w:space="0" w:color="auto"/>
              <w:bottom w:val="single" w:sz="4" w:space="0" w:color="auto"/>
            </w:tcBorders>
            <w:vAlign w:val="bottom"/>
          </w:tcPr>
          <w:p w14:paraId="44147B11" w14:textId="09AB985C" w:rsidR="0040252A" w:rsidRPr="00C013F9" w:rsidRDefault="0040252A" w:rsidP="00EC3424">
            <w:pPr>
              <w:rPr>
                <w:rFonts w:ascii="Arial" w:hAnsi="Arial" w:cs="Arial"/>
                <w:b/>
                <w:bCs/>
                <w:sz w:val="20"/>
                <w:szCs w:val="20"/>
              </w:rPr>
            </w:pPr>
            <w:r w:rsidRPr="0040252A">
              <w:rPr>
                <w:rFonts w:ascii="Arial" w:hAnsi="Arial" w:cs="Arial"/>
                <w:b/>
                <w:bCs/>
                <w:sz w:val="20"/>
                <w:szCs w:val="20"/>
              </w:rPr>
              <w:t>Pseudónimo</w:t>
            </w:r>
          </w:p>
        </w:tc>
      </w:tr>
      <w:tr w:rsidR="0040252A" w:rsidRPr="00C013F9" w14:paraId="5D383F05" w14:textId="60C2080D" w:rsidTr="006D06C5">
        <w:trPr>
          <w:trHeight w:val="315"/>
        </w:trPr>
        <w:tc>
          <w:tcPr>
            <w:tcW w:w="1835" w:type="dxa"/>
            <w:tcBorders>
              <w:top w:val="single" w:sz="4" w:space="0" w:color="auto"/>
            </w:tcBorders>
            <w:tcMar>
              <w:top w:w="30" w:type="dxa"/>
              <w:left w:w="45" w:type="dxa"/>
              <w:bottom w:w="30" w:type="dxa"/>
              <w:right w:w="45" w:type="dxa"/>
            </w:tcMar>
            <w:vAlign w:val="bottom"/>
            <w:hideMark/>
          </w:tcPr>
          <w:p w14:paraId="19F5ABF4" w14:textId="7949A318" w:rsidR="0040252A" w:rsidRPr="00C013F9" w:rsidRDefault="0040252A" w:rsidP="0040252A">
            <w:pPr>
              <w:rPr>
                <w:rFonts w:ascii="Arial" w:hAnsi="Arial" w:cs="Arial"/>
                <w:sz w:val="20"/>
                <w:szCs w:val="20"/>
              </w:rPr>
            </w:pPr>
            <w:r w:rsidRPr="00C013F9">
              <w:rPr>
                <w:rFonts w:ascii="Arial" w:hAnsi="Arial" w:cs="Arial"/>
                <w:sz w:val="20"/>
                <w:szCs w:val="20"/>
              </w:rPr>
              <w:t>6 de marzo</w:t>
            </w:r>
            <w:r>
              <w:rPr>
                <w:rFonts w:ascii="Arial" w:hAnsi="Arial" w:cs="Arial"/>
                <w:sz w:val="20"/>
                <w:szCs w:val="20"/>
              </w:rPr>
              <w:t>, 2024</w:t>
            </w:r>
          </w:p>
        </w:tc>
        <w:tc>
          <w:tcPr>
            <w:tcW w:w="2118" w:type="dxa"/>
            <w:tcBorders>
              <w:top w:val="single" w:sz="4" w:space="0" w:color="auto"/>
            </w:tcBorders>
            <w:tcMar>
              <w:top w:w="30" w:type="dxa"/>
              <w:left w:w="45" w:type="dxa"/>
              <w:bottom w:w="30" w:type="dxa"/>
              <w:right w:w="45" w:type="dxa"/>
            </w:tcMar>
            <w:vAlign w:val="bottom"/>
            <w:hideMark/>
          </w:tcPr>
          <w:p w14:paraId="00D26C1D" w14:textId="6CB4D948" w:rsidR="0040252A" w:rsidRPr="00C013F9" w:rsidRDefault="007E79AB" w:rsidP="0040252A">
            <w:pPr>
              <w:rPr>
                <w:rFonts w:ascii="Arial" w:hAnsi="Arial" w:cs="Arial"/>
                <w:sz w:val="20"/>
                <w:szCs w:val="20"/>
              </w:rPr>
            </w:pPr>
            <w:r w:rsidRPr="007E79AB">
              <w:rPr>
                <w:rFonts w:ascii="Arial" w:hAnsi="Arial" w:cs="Arial"/>
                <w:sz w:val="20"/>
                <w:szCs w:val="20"/>
              </w:rPr>
              <w:t>Empresa del sector bananero</w:t>
            </w:r>
          </w:p>
        </w:tc>
        <w:tc>
          <w:tcPr>
            <w:tcW w:w="2135" w:type="dxa"/>
            <w:tcBorders>
              <w:top w:val="single" w:sz="4" w:space="0" w:color="auto"/>
            </w:tcBorders>
            <w:tcMar>
              <w:top w:w="30" w:type="dxa"/>
              <w:left w:w="45" w:type="dxa"/>
              <w:bottom w:w="30" w:type="dxa"/>
              <w:right w:w="45" w:type="dxa"/>
            </w:tcMar>
            <w:vAlign w:val="bottom"/>
            <w:hideMark/>
          </w:tcPr>
          <w:p w14:paraId="238A380E" w14:textId="77777777" w:rsidR="0040252A" w:rsidRPr="00C013F9" w:rsidRDefault="0040252A" w:rsidP="0040252A">
            <w:pPr>
              <w:rPr>
                <w:rFonts w:ascii="Arial" w:hAnsi="Arial" w:cs="Arial"/>
                <w:sz w:val="20"/>
                <w:szCs w:val="20"/>
              </w:rPr>
            </w:pPr>
            <w:r w:rsidRPr="00C013F9">
              <w:rPr>
                <w:rFonts w:ascii="Arial" w:hAnsi="Arial" w:cs="Arial"/>
                <w:sz w:val="20"/>
                <w:szCs w:val="20"/>
              </w:rPr>
              <w:t>CEO</w:t>
            </w:r>
          </w:p>
        </w:tc>
        <w:tc>
          <w:tcPr>
            <w:tcW w:w="1548" w:type="dxa"/>
            <w:tcBorders>
              <w:top w:val="single" w:sz="4" w:space="0" w:color="auto"/>
            </w:tcBorders>
            <w:tcMar>
              <w:top w:w="30" w:type="dxa"/>
              <w:left w:w="45" w:type="dxa"/>
              <w:bottom w:w="30" w:type="dxa"/>
              <w:right w:w="45" w:type="dxa"/>
            </w:tcMar>
            <w:vAlign w:val="bottom"/>
            <w:hideMark/>
          </w:tcPr>
          <w:p w14:paraId="08952850" w14:textId="77777777" w:rsidR="0040252A" w:rsidRPr="00C013F9" w:rsidRDefault="0040252A" w:rsidP="0040252A">
            <w:pPr>
              <w:rPr>
                <w:rFonts w:ascii="Arial" w:hAnsi="Arial" w:cs="Arial"/>
                <w:sz w:val="20"/>
                <w:szCs w:val="20"/>
              </w:rPr>
            </w:pPr>
            <w:r w:rsidRPr="00C013F9">
              <w:rPr>
                <w:rFonts w:ascii="Arial" w:hAnsi="Arial" w:cs="Arial"/>
                <w:sz w:val="20"/>
                <w:szCs w:val="20"/>
              </w:rPr>
              <w:t>Banano</w:t>
            </w:r>
          </w:p>
        </w:tc>
        <w:tc>
          <w:tcPr>
            <w:tcW w:w="1420" w:type="dxa"/>
            <w:tcBorders>
              <w:top w:val="single" w:sz="4" w:space="0" w:color="auto"/>
            </w:tcBorders>
          </w:tcPr>
          <w:p w14:paraId="0EBBC280" w14:textId="2BF5DA6A" w:rsidR="0040252A" w:rsidRPr="00C013F9" w:rsidRDefault="0040252A" w:rsidP="0040252A">
            <w:pPr>
              <w:rPr>
                <w:rFonts w:ascii="Arial" w:hAnsi="Arial" w:cs="Arial"/>
                <w:sz w:val="20"/>
                <w:szCs w:val="20"/>
              </w:rPr>
            </w:pPr>
            <w:r>
              <w:rPr>
                <w:rFonts w:ascii="Arial" w:hAnsi="Arial" w:cs="Arial"/>
                <w:sz w:val="20"/>
                <w:szCs w:val="20"/>
              </w:rPr>
              <w:t>Entrevistado 1</w:t>
            </w:r>
          </w:p>
        </w:tc>
      </w:tr>
      <w:tr w:rsidR="0040252A" w:rsidRPr="00C013F9" w14:paraId="23ED6846" w14:textId="542171EE" w:rsidTr="006D06C5">
        <w:trPr>
          <w:trHeight w:val="315"/>
        </w:trPr>
        <w:tc>
          <w:tcPr>
            <w:tcW w:w="1835" w:type="dxa"/>
            <w:tcMar>
              <w:top w:w="30" w:type="dxa"/>
              <w:left w:w="45" w:type="dxa"/>
              <w:bottom w:w="30" w:type="dxa"/>
              <w:right w:w="45" w:type="dxa"/>
            </w:tcMar>
            <w:vAlign w:val="bottom"/>
            <w:hideMark/>
          </w:tcPr>
          <w:p w14:paraId="51D67C9E" w14:textId="0FCB0DA8" w:rsidR="0040252A" w:rsidRPr="00C013F9" w:rsidRDefault="0040252A" w:rsidP="0040252A">
            <w:pPr>
              <w:rPr>
                <w:rFonts w:ascii="Arial" w:hAnsi="Arial" w:cs="Arial"/>
                <w:sz w:val="20"/>
                <w:szCs w:val="20"/>
              </w:rPr>
            </w:pPr>
            <w:r w:rsidRPr="00C013F9">
              <w:rPr>
                <w:rFonts w:ascii="Arial" w:hAnsi="Arial" w:cs="Arial"/>
                <w:sz w:val="20"/>
                <w:szCs w:val="20"/>
              </w:rPr>
              <w:t>18 de marzo</w:t>
            </w:r>
            <w:r>
              <w:rPr>
                <w:rFonts w:ascii="Arial" w:hAnsi="Arial" w:cs="Arial"/>
                <w:sz w:val="20"/>
                <w:szCs w:val="20"/>
              </w:rPr>
              <w:t>, 2024</w:t>
            </w:r>
          </w:p>
        </w:tc>
        <w:tc>
          <w:tcPr>
            <w:tcW w:w="2118" w:type="dxa"/>
            <w:tcMar>
              <w:top w:w="30" w:type="dxa"/>
              <w:left w:w="45" w:type="dxa"/>
              <w:bottom w:w="30" w:type="dxa"/>
              <w:right w:w="45" w:type="dxa"/>
            </w:tcMar>
            <w:vAlign w:val="bottom"/>
            <w:hideMark/>
          </w:tcPr>
          <w:p w14:paraId="2C779ACF" w14:textId="770F8405" w:rsidR="0040252A" w:rsidRPr="00C013F9" w:rsidRDefault="007E79AB" w:rsidP="0040252A">
            <w:pPr>
              <w:rPr>
                <w:rFonts w:ascii="Arial" w:hAnsi="Arial" w:cs="Arial"/>
                <w:sz w:val="20"/>
                <w:szCs w:val="20"/>
              </w:rPr>
            </w:pPr>
            <w:r w:rsidRPr="007E79AB">
              <w:rPr>
                <w:rFonts w:ascii="Arial" w:hAnsi="Arial" w:cs="Arial"/>
                <w:sz w:val="20"/>
                <w:szCs w:val="20"/>
              </w:rPr>
              <w:t>Empresa del rubro de alimentos</w:t>
            </w:r>
          </w:p>
        </w:tc>
        <w:tc>
          <w:tcPr>
            <w:tcW w:w="2135" w:type="dxa"/>
            <w:tcMar>
              <w:top w:w="30" w:type="dxa"/>
              <w:left w:w="45" w:type="dxa"/>
              <w:bottom w:w="30" w:type="dxa"/>
              <w:right w:w="45" w:type="dxa"/>
            </w:tcMar>
            <w:vAlign w:val="bottom"/>
            <w:hideMark/>
          </w:tcPr>
          <w:p w14:paraId="037AAFC6" w14:textId="77777777" w:rsidR="0040252A" w:rsidRPr="00C013F9" w:rsidRDefault="0040252A" w:rsidP="0040252A">
            <w:pPr>
              <w:rPr>
                <w:rFonts w:ascii="Arial" w:hAnsi="Arial" w:cs="Arial"/>
                <w:sz w:val="20"/>
                <w:szCs w:val="20"/>
              </w:rPr>
            </w:pPr>
            <w:r w:rsidRPr="00C013F9">
              <w:rPr>
                <w:rFonts w:ascii="Arial" w:hAnsi="Arial" w:cs="Arial"/>
                <w:sz w:val="20"/>
                <w:szCs w:val="20"/>
              </w:rPr>
              <w:t>Gerente General</w:t>
            </w:r>
          </w:p>
        </w:tc>
        <w:tc>
          <w:tcPr>
            <w:tcW w:w="1548" w:type="dxa"/>
            <w:tcMar>
              <w:top w:w="30" w:type="dxa"/>
              <w:left w:w="45" w:type="dxa"/>
              <w:bottom w:w="30" w:type="dxa"/>
              <w:right w:w="45" w:type="dxa"/>
            </w:tcMar>
            <w:vAlign w:val="bottom"/>
            <w:hideMark/>
          </w:tcPr>
          <w:p w14:paraId="14B5F7BA" w14:textId="77777777" w:rsidR="0040252A" w:rsidRPr="00C013F9" w:rsidRDefault="0040252A" w:rsidP="0040252A">
            <w:pPr>
              <w:rPr>
                <w:rFonts w:ascii="Arial" w:hAnsi="Arial" w:cs="Arial"/>
                <w:sz w:val="20"/>
                <w:szCs w:val="20"/>
              </w:rPr>
            </w:pPr>
            <w:r w:rsidRPr="00C013F9">
              <w:rPr>
                <w:rFonts w:ascii="Arial" w:hAnsi="Arial" w:cs="Arial"/>
                <w:sz w:val="20"/>
                <w:szCs w:val="20"/>
              </w:rPr>
              <w:t>Alimentos</w:t>
            </w:r>
          </w:p>
        </w:tc>
        <w:tc>
          <w:tcPr>
            <w:tcW w:w="1420" w:type="dxa"/>
          </w:tcPr>
          <w:p w14:paraId="221C919A" w14:textId="2F049123" w:rsidR="0040252A" w:rsidRPr="00C013F9" w:rsidRDefault="0040252A" w:rsidP="0040252A">
            <w:pPr>
              <w:rPr>
                <w:rFonts w:ascii="Arial" w:hAnsi="Arial" w:cs="Arial"/>
                <w:sz w:val="20"/>
                <w:szCs w:val="20"/>
              </w:rPr>
            </w:pPr>
            <w:r>
              <w:rPr>
                <w:rFonts w:ascii="Arial" w:hAnsi="Arial" w:cs="Arial"/>
                <w:sz w:val="20"/>
                <w:szCs w:val="20"/>
              </w:rPr>
              <w:t>Entrevistado 2</w:t>
            </w:r>
          </w:p>
        </w:tc>
      </w:tr>
      <w:tr w:rsidR="0040252A" w:rsidRPr="00C013F9" w14:paraId="79557F5D" w14:textId="3D0A8821" w:rsidTr="006D06C5">
        <w:trPr>
          <w:trHeight w:val="315"/>
        </w:trPr>
        <w:tc>
          <w:tcPr>
            <w:tcW w:w="1835" w:type="dxa"/>
            <w:tcMar>
              <w:top w:w="30" w:type="dxa"/>
              <w:left w:w="45" w:type="dxa"/>
              <w:bottom w:w="30" w:type="dxa"/>
              <w:right w:w="45" w:type="dxa"/>
            </w:tcMar>
            <w:vAlign w:val="bottom"/>
            <w:hideMark/>
          </w:tcPr>
          <w:p w14:paraId="65C606C4" w14:textId="50131B80" w:rsidR="0040252A" w:rsidRPr="00C013F9" w:rsidRDefault="0040252A" w:rsidP="0040252A">
            <w:pPr>
              <w:rPr>
                <w:rFonts w:ascii="Arial" w:hAnsi="Arial" w:cs="Arial"/>
                <w:sz w:val="20"/>
                <w:szCs w:val="20"/>
              </w:rPr>
            </w:pPr>
            <w:r w:rsidRPr="00C013F9">
              <w:rPr>
                <w:rFonts w:ascii="Arial" w:hAnsi="Arial" w:cs="Arial"/>
                <w:sz w:val="20"/>
                <w:szCs w:val="20"/>
              </w:rPr>
              <w:t>6 de marzo</w:t>
            </w:r>
            <w:r>
              <w:rPr>
                <w:rFonts w:ascii="Arial" w:hAnsi="Arial" w:cs="Arial"/>
                <w:sz w:val="20"/>
                <w:szCs w:val="20"/>
              </w:rPr>
              <w:t>, 2024</w:t>
            </w:r>
          </w:p>
        </w:tc>
        <w:tc>
          <w:tcPr>
            <w:tcW w:w="2118" w:type="dxa"/>
            <w:tcMar>
              <w:top w:w="30" w:type="dxa"/>
              <w:left w:w="45" w:type="dxa"/>
              <w:bottom w:w="30" w:type="dxa"/>
              <w:right w:w="45" w:type="dxa"/>
            </w:tcMar>
            <w:vAlign w:val="bottom"/>
            <w:hideMark/>
          </w:tcPr>
          <w:p w14:paraId="78FE7606" w14:textId="4E67D9EB" w:rsidR="0040252A" w:rsidRPr="00C013F9" w:rsidRDefault="00DB0BEE" w:rsidP="0040252A">
            <w:pPr>
              <w:rPr>
                <w:rFonts w:ascii="Arial" w:hAnsi="Arial" w:cs="Arial"/>
                <w:sz w:val="20"/>
                <w:szCs w:val="20"/>
              </w:rPr>
            </w:pPr>
            <w:r w:rsidRPr="00DB0BEE">
              <w:rPr>
                <w:rFonts w:ascii="Arial" w:hAnsi="Arial" w:cs="Arial"/>
                <w:sz w:val="20"/>
                <w:szCs w:val="20"/>
              </w:rPr>
              <w:t>Empresa empacadora de mariscos</w:t>
            </w:r>
          </w:p>
        </w:tc>
        <w:tc>
          <w:tcPr>
            <w:tcW w:w="2135" w:type="dxa"/>
            <w:tcMar>
              <w:top w:w="30" w:type="dxa"/>
              <w:left w:w="45" w:type="dxa"/>
              <w:bottom w:w="30" w:type="dxa"/>
              <w:right w:w="45" w:type="dxa"/>
            </w:tcMar>
            <w:vAlign w:val="bottom"/>
            <w:hideMark/>
          </w:tcPr>
          <w:p w14:paraId="5502C8CD" w14:textId="77777777" w:rsidR="0040252A" w:rsidRPr="00C013F9" w:rsidRDefault="0040252A" w:rsidP="0040252A">
            <w:pPr>
              <w:rPr>
                <w:rFonts w:ascii="Arial" w:hAnsi="Arial" w:cs="Arial"/>
                <w:sz w:val="20"/>
                <w:szCs w:val="20"/>
              </w:rPr>
            </w:pPr>
            <w:r w:rsidRPr="00C013F9">
              <w:rPr>
                <w:rFonts w:ascii="Arial" w:hAnsi="Arial" w:cs="Arial"/>
                <w:sz w:val="20"/>
                <w:szCs w:val="20"/>
              </w:rPr>
              <w:t>Director Financiero</w:t>
            </w:r>
          </w:p>
        </w:tc>
        <w:tc>
          <w:tcPr>
            <w:tcW w:w="1548" w:type="dxa"/>
            <w:tcMar>
              <w:top w:w="30" w:type="dxa"/>
              <w:left w:w="45" w:type="dxa"/>
              <w:bottom w:w="30" w:type="dxa"/>
              <w:right w:w="45" w:type="dxa"/>
            </w:tcMar>
            <w:vAlign w:val="bottom"/>
            <w:hideMark/>
          </w:tcPr>
          <w:p w14:paraId="66DE4DA4" w14:textId="77777777" w:rsidR="0040252A" w:rsidRPr="00C013F9" w:rsidRDefault="0040252A" w:rsidP="0040252A">
            <w:pPr>
              <w:rPr>
                <w:rFonts w:ascii="Arial" w:hAnsi="Arial" w:cs="Arial"/>
                <w:sz w:val="20"/>
                <w:szCs w:val="20"/>
              </w:rPr>
            </w:pPr>
            <w:r w:rsidRPr="00C013F9">
              <w:rPr>
                <w:rFonts w:ascii="Arial" w:hAnsi="Arial" w:cs="Arial"/>
                <w:sz w:val="20"/>
                <w:szCs w:val="20"/>
              </w:rPr>
              <w:t>Mariscos: camarones</w:t>
            </w:r>
          </w:p>
        </w:tc>
        <w:tc>
          <w:tcPr>
            <w:tcW w:w="1420" w:type="dxa"/>
          </w:tcPr>
          <w:p w14:paraId="581522E4" w14:textId="197A43AA" w:rsidR="0040252A" w:rsidRPr="00C013F9" w:rsidRDefault="0040252A" w:rsidP="0040252A">
            <w:pPr>
              <w:rPr>
                <w:rFonts w:ascii="Arial" w:hAnsi="Arial" w:cs="Arial"/>
                <w:sz w:val="20"/>
                <w:szCs w:val="20"/>
              </w:rPr>
            </w:pPr>
            <w:r>
              <w:rPr>
                <w:rFonts w:ascii="Arial" w:hAnsi="Arial" w:cs="Arial"/>
                <w:sz w:val="20"/>
                <w:szCs w:val="20"/>
              </w:rPr>
              <w:t>Entrevistado 3</w:t>
            </w:r>
          </w:p>
        </w:tc>
      </w:tr>
      <w:tr w:rsidR="0040252A" w:rsidRPr="00C013F9" w14:paraId="60ADB21C" w14:textId="3DE87AEA" w:rsidTr="006D06C5">
        <w:trPr>
          <w:trHeight w:val="315"/>
        </w:trPr>
        <w:tc>
          <w:tcPr>
            <w:tcW w:w="1835" w:type="dxa"/>
            <w:tcMar>
              <w:top w:w="30" w:type="dxa"/>
              <w:left w:w="45" w:type="dxa"/>
              <w:bottom w:w="30" w:type="dxa"/>
              <w:right w:w="45" w:type="dxa"/>
            </w:tcMar>
            <w:vAlign w:val="bottom"/>
            <w:hideMark/>
          </w:tcPr>
          <w:p w14:paraId="60041D7A" w14:textId="332E93C8" w:rsidR="0040252A" w:rsidRPr="00C013F9" w:rsidRDefault="0040252A" w:rsidP="0040252A">
            <w:pPr>
              <w:rPr>
                <w:rFonts w:ascii="Arial" w:hAnsi="Arial" w:cs="Arial"/>
                <w:sz w:val="20"/>
                <w:szCs w:val="20"/>
              </w:rPr>
            </w:pPr>
            <w:r w:rsidRPr="00C013F9">
              <w:rPr>
                <w:rFonts w:ascii="Arial" w:hAnsi="Arial" w:cs="Arial"/>
                <w:sz w:val="20"/>
                <w:szCs w:val="20"/>
              </w:rPr>
              <w:t>16 de marzo</w:t>
            </w:r>
            <w:r>
              <w:rPr>
                <w:rFonts w:ascii="Arial" w:hAnsi="Arial" w:cs="Arial"/>
                <w:sz w:val="20"/>
                <w:szCs w:val="20"/>
              </w:rPr>
              <w:t>, 2024</w:t>
            </w:r>
          </w:p>
        </w:tc>
        <w:tc>
          <w:tcPr>
            <w:tcW w:w="2118" w:type="dxa"/>
            <w:tcMar>
              <w:top w:w="30" w:type="dxa"/>
              <w:left w:w="45" w:type="dxa"/>
              <w:bottom w:w="30" w:type="dxa"/>
              <w:right w:w="45" w:type="dxa"/>
            </w:tcMar>
            <w:vAlign w:val="bottom"/>
            <w:hideMark/>
          </w:tcPr>
          <w:p w14:paraId="18EBB38E" w14:textId="4657D426" w:rsidR="0040252A" w:rsidRPr="00C013F9" w:rsidRDefault="00DB0BEE" w:rsidP="0040252A">
            <w:pPr>
              <w:rPr>
                <w:rFonts w:ascii="Arial" w:hAnsi="Arial" w:cs="Arial"/>
                <w:sz w:val="20"/>
                <w:szCs w:val="20"/>
              </w:rPr>
            </w:pPr>
            <w:r w:rsidRPr="00DB0BEE">
              <w:rPr>
                <w:rFonts w:ascii="Arial" w:hAnsi="Arial" w:cs="Arial"/>
                <w:sz w:val="20"/>
                <w:szCs w:val="20"/>
              </w:rPr>
              <w:t>Empresa agroexportadora</w:t>
            </w:r>
          </w:p>
        </w:tc>
        <w:tc>
          <w:tcPr>
            <w:tcW w:w="2135" w:type="dxa"/>
            <w:tcMar>
              <w:top w:w="30" w:type="dxa"/>
              <w:left w:w="45" w:type="dxa"/>
              <w:bottom w:w="30" w:type="dxa"/>
              <w:right w:w="45" w:type="dxa"/>
            </w:tcMar>
            <w:vAlign w:val="bottom"/>
            <w:hideMark/>
          </w:tcPr>
          <w:p w14:paraId="25540715" w14:textId="77777777" w:rsidR="0040252A" w:rsidRPr="00C013F9" w:rsidRDefault="0040252A" w:rsidP="0040252A">
            <w:pPr>
              <w:rPr>
                <w:rFonts w:ascii="Arial" w:hAnsi="Arial" w:cs="Arial"/>
                <w:sz w:val="20"/>
                <w:szCs w:val="20"/>
              </w:rPr>
            </w:pPr>
            <w:r w:rsidRPr="00C013F9">
              <w:rPr>
                <w:rFonts w:ascii="Arial" w:hAnsi="Arial" w:cs="Arial"/>
                <w:sz w:val="20"/>
                <w:szCs w:val="20"/>
              </w:rPr>
              <w:t>Negocios</w:t>
            </w:r>
          </w:p>
        </w:tc>
        <w:tc>
          <w:tcPr>
            <w:tcW w:w="1548" w:type="dxa"/>
            <w:tcMar>
              <w:top w:w="30" w:type="dxa"/>
              <w:left w:w="45" w:type="dxa"/>
              <w:bottom w:w="30" w:type="dxa"/>
              <w:right w:w="45" w:type="dxa"/>
            </w:tcMar>
            <w:vAlign w:val="bottom"/>
            <w:hideMark/>
          </w:tcPr>
          <w:p w14:paraId="23A088D2" w14:textId="77777777" w:rsidR="0040252A" w:rsidRPr="00C013F9" w:rsidRDefault="0040252A" w:rsidP="0040252A">
            <w:pPr>
              <w:rPr>
                <w:rFonts w:ascii="Arial" w:hAnsi="Arial" w:cs="Arial"/>
                <w:sz w:val="20"/>
                <w:szCs w:val="20"/>
              </w:rPr>
            </w:pPr>
            <w:r w:rsidRPr="00C013F9">
              <w:rPr>
                <w:rFonts w:ascii="Arial" w:hAnsi="Arial" w:cs="Arial"/>
                <w:sz w:val="20"/>
                <w:szCs w:val="20"/>
              </w:rPr>
              <w:t>Café, Cacao, Tubérculos</w:t>
            </w:r>
          </w:p>
        </w:tc>
        <w:tc>
          <w:tcPr>
            <w:tcW w:w="1420" w:type="dxa"/>
          </w:tcPr>
          <w:p w14:paraId="1AC0470A" w14:textId="670601B6" w:rsidR="0040252A" w:rsidRPr="00C013F9" w:rsidRDefault="0040252A" w:rsidP="0040252A">
            <w:pPr>
              <w:rPr>
                <w:rFonts w:ascii="Arial" w:hAnsi="Arial" w:cs="Arial"/>
                <w:sz w:val="20"/>
                <w:szCs w:val="20"/>
              </w:rPr>
            </w:pPr>
            <w:r>
              <w:rPr>
                <w:rFonts w:ascii="Arial" w:hAnsi="Arial" w:cs="Arial"/>
                <w:sz w:val="20"/>
                <w:szCs w:val="20"/>
              </w:rPr>
              <w:t>Entrevistado 4</w:t>
            </w:r>
          </w:p>
        </w:tc>
      </w:tr>
      <w:tr w:rsidR="0040252A" w:rsidRPr="00C013F9" w14:paraId="170402DE" w14:textId="5D7210EA" w:rsidTr="006D06C5">
        <w:trPr>
          <w:trHeight w:val="315"/>
        </w:trPr>
        <w:tc>
          <w:tcPr>
            <w:tcW w:w="1835" w:type="dxa"/>
            <w:tcMar>
              <w:top w:w="30" w:type="dxa"/>
              <w:left w:w="45" w:type="dxa"/>
              <w:bottom w:w="30" w:type="dxa"/>
              <w:right w:w="45" w:type="dxa"/>
            </w:tcMar>
            <w:vAlign w:val="bottom"/>
            <w:hideMark/>
          </w:tcPr>
          <w:p w14:paraId="0296C381" w14:textId="7B846DE1" w:rsidR="0040252A" w:rsidRPr="00C013F9" w:rsidRDefault="0040252A" w:rsidP="0040252A">
            <w:pPr>
              <w:rPr>
                <w:rFonts w:ascii="Arial" w:hAnsi="Arial" w:cs="Arial"/>
                <w:sz w:val="20"/>
                <w:szCs w:val="20"/>
              </w:rPr>
            </w:pPr>
            <w:r w:rsidRPr="00C013F9">
              <w:rPr>
                <w:rFonts w:ascii="Arial" w:hAnsi="Arial" w:cs="Arial"/>
                <w:sz w:val="20"/>
                <w:szCs w:val="20"/>
              </w:rPr>
              <w:t>15 de marzo</w:t>
            </w:r>
            <w:r>
              <w:rPr>
                <w:rFonts w:ascii="Arial" w:hAnsi="Arial" w:cs="Arial"/>
                <w:sz w:val="20"/>
                <w:szCs w:val="20"/>
              </w:rPr>
              <w:t>, 2024</w:t>
            </w:r>
          </w:p>
        </w:tc>
        <w:tc>
          <w:tcPr>
            <w:tcW w:w="2118" w:type="dxa"/>
            <w:tcMar>
              <w:top w:w="30" w:type="dxa"/>
              <w:left w:w="45" w:type="dxa"/>
              <w:bottom w:w="30" w:type="dxa"/>
              <w:right w:w="45" w:type="dxa"/>
            </w:tcMar>
            <w:vAlign w:val="bottom"/>
            <w:hideMark/>
          </w:tcPr>
          <w:p w14:paraId="6CD6CB7B" w14:textId="7F9CC65F" w:rsidR="0040252A" w:rsidRPr="00C013F9" w:rsidRDefault="00DB0BEE" w:rsidP="0040252A">
            <w:pPr>
              <w:rPr>
                <w:rFonts w:ascii="Arial" w:hAnsi="Arial" w:cs="Arial"/>
                <w:sz w:val="20"/>
                <w:szCs w:val="20"/>
              </w:rPr>
            </w:pPr>
            <w:r w:rsidRPr="00DB0BEE">
              <w:rPr>
                <w:rFonts w:ascii="Arial" w:hAnsi="Arial" w:cs="Arial"/>
                <w:sz w:val="20"/>
                <w:szCs w:val="20"/>
              </w:rPr>
              <w:t>Empresa productora de café</w:t>
            </w:r>
          </w:p>
        </w:tc>
        <w:tc>
          <w:tcPr>
            <w:tcW w:w="2135" w:type="dxa"/>
            <w:tcMar>
              <w:top w:w="30" w:type="dxa"/>
              <w:left w:w="45" w:type="dxa"/>
              <w:bottom w:w="30" w:type="dxa"/>
              <w:right w:w="45" w:type="dxa"/>
            </w:tcMar>
            <w:vAlign w:val="bottom"/>
            <w:hideMark/>
          </w:tcPr>
          <w:p w14:paraId="0749208E" w14:textId="77777777" w:rsidR="0040252A" w:rsidRPr="00C013F9" w:rsidRDefault="0040252A" w:rsidP="0040252A">
            <w:pPr>
              <w:rPr>
                <w:rFonts w:ascii="Arial" w:hAnsi="Arial" w:cs="Arial"/>
                <w:sz w:val="20"/>
                <w:szCs w:val="20"/>
              </w:rPr>
            </w:pPr>
            <w:r w:rsidRPr="00C013F9">
              <w:rPr>
                <w:rFonts w:ascii="Arial" w:hAnsi="Arial" w:cs="Arial"/>
                <w:sz w:val="20"/>
                <w:szCs w:val="20"/>
              </w:rPr>
              <w:t>Gerente General</w:t>
            </w:r>
          </w:p>
        </w:tc>
        <w:tc>
          <w:tcPr>
            <w:tcW w:w="1548" w:type="dxa"/>
            <w:tcMar>
              <w:top w:w="30" w:type="dxa"/>
              <w:left w:w="45" w:type="dxa"/>
              <w:bottom w:w="30" w:type="dxa"/>
              <w:right w:w="45" w:type="dxa"/>
            </w:tcMar>
            <w:vAlign w:val="bottom"/>
            <w:hideMark/>
          </w:tcPr>
          <w:p w14:paraId="1B729D2A" w14:textId="77777777" w:rsidR="0040252A" w:rsidRPr="00C013F9" w:rsidRDefault="0040252A" w:rsidP="0040252A">
            <w:pPr>
              <w:rPr>
                <w:rFonts w:ascii="Arial" w:hAnsi="Arial" w:cs="Arial"/>
                <w:sz w:val="20"/>
                <w:szCs w:val="20"/>
              </w:rPr>
            </w:pPr>
            <w:r w:rsidRPr="00C013F9">
              <w:rPr>
                <w:rFonts w:ascii="Arial" w:hAnsi="Arial" w:cs="Arial"/>
                <w:sz w:val="20"/>
                <w:szCs w:val="20"/>
              </w:rPr>
              <w:t>Café</w:t>
            </w:r>
          </w:p>
        </w:tc>
        <w:tc>
          <w:tcPr>
            <w:tcW w:w="1420" w:type="dxa"/>
          </w:tcPr>
          <w:p w14:paraId="7BFFC961" w14:textId="044A8CB3" w:rsidR="0040252A" w:rsidRPr="00C013F9" w:rsidRDefault="0040252A" w:rsidP="0040252A">
            <w:pPr>
              <w:rPr>
                <w:rFonts w:ascii="Arial" w:hAnsi="Arial" w:cs="Arial"/>
                <w:sz w:val="20"/>
                <w:szCs w:val="20"/>
              </w:rPr>
            </w:pPr>
            <w:r>
              <w:rPr>
                <w:rFonts w:ascii="Arial" w:hAnsi="Arial" w:cs="Arial"/>
                <w:sz w:val="20"/>
                <w:szCs w:val="20"/>
              </w:rPr>
              <w:t>Entrevistado 5</w:t>
            </w:r>
          </w:p>
        </w:tc>
      </w:tr>
      <w:tr w:rsidR="0040252A" w:rsidRPr="00C013F9" w14:paraId="3D963122" w14:textId="1EDD8F6B" w:rsidTr="006D06C5">
        <w:trPr>
          <w:trHeight w:val="315"/>
        </w:trPr>
        <w:tc>
          <w:tcPr>
            <w:tcW w:w="1835" w:type="dxa"/>
            <w:tcMar>
              <w:top w:w="30" w:type="dxa"/>
              <w:left w:w="45" w:type="dxa"/>
              <w:bottom w:w="30" w:type="dxa"/>
              <w:right w:w="45" w:type="dxa"/>
            </w:tcMar>
            <w:vAlign w:val="bottom"/>
            <w:hideMark/>
          </w:tcPr>
          <w:p w14:paraId="0FEEB161" w14:textId="796852CA" w:rsidR="0040252A" w:rsidRPr="00C013F9" w:rsidRDefault="0040252A" w:rsidP="0040252A">
            <w:pPr>
              <w:rPr>
                <w:rFonts w:ascii="Arial" w:hAnsi="Arial" w:cs="Arial"/>
                <w:sz w:val="20"/>
                <w:szCs w:val="20"/>
              </w:rPr>
            </w:pPr>
            <w:r w:rsidRPr="00C013F9">
              <w:rPr>
                <w:rFonts w:ascii="Arial" w:hAnsi="Arial" w:cs="Arial"/>
                <w:sz w:val="20"/>
                <w:szCs w:val="20"/>
              </w:rPr>
              <w:t>7 de marzo</w:t>
            </w:r>
            <w:r>
              <w:rPr>
                <w:rFonts w:ascii="Arial" w:hAnsi="Arial" w:cs="Arial"/>
                <w:sz w:val="20"/>
                <w:szCs w:val="20"/>
              </w:rPr>
              <w:t>, 2024</w:t>
            </w:r>
          </w:p>
        </w:tc>
        <w:tc>
          <w:tcPr>
            <w:tcW w:w="2118" w:type="dxa"/>
            <w:tcMar>
              <w:top w:w="30" w:type="dxa"/>
              <w:left w:w="45" w:type="dxa"/>
              <w:bottom w:w="30" w:type="dxa"/>
              <w:right w:w="45" w:type="dxa"/>
            </w:tcMar>
            <w:vAlign w:val="bottom"/>
            <w:hideMark/>
          </w:tcPr>
          <w:p w14:paraId="53178897" w14:textId="2C2C4FD5" w:rsidR="0040252A" w:rsidRPr="00C013F9" w:rsidRDefault="00DB0BEE" w:rsidP="0040252A">
            <w:pPr>
              <w:rPr>
                <w:rFonts w:ascii="Arial" w:hAnsi="Arial" w:cs="Arial"/>
                <w:sz w:val="20"/>
                <w:szCs w:val="20"/>
              </w:rPr>
            </w:pPr>
            <w:r w:rsidRPr="00DB0BEE">
              <w:rPr>
                <w:rFonts w:ascii="Arial" w:hAnsi="Arial" w:cs="Arial"/>
                <w:sz w:val="20"/>
                <w:szCs w:val="20"/>
              </w:rPr>
              <w:t>Empresa vitivinícola</w:t>
            </w:r>
          </w:p>
        </w:tc>
        <w:tc>
          <w:tcPr>
            <w:tcW w:w="2135" w:type="dxa"/>
            <w:tcMar>
              <w:top w:w="30" w:type="dxa"/>
              <w:left w:w="45" w:type="dxa"/>
              <w:bottom w:w="30" w:type="dxa"/>
              <w:right w:w="45" w:type="dxa"/>
            </w:tcMar>
            <w:vAlign w:val="bottom"/>
            <w:hideMark/>
          </w:tcPr>
          <w:p w14:paraId="48DFE518" w14:textId="77777777" w:rsidR="0040252A" w:rsidRPr="00C013F9" w:rsidRDefault="0040252A" w:rsidP="0040252A">
            <w:pPr>
              <w:rPr>
                <w:rFonts w:ascii="Arial" w:hAnsi="Arial" w:cs="Arial"/>
                <w:sz w:val="20"/>
                <w:szCs w:val="20"/>
              </w:rPr>
            </w:pPr>
            <w:r w:rsidRPr="00C013F9">
              <w:rPr>
                <w:rFonts w:ascii="Arial" w:hAnsi="Arial" w:cs="Arial"/>
                <w:sz w:val="20"/>
                <w:szCs w:val="20"/>
              </w:rPr>
              <w:t>Dueña</w:t>
            </w:r>
          </w:p>
        </w:tc>
        <w:tc>
          <w:tcPr>
            <w:tcW w:w="1548" w:type="dxa"/>
            <w:tcMar>
              <w:top w:w="30" w:type="dxa"/>
              <w:left w:w="45" w:type="dxa"/>
              <w:bottom w:w="30" w:type="dxa"/>
              <w:right w:w="45" w:type="dxa"/>
            </w:tcMar>
            <w:vAlign w:val="bottom"/>
            <w:hideMark/>
          </w:tcPr>
          <w:p w14:paraId="50649432" w14:textId="77777777" w:rsidR="0040252A" w:rsidRPr="00C013F9" w:rsidRDefault="0040252A" w:rsidP="0040252A">
            <w:pPr>
              <w:rPr>
                <w:rFonts w:ascii="Arial" w:hAnsi="Arial" w:cs="Arial"/>
                <w:sz w:val="20"/>
                <w:szCs w:val="20"/>
              </w:rPr>
            </w:pPr>
            <w:r w:rsidRPr="00C013F9">
              <w:rPr>
                <w:rFonts w:ascii="Arial" w:hAnsi="Arial" w:cs="Arial"/>
                <w:sz w:val="20"/>
                <w:szCs w:val="20"/>
              </w:rPr>
              <w:t>Vino</w:t>
            </w:r>
          </w:p>
        </w:tc>
        <w:tc>
          <w:tcPr>
            <w:tcW w:w="1420" w:type="dxa"/>
          </w:tcPr>
          <w:p w14:paraId="34D3B50B" w14:textId="34C7A391" w:rsidR="0040252A" w:rsidRPr="00C013F9" w:rsidRDefault="0040252A" w:rsidP="0040252A">
            <w:pPr>
              <w:rPr>
                <w:rFonts w:ascii="Arial" w:hAnsi="Arial" w:cs="Arial"/>
                <w:sz w:val="20"/>
                <w:szCs w:val="20"/>
              </w:rPr>
            </w:pPr>
            <w:r>
              <w:rPr>
                <w:rFonts w:ascii="Arial" w:hAnsi="Arial" w:cs="Arial"/>
                <w:sz w:val="20"/>
                <w:szCs w:val="20"/>
              </w:rPr>
              <w:t>Entrevistado 6</w:t>
            </w:r>
          </w:p>
        </w:tc>
      </w:tr>
      <w:tr w:rsidR="0040252A" w:rsidRPr="00C013F9" w14:paraId="2838518C" w14:textId="38D5312D" w:rsidTr="006D06C5">
        <w:trPr>
          <w:trHeight w:val="315"/>
        </w:trPr>
        <w:tc>
          <w:tcPr>
            <w:tcW w:w="1835" w:type="dxa"/>
            <w:tcBorders>
              <w:bottom w:val="single" w:sz="4" w:space="0" w:color="auto"/>
            </w:tcBorders>
            <w:tcMar>
              <w:top w:w="30" w:type="dxa"/>
              <w:left w:w="45" w:type="dxa"/>
              <w:bottom w:w="30" w:type="dxa"/>
              <w:right w:w="45" w:type="dxa"/>
            </w:tcMar>
            <w:vAlign w:val="bottom"/>
            <w:hideMark/>
          </w:tcPr>
          <w:p w14:paraId="45E7BF91" w14:textId="0C432018" w:rsidR="0040252A" w:rsidRPr="00C013F9" w:rsidRDefault="0040252A" w:rsidP="0040252A">
            <w:pPr>
              <w:rPr>
                <w:rFonts w:ascii="Arial" w:hAnsi="Arial" w:cs="Arial"/>
                <w:sz w:val="20"/>
                <w:szCs w:val="20"/>
              </w:rPr>
            </w:pPr>
            <w:r w:rsidRPr="00C013F9">
              <w:rPr>
                <w:rFonts w:ascii="Arial" w:hAnsi="Arial" w:cs="Arial"/>
                <w:sz w:val="20"/>
                <w:szCs w:val="20"/>
              </w:rPr>
              <w:t>3 de junio</w:t>
            </w:r>
            <w:r>
              <w:rPr>
                <w:rFonts w:ascii="Arial" w:hAnsi="Arial" w:cs="Arial"/>
                <w:sz w:val="20"/>
                <w:szCs w:val="20"/>
              </w:rPr>
              <w:t>, 2024</w:t>
            </w:r>
          </w:p>
        </w:tc>
        <w:tc>
          <w:tcPr>
            <w:tcW w:w="2118" w:type="dxa"/>
            <w:tcBorders>
              <w:bottom w:val="single" w:sz="4" w:space="0" w:color="auto"/>
            </w:tcBorders>
            <w:tcMar>
              <w:top w:w="30" w:type="dxa"/>
              <w:left w:w="45" w:type="dxa"/>
              <w:bottom w:w="30" w:type="dxa"/>
              <w:right w:w="45" w:type="dxa"/>
            </w:tcMar>
            <w:vAlign w:val="bottom"/>
            <w:hideMark/>
          </w:tcPr>
          <w:p w14:paraId="66ACEBD3" w14:textId="61BA07FC" w:rsidR="0040252A" w:rsidRPr="00C013F9" w:rsidRDefault="00DB0BEE" w:rsidP="0040252A">
            <w:pPr>
              <w:rPr>
                <w:rFonts w:ascii="Arial" w:hAnsi="Arial" w:cs="Arial"/>
                <w:sz w:val="20"/>
                <w:szCs w:val="20"/>
              </w:rPr>
            </w:pPr>
            <w:r w:rsidRPr="00DB0BEE">
              <w:rPr>
                <w:rFonts w:ascii="Arial" w:hAnsi="Arial" w:cs="Arial"/>
                <w:sz w:val="20"/>
                <w:szCs w:val="20"/>
              </w:rPr>
              <w:t>Asociación del sector acuícola</w:t>
            </w:r>
          </w:p>
        </w:tc>
        <w:tc>
          <w:tcPr>
            <w:tcW w:w="2135" w:type="dxa"/>
            <w:tcBorders>
              <w:bottom w:val="single" w:sz="4" w:space="0" w:color="auto"/>
            </w:tcBorders>
            <w:tcMar>
              <w:top w:w="30" w:type="dxa"/>
              <w:left w:w="45" w:type="dxa"/>
              <w:bottom w:w="30" w:type="dxa"/>
              <w:right w:w="45" w:type="dxa"/>
            </w:tcMar>
            <w:vAlign w:val="bottom"/>
            <w:hideMark/>
          </w:tcPr>
          <w:p w14:paraId="12DFE8CE" w14:textId="77777777" w:rsidR="0040252A" w:rsidRPr="00C013F9" w:rsidRDefault="0040252A" w:rsidP="0040252A">
            <w:pPr>
              <w:rPr>
                <w:rFonts w:ascii="Arial" w:hAnsi="Arial" w:cs="Arial"/>
                <w:sz w:val="20"/>
                <w:szCs w:val="20"/>
              </w:rPr>
            </w:pPr>
            <w:r w:rsidRPr="00C013F9">
              <w:rPr>
                <w:rFonts w:ascii="Arial" w:hAnsi="Arial" w:cs="Arial"/>
                <w:sz w:val="20"/>
                <w:szCs w:val="20"/>
              </w:rPr>
              <w:t xml:space="preserve">Presidente </w:t>
            </w:r>
          </w:p>
        </w:tc>
        <w:tc>
          <w:tcPr>
            <w:tcW w:w="1548" w:type="dxa"/>
            <w:tcBorders>
              <w:bottom w:val="single" w:sz="4" w:space="0" w:color="auto"/>
            </w:tcBorders>
            <w:tcMar>
              <w:top w:w="30" w:type="dxa"/>
              <w:left w:w="45" w:type="dxa"/>
              <w:bottom w:w="30" w:type="dxa"/>
              <w:right w:w="45" w:type="dxa"/>
            </w:tcMar>
            <w:vAlign w:val="bottom"/>
            <w:hideMark/>
          </w:tcPr>
          <w:p w14:paraId="32F2D092" w14:textId="77777777" w:rsidR="0040252A" w:rsidRPr="00C013F9" w:rsidRDefault="0040252A" w:rsidP="0040252A">
            <w:pPr>
              <w:rPr>
                <w:rFonts w:ascii="Arial" w:hAnsi="Arial" w:cs="Arial"/>
                <w:sz w:val="20"/>
                <w:szCs w:val="20"/>
              </w:rPr>
            </w:pPr>
            <w:r w:rsidRPr="00C013F9">
              <w:rPr>
                <w:rFonts w:ascii="Arial" w:hAnsi="Arial" w:cs="Arial"/>
                <w:sz w:val="20"/>
                <w:szCs w:val="20"/>
              </w:rPr>
              <w:t>Piscicultura</w:t>
            </w:r>
          </w:p>
        </w:tc>
        <w:tc>
          <w:tcPr>
            <w:tcW w:w="1420" w:type="dxa"/>
            <w:tcBorders>
              <w:bottom w:val="single" w:sz="4" w:space="0" w:color="auto"/>
            </w:tcBorders>
          </w:tcPr>
          <w:p w14:paraId="65CC5E71" w14:textId="07E713AC" w:rsidR="0040252A" w:rsidRPr="00C013F9" w:rsidRDefault="0040252A" w:rsidP="0040252A">
            <w:pPr>
              <w:rPr>
                <w:rFonts w:ascii="Arial" w:hAnsi="Arial" w:cs="Arial"/>
                <w:sz w:val="20"/>
                <w:szCs w:val="20"/>
              </w:rPr>
            </w:pPr>
            <w:r>
              <w:rPr>
                <w:rFonts w:ascii="Arial" w:hAnsi="Arial" w:cs="Arial"/>
                <w:sz w:val="20"/>
                <w:szCs w:val="20"/>
              </w:rPr>
              <w:t>Entrevistado 7</w:t>
            </w:r>
          </w:p>
        </w:tc>
      </w:tr>
      <w:tr w:rsidR="0040252A" w:rsidRPr="00C013F9" w14:paraId="21F1C5FC" w14:textId="6C4FFFBF" w:rsidTr="006D06C5">
        <w:trPr>
          <w:trHeight w:val="315"/>
        </w:trPr>
        <w:tc>
          <w:tcPr>
            <w:tcW w:w="1835" w:type="dxa"/>
            <w:tcBorders>
              <w:top w:val="single" w:sz="4" w:space="0" w:color="auto"/>
              <w:bottom w:val="single" w:sz="4" w:space="0" w:color="auto"/>
            </w:tcBorders>
            <w:tcMar>
              <w:top w:w="30" w:type="dxa"/>
              <w:left w:w="45" w:type="dxa"/>
              <w:bottom w:w="30" w:type="dxa"/>
              <w:right w:w="45" w:type="dxa"/>
            </w:tcMar>
            <w:vAlign w:val="bottom"/>
            <w:hideMark/>
          </w:tcPr>
          <w:p w14:paraId="139D3FE7" w14:textId="683A7C8D" w:rsidR="0040252A" w:rsidRPr="00C013F9" w:rsidRDefault="0040252A" w:rsidP="0040252A">
            <w:pPr>
              <w:rPr>
                <w:rFonts w:ascii="Arial" w:hAnsi="Arial" w:cs="Arial"/>
                <w:sz w:val="20"/>
                <w:szCs w:val="20"/>
              </w:rPr>
            </w:pPr>
            <w:r w:rsidRPr="00C013F9">
              <w:rPr>
                <w:rFonts w:ascii="Arial" w:hAnsi="Arial" w:cs="Arial"/>
                <w:sz w:val="20"/>
                <w:szCs w:val="20"/>
              </w:rPr>
              <w:t>10 de junio</w:t>
            </w:r>
            <w:r>
              <w:rPr>
                <w:rFonts w:ascii="Arial" w:hAnsi="Arial" w:cs="Arial"/>
                <w:sz w:val="20"/>
                <w:szCs w:val="20"/>
              </w:rPr>
              <w:t>, 2024</w:t>
            </w:r>
          </w:p>
        </w:tc>
        <w:tc>
          <w:tcPr>
            <w:tcW w:w="2118" w:type="dxa"/>
            <w:tcBorders>
              <w:top w:val="single" w:sz="4" w:space="0" w:color="auto"/>
              <w:bottom w:val="single" w:sz="4" w:space="0" w:color="auto"/>
            </w:tcBorders>
            <w:tcMar>
              <w:top w:w="30" w:type="dxa"/>
              <w:left w:w="45" w:type="dxa"/>
              <w:bottom w:w="30" w:type="dxa"/>
              <w:right w:w="45" w:type="dxa"/>
            </w:tcMar>
            <w:vAlign w:val="bottom"/>
            <w:hideMark/>
          </w:tcPr>
          <w:p w14:paraId="12A944CE" w14:textId="578AF9FA" w:rsidR="0040252A" w:rsidRPr="00C013F9" w:rsidRDefault="00DB0BEE" w:rsidP="0040252A">
            <w:pPr>
              <w:rPr>
                <w:rFonts w:ascii="Arial" w:hAnsi="Arial" w:cs="Arial"/>
                <w:sz w:val="20"/>
                <w:szCs w:val="20"/>
              </w:rPr>
            </w:pPr>
            <w:r w:rsidRPr="00DB0BEE">
              <w:rPr>
                <w:rFonts w:ascii="Arial" w:hAnsi="Arial" w:cs="Arial"/>
                <w:sz w:val="20"/>
                <w:szCs w:val="20"/>
              </w:rPr>
              <w:t>Asociación de productores de café</w:t>
            </w:r>
          </w:p>
        </w:tc>
        <w:tc>
          <w:tcPr>
            <w:tcW w:w="2135" w:type="dxa"/>
            <w:tcBorders>
              <w:top w:val="single" w:sz="4" w:space="0" w:color="auto"/>
              <w:bottom w:val="single" w:sz="4" w:space="0" w:color="auto"/>
            </w:tcBorders>
            <w:tcMar>
              <w:top w:w="30" w:type="dxa"/>
              <w:left w:w="45" w:type="dxa"/>
              <w:bottom w:w="30" w:type="dxa"/>
              <w:right w:w="45" w:type="dxa"/>
            </w:tcMar>
            <w:vAlign w:val="bottom"/>
            <w:hideMark/>
          </w:tcPr>
          <w:p w14:paraId="02C15C0C" w14:textId="77777777" w:rsidR="0040252A" w:rsidRPr="00C013F9" w:rsidRDefault="0040252A" w:rsidP="0040252A">
            <w:pPr>
              <w:rPr>
                <w:rFonts w:ascii="Arial" w:hAnsi="Arial" w:cs="Arial"/>
                <w:sz w:val="20"/>
                <w:szCs w:val="20"/>
              </w:rPr>
            </w:pPr>
            <w:r w:rsidRPr="00C013F9">
              <w:rPr>
                <w:rFonts w:ascii="Arial" w:hAnsi="Arial" w:cs="Arial"/>
                <w:sz w:val="20"/>
                <w:szCs w:val="20"/>
              </w:rPr>
              <w:t>Presidente de Junta Directiva</w:t>
            </w:r>
          </w:p>
        </w:tc>
        <w:tc>
          <w:tcPr>
            <w:tcW w:w="1548" w:type="dxa"/>
            <w:tcBorders>
              <w:top w:val="single" w:sz="4" w:space="0" w:color="auto"/>
              <w:bottom w:val="single" w:sz="4" w:space="0" w:color="auto"/>
            </w:tcBorders>
            <w:tcMar>
              <w:top w:w="30" w:type="dxa"/>
              <w:left w:w="45" w:type="dxa"/>
              <w:bottom w:w="30" w:type="dxa"/>
              <w:right w:w="45" w:type="dxa"/>
            </w:tcMar>
            <w:vAlign w:val="bottom"/>
            <w:hideMark/>
          </w:tcPr>
          <w:p w14:paraId="4EF4D73B" w14:textId="77777777" w:rsidR="0040252A" w:rsidRPr="00C013F9" w:rsidRDefault="0040252A" w:rsidP="0040252A">
            <w:pPr>
              <w:rPr>
                <w:rFonts w:ascii="Arial" w:hAnsi="Arial" w:cs="Arial"/>
                <w:sz w:val="20"/>
                <w:szCs w:val="20"/>
              </w:rPr>
            </w:pPr>
            <w:r w:rsidRPr="00C013F9">
              <w:rPr>
                <w:rFonts w:ascii="Arial" w:hAnsi="Arial" w:cs="Arial"/>
                <w:sz w:val="20"/>
                <w:szCs w:val="20"/>
              </w:rPr>
              <w:t>Café</w:t>
            </w:r>
          </w:p>
        </w:tc>
        <w:tc>
          <w:tcPr>
            <w:tcW w:w="1420" w:type="dxa"/>
            <w:tcBorders>
              <w:top w:val="single" w:sz="4" w:space="0" w:color="auto"/>
              <w:bottom w:val="single" w:sz="4" w:space="0" w:color="auto"/>
            </w:tcBorders>
          </w:tcPr>
          <w:p w14:paraId="54133567" w14:textId="4F5CF028" w:rsidR="0040252A" w:rsidRPr="00C013F9" w:rsidRDefault="0040252A" w:rsidP="0040252A">
            <w:pPr>
              <w:rPr>
                <w:rFonts w:ascii="Arial" w:hAnsi="Arial" w:cs="Arial"/>
                <w:sz w:val="20"/>
                <w:szCs w:val="20"/>
              </w:rPr>
            </w:pPr>
            <w:r>
              <w:rPr>
                <w:rFonts w:ascii="Arial" w:hAnsi="Arial" w:cs="Arial"/>
                <w:sz w:val="20"/>
                <w:szCs w:val="20"/>
              </w:rPr>
              <w:t>Entrevistado 8</w:t>
            </w:r>
          </w:p>
        </w:tc>
      </w:tr>
    </w:tbl>
    <w:p w14:paraId="668E2F64" w14:textId="48D170D4" w:rsidR="00560B5F" w:rsidRPr="00DB0BEE" w:rsidRDefault="0024414A" w:rsidP="00915E6B">
      <w:pPr>
        <w:spacing w:line="360" w:lineRule="auto"/>
        <w:jc w:val="both"/>
        <w:rPr>
          <w:rFonts w:ascii="Arial" w:hAnsi="Arial" w:cs="Arial"/>
        </w:rPr>
      </w:pPr>
      <w:r w:rsidRPr="0024414A">
        <w:rPr>
          <w:rFonts w:ascii="Arial" w:hAnsi="Arial" w:cs="Arial"/>
        </w:rPr>
        <w:t>Fuente: Elaboración propia.</w:t>
      </w:r>
    </w:p>
    <w:p w14:paraId="73A9C8F3" w14:textId="77777777" w:rsidR="00BB36C3" w:rsidRDefault="00301C14" w:rsidP="00BB36C3">
      <w:pPr>
        <w:spacing w:before="240" w:line="360" w:lineRule="auto"/>
        <w:jc w:val="both"/>
        <w:rPr>
          <w:rFonts w:ascii="Arial" w:hAnsi="Arial" w:cs="Arial"/>
        </w:rPr>
      </w:pPr>
      <w:r w:rsidRPr="00301C14">
        <w:rPr>
          <w:rFonts w:ascii="Arial" w:hAnsi="Arial" w:cs="Arial"/>
        </w:rPr>
        <w:t>El análisis de las entrevistas realizadas a productores y representantes de asociaciones permitió identificar una serie de oportunidades y ventajas derivadas del Tratado de Libre Comercio entre Honduras y China. En términos generales, los participantes coincidieron en que la apertura del mercado chino representa un escenario estratégico para la expansión comercial, especialmente en sectores productivos prioritarios como el café, el banano, el camarón y el cacao. La expectativa general es que el TLC facilite la inserción de los productos hondureños en un mercado caracterizado por su alta demanda y volumen de consumo</w:t>
      </w:r>
      <w:r w:rsidR="0040252A">
        <w:rPr>
          <w:rFonts w:ascii="Arial" w:hAnsi="Arial" w:cs="Arial"/>
        </w:rPr>
        <w:t>.</w:t>
      </w:r>
    </w:p>
    <w:p w14:paraId="3F053BAC" w14:textId="30C794F2" w:rsidR="00CC2945" w:rsidRDefault="00EF74ED" w:rsidP="00BB36C3">
      <w:pPr>
        <w:spacing w:before="240" w:line="360" w:lineRule="auto"/>
        <w:jc w:val="both"/>
        <w:rPr>
          <w:rFonts w:ascii="Arial" w:hAnsi="Arial" w:cs="Arial"/>
        </w:rPr>
      </w:pPr>
      <w:r w:rsidRPr="00EF74ED">
        <w:rPr>
          <w:rFonts w:ascii="Arial" w:hAnsi="Arial" w:cs="Arial"/>
        </w:rPr>
        <w:t>Una de las principales ventajas identificadas por los productores hondureños respecto al Tratado de Libre Comercio con China es el acceso a un mercado de gran escala y alta demanda. La magnitud del mercado chino y su creciente necesidad de productos agrícolas y pesqueros representan una oportunidad significativa para los exportadores hondureños (Entrevistado 1, comunicación personal, 6 de marzo de 2024).</w:t>
      </w:r>
      <w:r w:rsidR="009B1E08">
        <w:rPr>
          <w:rFonts w:ascii="Arial" w:hAnsi="Arial" w:cs="Arial"/>
        </w:rPr>
        <w:t xml:space="preserve"> </w:t>
      </w:r>
      <w:r w:rsidR="009F71B0" w:rsidRPr="009F71B0">
        <w:rPr>
          <w:rFonts w:ascii="Arial" w:hAnsi="Arial" w:cs="Arial"/>
        </w:rPr>
        <w:t xml:space="preserve">Esto es respaldado por los datos de importaciones chinas de 2005 a 2024: en el caso de los productos marinos se observa un incremento del 552% (pasando de 2,88 millones de dólares en 2005 a 18,78 millones en 2022), y para los productos agrícolas, específicamente frutas, se evidencia un crecimiento superior al 1900% (al saltar de importaciones </w:t>
      </w:r>
      <w:r w:rsidR="009F71B0" w:rsidRPr="009F71B0">
        <w:rPr>
          <w:rFonts w:ascii="Arial" w:hAnsi="Arial" w:cs="Arial"/>
        </w:rPr>
        <w:lastRenderedPageBreak/>
        <w:t xml:space="preserve">inferiores a 1 millón de dólares en 2005 a más de 20 millones en 2024) </w:t>
      </w:r>
      <w:r w:rsidR="009F71B0" w:rsidRPr="00462962">
        <w:rPr>
          <w:rFonts w:ascii="Arial" w:hAnsi="Arial" w:cs="Arial"/>
        </w:rPr>
        <w:t>(ITC, 2025)</w:t>
      </w:r>
      <w:r w:rsidR="009B1E08" w:rsidRPr="00462962">
        <w:rPr>
          <w:rFonts w:ascii="Arial" w:hAnsi="Arial" w:cs="Arial"/>
        </w:rPr>
        <w:t>.</w:t>
      </w:r>
      <w:r w:rsidR="009B1E08">
        <w:rPr>
          <w:rFonts w:ascii="Arial" w:hAnsi="Arial" w:cs="Arial"/>
        </w:rPr>
        <w:t xml:space="preserve">  </w:t>
      </w:r>
      <w:r w:rsidRPr="00EF74ED">
        <w:rPr>
          <w:rFonts w:ascii="Arial" w:hAnsi="Arial" w:cs="Arial"/>
        </w:rPr>
        <w:t xml:space="preserve"> </w:t>
      </w:r>
    </w:p>
    <w:p w14:paraId="13B2E8B9" w14:textId="4ED6477F" w:rsidR="009B1E08" w:rsidRDefault="00EF74ED" w:rsidP="00BB36C3">
      <w:pPr>
        <w:spacing w:before="240" w:after="240" w:line="360" w:lineRule="auto"/>
        <w:jc w:val="both"/>
        <w:rPr>
          <w:rFonts w:ascii="Arial" w:hAnsi="Arial" w:cs="Arial"/>
        </w:rPr>
      </w:pPr>
      <w:r w:rsidRPr="00EF74ED">
        <w:rPr>
          <w:rFonts w:ascii="Arial" w:hAnsi="Arial" w:cs="Arial"/>
        </w:rPr>
        <w:t xml:space="preserve">De acuerdo con los entrevistados, el volumen de consumo en China es tan elevado que incluso la exportación de una fracción mínima de la producción nacional podría generar impactos económicos </w:t>
      </w:r>
      <w:r w:rsidRPr="00DB0BEE">
        <w:rPr>
          <w:rFonts w:ascii="Arial" w:hAnsi="Arial" w:cs="Arial"/>
          <w:color w:val="000000" w:themeColor="text1"/>
        </w:rPr>
        <w:t xml:space="preserve">sustanciales </w:t>
      </w:r>
      <w:r w:rsidR="00560B5F" w:rsidRPr="00DB0BEE">
        <w:rPr>
          <w:rFonts w:ascii="Arial" w:hAnsi="Arial" w:cs="Arial"/>
          <w:color w:val="000000" w:themeColor="text1"/>
        </w:rPr>
        <w:t xml:space="preserve">sobre la economía hondureña </w:t>
      </w:r>
      <w:r w:rsidRPr="00EF74ED">
        <w:rPr>
          <w:rFonts w:ascii="Arial" w:hAnsi="Arial" w:cs="Arial"/>
        </w:rPr>
        <w:t>(Entrevistado 6, comunicación personal, 7 de marzo de 2024).</w:t>
      </w:r>
      <w:r w:rsidR="00CC2945">
        <w:rPr>
          <w:rFonts w:ascii="Arial" w:hAnsi="Arial" w:cs="Arial"/>
        </w:rPr>
        <w:t xml:space="preserve"> </w:t>
      </w:r>
      <w:r w:rsidR="009B1E08" w:rsidRPr="009B1E08">
        <w:rPr>
          <w:rFonts w:ascii="Arial" w:hAnsi="Arial" w:cs="Arial"/>
        </w:rPr>
        <w:t>En particular, el sector bananero ha identificado oportunidades concretas, ya que China incluyó este producto dentro del listado de bienes sujetos a regulaciones fitosanitarias específicas dentro del marco del TLC</w:t>
      </w:r>
      <w:r w:rsidR="001D3BBB">
        <w:rPr>
          <w:rFonts w:ascii="Arial" w:hAnsi="Arial" w:cs="Arial"/>
        </w:rPr>
        <w:t xml:space="preserve"> y ha incluido el sector a sus ferias en el país asiático </w:t>
      </w:r>
      <w:r w:rsidR="009B1E08" w:rsidRPr="009B1E08">
        <w:rPr>
          <w:rFonts w:ascii="Arial" w:hAnsi="Arial" w:cs="Arial"/>
        </w:rPr>
        <w:t xml:space="preserve">(Entrevistado 1, comunicación personal, 6 de marzo de 2024). Este hecho refuerza la viabilidad de una </w:t>
      </w:r>
      <w:r w:rsidR="001D3BBB">
        <w:rPr>
          <w:rFonts w:ascii="Arial" w:hAnsi="Arial" w:cs="Arial"/>
        </w:rPr>
        <w:t>relación</w:t>
      </w:r>
      <w:r w:rsidR="009B1E08" w:rsidRPr="009B1E08">
        <w:rPr>
          <w:rFonts w:ascii="Arial" w:hAnsi="Arial" w:cs="Arial"/>
        </w:rPr>
        <w:t xml:space="preserve"> comercial sostenida en el mediano y largo plazo, siempre y cuando se logren solventar los desafíos logísticos y de escala productiva (Entrevistado 6, comunicación personal, 7 de marzo de 2024).</w:t>
      </w:r>
    </w:p>
    <w:p w14:paraId="50EA8357" w14:textId="77777777" w:rsidR="00BB36C3" w:rsidRDefault="009B1E08" w:rsidP="00BB36C3">
      <w:pPr>
        <w:spacing w:before="240" w:line="360" w:lineRule="auto"/>
        <w:jc w:val="both"/>
        <w:rPr>
          <w:rFonts w:ascii="Arial" w:hAnsi="Arial" w:cs="Arial"/>
        </w:rPr>
      </w:pPr>
      <w:r w:rsidRPr="009B1E08">
        <w:rPr>
          <w:rFonts w:ascii="Arial" w:hAnsi="Arial" w:cs="Arial"/>
        </w:rPr>
        <w:t>No obstante, el acceso a un mercado de alta demanda también genera preocupaciones sobre la capacidad instalada de producción en Honduras, pues las exigencias chinas en términos de volúmenes son considerablemente superiores a la oferta actual del país (Entrevistado 4, comunicación personal, 16 de marzo de 2024). Algunos productores han señalado que la única forma de satisfacer estas demandas sería a través de esquemas de coinversión con socios estratégicos, lo que, de concretarse, representaría un incentivo para el crecimiento del sector productivo y la generación de empleo (Entrevistado 1, comunicación personal, 6 de marzo de 2024).</w:t>
      </w:r>
    </w:p>
    <w:p w14:paraId="7E908653" w14:textId="5C4C500D" w:rsidR="00BE7699" w:rsidRDefault="0097174B" w:rsidP="00795AAA">
      <w:pPr>
        <w:spacing w:before="240" w:line="360" w:lineRule="auto"/>
        <w:jc w:val="both"/>
        <w:rPr>
          <w:rFonts w:ascii="Arial" w:hAnsi="Arial" w:cs="Arial"/>
        </w:rPr>
      </w:pPr>
      <w:r w:rsidRPr="0097174B">
        <w:rPr>
          <w:rFonts w:ascii="Arial" w:hAnsi="Arial" w:cs="Arial"/>
        </w:rPr>
        <w:t>Uno de los aspectos más destacados por los productores entrevistados es la expectativa de que el TLC contribuya a la eliminación o reducción de barreras arancelarias, facilitando así el acceso de los productos hondureños al mercado chino y mejorando su competitividad frente a otros países exportadores (Entrevistado 2, comunicación personal, 18 de marzo de 2024; Entrevistado 3, comunicación personal, 6 de marzo de 2024).</w:t>
      </w:r>
      <w:r w:rsidR="00967B04">
        <w:rPr>
          <w:rFonts w:ascii="Arial" w:hAnsi="Arial" w:cs="Arial"/>
        </w:rPr>
        <w:t xml:space="preserve"> El nivel arancelario actual para </w:t>
      </w:r>
      <w:r w:rsidR="00BE7699">
        <w:rPr>
          <w:rFonts w:ascii="Arial" w:hAnsi="Arial" w:cs="Arial"/>
        </w:rPr>
        <w:t xml:space="preserve">los sectores de interés se puede observar en la Tabla 3. </w:t>
      </w:r>
      <w:r w:rsidR="00BE7699">
        <w:rPr>
          <w:rFonts w:ascii="Arial" w:hAnsi="Arial" w:cs="Arial"/>
        </w:rPr>
        <w:br/>
      </w:r>
    </w:p>
    <w:p w14:paraId="09F3567F" w14:textId="54252D92" w:rsidR="00BE7699" w:rsidRPr="00C52658" w:rsidRDefault="00BE7699" w:rsidP="00795AAA">
      <w:pPr>
        <w:pStyle w:val="Descripcin"/>
        <w:keepNext/>
        <w:spacing w:line="360" w:lineRule="auto"/>
        <w:rPr>
          <w:rFonts w:ascii="Arial" w:hAnsi="Arial" w:cs="Arial"/>
          <w:color w:val="000000" w:themeColor="text1"/>
          <w:sz w:val="24"/>
          <w:szCs w:val="24"/>
        </w:rPr>
      </w:pPr>
      <w:bookmarkStart w:id="75" w:name="_Toc236227183"/>
      <w:r w:rsidRPr="00C52658">
        <w:rPr>
          <w:rFonts w:ascii="Arial" w:hAnsi="Arial" w:cs="Arial"/>
          <w:b/>
          <w:bCs/>
          <w:i w:val="0"/>
          <w:iCs w:val="0"/>
          <w:color w:val="000000" w:themeColor="text1"/>
          <w:sz w:val="24"/>
          <w:szCs w:val="24"/>
        </w:rPr>
        <w:lastRenderedPageBreak/>
        <w:t xml:space="preserve">Tabla </w:t>
      </w:r>
      <w:r w:rsidRPr="00C52658">
        <w:rPr>
          <w:rFonts w:ascii="Arial" w:hAnsi="Arial" w:cs="Arial"/>
          <w:b/>
          <w:bCs/>
          <w:i w:val="0"/>
          <w:iCs w:val="0"/>
          <w:color w:val="000000" w:themeColor="text1"/>
          <w:sz w:val="24"/>
          <w:szCs w:val="24"/>
        </w:rPr>
        <w:fldChar w:fldCharType="begin"/>
      </w:r>
      <w:r w:rsidRPr="00C52658">
        <w:rPr>
          <w:rFonts w:ascii="Arial" w:hAnsi="Arial" w:cs="Arial"/>
          <w:b/>
          <w:bCs/>
          <w:i w:val="0"/>
          <w:iCs w:val="0"/>
          <w:color w:val="000000" w:themeColor="text1"/>
          <w:sz w:val="24"/>
          <w:szCs w:val="24"/>
        </w:rPr>
        <w:instrText xml:space="preserve"> SEQ Tabla \* ARABIC </w:instrText>
      </w:r>
      <w:r w:rsidRPr="00C52658">
        <w:rPr>
          <w:rFonts w:ascii="Arial" w:hAnsi="Arial" w:cs="Arial"/>
          <w:b/>
          <w:bCs/>
          <w:i w:val="0"/>
          <w:iCs w:val="0"/>
          <w:color w:val="000000" w:themeColor="text1"/>
          <w:sz w:val="24"/>
          <w:szCs w:val="24"/>
        </w:rPr>
        <w:fldChar w:fldCharType="separate"/>
      </w:r>
      <w:r w:rsidR="000172E9" w:rsidRPr="00C52658">
        <w:rPr>
          <w:rFonts w:ascii="Arial" w:hAnsi="Arial" w:cs="Arial"/>
          <w:b/>
          <w:bCs/>
          <w:i w:val="0"/>
          <w:iCs w:val="0"/>
          <w:noProof/>
          <w:color w:val="000000" w:themeColor="text1"/>
          <w:sz w:val="24"/>
          <w:szCs w:val="24"/>
        </w:rPr>
        <w:t>3</w:t>
      </w:r>
      <w:r w:rsidRPr="00C52658">
        <w:rPr>
          <w:rFonts w:ascii="Arial" w:hAnsi="Arial" w:cs="Arial"/>
          <w:b/>
          <w:bCs/>
          <w:i w:val="0"/>
          <w:iCs w:val="0"/>
          <w:color w:val="000000" w:themeColor="text1"/>
          <w:sz w:val="24"/>
          <w:szCs w:val="24"/>
        </w:rPr>
        <w:fldChar w:fldCharType="end"/>
      </w:r>
      <w:r w:rsidRPr="00C52658">
        <w:rPr>
          <w:rFonts w:ascii="Arial" w:hAnsi="Arial" w:cs="Arial"/>
          <w:color w:val="000000" w:themeColor="text1"/>
          <w:sz w:val="24"/>
          <w:szCs w:val="24"/>
        </w:rPr>
        <w:t xml:space="preserve"> Tasa arancelaria aplicada por China a productos seleccionados, según país de origen (2025)</w:t>
      </w:r>
      <w:bookmarkEnd w:id="75"/>
    </w:p>
    <w:tbl>
      <w:tblPr>
        <w:tblStyle w:val="Tablaconcuadrcula1clara"/>
        <w:tblW w:w="9051"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1303"/>
        <w:gridCol w:w="1443"/>
        <w:gridCol w:w="1278"/>
        <w:gridCol w:w="1443"/>
        <w:gridCol w:w="1257"/>
        <w:gridCol w:w="1164"/>
        <w:gridCol w:w="1163"/>
      </w:tblGrid>
      <w:tr w:rsidR="00BE7699" w:rsidRPr="00C52658" w14:paraId="69DB1B55" w14:textId="77777777" w:rsidTr="006D06C5">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335" w:type="dxa"/>
            <w:tcBorders>
              <w:top w:val="single" w:sz="4" w:space="0" w:color="auto"/>
              <w:bottom w:val="single" w:sz="4" w:space="0" w:color="auto"/>
            </w:tcBorders>
            <w:hideMark/>
          </w:tcPr>
          <w:p w14:paraId="097E254A" w14:textId="54856D72" w:rsidR="00BE7699" w:rsidRPr="00C52658" w:rsidRDefault="00BE7699">
            <w:pPr>
              <w:jc w:val="center"/>
              <w:rPr>
                <w:rFonts w:ascii="Arial" w:hAnsi="Arial" w:cs="Arial"/>
              </w:rPr>
            </w:pPr>
            <w:r w:rsidRPr="00C52658">
              <w:rPr>
                <w:rFonts w:ascii="Arial" w:hAnsi="Arial" w:cs="Arial"/>
              </w:rPr>
              <w:t xml:space="preserve">Producto </w:t>
            </w:r>
          </w:p>
        </w:tc>
        <w:tc>
          <w:tcPr>
            <w:tcW w:w="1443" w:type="dxa"/>
            <w:tcBorders>
              <w:top w:val="single" w:sz="4" w:space="0" w:color="auto"/>
              <w:bottom w:val="single" w:sz="4" w:space="0" w:color="auto"/>
            </w:tcBorders>
            <w:hideMark/>
          </w:tcPr>
          <w:p w14:paraId="47693ECE" w14:textId="13F90306" w:rsidR="00BE7699" w:rsidRPr="00C52658" w:rsidRDefault="00BE7699">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52658">
              <w:rPr>
                <w:rStyle w:val="Fuerte"/>
                <w:rFonts w:ascii="Arial" w:eastAsiaTheme="majorEastAsia" w:hAnsi="Arial" w:cs="Arial"/>
                <w:b/>
                <w:bCs/>
              </w:rPr>
              <w:t>Honduras</w:t>
            </w:r>
            <w:r w:rsidRPr="00C52658">
              <w:rPr>
                <w:rStyle w:val="Fuerte"/>
                <w:rFonts w:ascii="Arial" w:eastAsiaTheme="majorEastAsia" w:hAnsi="Arial" w:cs="Arial"/>
                <w:b/>
                <w:bCs/>
              </w:rPr>
              <w:br/>
              <w:t>(Cosecha Temprana)</w:t>
            </w:r>
          </w:p>
        </w:tc>
        <w:tc>
          <w:tcPr>
            <w:tcW w:w="1470" w:type="dxa"/>
            <w:tcBorders>
              <w:top w:val="single" w:sz="4" w:space="0" w:color="auto"/>
              <w:bottom w:val="single" w:sz="4" w:space="0" w:color="auto"/>
            </w:tcBorders>
            <w:hideMark/>
          </w:tcPr>
          <w:p w14:paraId="2B9B4425" w14:textId="11910A9C" w:rsidR="00BE7699" w:rsidRPr="00C52658" w:rsidRDefault="00BE7699">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52658">
              <w:rPr>
                <w:rStyle w:val="Fuerte"/>
                <w:rFonts w:ascii="Arial" w:eastAsiaTheme="majorEastAsia" w:hAnsi="Arial" w:cs="Arial"/>
                <w:b/>
                <w:bCs/>
              </w:rPr>
              <w:t>Costa Rica</w:t>
            </w:r>
            <w:r w:rsidRPr="00C52658">
              <w:rPr>
                <w:rStyle w:val="Fuerte"/>
                <w:rFonts w:ascii="Arial" w:eastAsiaTheme="majorEastAsia" w:hAnsi="Arial" w:cs="Arial"/>
                <w:b/>
                <w:bCs/>
              </w:rPr>
              <w:br/>
            </w:r>
            <w:r w:rsidRPr="00C52658">
              <w:rPr>
                <w:rFonts w:ascii="Arial" w:hAnsi="Arial" w:cs="Arial"/>
              </w:rPr>
              <w:t>(TLC Vigente)</w:t>
            </w:r>
          </w:p>
        </w:tc>
        <w:tc>
          <w:tcPr>
            <w:tcW w:w="1218" w:type="dxa"/>
            <w:tcBorders>
              <w:top w:val="single" w:sz="4" w:space="0" w:color="auto"/>
              <w:bottom w:val="single" w:sz="4" w:space="0" w:color="auto"/>
            </w:tcBorders>
            <w:hideMark/>
          </w:tcPr>
          <w:p w14:paraId="7E921B13" w14:textId="53D226E3" w:rsidR="00BE7699" w:rsidRPr="00C52658" w:rsidRDefault="00BE7699">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52658">
              <w:rPr>
                <w:rStyle w:val="Fuerte"/>
                <w:rFonts w:ascii="Arial" w:eastAsiaTheme="majorEastAsia" w:hAnsi="Arial" w:cs="Arial"/>
                <w:b/>
                <w:bCs/>
              </w:rPr>
              <w:t>Nicaragua</w:t>
            </w:r>
            <w:r w:rsidRPr="00C52658">
              <w:rPr>
                <w:rStyle w:val="Fuerte"/>
                <w:rFonts w:ascii="Arial" w:eastAsiaTheme="majorEastAsia" w:hAnsi="Arial" w:cs="Arial"/>
                <w:b/>
                <w:bCs/>
              </w:rPr>
              <w:br/>
              <w:t>(Cosecha Temprana)</w:t>
            </w:r>
          </w:p>
        </w:tc>
        <w:tc>
          <w:tcPr>
            <w:tcW w:w="1257" w:type="dxa"/>
            <w:tcBorders>
              <w:top w:val="single" w:sz="4" w:space="0" w:color="auto"/>
              <w:bottom w:val="single" w:sz="4" w:space="0" w:color="auto"/>
            </w:tcBorders>
            <w:hideMark/>
          </w:tcPr>
          <w:p w14:paraId="4625ADB9" w14:textId="0AF43CC7" w:rsidR="00BE7699" w:rsidRPr="00C52658" w:rsidRDefault="00BE7699">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52658">
              <w:rPr>
                <w:rStyle w:val="Fuerte"/>
                <w:rFonts w:ascii="Arial" w:eastAsiaTheme="majorEastAsia" w:hAnsi="Arial" w:cs="Arial"/>
                <w:b/>
                <w:bCs/>
              </w:rPr>
              <w:t>Ecuador</w:t>
            </w:r>
            <w:r w:rsidRPr="00C52658">
              <w:rPr>
                <w:rStyle w:val="Fuerte"/>
                <w:rFonts w:ascii="Arial" w:eastAsiaTheme="majorEastAsia" w:hAnsi="Arial" w:cs="Arial"/>
                <w:b/>
                <w:bCs/>
              </w:rPr>
              <w:br/>
            </w:r>
            <w:r w:rsidRPr="00C52658">
              <w:rPr>
                <w:rFonts w:ascii="Arial" w:hAnsi="Arial" w:cs="Arial"/>
              </w:rPr>
              <w:t>(TLC Vigente)</w:t>
            </w:r>
          </w:p>
        </w:tc>
        <w:tc>
          <w:tcPr>
            <w:tcW w:w="1165" w:type="dxa"/>
            <w:tcBorders>
              <w:top w:val="single" w:sz="4" w:space="0" w:color="auto"/>
              <w:bottom w:val="single" w:sz="4" w:space="0" w:color="auto"/>
            </w:tcBorders>
            <w:hideMark/>
          </w:tcPr>
          <w:p w14:paraId="2E867BC8" w14:textId="7A77A10F" w:rsidR="00BE7699" w:rsidRPr="00C52658" w:rsidRDefault="00BE7699">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52658">
              <w:rPr>
                <w:rStyle w:val="Fuerte"/>
                <w:rFonts w:ascii="Arial" w:eastAsiaTheme="majorEastAsia" w:hAnsi="Arial" w:cs="Arial"/>
                <w:b/>
                <w:bCs/>
              </w:rPr>
              <w:t>Chile</w:t>
            </w:r>
            <w:r w:rsidRPr="00C52658">
              <w:rPr>
                <w:rStyle w:val="Fuerte"/>
                <w:rFonts w:ascii="Arial" w:eastAsiaTheme="majorEastAsia" w:hAnsi="Arial" w:cs="Arial"/>
                <w:b/>
                <w:bCs/>
              </w:rPr>
              <w:br/>
            </w:r>
            <w:r w:rsidRPr="00C52658">
              <w:rPr>
                <w:rFonts w:ascii="Arial" w:hAnsi="Arial" w:cs="Arial"/>
              </w:rPr>
              <w:t>(TLC Vigente)</w:t>
            </w:r>
          </w:p>
        </w:tc>
        <w:tc>
          <w:tcPr>
            <w:tcW w:w="1163" w:type="dxa"/>
            <w:tcBorders>
              <w:top w:val="single" w:sz="4" w:space="0" w:color="auto"/>
              <w:bottom w:val="single" w:sz="4" w:space="0" w:color="auto"/>
            </w:tcBorders>
            <w:hideMark/>
          </w:tcPr>
          <w:p w14:paraId="78477EDF" w14:textId="4A80F3AD" w:rsidR="00BE7699" w:rsidRPr="00C52658" w:rsidRDefault="00BE7699">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52658">
              <w:rPr>
                <w:rStyle w:val="Fuerte"/>
                <w:rFonts w:ascii="Arial" w:eastAsiaTheme="majorEastAsia" w:hAnsi="Arial" w:cs="Arial"/>
                <w:b/>
                <w:bCs/>
              </w:rPr>
              <w:t>Perú</w:t>
            </w:r>
            <w:r w:rsidRPr="00C52658">
              <w:rPr>
                <w:rStyle w:val="Fuerte"/>
                <w:rFonts w:ascii="Arial" w:eastAsiaTheme="majorEastAsia" w:hAnsi="Arial" w:cs="Arial"/>
                <w:b/>
                <w:bCs/>
              </w:rPr>
              <w:br/>
            </w:r>
            <w:r w:rsidRPr="00C52658">
              <w:rPr>
                <w:rFonts w:ascii="Arial" w:hAnsi="Arial" w:cs="Arial"/>
              </w:rPr>
              <w:t>(TLC Vigente)</w:t>
            </w:r>
          </w:p>
        </w:tc>
      </w:tr>
      <w:tr w:rsidR="00BE7699" w:rsidRPr="00C52658" w14:paraId="38A3AFF9" w14:textId="77777777" w:rsidTr="006D06C5">
        <w:trPr>
          <w:trHeight w:val="836"/>
        </w:trPr>
        <w:tc>
          <w:tcPr>
            <w:cnfStyle w:val="001000000000" w:firstRow="0" w:lastRow="0" w:firstColumn="1" w:lastColumn="0" w:oddVBand="0" w:evenVBand="0" w:oddHBand="0" w:evenHBand="0" w:firstRowFirstColumn="0" w:firstRowLastColumn="0" w:lastRowFirstColumn="0" w:lastRowLastColumn="0"/>
            <w:tcW w:w="1335" w:type="dxa"/>
            <w:tcBorders>
              <w:top w:val="single" w:sz="4" w:space="0" w:color="auto"/>
            </w:tcBorders>
            <w:hideMark/>
          </w:tcPr>
          <w:p w14:paraId="15B4827E" w14:textId="0CE7FE4D" w:rsidR="00BE7699" w:rsidRPr="00C52658" w:rsidRDefault="00BE7699" w:rsidP="00BE7699">
            <w:pPr>
              <w:jc w:val="center"/>
              <w:rPr>
                <w:rFonts w:ascii="Arial" w:hAnsi="Arial" w:cs="Arial"/>
                <w:b w:val="0"/>
                <w:bCs w:val="0"/>
              </w:rPr>
            </w:pPr>
            <w:r w:rsidRPr="00C52658">
              <w:rPr>
                <w:rStyle w:val="Fuerte"/>
                <w:rFonts w:ascii="Arial" w:eastAsiaTheme="majorEastAsia" w:hAnsi="Arial" w:cs="Arial"/>
                <w:b/>
                <w:bCs/>
              </w:rPr>
              <w:t>Café</w:t>
            </w:r>
            <w:r w:rsidRPr="00C52658">
              <w:rPr>
                <w:rStyle w:val="Fuerte"/>
                <w:rFonts w:ascii="Arial" w:eastAsiaTheme="majorEastAsia" w:hAnsi="Arial" w:cs="Arial"/>
                <w:b/>
                <w:bCs/>
              </w:rPr>
              <w:br/>
              <w:t>090111 / 090112</w:t>
            </w:r>
          </w:p>
        </w:tc>
        <w:tc>
          <w:tcPr>
            <w:tcW w:w="1443" w:type="dxa"/>
            <w:tcBorders>
              <w:top w:val="single" w:sz="4" w:space="0" w:color="auto"/>
            </w:tcBorders>
            <w:hideMark/>
          </w:tcPr>
          <w:p w14:paraId="48FEE3DB"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Style w:val="Fuerte"/>
                <w:rFonts w:ascii="Arial" w:eastAsiaTheme="majorEastAsia" w:hAnsi="Arial" w:cs="Arial"/>
                <w:b w:val="0"/>
                <w:bCs w:val="0"/>
              </w:rPr>
              <w:t>7%</w:t>
            </w:r>
          </w:p>
        </w:tc>
        <w:tc>
          <w:tcPr>
            <w:tcW w:w="1470" w:type="dxa"/>
            <w:tcBorders>
              <w:top w:val="single" w:sz="4" w:space="0" w:color="auto"/>
            </w:tcBorders>
            <w:hideMark/>
          </w:tcPr>
          <w:p w14:paraId="7578185B"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Fonts w:ascii="Arial" w:hAnsi="Arial" w:cs="Arial"/>
              </w:rPr>
              <w:t>7%</w:t>
            </w:r>
          </w:p>
        </w:tc>
        <w:tc>
          <w:tcPr>
            <w:tcW w:w="1218" w:type="dxa"/>
            <w:tcBorders>
              <w:top w:val="single" w:sz="4" w:space="0" w:color="auto"/>
            </w:tcBorders>
            <w:hideMark/>
          </w:tcPr>
          <w:p w14:paraId="1B4B460F"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Fonts w:ascii="Arial" w:hAnsi="Arial" w:cs="Arial"/>
              </w:rPr>
              <w:t>7%</w:t>
            </w:r>
          </w:p>
        </w:tc>
        <w:tc>
          <w:tcPr>
            <w:tcW w:w="1257" w:type="dxa"/>
            <w:tcBorders>
              <w:top w:val="single" w:sz="4" w:space="0" w:color="auto"/>
            </w:tcBorders>
            <w:hideMark/>
          </w:tcPr>
          <w:p w14:paraId="31CB6F9D"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Fonts w:ascii="Arial" w:hAnsi="Arial" w:cs="Arial"/>
              </w:rPr>
              <w:t>7%</w:t>
            </w:r>
          </w:p>
        </w:tc>
        <w:tc>
          <w:tcPr>
            <w:tcW w:w="1165" w:type="dxa"/>
            <w:tcBorders>
              <w:top w:val="single" w:sz="4" w:space="0" w:color="auto"/>
            </w:tcBorders>
            <w:hideMark/>
          </w:tcPr>
          <w:p w14:paraId="64859C6B"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Fonts w:ascii="Arial" w:hAnsi="Arial" w:cs="Arial"/>
              </w:rPr>
              <w:t>7%</w:t>
            </w:r>
          </w:p>
        </w:tc>
        <w:tc>
          <w:tcPr>
            <w:tcW w:w="1163" w:type="dxa"/>
            <w:tcBorders>
              <w:top w:val="single" w:sz="4" w:space="0" w:color="auto"/>
            </w:tcBorders>
            <w:hideMark/>
          </w:tcPr>
          <w:p w14:paraId="74CEB286"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Fonts w:ascii="Arial" w:hAnsi="Arial" w:cs="Arial"/>
              </w:rPr>
              <w:t>7%</w:t>
            </w:r>
          </w:p>
        </w:tc>
      </w:tr>
      <w:tr w:rsidR="00BE7699" w:rsidRPr="00C52658" w14:paraId="006FDECB" w14:textId="77777777" w:rsidTr="006D06C5">
        <w:trPr>
          <w:trHeight w:val="676"/>
        </w:trPr>
        <w:tc>
          <w:tcPr>
            <w:cnfStyle w:val="001000000000" w:firstRow="0" w:lastRow="0" w:firstColumn="1" w:lastColumn="0" w:oddVBand="0" w:evenVBand="0" w:oddHBand="0" w:evenHBand="0" w:firstRowFirstColumn="0" w:firstRowLastColumn="0" w:lastRowFirstColumn="0" w:lastRowLastColumn="0"/>
            <w:tcW w:w="1335" w:type="dxa"/>
            <w:hideMark/>
          </w:tcPr>
          <w:p w14:paraId="7AA2AF82" w14:textId="191E188E" w:rsidR="00BE7699" w:rsidRPr="00C52658" w:rsidRDefault="00BE7699" w:rsidP="00BE7699">
            <w:pPr>
              <w:jc w:val="center"/>
              <w:rPr>
                <w:rFonts w:ascii="Arial" w:hAnsi="Arial" w:cs="Arial"/>
                <w:b w:val="0"/>
                <w:bCs w:val="0"/>
              </w:rPr>
            </w:pPr>
            <w:r w:rsidRPr="00C52658">
              <w:rPr>
                <w:rStyle w:val="Fuerte"/>
                <w:rFonts w:ascii="Arial" w:eastAsiaTheme="majorEastAsia" w:hAnsi="Arial" w:cs="Arial"/>
                <w:b/>
                <w:bCs/>
              </w:rPr>
              <w:t>Camarón 03061790</w:t>
            </w:r>
          </w:p>
        </w:tc>
        <w:tc>
          <w:tcPr>
            <w:tcW w:w="1443" w:type="dxa"/>
            <w:hideMark/>
          </w:tcPr>
          <w:p w14:paraId="4E33F614" w14:textId="3CB74005"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Style w:val="Fuerte"/>
                <w:rFonts w:ascii="Arial" w:eastAsiaTheme="majorEastAsia" w:hAnsi="Arial" w:cs="Arial"/>
                <w:b w:val="0"/>
                <w:bCs w:val="0"/>
              </w:rPr>
              <w:t xml:space="preserve">0% </w:t>
            </w:r>
          </w:p>
        </w:tc>
        <w:tc>
          <w:tcPr>
            <w:tcW w:w="1470" w:type="dxa"/>
            <w:hideMark/>
          </w:tcPr>
          <w:p w14:paraId="3A742DAA"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Fonts w:ascii="Arial" w:hAnsi="Arial" w:cs="Arial"/>
              </w:rPr>
              <w:t>5%</w:t>
            </w:r>
          </w:p>
        </w:tc>
        <w:tc>
          <w:tcPr>
            <w:tcW w:w="1218" w:type="dxa"/>
            <w:hideMark/>
          </w:tcPr>
          <w:p w14:paraId="1608A8C7" w14:textId="501107C4"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Style w:val="Fuerte"/>
                <w:rFonts w:ascii="Arial" w:eastAsiaTheme="majorEastAsia" w:hAnsi="Arial" w:cs="Arial"/>
                <w:b w:val="0"/>
                <w:bCs w:val="0"/>
              </w:rPr>
              <w:t xml:space="preserve">0% </w:t>
            </w:r>
          </w:p>
        </w:tc>
        <w:tc>
          <w:tcPr>
            <w:tcW w:w="1257" w:type="dxa"/>
            <w:hideMark/>
          </w:tcPr>
          <w:p w14:paraId="653FA1D9" w14:textId="64C30728" w:rsidR="00BE7699" w:rsidRPr="00C52658" w:rsidRDefault="00CC135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Style w:val="Fuerte"/>
                <w:rFonts w:ascii="Arial" w:eastAsiaTheme="majorEastAsia" w:hAnsi="Arial" w:cs="Arial"/>
                <w:b w:val="0"/>
                <w:bCs w:val="0"/>
              </w:rPr>
              <w:t>5% (A10, reducción gradual)</w:t>
            </w:r>
          </w:p>
        </w:tc>
        <w:tc>
          <w:tcPr>
            <w:tcW w:w="1165" w:type="dxa"/>
            <w:hideMark/>
          </w:tcPr>
          <w:p w14:paraId="5530ED94"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Fonts w:ascii="Arial" w:hAnsi="Arial" w:cs="Arial"/>
              </w:rPr>
              <w:t>5%</w:t>
            </w:r>
          </w:p>
        </w:tc>
        <w:tc>
          <w:tcPr>
            <w:tcW w:w="1163" w:type="dxa"/>
            <w:hideMark/>
          </w:tcPr>
          <w:p w14:paraId="5117283F"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Fonts w:ascii="Arial" w:hAnsi="Arial" w:cs="Arial"/>
              </w:rPr>
              <w:t>5%</w:t>
            </w:r>
          </w:p>
        </w:tc>
      </w:tr>
      <w:tr w:rsidR="00BE7699" w:rsidRPr="00C52658" w14:paraId="6E5FBD89" w14:textId="77777777" w:rsidTr="006D06C5">
        <w:trPr>
          <w:trHeight w:val="557"/>
        </w:trPr>
        <w:tc>
          <w:tcPr>
            <w:cnfStyle w:val="001000000000" w:firstRow="0" w:lastRow="0" w:firstColumn="1" w:lastColumn="0" w:oddVBand="0" w:evenVBand="0" w:oddHBand="0" w:evenHBand="0" w:firstRowFirstColumn="0" w:firstRowLastColumn="0" w:lastRowFirstColumn="0" w:lastRowLastColumn="0"/>
            <w:tcW w:w="1335" w:type="dxa"/>
            <w:hideMark/>
          </w:tcPr>
          <w:p w14:paraId="5EC2C66B" w14:textId="5C5543B6" w:rsidR="00BE7699" w:rsidRPr="00C52658" w:rsidRDefault="00BE7699" w:rsidP="00BE7699">
            <w:pPr>
              <w:jc w:val="center"/>
              <w:rPr>
                <w:rFonts w:ascii="Arial" w:hAnsi="Arial" w:cs="Arial"/>
                <w:b w:val="0"/>
                <w:bCs w:val="0"/>
              </w:rPr>
            </w:pPr>
            <w:r w:rsidRPr="00C52658">
              <w:rPr>
                <w:rStyle w:val="Fuerte"/>
                <w:rFonts w:ascii="Arial" w:eastAsiaTheme="majorEastAsia" w:hAnsi="Arial" w:cs="Arial"/>
                <w:b/>
                <w:bCs/>
              </w:rPr>
              <w:t>Tabaco 24012010</w:t>
            </w:r>
          </w:p>
        </w:tc>
        <w:tc>
          <w:tcPr>
            <w:tcW w:w="1443" w:type="dxa"/>
            <w:hideMark/>
          </w:tcPr>
          <w:p w14:paraId="7142EB4F"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Style w:val="Fuerte"/>
                <w:rFonts w:ascii="Arial" w:eastAsiaTheme="majorEastAsia" w:hAnsi="Arial" w:cs="Arial"/>
                <w:b w:val="0"/>
                <w:bCs w:val="0"/>
              </w:rPr>
              <w:t>10%</w:t>
            </w:r>
          </w:p>
        </w:tc>
        <w:tc>
          <w:tcPr>
            <w:tcW w:w="1470" w:type="dxa"/>
            <w:hideMark/>
          </w:tcPr>
          <w:p w14:paraId="2F4A2558"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Fonts w:ascii="Arial" w:hAnsi="Arial" w:cs="Arial"/>
              </w:rPr>
              <w:t>10%</w:t>
            </w:r>
          </w:p>
        </w:tc>
        <w:tc>
          <w:tcPr>
            <w:tcW w:w="1218" w:type="dxa"/>
            <w:hideMark/>
          </w:tcPr>
          <w:p w14:paraId="4A876D2C"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Fonts w:ascii="Arial" w:hAnsi="Arial" w:cs="Arial"/>
              </w:rPr>
              <w:t>10%</w:t>
            </w:r>
          </w:p>
        </w:tc>
        <w:tc>
          <w:tcPr>
            <w:tcW w:w="1257" w:type="dxa"/>
            <w:hideMark/>
          </w:tcPr>
          <w:p w14:paraId="48740068"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Fonts w:ascii="Arial" w:hAnsi="Arial" w:cs="Arial"/>
              </w:rPr>
              <w:t>10%</w:t>
            </w:r>
          </w:p>
        </w:tc>
        <w:tc>
          <w:tcPr>
            <w:tcW w:w="1165" w:type="dxa"/>
            <w:hideMark/>
          </w:tcPr>
          <w:p w14:paraId="2540844D"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Fonts w:ascii="Arial" w:hAnsi="Arial" w:cs="Arial"/>
              </w:rPr>
              <w:t>10%</w:t>
            </w:r>
          </w:p>
        </w:tc>
        <w:tc>
          <w:tcPr>
            <w:tcW w:w="1163" w:type="dxa"/>
            <w:hideMark/>
          </w:tcPr>
          <w:p w14:paraId="372054BE"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Fonts w:ascii="Arial" w:hAnsi="Arial" w:cs="Arial"/>
              </w:rPr>
              <w:t>10%</w:t>
            </w:r>
          </w:p>
        </w:tc>
      </w:tr>
      <w:tr w:rsidR="00BE7699" w:rsidRPr="00C52658" w14:paraId="041545F4" w14:textId="77777777" w:rsidTr="006D06C5">
        <w:trPr>
          <w:trHeight w:val="557"/>
        </w:trPr>
        <w:tc>
          <w:tcPr>
            <w:cnfStyle w:val="001000000000" w:firstRow="0" w:lastRow="0" w:firstColumn="1" w:lastColumn="0" w:oddVBand="0" w:evenVBand="0" w:oddHBand="0" w:evenHBand="0" w:firstRowFirstColumn="0" w:firstRowLastColumn="0" w:lastRowFirstColumn="0" w:lastRowLastColumn="0"/>
            <w:tcW w:w="1335" w:type="dxa"/>
            <w:hideMark/>
          </w:tcPr>
          <w:p w14:paraId="69F719AB" w14:textId="38F4C224" w:rsidR="00BE7699" w:rsidRPr="00C52658" w:rsidRDefault="00BE7699" w:rsidP="00BE7699">
            <w:pPr>
              <w:jc w:val="center"/>
              <w:rPr>
                <w:rFonts w:ascii="Arial" w:hAnsi="Arial" w:cs="Arial"/>
                <w:b w:val="0"/>
                <w:bCs w:val="0"/>
              </w:rPr>
            </w:pPr>
            <w:r w:rsidRPr="00C52658">
              <w:rPr>
                <w:rStyle w:val="Fuerte"/>
                <w:rFonts w:ascii="Arial" w:eastAsiaTheme="majorEastAsia" w:hAnsi="Arial" w:cs="Arial"/>
                <w:b/>
                <w:bCs/>
              </w:rPr>
              <w:t>Zinc</w:t>
            </w:r>
            <w:r w:rsidRPr="00C52658">
              <w:rPr>
                <w:rStyle w:val="Fuerte"/>
                <w:rFonts w:ascii="Arial" w:eastAsiaTheme="majorEastAsia" w:hAnsi="Arial" w:cs="Arial"/>
                <w:b/>
                <w:bCs/>
              </w:rPr>
              <w:br/>
              <w:t>26080000</w:t>
            </w:r>
          </w:p>
        </w:tc>
        <w:tc>
          <w:tcPr>
            <w:tcW w:w="1443" w:type="dxa"/>
            <w:hideMark/>
          </w:tcPr>
          <w:p w14:paraId="47A09A59"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Style w:val="Fuerte"/>
                <w:rFonts w:ascii="Arial" w:eastAsiaTheme="majorEastAsia" w:hAnsi="Arial" w:cs="Arial"/>
                <w:b w:val="0"/>
                <w:bCs w:val="0"/>
              </w:rPr>
              <w:t>0%</w:t>
            </w:r>
          </w:p>
        </w:tc>
        <w:tc>
          <w:tcPr>
            <w:tcW w:w="1470" w:type="dxa"/>
            <w:hideMark/>
          </w:tcPr>
          <w:p w14:paraId="774E3161"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Fonts w:ascii="Arial" w:hAnsi="Arial" w:cs="Arial"/>
              </w:rPr>
              <w:t>0%</w:t>
            </w:r>
          </w:p>
        </w:tc>
        <w:tc>
          <w:tcPr>
            <w:tcW w:w="1218" w:type="dxa"/>
            <w:hideMark/>
          </w:tcPr>
          <w:p w14:paraId="0DC94968"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Fonts w:ascii="Arial" w:hAnsi="Arial" w:cs="Arial"/>
              </w:rPr>
              <w:t>0%</w:t>
            </w:r>
          </w:p>
        </w:tc>
        <w:tc>
          <w:tcPr>
            <w:tcW w:w="1257" w:type="dxa"/>
            <w:hideMark/>
          </w:tcPr>
          <w:p w14:paraId="7E11D54C"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Fonts w:ascii="Arial" w:hAnsi="Arial" w:cs="Arial"/>
              </w:rPr>
              <w:t>0%</w:t>
            </w:r>
          </w:p>
        </w:tc>
        <w:tc>
          <w:tcPr>
            <w:tcW w:w="1165" w:type="dxa"/>
            <w:hideMark/>
          </w:tcPr>
          <w:p w14:paraId="0D30BF7F"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Fonts w:ascii="Arial" w:hAnsi="Arial" w:cs="Arial"/>
              </w:rPr>
              <w:t>0%</w:t>
            </w:r>
          </w:p>
        </w:tc>
        <w:tc>
          <w:tcPr>
            <w:tcW w:w="1163" w:type="dxa"/>
            <w:hideMark/>
          </w:tcPr>
          <w:p w14:paraId="222F1A6B"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Fonts w:ascii="Arial" w:hAnsi="Arial" w:cs="Arial"/>
              </w:rPr>
              <w:t>0%</w:t>
            </w:r>
          </w:p>
        </w:tc>
      </w:tr>
      <w:tr w:rsidR="00BE7699" w:rsidRPr="00C52658" w14:paraId="2AFE2E9B" w14:textId="77777777" w:rsidTr="006D06C5">
        <w:trPr>
          <w:trHeight w:val="557"/>
        </w:trPr>
        <w:tc>
          <w:tcPr>
            <w:cnfStyle w:val="001000000000" w:firstRow="0" w:lastRow="0" w:firstColumn="1" w:lastColumn="0" w:oddVBand="0" w:evenVBand="0" w:oddHBand="0" w:evenHBand="0" w:firstRowFirstColumn="0" w:firstRowLastColumn="0" w:lastRowFirstColumn="0" w:lastRowLastColumn="0"/>
            <w:tcW w:w="1335" w:type="dxa"/>
            <w:tcBorders>
              <w:bottom w:val="single" w:sz="4" w:space="0" w:color="auto"/>
            </w:tcBorders>
            <w:hideMark/>
          </w:tcPr>
          <w:p w14:paraId="3F295544" w14:textId="4E4E4DD8" w:rsidR="00BE7699" w:rsidRPr="00C52658" w:rsidRDefault="00BE7699" w:rsidP="00BE7699">
            <w:pPr>
              <w:jc w:val="center"/>
              <w:rPr>
                <w:rFonts w:ascii="Arial" w:hAnsi="Arial" w:cs="Arial"/>
                <w:b w:val="0"/>
                <w:bCs w:val="0"/>
              </w:rPr>
            </w:pPr>
            <w:r w:rsidRPr="00C52658">
              <w:rPr>
                <w:rStyle w:val="Fuerte"/>
                <w:rFonts w:ascii="Arial" w:eastAsiaTheme="majorEastAsia" w:hAnsi="Arial" w:cs="Arial"/>
                <w:b/>
                <w:bCs/>
              </w:rPr>
              <w:t>Banano 08031000</w:t>
            </w:r>
          </w:p>
        </w:tc>
        <w:tc>
          <w:tcPr>
            <w:tcW w:w="1443" w:type="dxa"/>
            <w:tcBorders>
              <w:bottom w:val="single" w:sz="4" w:space="0" w:color="auto"/>
            </w:tcBorders>
            <w:hideMark/>
          </w:tcPr>
          <w:p w14:paraId="2FB8F150"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Style w:val="Fuerte"/>
                <w:rFonts w:ascii="Arial" w:eastAsiaTheme="majorEastAsia" w:hAnsi="Arial" w:cs="Arial"/>
                <w:b w:val="0"/>
                <w:bCs w:val="0"/>
              </w:rPr>
              <w:t>10%</w:t>
            </w:r>
          </w:p>
        </w:tc>
        <w:tc>
          <w:tcPr>
            <w:tcW w:w="1470" w:type="dxa"/>
            <w:tcBorders>
              <w:bottom w:val="single" w:sz="4" w:space="0" w:color="auto"/>
            </w:tcBorders>
            <w:hideMark/>
          </w:tcPr>
          <w:p w14:paraId="650E5B35"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Fonts w:ascii="Arial" w:hAnsi="Arial" w:cs="Arial"/>
              </w:rPr>
              <w:t>10%</w:t>
            </w:r>
          </w:p>
        </w:tc>
        <w:tc>
          <w:tcPr>
            <w:tcW w:w="1218" w:type="dxa"/>
            <w:tcBorders>
              <w:bottom w:val="single" w:sz="4" w:space="0" w:color="auto"/>
            </w:tcBorders>
            <w:hideMark/>
          </w:tcPr>
          <w:p w14:paraId="72CDF597"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Fonts w:ascii="Arial" w:hAnsi="Arial" w:cs="Arial"/>
              </w:rPr>
              <w:t>10%</w:t>
            </w:r>
          </w:p>
        </w:tc>
        <w:tc>
          <w:tcPr>
            <w:tcW w:w="1257" w:type="dxa"/>
            <w:tcBorders>
              <w:bottom w:val="single" w:sz="4" w:space="0" w:color="auto"/>
            </w:tcBorders>
            <w:hideMark/>
          </w:tcPr>
          <w:p w14:paraId="62538CED"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Fonts w:ascii="Arial" w:hAnsi="Arial" w:cs="Arial"/>
              </w:rPr>
              <w:t>10%</w:t>
            </w:r>
          </w:p>
        </w:tc>
        <w:tc>
          <w:tcPr>
            <w:tcW w:w="1165" w:type="dxa"/>
            <w:tcBorders>
              <w:bottom w:val="single" w:sz="4" w:space="0" w:color="auto"/>
            </w:tcBorders>
            <w:hideMark/>
          </w:tcPr>
          <w:p w14:paraId="3A524FAB"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Fonts w:ascii="Arial" w:hAnsi="Arial" w:cs="Arial"/>
              </w:rPr>
              <w:t>10%</w:t>
            </w:r>
          </w:p>
        </w:tc>
        <w:tc>
          <w:tcPr>
            <w:tcW w:w="1163" w:type="dxa"/>
            <w:tcBorders>
              <w:bottom w:val="single" w:sz="4" w:space="0" w:color="auto"/>
            </w:tcBorders>
            <w:hideMark/>
          </w:tcPr>
          <w:p w14:paraId="02C7185C"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Fonts w:ascii="Arial" w:hAnsi="Arial" w:cs="Arial"/>
              </w:rPr>
              <w:t>10%</w:t>
            </w:r>
          </w:p>
        </w:tc>
      </w:tr>
      <w:tr w:rsidR="00BE7699" w:rsidRPr="00C52658" w14:paraId="4DE92179" w14:textId="77777777" w:rsidTr="006D06C5">
        <w:trPr>
          <w:trHeight w:val="536"/>
        </w:trPr>
        <w:tc>
          <w:tcPr>
            <w:cnfStyle w:val="001000000000" w:firstRow="0" w:lastRow="0" w:firstColumn="1" w:lastColumn="0" w:oddVBand="0" w:evenVBand="0" w:oddHBand="0" w:evenHBand="0" w:firstRowFirstColumn="0" w:firstRowLastColumn="0" w:lastRowFirstColumn="0" w:lastRowLastColumn="0"/>
            <w:tcW w:w="1335" w:type="dxa"/>
            <w:tcBorders>
              <w:top w:val="single" w:sz="4" w:space="0" w:color="auto"/>
              <w:bottom w:val="single" w:sz="4" w:space="0" w:color="auto"/>
            </w:tcBorders>
            <w:hideMark/>
          </w:tcPr>
          <w:p w14:paraId="744EB817" w14:textId="7A29DAD3" w:rsidR="00BE7699" w:rsidRPr="00C52658" w:rsidRDefault="00BE7699" w:rsidP="00BE7699">
            <w:pPr>
              <w:jc w:val="center"/>
              <w:rPr>
                <w:rFonts w:ascii="Arial" w:hAnsi="Arial" w:cs="Arial"/>
                <w:b w:val="0"/>
                <w:bCs w:val="0"/>
              </w:rPr>
            </w:pPr>
            <w:r w:rsidRPr="00C52658">
              <w:rPr>
                <w:rStyle w:val="Fuerte"/>
                <w:rFonts w:ascii="Arial" w:eastAsiaTheme="majorEastAsia" w:hAnsi="Arial" w:cs="Arial"/>
                <w:b/>
                <w:bCs/>
              </w:rPr>
              <w:t>Carne bovina</w:t>
            </w:r>
            <w:r w:rsidRPr="00C52658">
              <w:rPr>
                <w:rStyle w:val="Fuerte"/>
                <w:rFonts w:ascii="Arial" w:eastAsiaTheme="majorEastAsia" w:hAnsi="Arial" w:cs="Arial"/>
                <w:b/>
                <w:bCs/>
              </w:rPr>
              <w:br/>
              <w:t>02011000</w:t>
            </w:r>
          </w:p>
        </w:tc>
        <w:tc>
          <w:tcPr>
            <w:tcW w:w="1443" w:type="dxa"/>
            <w:tcBorders>
              <w:top w:val="single" w:sz="4" w:space="0" w:color="auto"/>
              <w:bottom w:val="single" w:sz="4" w:space="0" w:color="auto"/>
            </w:tcBorders>
            <w:hideMark/>
          </w:tcPr>
          <w:p w14:paraId="0AF93BA7"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Style w:val="Fuerte"/>
                <w:rFonts w:ascii="Arial" w:eastAsiaTheme="majorEastAsia" w:hAnsi="Arial" w:cs="Arial"/>
                <w:b w:val="0"/>
                <w:bCs w:val="0"/>
              </w:rPr>
              <w:t>20%</w:t>
            </w:r>
          </w:p>
        </w:tc>
        <w:tc>
          <w:tcPr>
            <w:tcW w:w="1470" w:type="dxa"/>
            <w:tcBorders>
              <w:top w:val="single" w:sz="4" w:space="0" w:color="auto"/>
              <w:bottom w:val="single" w:sz="4" w:space="0" w:color="auto"/>
            </w:tcBorders>
            <w:hideMark/>
          </w:tcPr>
          <w:p w14:paraId="16721B5C"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Fonts w:ascii="Arial" w:hAnsi="Arial" w:cs="Arial"/>
              </w:rPr>
              <w:t>20%</w:t>
            </w:r>
          </w:p>
        </w:tc>
        <w:tc>
          <w:tcPr>
            <w:tcW w:w="1218" w:type="dxa"/>
            <w:tcBorders>
              <w:top w:val="single" w:sz="4" w:space="0" w:color="auto"/>
              <w:bottom w:val="single" w:sz="4" w:space="0" w:color="auto"/>
            </w:tcBorders>
            <w:hideMark/>
          </w:tcPr>
          <w:p w14:paraId="329059E9" w14:textId="5D1FD53C"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Style w:val="Fuerte"/>
                <w:rFonts w:ascii="Arial" w:eastAsiaTheme="majorEastAsia" w:hAnsi="Arial" w:cs="Arial"/>
                <w:b w:val="0"/>
                <w:bCs w:val="0"/>
              </w:rPr>
              <w:t xml:space="preserve">0% </w:t>
            </w:r>
          </w:p>
        </w:tc>
        <w:tc>
          <w:tcPr>
            <w:tcW w:w="1257" w:type="dxa"/>
            <w:tcBorders>
              <w:top w:val="single" w:sz="4" w:space="0" w:color="auto"/>
              <w:bottom w:val="single" w:sz="4" w:space="0" w:color="auto"/>
            </w:tcBorders>
            <w:hideMark/>
          </w:tcPr>
          <w:p w14:paraId="66D6100A"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Fonts w:ascii="Arial" w:hAnsi="Arial" w:cs="Arial"/>
              </w:rPr>
              <w:t>20%</w:t>
            </w:r>
          </w:p>
        </w:tc>
        <w:tc>
          <w:tcPr>
            <w:tcW w:w="1165" w:type="dxa"/>
            <w:tcBorders>
              <w:top w:val="single" w:sz="4" w:space="0" w:color="auto"/>
              <w:bottom w:val="single" w:sz="4" w:space="0" w:color="auto"/>
            </w:tcBorders>
            <w:hideMark/>
          </w:tcPr>
          <w:p w14:paraId="3D324C04"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Fonts w:ascii="Arial" w:hAnsi="Arial" w:cs="Arial"/>
              </w:rPr>
              <w:t>20%</w:t>
            </w:r>
          </w:p>
        </w:tc>
        <w:tc>
          <w:tcPr>
            <w:tcW w:w="1163" w:type="dxa"/>
            <w:tcBorders>
              <w:top w:val="single" w:sz="4" w:space="0" w:color="auto"/>
              <w:bottom w:val="single" w:sz="4" w:space="0" w:color="auto"/>
            </w:tcBorders>
            <w:hideMark/>
          </w:tcPr>
          <w:p w14:paraId="4D9AFD02" w14:textId="77777777" w:rsidR="00BE7699" w:rsidRPr="00C52658" w:rsidRDefault="00BE76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52658">
              <w:rPr>
                <w:rFonts w:ascii="Arial" w:hAnsi="Arial" w:cs="Arial"/>
              </w:rPr>
              <w:t>20%</w:t>
            </w:r>
          </w:p>
        </w:tc>
      </w:tr>
    </w:tbl>
    <w:p w14:paraId="44BCAB70" w14:textId="77777777" w:rsidR="00FA1E4C" w:rsidRDefault="00BE7699" w:rsidP="00CF405C">
      <w:pPr>
        <w:spacing w:before="240" w:line="360" w:lineRule="auto"/>
        <w:jc w:val="both"/>
        <w:rPr>
          <w:rFonts w:ascii="Arial" w:hAnsi="Arial" w:cs="Arial"/>
        </w:rPr>
      </w:pPr>
      <w:r w:rsidRPr="00C52658">
        <w:rPr>
          <w:rFonts w:ascii="Arial" w:hAnsi="Arial" w:cs="Arial"/>
        </w:rPr>
        <w:t xml:space="preserve">Fuente: </w:t>
      </w:r>
      <w:r w:rsidR="00197A99" w:rsidRPr="00C52658">
        <w:rPr>
          <w:rFonts w:ascii="Arial" w:hAnsi="Arial" w:cs="Arial"/>
        </w:rPr>
        <w:t>Elaboración propia con base en Organización Mundial del Comercio. (2025). Gobierno de la República de Honduras &amp; Gobierno de la República Popular China. (2024). Acuerdo de</w:t>
      </w:r>
      <w:r w:rsidR="00197A99" w:rsidRPr="00197A99">
        <w:rPr>
          <w:rFonts w:ascii="Arial" w:hAnsi="Arial" w:cs="Arial"/>
        </w:rPr>
        <w:t xml:space="preserve"> Cosecha Temprana: Programa Arancelario de China.</w:t>
      </w:r>
    </w:p>
    <w:p w14:paraId="433D3FD6" w14:textId="6EAED8B6" w:rsidR="00560B5F" w:rsidRDefault="00BE7699" w:rsidP="00CF405C">
      <w:pPr>
        <w:spacing w:before="240" w:line="360" w:lineRule="auto"/>
        <w:jc w:val="both"/>
        <w:rPr>
          <w:rFonts w:ascii="Arial" w:hAnsi="Arial" w:cs="Arial"/>
        </w:rPr>
      </w:pPr>
      <w:r>
        <w:rPr>
          <w:rFonts w:ascii="Arial" w:hAnsi="Arial" w:cs="Arial"/>
        </w:rPr>
        <w:br/>
      </w:r>
      <w:r w:rsidRPr="00BE7699">
        <w:rPr>
          <w:rFonts w:ascii="Arial" w:hAnsi="Arial" w:cs="Arial"/>
        </w:rPr>
        <w:t xml:space="preserve">Los datos de la Tabla </w:t>
      </w:r>
      <w:r>
        <w:rPr>
          <w:rFonts w:ascii="Arial" w:hAnsi="Arial" w:cs="Arial"/>
        </w:rPr>
        <w:t xml:space="preserve">3 </w:t>
      </w:r>
      <w:r w:rsidRPr="00BE7699">
        <w:rPr>
          <w:rFonts w:ascii="Arial" w:hAnsi="Arial" w:cs="Arial"/>
        </w:rPr>
        <w:t xml:space="preserve">permiten observar la estructura de acceso al mercado chino para los principales productos hondureños </w:t>
      </w:r>
      <w:r>
        <w:rPr>
          <w:rFonts w:ascii="Arial" w:hAnsi="Arial" w:cs="Arial"/>
        </w:rPr>
        <w:t xml:space="preserve">analizados </w:t>
      </w:r>
      <w:r w:rsidRPr="00BE7699">
        <w:rPr>
          <w:rFonts w:ascii="Arial" w:hAnsi="Arial" w:cs="Arial"/>
        </w:rPr>
        <w:t xml:space="preserve">y compararla con países de referencia. En productos como el café, tabaco, banano y carne bovina, China mantiene aranceles </w:t>
      </w:r>
      <w:r>
        <w:rPr>
          <w:rFonts w:ascii="Arial" w:hAnsi="Arial" w:cs="Arial"/>
        </w:rPr>
        <w:t>NMF (Nación más Favorecida)</w:t>
      </w:r>
      <w:r w:rsidRPr="00BE7699">
        <w:rPr>
          <w:rFonts w:ascii="Arial" w:hAnsi="Arial" w:cs="Arial"/>
        </w:rPr>
        <w:t xml:space="preserve"> relativamente altos (entre 7% y 20%</w:t>
      </w:r>
      <w:r>
        <w:rPr>
          <w:rFonts w:ascii="Arial" w:hAnsi="Arial" w:cs="Arial"/>
        </w:rPr>
        <w:t>). En cuanto a</w:t>
      </w:r>
      <w:r w:rsidRPr="00BE7699">
        <w:rPr>
          <w:rFonts w:ascii="Arial" w:hAnsi="Arial" w:cs="Arial"/>
        </w:rPr>
        <w:t xml:space="preserve"> los acuerdos bilaterales recientes</w:t>
      </w:r>
      <w:r>
        <w:rPr>
          <w:rFonts w:ascii="Arial" w:hAnsi="Arial" w:cs="Arial"/>
        </w:rPr>
        <w:t xml:space="preserve">, </w:t>
      </w:r>
      <w:r w:rsidRPr="00BE7699">
        <w:rPr>
          <w:rFonts w:ascii="Arial" w:hAnsi="Arial" w:cs="Arial"/>
        </w:rPr>
        <w:t>particularmente con Ecuador y Nicaragua</w:t>
      </w:r>
      <w:r>
        <w:rPr>
          <w:rFonts w:ascii="Arial" w:hAnsi="Arial" w:cs="Arial"/>
        </w:rPr>
        <w:t xml:space="preserve">, </w:t>
      </w:r>
      <w:r w:rsidRPr="00BE7699">
        <w:rPr>
          <w:rFonts w:ascii="Arial" w:hAnsi="Arial" w:cs="Arial"/>
        </w:rPr>
        <w:t>han incluido reducciones arancelarias inmediatas para productos estratégicos como el camarón (030617) y la carne bovina (02011000), colocándolos en la categoría A0.</w:t>
      </w:r>
    </w:p>
    <w:p w14:paraId="118098D6" w14:textId="0D81AFAD" w:rsidR="00CF405C" w:rsidRDefault="0097174B" w:rsidP="00CF405C">
      <w:pPr>
        <w:spacing w:before="240" w:line="360" w:lineRule="auto"/>
        <w:jc w:val="both"/>
        <w:rPr>
          <w:rFonts w:ascii="Arial" w:hAnsi="Arial" w:cs="Arial"/>
        </w:rPr>
      </w:pPr>
      <w:r w:rsidRPr="0097174B">
        <w:rPr>
          <w:rFonts w:ascii="Arial" w:hAnsi="Arial" w:cs="Arial"/>
        </w:rPr>
        <w:t>Para sectores como el camarón, la exoneración de aranceles es percibida como un factor determinante para mejorar las condiciones de exportación, ya que permitiría competir en igualdad de condiciones con países como Ecuador y Vietnam</w:t>
      </w:r>
      <w:r w:rsidR="007C012B">
        <w:rPr>
          <w:rFonts w:ascii="Arial" w:hAnsi="Arial" w:cs="Arial"/>
        </w:rPr>
        <w:t xml:space="preserve">, siendo algunos de los mayores exportadores de camarón en el mundo </w:t>
      </w:r>
      <w:r w:rsidR="007C012B">
        <w:rPr>
          <w:rFonts w:ascii="Arial" w:hAnsi="Arial" w:cs="Arial"/>
        </w:rPr>
        <w:lastRenderedPageBreak/>
        <w:fldChar w:fldCharType="begin"/>
      </w:r>
      <w:r w:rsidR="00821B44">
        <w:rPr>
          <w:rFonts w:ascii="Arial" w:hAnsi="Arial" w:cs="Arial"/>
        </w:rPr>
        <w:instrText xml:space="preserve"> ADDIN ZOTERO_ITEM CSL_CITATION {"citationID":"2TZMMa45","properties":{"formattedCitation":"(Observatorio de Complejidad Econ\\uc0\\u243{}mica (OEC), s.\\uc0\\u160{}f.)","plainCitation":"(Observatorio de Complejidad Económica (OEC), s. f.)","dontUpdate":true,"noteIndex":0},"citationItems":[{"id":1960,"uris":["http://zotero.org/users/10063313/items/ZDH78GQJ"],"itemData":{"id":1960,"type":"article-journal","container-title":"2023","title":"Shrimps and prawns, prepared or preserved (HS 1605)","author":[{"literal":"Observatorio de Complejidad Económica (OEC)"}]}}],"schema":"https://github.com/citation-style-language/schema/raw/master/csl-citation.json"} </w:instrText>
      </w:r>
      <w:r w:rsidR="007C012B">
        <w:rPr>
          <w:rFonts w:ascii="Arial" w:hAnsi="Arial" w:cs="Arial"/>
        </w:rPr>
        <w:fldChar w:fldCharType="separate"/>
      </w:r>
      <w:r w:rsidR="007C012B" w:rsidRPr="007C012B">
        <w:rPr>
          <w:rFonts w:ascii="Arial" w:hAnsi="Arial" w:cs="Arial"/>
          <w:lang w:val="es-MX"/>
        </w:rPr>
        <w:t xml:space="preserve">(OEC, </w:t>
      </w:r>
      <w:r w:rsidR="007C012B">
        <w:rPr>
          <w:rFonts w:ascii="Arial" w:hAnsi="Arial" w:cs="Arial"/>
          <w:lang w:val="es-MX"/>
        </w:rPr>
        <w:t>2023</w:t>
      </w:r>
      <w:r w:rsidR="007C012B" w:rsidRPr="007C012B">
        <w:rPr>
          <w:rFonts w:ascii="Arial" w:hAnsi="Arial" w:cs="Arial"/>
          <w:lang w:val="es-MX"/>
        </w:rPr>
        <w:t>)</w:t>
      </w:r>
      <w:r w:rsidR="007C012B">
        <w:rPr>
          <w:rFonts w:ascii="Arial" w:hAnsi="Arial" w:cs="Arial"/>
        </w:rPr>
        <w:fldChar w:fldCharType="end"/>
      </w:r>
      <w:r w:rsidRPr="0097174B">
        <w:rPr>
          <w:rFonts w:ascii="Arial" w:hAnsi="Arial" w:cs="Arial"/>
        </w:rPr>
        <w:t>, los cuales han consolidado su presencia en el mercado chino gracias a costos de producción más bajos y tratados comerciales favorables (Entrevistado 3, comunicación personal, 6 de marzo de 2024).</w:t>
      </w:r>
    </w:p>
    <w:p w14:paraId="2158ADCF" w14:textId="1A60E010" w:rsidR="0097174B" w:rsidRDefault="0097174B" w:rsidP="00CF405C">
      <w:pPr>
        <w:spacing w:before="240" w:line="360" w:lineRule="auto"/>
        <w:jc w:val="both"/>
        <w:rPr>
          <w:rFonts w:ascii="Arial" w:hAnsi="Arial" w:cs="Arial"/>
        </w:rPr>
      </w:pPr>
      <w:r w:rsidRPr="0097174B">
        <w:rPr>
          <w:rFonts w:ascii="Arial" w:hAnsi="Arial" w:cs="Arial"/>
        </w:rPr>
        <w:t xml:space="preserve">Desde una perspectiva estratégica, el TLC también </w:t>
      </w:r>
      <w:r>
        <w:rPr>
          <w:rFonts w:ascii="Arial" w:hAnsi="Arial" w:cs="Arial"/>
        </w:rPr>
        <w:t xml:space="preserve">es percibido por los productores </w:t>
      </w:r>
      <w:r w:rsidRPr="0097174B">
        <w:rPr>
          <w:rFonts w:ascii="Arial" w:hAnsi="Arial" w:cs="Arial"/>
        </w:rPr>
        <w:t xml:space="preserve">como un instrumento clave para consolidar la posición comercial de Honduras a nivel global. </w:t>
      </w:r>
      <w:r>
        <w:rPr>
          <w:rFonts w:ascii="Arial" w:hAnsi="Arial" w:cs="Arial"/>
        </w:rPr>
        <w:t>Incluso mencionan que, a</w:t>
      </w:r>
      <w:r w:rsidRPr="0097174B">
        <w:rPr>
          <w:rFonts w:ascii="Arial" w:hAnsi="Arial" w:cs="Arial"/>
        </w:rPr>
        <w:t>l contar con acuerdos de libre comercio con Estados Unidos, la Unión Europea y, próximamente, China, el país ampliaría sus destinos de exportación y reduciría su dependencia de mercados tradicionales, lo que contribuiría a una mayor estabilidad en su balanza comercial y fortalecería su competitividad en el comercio internacional (Entrevistado 9, comunicación personal, 10 de junio de 2024).</w:t>
      </w:r>
    </w:p>
    <w:p w14:paraId="018485A2" w14:textId="4893F410" w:rsidR="00D555A4" w:rsidRPr="00D555A4" w:rsidRDefault="001A393E" w:rsidP="00D555A4">
      <w:pPr>
        <w:spacing w:before="240" w:line="360" w:lineRule="auto"/>
        <w:jc w:val="both"/>
        <w:rPr>
          <w:rFonts w:ascii="Arial" w:hAnsi="Arial" w:cs="Arial"/>
          <w:b/>
          <w:bCs/>
        </w:rPr>
      </w:pPr>
      <w:r w:rsidRPr="001A393E">
        <w:rPr>
          <w:rFonts w:ascii="Arial" w:hAnsi="Arial" w:cs="Arial"/>
        </w:rPr>
        <w:t xml:space="preserve">Si bien el mercado chino se caracteriza por una fuerte orientación hacia precios bajos y altos volúmenes, </w:t>
      </w:r>
      <w:r w:rsidR="00BC3787">
        <w:rPr>
          <w:rFonts w:ascii="Arial" w:hAnsi="Arial" w:cs="Arial"/>
        </w:rPr>
        <w:t xml:space="preserve">según los productores entrevistados, </w:t>
      </w:r>
      <w:r w:rsidRPr="001A393E">
        <w:rPr>
          <w:rFonts w:ascii="Arial" w:hAnsi="Arial" w:cs="Arial"/>
        </w:rPr>
        <w:t xml:space="preserve">algunos </w:t>
      </w:r>
      <w:r w:rsidR="00BC3787">
        <w:rPr>
          <w:rFonts w:ascii="Arial" w:hAnsi="Arial" w:cs="Arial"/>
        </w:rPr>
        <w:t xml:space="preserve">de ellos </w:t>
      </w:r>
      <w:r w:rsidRPr="001A393E">
        <w:rPr>
          <w:rFonts w:ascii="Arial" w:hAnsi="Arial" w:cs="Arial"/>
        </w:rPr>
        <w:t>han identificado oportunidades en segmentos premium, particularmente en los sectores de café</w:t>
      </w:r>
      <w:r w:rsidR="000B0F62" w:rsidRPr="000B0F62">
        <w:rPr>
          <w:rFonts w:ascii="Arial" w:hAnsi="Arial" w:cs="Arial"/>
        </w:rPr>
        <w:t xml:space="preserve"> </w:t>
      </w:r>
      <w:r w:rsidR="000B0F62" w:rsidRPr="001A393E">
        <w:rPr>
          <w:rFonts w:ascii="Arial" w:hAnsi="Arial" w:cs="Arial"/>
        </w:rPr>
        <w:t>de especialidad</w:t>
      </w:r>
      <w:r w:rsidRPr="001A393E">
        <w:rPr>
          <w:rFonts w:ascii="Arial" w:hAnsi="Arial" w:cs="Arial"/>
        </w:rPr>
        <w:t xml:space="preserve"> y cacao. </w:t>
      </w:r>
      <w:r w:rsidR="000B0F62">
        <w:rPr>
          <w:rFonts w:ascii="Arial" w:hAnsi="Arial" w:cs="Arial"/>
        </w:rPr>
        <w:t>Los productores hondureños mencionaron que e</w:t>
      </w:r>
      <w:r w:rsidRPr="001A393E">
        <w:rPr>
          <w:rFonts w:ascii="Arial" w:hAnsi="Arial" w:cs="Arial"/>
        </w:rPr>
        <w:t>stos productos podrían encontrar nichos valiosos entre consumidores chinos cada vez más interesados en productos diferenciados y de mayor calidad (Entrevistado 5, comunicación personal, marzo 2024).</w:t>
      </w:r>
    </w:p>
    <w:p w14:paraId="17149CE2" w14:textId="5CFDA079" w:rsidR="00865043" w:rsidRPr="001A393E" w:rsidRDefault="001A393E" w:rsidP="00D555A4">
      <w:pPr>
        <w:spacing w:before="240" w:line="360" w:lineRule="auto"/>
        <w:jc w:val="both"/>
        <w:rPr>
          <w:rFonts w:ascii="Arial" w:hAnsi="Arial" w:cs="Arial"/>
        </w:rPr>
      </w:pPr>
      <w:r w:rsidRPr="001A393E">
        <w:rPr>
          <w:rFonts w:ascii="Arial" w:hAnsi="Arial" w:cs="Arial"/>
        </w:rPr>
        <w:t>La participación en ferias comerciales en China ha sido crucial para estos productores, permitiéndoles no solo presentar sus productos sino también crear conexiones directas con potenciales compradores interesados en la autenticidad y el origen certificado de los bienes. Durante estas ferias</w:t>
      </w:r>
      <w:r w:rsidR="000B0F62">
        <w:rPr>
          <w:rFonts w:ascii="Arial" w:hAnsi="Arial" w:cs="Arial"/>
        </w:rPr>
        <w:t xml:space="preserve"> los productores han identificado</w:t>
      </w:r>
      <w:r w:rsidRPr="001A393E">
        <w:rPr>
          <w:rFonts w:ascii="Arial" w:hAnsi="Arial" w:cs="Arial"/>
        </w:rPr>
        <w:t xml:space="preserve"> un creciente interés por parte de los consumidores chinos en productos que no solo cumplen con altos estándares de calidad, </w:t>
      </w:r>
      <w:r w:rsidRPr="000B0F62">
        <w:rPr>
          <w:rFonts w:ascii="Arial" w:hAnsi="Arial" w:cs="Arial"/>
        </w:rPr>
        <w:t>sino que también ofrecen prácticas de sostenibilidad detrás de cada producto</w:t>
      </w:r>
      <w:r w:rsidRPr="001A393E">
        <w:rPr>
          <w:rFonts w:ascii="Arial" w:hAnsi="Arial" w:cs="Arial"/>
        </w:rPr>
        <w:t xml:space="preserve"> (Entrevistado 9, comunicación personal, junio 2024).</w:t>
      </w:r>
    </w:p>
    <w:p w14:paraId="5BB8DA45" w14:textId="734FB98F" w:rsidR="00D555A4" w:rsidRDefault="001A393E" w:rsidP="00D555A4">
      <w:pPr>
        <w:spacing w:before="240" w:line="360" w:lineRule="auto"/>
        <w:jc w:val="both"/>
        <w:rPr>
          <w:rFonts w:ascii="Arial" w:hAnsi="Arial" w:cs="Arial"/>
        </w:rPr>
      </w:pPr>
      <w:r w:rsidRPr="001A393E">
        <w:rPr>
          <w:rFonts w:ascii="Arial" w:hAnsi="Arial" w:cs="Arial"/>
        </w:rPr>
        <w:t>Además</w:t>
      </w:r>
      <w:r w:rsidRPr="000B0F62">
        <w:rPr>
          <w:rFonts w:ascii="Arial" w:hAnsi="Arial" w:cs="Arial"/>
        </w:rPr>
        <w:t xml:space="preserve">, se destaca que las tendencias del mercado chino muestran un aumento en </w:t>
      </w:r>
      <w:r w:rsidR="000B0F62" w:rsidRPr="000B0F62">
        <w:rPr>
          <w:rFonts w:ascii="Arial" w:hAnsi="Arial" w:cs="Arial"/>
        </w:rPr>
        <w:t>el consumo y</w:t>
      </w:r>
      <w:r w:rsidRPr="000B0F62">
        <w:rPr>
          <w:rFonts w:ascii="Arial" w:hAnsi="Arial" w:cs="Arial"/>
        </w:rPr>
        <w:t xml:space="preserve"> demanda de café y cacao premium</w:t>
      </w:r>
      <w:r w:rsidR="00123764">
        <w:rPr>
          <w:rFonts w:ascii="Arial" w:hAnsi="Arial" w:cs="Arial"/>
        </w:rPr>
        <w:t xml:space="preserve"> </w:t>
      </w:r>
      <w:r w:rsidR="00123764">
        <w:rPr>
          <w:rFonts w:ascii="Arial" w:hAnsi="Arial" w:cs="Arial"/>
        </w:rPr>
        <w:fldChar w:fldCharType="begin"/>
      </w:r>
      <w:r w:rsidR="00123764">
        <w:rPr>
          <w:rFonts w:ascii="Arial" w:hAnsi="Arial" w:cs="Arial"/>
        </w:rPr>
        <w:instrText xml:space="preserve"> ADDIN ZOTERO_ITEM CSL_CITATION {"citationID":"KglHwGag","properties":{"formattedCitation":"(Hongcan Industry Research Institute, 2024)","plainCitation":"(Hongcan Industry Research Institute, 2024)","noteIndex":0},"citationItems":[{"id":1961,"uris":["http://zotero.org/users/10063313/items/43VWJ6ZN"],"itemData":{"id":1961,"type":"article-journal","container-title":"03/09/2024","title":"Informe de investigación sobre tendencias de desarrollo del café de especialidad 2024","author":[{"literal":"Hongcan Industry Research Institute"}],"issued":{"date-parts":[["2024",9,3]]}}}],"schema":"https://github.com/citation-style-language/schema/raw/master/csl-citation.json"} </w:instrText>
      </w:r>
      <w:r w:rsidR="00123764">
        <w:rPr>
          <w:rFonts w:ascii="Arial" w:hAnsi="Arial" w:cs="Arial"/>
        </w:rPr>
        <w:fldChar w:fldCharType="separate"/>
      </w:r>
      <w:r w:rsidR="00123764">
        <w:rPr>
          <w:rFonts w:ascii="Arial" w:hAnsi="Arial" w:cs="Arial"/>
          <w:noProof/>
        </w:rPr>
        <w:t>(Hongcan Industry Research Institute, 2024)</w:t>
      </w:r>
      <w:r w:rsidR="00123764">
        <w:rPr>
          <w:rFonts w:ascii="Arial" w:hAnsi="Arial" w:cs="Arial"/>
        </w:rPr>
        <w:fldChar w:fldCharType="end"/>
      </w:r>
      <w:r w:rsidRPr="001A393E">
        <w:rPr>
          <w:rFonts w:ascii="Arial" w:hAnsi="Arial" w:cs="Arial"/>
        </w:rPr>
        <w:t xml:space="preserve">, sugiriendo que los consumidores están dispuestos a pagar más por productos que garantizan una experiencia de consumo superior y responsable. Este interés se alinea con la estrategia de muchos productores </w:t>
      </w:r>
      <w:r w:rsidRPr="001A393E">
        <w:rPr>
          <w:rFonts w:ascii="Arial" w:hAnsi="Arial" w:cs="Arial"/>
        </w:rPr>
        <w:lastRenderedPageBreak/>
        <w:t>hondureños que buscan diferenciar sus productos mediante certificaciones de comercio justo y orgánico, que son altamente valoradas en mercados internacionales.</w:t>
      </w:r>
    </w:p>
    <w:p w14:paraId="0339A459" w14:textId="36529BF2" w:rsidR="00F2189A" w:rsidRDefault="00F2189A" w:rsidP="00D555A4">
      <w:pPr>
        <w:spacing w:before="240" w:line="360" w:lineRule="auto"/>
        <w:jc w:val="both"/>
        <w:rPr>
          <w:rFonts w:ascii="Arial" w:hAnsi="Arial" w:cs="Arial"/>
        </w:rPr>
      </w:pPr>
      <w:r w:rsidRPr="00F2189A">
        <w:rPr>
          <w:rFonts w:ascii="Arial" w:hAnsi="Arial" w:cs="Arial"/>
        </w:rPr>
        <w:t>Uno de los beneficios potenciales destacados por los productores hondureños en el marco del TLC con China es la posibilidad de mejorar el acceso a insumos y maquinaria a precios más competitivos</w:t>
      </w:r>
      <w:r w:rsidR="0018509F">
        <w:rPr>
          <w:rFonts w:ascii="Arial" w:hAnsi="Arial" w:cs="Arial"/>
        </w:rPr>
        <w:t xml:space="preserve"> </w:t>
      </w:r>
      <w:r w:rsidR="0018509F" w:rsidRPr="00F2189A">
        <w:rPr>
          <w:rFonts w:ascii="Arial" w:hAnsi="Arial" w:cs="Arial"/>
        </w:rPr>
        <w:t xml:space="preserve">(Entrevistado </w:t>
      </w:r>
      <w:r w:rsidR="0018509F">
        <w:rPr>
          <w:rFonts w:ascii="Arial" w:hAnsi="Arial" w:cs="Arial"/>
        </w:rPr>
        <w:t>2</w:t>
      </w:r>
      <w:r w:rsidR="0018509F" w:rsidRPr="00F2189A">
        <w:rPr>
          <w:rFonts w:ascii="Arial" w:hAnsi="Arial" w:cs="Arial"/>
        </w:rPr>
        <w:t>, comunicación personal, marzo 2024).</w:t>
      </w:r>
      <w:r w:rsidRPr="00F2189A">
        <w:rPr>
          <w:rFonts w:ascii="Arial" w:hAnsi="Arial" w:cs="Arial"/>
        </w:rPr>
        <w:t xml:space="preserve"> La estructura productiva de Honduras, particularmente en sectores como la manufactura agrícola</w:t>
      </w:r>
      <w:r w:rsidR="0018509F">
        <w:rPr>
          <w:rFonts w:ascii="Arial" w:hAnsi="Arial" w:cs="Arial"/>
        </w:rPr>
        <w:t xml:space="preserve"> y uno de los sectores entrevistados: </w:t>
      </w:r>
      <w:r w:rsidR="0018509F" w:rsidRPr="00F2189A">
        <w:rPr>
          <w:rFonts w:ascii="Arial" w:hAnsi="Arial" w:cs="Arial"/>
        </w:rPr>
        <w:t>vitivinicultura</w:t>
      </w:r>
      <w:r w:rsidRPr="00F2189A">
        <w:rPr>
          <w:rFonts w:ascii="Arial" w:hAnsi="Arial" w:cs="Arial"/>
        </w:rPr>
        <w:t>, depende de la importación de equipos y materiales. Según uno de los productores, estos insumos podrían adquirirse a costos más bajos bajo el nuevo marco comercial, lo que favorecería la modernización de la infraestructura productiva (Entrevistado 6, comunicación personal, marzo 2024).</w:t>
      </w:r>
    </w:p>
    <w:p w14:paraId="1F889FFD" w14:textId="104A29EC" w:rsidR="001252F3" w:rsidRDefault="001252F3" w:rsidP="00DE25FA">
      <w:pPr>
        <w:spacing w:before="240" w:line="360" w:lineRule="auto"/>
        <w:jc w:val="both"/>
        <w:rPr>
          <w:rFonts w:ascii="Arial" w:hAnsi="Arial" w:cs="Arial"/>
        </w:rPr>
      </w:pPr>
      <w:r w:rsidRPr="001252F3">
        <w:rPr>
          <w:rFonts w:ascii="Arial" w:hAnsi="Arial" w:cs="Arial"/>
        </w:rPr>
        <w:t xml:space="preserve">Adicionalmente, algunos productores han señalado que el acceso a maquinaria y tecnología avanzada proveniente de China podría incentivar procesos de modernización en la agroindustria hondureña. Este acceso no solo permitiría incrementar la eficiencia productiva, sino también reducir los costos operativos, aspectos esenciales para mejorar la competitividad en mercados internacionales (Entrevistado 3, comunicación personal, marzo 2024). Así, la incorporación de </w:t>
      </w:r>
      <w:r w:rsidR="0018509F">
        <w:rPr>
          <w:rFonts w:ascii="Arial" w:hAnsi="Arial" w:cs="Arial"/>
        </w:rPr>
        <w:t xml:space="preserve">nuevas </w:t>
      </w:r>
      <w:r w:rsidRPr="001252F3">
        <w:rPr>
          <w:rFonts w:ascii="Arial" w:hAnsi="Arial" w:cs="Arial"/>
        </w:rPr>
        <w:t>tecnologías podría transformar procesos productivos tradicionales</w:t>
      </w:r>
      <w:r w:rsidR="0018509F">
        <w:rPr>
          <w:rFonts w:ascii="Arial" w:hAnsi="Arial" w:cs="Arial"/>
        </w:rPr>
        <w:t xml:space="preserve"> en Honduras</w:t>
      </w:r>
      <w:r w:rsidRPr="001252F3">
        <w:rPr>
          <w:rFonts w:ascii="Arial" w:hAnsi="Arial" w:cs="Arial"/>
        </w:rPr>
        <w:t>, optimizando la producción y elevando los estándares de calidad, lo cual es crucial para competir en el exigente mercado global.</w:t>
      </w:r>
    </w:p>
    <w:p w14:paraId="39425043" w14:textId="082AF283" w:rsidR="00233EF0" w:rsidRDefault="00233EF0" w:rsidP="0018509F">
      <w:pPr>
        <w:spacing w:before="240" w:line="360" w:lineRule="auto"/>
        <w:jc w:val="both"/>
        <w:rPr>
          <w:rFonts w:ascii="Arial" w:hAnsi="Arial" w:cs="Arial"/>
        </w:rPr>
      </w:pPr>
      <w:r w:rsidRPr="00233EF0">
        <w:rPr>
          <w:rFonts w:ascii="Arial" w:hAnsi="Arial" w:cs="Arial"/>
        </w:rPr>
        <w:t>Los productores entrevistados manifestaron expectativas positivas respecto a la atracción de inversión extranjera y la consolidación de relaciones comerciales más estructuradas con compradores chinos. Según algunos participantes, la formalización de estos vínculos a través del TLC podría contribuir a una mayor estabilidad en la demanda y favorecer una planificación productiva más eficiente, lo que facilitaría el crecimiento del sector exportador</w:t>
      </w:r>
      <w:r w:rsidR="009C7FA2">
        <w:rPr>
          <w:rFonts w:ascii="Arial" w:hAnsi="Arial" w:cs="Arial"/>
        </w:rPr>
        <w:t>, la creación de empleo y la transferencia de tecnología</w:t>
      </w:r>
      <w:r w:rsidRPr="00233EF0">
        <w:rPr>
          <w:rFonts w:ascii="Arial" w:hAnsi="Arial" w:cs="Arial"/>
        </w:rPr>
        <w:t xml:space="preserve"> (Entrevistado </w:t>
      </w:r>
      <w:r w:rsidR="009C7FA2">
        <w:rPr>
          <w:rFonts w:ascii="Arial" w:hAnsi="Arial" w:cs="Arial"/>
        </w:rPr>
        <w:t>8</w:t>
      </w:r>
      <w:r w:rsidRPr="00233EF0">
        <w:rPr>
          <w:rFonts w:ascii="Arial" w:hAnsi="Arial" w:cs="Arial"/>
        </w:rPr>
        <w:t xml:space="preserve">, comunicación personal, </w:t>
      </w:r>
      <w:r w:rsidRPr="009C7FA2">
        <w:rPr>
          <w:rFonts w:ascii="Arial" w:hAnsi="Arial" w:cs="Arial"/>
          <w:color w:val="000000" w:themeColor="text1"/>
        </w:rPr>
        <w:t xml:space="preserve">junio </w:t>
      </w:r>
      <w:r w:rsidRPr="00233EF0">
        <w:rPr>
          <w:rFonts w:ascii="Arial" w:hAnsi="Arial" w:cs="Arial"/>
        </w:rPr>
        <w:t>2024).</w:t>
      </w:r>
    </w:p>
    <w:p w14:paraId="1018B8FD" w14:textId="25F12369" w:rsidR="00233EF0" w:rsidRDefault="00233EF0" w:rsidP="0018509F">
      <w:pPr>
        <w:spacing w:before="240" w:line="360" w:lineRule="auto"/>
        <w:jc w:val="both"/>
        <w:rPr>
          <w:rFonts w:ascii="Arial" w:hAnsi="Arial" w:cs="Arial"/>
        </w:rPr>
      </w:pPr>
      <w:r w:rsidRPr="00233EF0">
        <w:rPr>
          <w:rFonts w:ascii="Arial" w:hAnsi="Arial" w:cs="Arial"/>
        </w:rPr>
        <w:t xml:space="preserve">Adicionalmente, se destacó que ciertos sectores </w:t>
      </w:r>
      <w:r w:rsidR="009C7FA2">
        <w:rPr>
          <w:rFonts w:ascii="Arial" w:hAnsi="Arial" w:cs="Arial"/>
        </w:rPr>
        <w:t xml:space="preserve">como el café, </w:t>
      </w:r>
      <w:r w:rsidRPr="00233EF0">
        <w:rPr>
          <w:rFonts w:ascii="Arial" w:hAnsi="Arial" w:cs="Arial"/>
        </w:rPr>
        <w:t xml:space="preserve">han comenzado a explorar oportunidades concretas para iniciar exportaciones a China. Por ejemplo, varios productores han informado de negociaciones activas y la </w:t>
      </w:r>
      <w:r w:rsidRPr="00233EF0">
        <w:rPr>
          <w:rFonts w:ascii="Arial" w:hAnsi="Arial" w:cs="Arial"/>
        </w:rPr>
        <w:lastRenderedPageBreak/>
        <w:t xml:space="preserve">expectativa de realizar envíos de prueba en el corto plazo (Entrevistado 1, comunicación personal, marzo 2024). En este sentido, la reducción de barreras comerciales y la formalización de acuerdos de cooperación con empresas chinas se identificaron como elementos fundamentales para maximizar los beneficios del tratado, ya que </w:t>
      </w:r>
      <w:r w:rsidR="009C7FA2">
        <w:rPr>
          <w:rFonts w:ascii="Arial" w:hAnsi="Arial" w:cs="Arial"/>
        </w:rPr>
        <w:t>permite</w:t>
      </w:r>
      <w:r w:rsidRPr="00233EF0">
        <w:rPr>
          <w:rFonts w:ascii="Arial" w:hAnsi="Arial" w:cs="Arial"/>
        </w:rPr>
        <w:t xml:space="preserve"> a los productores establecer relaciones comerciales más robustas y diversificar </w:t>
      </w:r>
      <w:r w:rsidR="009C7FA2">
        <w:rPr>
          <w:rFonts w:ascii="Arial" w:hAnsi="Arial" w:cs="Arial"/>
        </w:rPr>
        <w:t>los</w:t>
      </w:r>
      <w:r w:rsidRPr="00233EF0">
        <w:rPr>
          <w:rFonts w:ascii="Arial" w:hAnsi="Arial" w:cs="Arial"/>
        </w:rPr>
        <w:t xml:space="preserve"> destinos de exportación (Entrevistado 3, comunicación personal, marzo 2024).</w:t>
      </w:r>
    </w:p>
    <w:p w14:paraId="7FD226C3" w14:textId="7B314680" w:rsidR="00C50CF2" w:rsidRDefault="005A0BC4" w:rsidP="0018509F">
      <w:pPr>
        <w:spacing w:before="240" w:line="360" w:lineRule="auto"/>
        <w:jc w:val="both"/>
        <w:rPr>
          <w:rFonts w:ascii="Arial" w:hAnsi="Arial" w:cs="Arial"/>
        </w:rPr>
      </w:pPr>
      <w:r>
        <w:rPr>
          <w:rFonts w:ascii="Arial" w:hAnsi="Arial" w:cs="Arial"/>
        </w:rPr>
        <w:t>S</w:t>
      </w:r>
      <w:r w:rsidR="006F2556" w:rsidRPr="009C7FA2">
        <w:rPr>
          <w:rFonts w:ascii="Arial" w:hAnsi="Arial" w:cs="Arial"/>
        </w:rPr>
        <w:t>egún las entrevistas a productores y los representantes de distintas asociaciones</w:t>
      </w:r>
      <w:r w:rsidR="00232D71" w:rsidRPr="009C7FA2">
        <w:rPr>
          <w:rFonts w:ascii="Arial" w:hAnsi="Arial" w:cs="Arial"/>
        </w:rPr>
        <w:t xml:space="preserve"> el TLC con China se presenta como una oportunidad estratégica para la expansión </w:t>
      </w:r>
      <w:r w:rsidR="006F2556">
        <w:rPr>
          <w:rFonts w:ascii="Arial" w:hAnsi="Arial" w:cs="Arial"/>
        </w:rPr>
        <w:t xml:space="preserve">de las exportaciones </w:t>
      </w:r>
      <w:r w:rsidR="00232D71" w:rsidRPr="009C7FA2">
        <w:rPr>
          <w:rFonts w:ascii="Arial" w:hAnsi="Arial" w:cs="Arial"/>
        </w:rPr>
        <w:t xml:space="preserve">de productos hondureños, </w:t>
      </w:r>
      <w:r>
        <w:rPr>
          <w:rFonts w:ascii="Arial" w:hAnsi="Arial" w:cs="Arial"/>
        </w:rPr>
        <w:t>sin embargo,</w:t>
      </w:r>
      <w:r w:rsidR="009C7FA2" w:rsidRPr="009C7FA2">
        <w:rPr>
          <w:rFonts w:ascii="Arial" w:hAnsi="Arial" w:cs="Arial"/>
        </w:rPr>
        <w:t xml:space="preserve"> todos </w:t>
      </w:r>
      <w:r w:rsidR="00232D71" w:rsidRPr="009C7FA2">
        <w:rPr>
          <w:rFonts w:ascii="Arial" w:hAnsi="Arial" w:cs="Arial"/>
        </w:rPr>
        <w:t>identificaron varios desafíos estructurales que podrían limitar el aprovechamiento pleno del acuerdo.</w:t>
      </w:r>
      <w:r w:rsidR="006F2556">
        <w:rPr>
          <w:rFonts w:ascii="Arial" w:hAnsi="Arial" w:cs="Arial"/>
        </w:rPr>
        <w:t xml:space="preserve"> </w:t>
      </w:r>
    </w:p>
    <w:p w14:paraId="5518C4C3" w14:textId="434A2EE2" w:rsidR="00C50CF2" w:rsidRPr="009C7FA2" w:rsidRDefault="00C50CF2" w:rsidP="009C7FA2">
      <w:pPr>
        <w:spacing w:before="240" w:line="360" w:lineRule="auto"/>
        <w:jc w:val="both"/>
        <w:rPr>
          <w:rFonts w:ascii="Arial" w:hAnsi="Arial" w:cs="Arial"/>
          <w:b/>
          <w:bCs/>
        </w:rPr>
      </w:pPr>
      <w:r w:rsidRPr="00C50CF2">
        <w:rPr>
          <w:rFonts w:ascii="Arial" w:hAnsi="Arial" w:cs="Arial"/>
        </w:rPr>
        <w:t xml:space="preserve">Uno de los desafíos estructurales más significativos identificados por los productores es la limitada capacidad instalada, acompañada de la insuficiencia de financiamiento para ampliar la infraestructura productiva. Este problema se manifiesta en la incapacidad de Honduras para generar los volúmenes necesarios que exige el mercado chino, a pesar de la disposición de los productores a exportar. Según el productor </w:t>
      </w:r>
      <w:r w:rsidR="009C7FA2">
        <w:rPr>
          <w:rFonts w:ascii="Arial" w:hAnsi="Arial" w:cs="Arial"/>
        </w:rPr>
        <w:t>de banano</w:t>
      </w:r>
      <w:r w:rsidRPr="00C50CF2">
        <w:rPr>
          <w:rFonts w:ascii="Arial" w:hAnsi="Arial" w:cs="Arial"/>
        </w:rPr>
        <w:t xml:space="preserve">, “la crisis que hay en el sector bananero se debe, en gran medida, a la falta de financiamiento” (Entrevistado 1, comunicación personal, 6 de marzo de 2024), lo que pone de relieve la dependencia de la industria en </w:t>
      </w:r>
      <w:r w:rsidR="009C7FA2">
        <w:rPr>
          <w:rFonts w:ascii="Arial" w:hAnsi="Arial" w:cs="Arial"/>
        </w:rPr>
        <w:t>capital</w:t>
      </w:r>
      <w:r w:rsidRPr="00C50CF2">
        <w:rPr>
          <w:rFonts w:ascii="Arial" w:hAnsi="Arial" w:cs="Arial"/>
        </w:rPr>
        <w:t xml:space="preserve"> que, de no llegar, impiden la actualización tecnológica y la ampliación de la capacidad productiva.</w:t>
      </w:r>
    </w:p>
    <w:p w14:paraId="06992B57" w14:textId="77777777" w:rsidR="00D93347" w:rsidRDefault="00C50CF2" w:rsidP="009C7FA2">
      <w:pPr>
        <w:spacing w:before="240" w:line="360" w:lineRule="auto"/>
        <w:jc w:val="both"/>
        <w:rPr>
          <w:rFonts w:ascii="Arial" w:hAnsi="Arial" w:cs="Arial"/>
        </w:rPr>
      </w:pPr>
      <w:r w:rsidRPr="00C50CF2">
        <w:rPr>
          <w:rFonts w:ascii="Arial" w:hAnsi="Arial" w:cs="Arial"/>
        </w:rPr>
        <w:t>La discrepancia entre la demanda del mercado chino y la oferta actual es palpable: mientras los compradores exigen volúmenes que pueden ascender a miles de contenedores, la capacidad real de producción se limita a apenas unos cuantos contenedores mensuales</w:t>
      </w:r>
      <w:r w:rsidR="00D93347">
        <w:rPr>
          <w:rFonts w:ascii="Arial" w:hAnsi="Arial" w:cs="Arial"/>
        </w:rPr>
        <w:t>, uno de los representantes en el sector café menciona:</w:t>
      </w:r>
    </w:p>
    <w:p w14:paraId="5666E0AF" w14:textId="284B3DE9" w:rsidR="00D93347" w:rsidRDefault="00D93347" w:rsidP="00D93347">
      <w:pPr>
        <w:spacing w:before="240" w:line="360" w:lineRule="auto"/>
        <w:ind w:left="708"/>
        <w:jc w:val="both"/>
        <w:rPr>
          <w:rFonts w:ascii="Arial" w:hAnsi="Arial" w:cs="Arial"/>
        </w:rPr>
      </w:pPr>
      <w:r w:rsidRPr="00D93347">
        <w:rPr>
          <w:rFonts w:ascii="Arial" w:hAnsi="Arial" w:cs="Arial"/>
        </w:rPr>
        <w:t>Tengo la capacidad de llenar algunos contenedores en el año, pero en el volumen que me piden, tengo que asociarme</w:t>
      </w:r>
      <w:r w:rsidR="002978CA">
        <w:rPr>
          <w:rFonts w:ascii="Arial" w:hAnsi="Arial" w:cs="Arial"/>
        </w:rPr>
        <w:t>,</w:t>
      </w:r>
      <w:r w:rsidRPr="00D93347">
        <w:rPr>
          <w:rFonts w:ascii="Arial" w:hAnsi="Arial" w:cs="Arial"/>
        </w:rPr>
        <w:t xml:space="preserve"> tengo que buscar opciones o productores y ver una figura en ese sentido. Entonces el gran reto que </w:t>
      </w:r>
      <w:r w:rsidRPr="00D93347">
        <w:rPr>
          <w:rFonts w:ascii="Arial" w:hAnsi="Arial" w:cs="Arial"/>
        </w:rPr>
        <w:lastRenderedPageBreak/>
        <w:t>realmente como país no tenemos esa capacida</w:t>
      </w:r>
      <w:r>
        <w:rPr>
          <w:rFonts w:ascii="Arial" w:hAnsi="Arial" w:cs="Arial"/>
        </w:rPr>
        <w:t xml:space="preserve">d. </w:t>
      </w:r>
      <w:r w:rsidR="00C50CF2" w:rsidRPr="00C50CF2">
        <w:rPr>
          <w:rFonts w:ascii="Arial" w:hAnsi="Arial" w:cs="Arial"/>
        </w:rPr>
        <w:t xml:space="preserve">(Entrevistado 4, comunicación personal, 16 de marzo de 2024). </w:t>
      </w:r>
    </w:p>
    <w:p w14:paraId="04A13E06" w14:textId="66A48662" w:rsidR="00C50CF2" w:rsidRPr="00C50CF2" w:rsidRDefault="00C50CF2" w:rsidP="009C7FA2">
      <w:pPr>
        <w:spacing w:before="240" w:line="360" w:lineRule="auto"/>
        <w:jc w:val="both"/>
        <w:rPr>
          <w:rFonts w:ascii="Arial" w:hAnsi="Arial" w:cs="Arial"/>
        </w:rPr>
      </w:pPr>
      <w:r w:rsidRPr="00C50CF2">
        <w:rPr>
          <w:rFonts w:ascii="Arial" w:hAnsi="Arial" w:cs="Arial"/>
        </w:rPr>
        <w:t>Este desfase no solo restringe la posibilidad de capitalizar el potencial del TLC, sino que también expone a los productores al riesgo de perder oportunidades de mercado en favor de competidores internacionales que sí han invertido en modernizar su infraestructura</w:t>
      </w:r>
      <w:r w:rsidR="00D93347">
        <w:rPr>
          <w:rFonts w:ascii="Arial" w:hAnsi="Arial" w:cs="Arial"/>
        </w:rPr>
        <w:t xml:space="preserve"> y tienen el volumen requerido por China</w:t>
      </w:r>
      <w:r w:rsidRPr="00C50CF2">
        <w:rPr>
          <w:rFonts w:ascii="Arial" w:hAnsi="Arial" w:cs="Arial"/>
        </w:rPr>
        <w:t>.</w:t>
      </w:r>
    </w:p>
    <w:p w14:paraId="7CCDC963" w14:textId="13B22739" w:rsidR="00C50CF2" w:rsidRPr="00BB36C3" w:rsidRDefault="00C50CF2" w:rsidP="00EF633A">
      <w:pPr>
        <w:spacing w:before="240" w:line="360" w:lineRule="auto"/>
        <w:jc w:val="both"/>
        <w:rPr>
          <w:rFonts w:ascii="Arial" w:hAnsi="Arial" w:cs="Arial"/>
        </w:rPr>
      </w:pPr>
      <w:r w:rsidRPr="00C50CF2">
        <w:rPr>
          <w:rFonts w:ascii="Arial" w:hAnsi="Arial" w:cs="Arial"/>
        </w:rPr>
        <w:t>Además, la falta de financiamiento repercute negativamente en la adopción de tecnologías y procesos productivos más eficientes. La ausencia de economías de escala se traduce en menores niveles de competitividad, ya que la inversión necesaria para optimizar la producción se ve obstaculizada. Esto genera un círculo vicioso: la baja capacidad productiva limita la atracción de capital y, al mismo tiempo, la falta de inversión impide escalar la producción hasta alcanzar los volúmenes que el mercado internacional demanda (Entrevistado 1, comunicación personal, 6 de marzo de 2024).</w:t>
      </w:r>
    </w:p>
    <w:p w14:paraId="7453FBC0" w14:textId="71CEF952" w:rsidR="00C50CF2" w:rsidRPr="00C50CF2" w:rsidRDefault="00C50CF2" w:rsidP="00EF633A">
      <w:pPr>
        <w:spacing w:before="240" w:line="360" w:lineRule="auto"/>
        <w:jc w:val="both"/>
        <w:rPr>
          <w:rFonts w:ascii="Arial" w:hAnsi="Arial" w:cs="Arial"/>
        </w:rPr>
      </w:pPr>
      <w:r w:rsidRPr="00C50CF2">
        <w:rPr>
          <w:rFonts w:ascii="Arial" w:hAnsi="Arial" w:cs="Arial"/>
        </w:rPr>
        <w:t>Otro de los retos más pronunciados para los productores hondureños es la adaptación a la estructura de precios significativamente más baja que domina el mercado chino. Esta situación implica una revisión exhaustiva de los costos de producción y obliga a los productores a ajustar sus márgenes de ganancia para poder competir</w:t>
      </w:r>
      <w:r w:rsidR="00EF633A">
        <w:rPr>
          <w:rFonts w:ascii="Arial" w:hAnsi="Arial" w:cs="Arial"/>
        </w:rPr>
        <w:t xml:space="preserve"> </w:t>
      </w:r>
      <w:r w:rsidR="007F31AD">
        <w:rPr>
          <w:rFonts w:ascii="Arial" w:hAnsi="Arial" w:cs="Arial"/>
        </w:rPr>
        <w:t xml:space="preserve">frente a otros productores de otros países </w:t>
      </w:r>
      <w:r w:rsidR="007F31AD" w:rsidRPr="007F31AD">
        <w:rPr>
          <w:rFonts w:ascii="Arial" w:hAnsi="Arial" w:cs="Arial"/>
        </w:rPr>
        <w:t>(Entrevistado 3, comunicación personal, 6 de marzo de 2024; Entrevistado 1, comunicación personal, 6 de marzo de 2024; Entrevistado 4, comunicación personal, 16 de marzo de 2024; Entrevistado 6, comunicación personal, 7 de marzo de 2024)</w:t>
      </w:r>
      <w:r w:rsidRPr="00C50CF2">
        <w:rPr>
          <w:rFonts w:ascii="Arial" w:hAnsi="Arial" w:cs="Arial"/>
        </w:rPr>
        <w:t>. En el sector camaronero, por ejemplo, se han enfrentado desafíos sustanciales al tratar de alinear sus precios con las expectativas del mercado chino, tras haber disfrutado de precios premium en mercados como Taiwán. Según el productor camaronero entrevistado, “China está acostumbrado a comprar camarón de Ecuador que tiene un costo muy inferior y también la calidad no es la misma que es la que nosotros producimos” (Entrevistado 3, comunicación personal, 6 de marzo de 2024), lo cual evidencia la dificultad de competir en un entorno que privilegia la eficiencia de costos sobre la calidad del producto.</w:t>
      </w:r>
    </w:p>
    <w:p w14:paraId="2AB33512" w14:textId="77777777" w:rsidR="007F31AD" w:rsidRDefault="00C50CF2" w:rsidP="00EF633A">
      <w:pPr>
        <w:spacing w:before="240" w:line="360" w:lineRule="auto"/>
        <w:jc w:val="both"/>
        <w:rPr>
          <w:rFonts w:ascii="Arial" w:hAnsi="Arial" w:cs="Arial"/>
        </w:rPr>
      </w:pPr>
      <w:r w:rsidRPr="00C50CF2">
        <w:rPr>
          <w:rFonts w:ascii="Arial" w:hAnsi="Arial" w:cs="Arial"/>
        </w:rPr>
        <w:lastRenderedPageBreak/>
        <w:t xml:space="preserve">Esta problemática se extiende a otros sectores, como el del café especial y el cacao, donde los precios competitivos son igualmente determinantes. Los productores de cafés y cacaos de especialidad enfrentan el reto de mantener la rentabilidad mientras se adaptan a un mercado que presiona por precios más bajos: </w:t>
      </w:r>
    </w:p>
    <w:p w14:paraId="45402464" w14:textId="22A05C49" w:rsidR="00C50CF2" w:rsidRPr="00C50CF2" w:rsidRDefault="00C50CF2" w:rsidP="007F31AD">
      <w:pPr>
        <w:spacing w:before="240" w:line="360" w:lineRule="auto"/>
        <w:ind w:left="708"/>
        <w:jc w:val="both"/>
        <w:rPr>
          <w:rFonts w:ascii="Arial" w:hAnsi="Arial" w:cs="Arial"/>
        </w:rPr>
      </w:pPr>
      <w:r w:rsidRPr="00C50CF2">
        <w:rPr>
          <w:rFonts w:ascii="Arial" w:hAnsi="Arial" w:cs="Arial"/>
        </w:rPr>
        <w:t xml:space="preserve">El impacto en el sector es que ellos están negociando muchos precios </w:t>
      </w:r>
      <w:proofErr w:type="spellStart"/>
      <w:r w:rsidRPr="00C50CF2">
        <w:rPr>
          <w:rFonts w:ascii="Arial" w:hAnsi="Arial" w:cs="Arial"/>
        </w:rPr>
        <w:t>commodities</w:t>
      </w:r>
      <w:proofErr w:type="spellEnd"/>
      <w:r w:rsidRPr="00C50CF2">
        <w:rPr>
          <w:rFonts w:ascii="Arial" w:hAnsi="Arial" w:cs="Arial"/>
        </w:rPr>
        <w:t>, y eso es una desventaja porque nosotros nos estamos moviendo en un sector ya de cafés de especialidades, cacao de especialidad que son ya de otro estándar, otro nivel de precios, pero el mercado chino está pidiendo otra cosa</w:t>
      </w:r>
      <w:r w:rsidR="007F31AD">
        <w:rPr>
          <w:rFonts w:ascii="Arial" w:hAnsi="Arial" w:cs="Arial"/>
        </w:rPr>
        <w:t xml:space="preserve">. </w:t>
      </w:r>
      <w:r w:rsidRPr="00C50CF2">
        <w:rPr>
          <w:rFonts w:ascii="Arial" w:hAnsi="Arial" w:cs="Arial"/>
        </w:rPr>
        <w:t>(Entrevistado 4, comunicación personal, 16 de marzo de 2024).</w:t>
      </w:r>
    </w:p>
    <w:p w14:paraId="2C6B5F37" w14:textId="11253C6E" w:rsidR="00C50CF2" w:rsidRPr="00C50CF2" w:rsidRDefault="00C50CF2" w:rsidP="00EF633A">
      <w:pPr>
        <w:spacing w:before="240" w:line="360" w:lineRule="auto"/>
        <w:jc w:val="both"/>
        <w:rPr>
          <w:rFonts w:ascii="Arial" w:hAnsi="Arial" w:cs="Arial"/>
        </w:rPr>
      </w:pPr>
      <w:r w:rsidRPr="00C50CF2">
        <w:rPr>
          <w:rFonts w:ascii="Arial" w:hAnsi="Arial" w:cs="Arial"/>
        </w:rPr>
        <w:t>La presión por reducir costos no se limita a los productos agrícolas, sino que también afecta a industrias como la vitivinícola y la tabacalera</w:t>
      </w:r>
      <w:r w:rsidRPr="007F31AD">
        <w:rPr>
          <w:rFonts w:ascii="Arial" w:hAnsi="Arial" w:cs="Arial"/>
        </w:rPr>
        <w:t>, donde el control gubernamental chino sobre los precios</w:t>
      </w:r>
      <w:r w:rsidRPr="00C50CF2">
        <w:rPr>
          <w:rFonts w:ascii="Arial" w:hAnsi="Arial" w:cs="Arial"/>
        </w:rPr>
        <w:t xml:space="preserve"> y las importaciones agrega capas adicionales de complejidad</w:t>
      </w:r>
      <w:r w:rsidR="007F31AD">
        <w:rPr>
          <w:rFonts w:ascii="Arial" w:hAnsi="Arial" w:cs="Arial"/>
        </w:rPr>
        <w:t xml:space="preserve"> </w:t>
      </w:r>
      <w:r w:rsidRPr="00C50CF2">
        <w:rPr>
          <w:rFonts w:ascii="Arial" w:hAnsi="Arial" w:cs="Arial"/>
        </w:rPr>
        <w:t>(Entrevistado 6, comunicación personal, 7 de marzo de 2024). Esto refleja las barreras adicionales que los productores deben superar para penetrar en el mercado chino.</w:t>
      </w:r>
    </w:p>
    <w:p w14:paraId="19571FF9" w14:textId="52B06693" w:rsidR="00C50CF2" w:rsidRPr="00C50CF2" w:rsidRDefault="00C50CF2" w:rsidP="00EF633A">
      <w:pPr>
        <w:spacing w:before="240" w:line="360" w:lineRule="auto"/>
        <w:jc w:val="both"/>
        <w:rPr>
          <w:rFonts w:ascii="Arial" w:hAnsi="Arial" w:cs="Arial"/>
        </w:rPr>
      </w:pPr>
      <w:r w:rsidRPr="00C50CF2">
        <w:rPr>
          <w:rFonts w:ascii="Arial" w:hAnsi="Arial" w:cs="Arial"/>
        </w:rPr>
        <w:t>Asimismo, los rigurosos estándares fitosanitarios y administrativos exigidos por China incrementan los costos operativos y extienden los tiempos de acceso al mercado, complicando aún más la capacidad de respuesta rápida ante oportunidades comerciales</w:t>
      </w:r>
      <w:r w:rsidR="007F31AD">
        <w:rPr>
          <w:rFonts w:ascii="Arial" w:hAnsi="Arial" w:cs="Arial"/>
        </w:rPr>
        <w:t>:</w:t>
      </w:r>
      <w:r w:rsidRPr="00C50CF2">
        <w:rPr>
          <w:rFonts w:ascii="Arial" w:hAnsi="Arial" w:cs="Arial"/>
        </w:rPr>
        <w:t xml:space="preserve"> “nosotros sí queremos aprovecharlo, pero igual estamos haciendo todos los trámites posibles para poder comenzar con las ventas hacia China, pero eso depende de si hacemos todos los trámites que se requieren” (Entrevistado 5, comunicación personal, 15 de marzo de 2024).</w:t>
      </w:r>
    </w:p>
    <w:p w14:paraId="560956B9" w14:textId="0A1AC4A8" w:rsidR="007F31AD" w:rsidRDefault="007F31AD" w:rsidP="009F5558">
      <w:pPr>
        <w:spacing w:before="240" w:line="360" w:lineRule="auto"/>
        <w:jc w:val="both"/>
        <w:rPr>
          <w:rFonts w:ascii="Arial" w:hAnsi="Arial" w:cs="Arial"/>
        </w:rPr>
      </w:pPr>
      <w:r>
        <w:rPr>
          <w:rFonts w:ascii="Arial" w:hAnsi="Arial" w:cs="Arial"/>
        </w:rPr>
        <w:t>L</w:t>
      </w:r>
      <w:r w:rsidR="00C50CF2" w:rsidRPr="00C50CF2">
        <w:rPr>
          <w:rFonts w:ascii="Arial" w:hAnsi="Arial" w:cs="Arial"/>
        </w:rPr>
        <w:t>a presión por reducir costos y competir en precios en el mercado chino plantea un desafío sustancial para los productores hondureños, requiriendo una revisión profunda de las estrategias de producción y comercialización para asegurar la sostenibilidad y la rentabilidad en este nuevo entorno comercial.</w:t>
      </w:r>
    </w:p>
    <w:p w14:paraId="433D637C" w14:textId="2517F8C4" w:rsidR="007F31AD" w:rsidRPr="009F5558" w:rsidRDefault="00805F70">
      <w:pPr>
        <w:pStyle w:val="Ttulo4"/>
        <w:numPr>
          <w:ilvl w:val="3"/>
          <w:numId w:val="7"/>
        </w:numPr>
        <w:spacing w:before="240" w:line="360" w:lineRule="auto"/>
        <w:jc w:val="both"/>
        <w:rPr>
          <w:rFonts w:ascii="Arial" w:hAnsi="Arial" w:cs="Arial"/>
          <w:i w:val="0"/>
          <w:iCs w:val="0"/>
          <w:color w:val="000000" w:themeColor="text1"/>
        </w:rPr>
      </w:pPr>
      <w:r w:rsidRPr="009F5558">
        <w:rPr>
          <w:rFonts w:ascii="Arial" w:hAnsi="Arial" w:cs="Arial"/>
          <w:i w:val="0"/>
          <w:iCs w:val="0"/>
          <w:color w:val="000000" w:themeColor="text1"/>
        </w:rPr>
        <w:t xml:space="preserve">Perspectivas </w:t>
      </w:r>
      <w:r w:rsidR="005A0BC4">
        <w:rPr>
          <w:rFonts w:ascii="Arial" w:hAnsi="Arial" w:cs="Arial"/>
          <w:i w:val="0"/>
          <w:iCs w:val="0"/>
          <w:color w:val="000000" w:themeColor="text1"/>
        </w:rPr>
        <w:t>d</w:t>
      </w:r>
      <w:r w:rsidR="00EC3424" w:rsidRPr="009F5558">
        <w:rPr>
          <w:rFonts w:ascii="Arial" w:hAnsi="Arial" w:cs="Arial"/>
          <w:i w:val="0"/>
          <w:iCs w:val="0"/>
          <w:color w:val="000000" w:themeColor="text1"/>
        </w:rPr>
        <w:t>e</w:t>
      </w:r>
      <w:r w:rsidR="005A0BC4">
        <w:rPr>
          <w:rFonts w:ascii="Arial" w:hAnsi="Arial" w:cs="Arial"/>
          <w:i w:val="0"/>
          <w:iCs w:val="0"/>
          <w:color w:val="000000" w:themeColor="text1"/>
        </w:rPr>
        <w:t xml:space="preserve"> e</w:t>
      </w:r>
      <w:r w:rsidRPr="009F5558">
        <w:rPr>
          <w:rFonts w:ascii="Arial" w:hAnsi="Arial" w:cs="Arial"/>
          <w:i w:val="0"/>
          <w:iCs w:val="0"/>
          <w:color w:val="000000" w:themeColor="text1"/>
        </w:rPr>
        <w:t xml:space="preserve">xpertos </w:t>
      </w:r>
      <w:r w:rsidR="005A0BC4">
        <w:rPr>
          <w:rFonts w:ascii="Arial" w:hAnsi="Arial" w:cs="Arial"/>
          <w:i w:val="0"/>
          <w:iCs w:val="0"/>
          <w:color w:val="000000" w:themeColor="text1"/>
        </w:rPr>
        <w:t>e</w:t>
      </w:r>
      <w:r w:rsidR="00EC3424" w:rsidRPr="009F5558">
        <w:rPr>
          <w:rFonts w:ascii="Arial" w:hAnsi="Arial" w:cs="Arial"/>
          <w:i w:val="0"/>
          <w:iCs w:val="0"/>
          <w:color w:val="000000" w:themeColor="text1"/>
        </w:rPr>
        <w:t xml:space="preserve">n </w:t>
      </w:r>
      <w:r w:rsidR="005A0BC4">
        <w:rPr>
          <w:rFonts w:ascii="Arial" w:hAnsi="Arial" w:cs="Arial"/>
          <w:i w:val="0"/>
          <w:iCs w:val="0"/>
          <w:color w:val="000000" w:themeColor="text1"/>
        </w:rPr>
        <w:t>e</w:t>
      </w:r>
      <w:r w:rsidR="00EC3424" w:rsidRPr="009F5558">
        <w:rPr>
          <w:rFonts w:ascii="Arial" w:hAnsi="Arial" w:cs="Arial"/>
          <w:i w:val="0"/>
          <w:iCs w:val="0"/>
          <w:color w:val="000000" w:themeColor="text1"/>
        </w:rPr>
        <w:t xml:space="preserve">l </w:t>
      </w:r>
      <w:r w:rsidR="005A0BC4">
        <w:rPr>
          <w:rFonts w:ascii="Arial" w:hAnsi="Arial" w:cs="Arial"/>
          <w:i w:val="0"/>
          <w:iCs w:val="0"/>
          <w:color w:val="000000" w:themeColor="text1"/>
        </w:rPr>
        <w:t>s</w:t>
      </w:r>
      <w:r w:rsidR="00EC3424" w:rsidRPr="009F5558">
        <w:rPr>
          <w:rFonts w:ascii="Arial" w:hAnsi="Arial" w:cs="Arial"/>
          <w:i w:val="0"/>
          <w:iCs w:val="0"/>
          <w:color w:val="000000" w:themeColor="text1"/>
        </w:rPr>
        <w:t xml:space="preserve">ector </w:t>
      </w:r>
      <w:r w:rsidR="005A0BC4">
        <w:rPr>
          <w:rFonts w:ascii="Arial" w:hAnsi="Arial" w:cs="Arial"/>
          <w:i w:val="0"/>
          <w:iCs w:val="0"/>
          <w:color w:val="000000" w:themeColor="text1"/>
        </w:rPr>
        <w:t>a</w:t>
      </w:r>
      <w:r w:rsidR="00EC3424" w:rsidRPr="009F5558">
        <w:rPr>
          <w:rFonts w:ascii="Arial" w:hAnsi="Arial" w:cs="Arial"/>
          <w:i w:val="0"/>
          <w:iCs w:val="0"/>
          <w:color w:val="000000" w:themeColor="text1"/>
        </w:rPr>
        <w:t xml:space="preserve">cadémico Y </w:t>
      </w:r>
      <w:r w:rsidR="005A0BC4">
        <w:rPr>
          <w:rFonts w:ascii="Arial" w:hAnsi="Arial" w:cs="Arial"/>
          <w:i w:val="0"/>
          <w:iCs w:val="0"/>
          <w:color w:val="000000" w:themeColor="text1"/>
        </w:rPr>
        <w:t>p</w:t>
      </w:r>
      <w:r w:rsidR="00EC3424" w:rsidRPr="009F5558">
        <w:rPr>
          <w:rFonts w:ascii="Arial" w:hAnsi="Arial" w:cs="Arial"/>
          <w:i w:val="0"/>
          <w:iCs w:val="0"/>
          <w:color w:val="000000" w:themeColor="text1"/>
        </w:rPr>
        <w:t xml:space="preserve">rofesional </w:t>
      </w:r>
    </w:p>
    <w:p w14:paraId="34AF8639" w14:textId="2DCB61D3" w:rsidR="00FA1E4C" w:rsidRDefault="000601E2" w:rsidP="00795AAA">
      <w:pPr>
        <w:spacing w:line="360" w:lineRule="auto"/>
        <w:jc w:val="both"/>
        <w:rPr>
          <w:rFonts w:ascii="Arial" w:hAnsi="Arial" w:cs="Arial"/>
        </w:rPr>
      </w:pPr>
      <w:r w:rsidRPr="000601E2">
        <w:rPr>
          <w:rFonts w:ascii="Arial" w:hAnsi="Arial" w:cs="Arial"/>
        </w:rPr>
        <w:t xml:space="preserve">Durante el periodo de entrevistas se llevaron a cabo sesiones semiestructuradas con destacados profesionales y académicos, especialistas en comercio </w:t>
      </w:r>
      <w:r w:rsidRPr="000601E2">
        <w:rPr>
          <w:rFonts w:ascii="Arial" w:hAnsi="Arial" w:cs="Arial"/>
        </w:rPr>
        <w:lastRenderedPageBreak/>
        <w:t xml:space="preserve">internacional y en el análisis de las relaciones comerciales de Honduras. Estos expertos, provenientes tanto del ámbito académico como del sector público, ofrecieron perspectivas críticas y fundamentadas sobre el impacto potencial del Tratado de Libre Comercio con China en la economía hondureña. </w:t>
      </w:r>
      <w:r w:rsidR="00CC411A" w:rsidRPr="00CC411A">
        <w:rPr>
          <w:rFonts w:ascii="Arial" w:hAnsi="Arial" w:cs="Arial"/>
        </w:rPr>
        <w:t>Sus testimonios subrayan la tensión entre un mercado global de gran tamaño y la capacidad productiva aún limitada de Honduras, revelando beneficios como el acceso masivo a compradores y la transferencia de tecnología, junto a desafíos vinculados con la modernización y competitividad del país.</w:t>
      </w:r>
      <w:r w:rsidR="00CC411A">
        <w:rPr>
          <w:rFonts w:ascii="Arial" w:hAnsi="Arial" w:cs="Arial"/>
        </w:rPr>
        <w:t xml:space="preserve"> </w:t>
      </w:r>
      <w:r w:rsidRPr="000601E2">
        <w:rPr>
          <w:rFonts w:ascii="Arial" w:hAnsi="Arial" w:cs="Arial"/>
        </w:rPr>
        <w:t>A continuación, se presenta un cuadro de caracterización de los expertos entrevistados, seguido del análisis detallado de las principales ventajas identificadas.</w:t>
      </w:r>
    </w:p>
    <w:p w14:paraId="0C6C6B15" w14:textId="77777777" w:rsidR="00795AAA" w:rsidRDefault="00795AAA" w:rsidP="00795AAA">
      <w:pPr>
        <w:spacing w:line="360" w:lineRule="auto"/>
        <w:jc w:val="both"/>
        <w:rPr>
          <w:rFonts w:ascii="Arial" w:hAnsi="Arial" w:cs="Arial"/>
        </w:rPr>
      </w:pPr>
    </w:p>
    <w:p w14:paraId="1339929D" w14:textId="74584BFF" w:rsidR="000172E9" w:rsidRPr="000172E9" w:rsidRDefault="000172E9" w:rsidP="00795AAA">
      <w:pPr>
        <w:pStyle w:val="Descripcin"/>
        <w:keepNext/>
        <w:spacing w:line="360" w:lineRule="auto"/>
        <w:rPr>
          <w:rFonts w:ascii="Arial" w:hAnsi="Arial" w:cs="Arial"/>
          <w:color w:val="000000" w:themeColor="text1"/>
          <w:sz w:val="24"/>
          <w:szCs w:val="24"/>
        </w:rPr>
      </w:pPr>
      <w:bookmarkStart w:id="76" w:name="_Toc236227184"/>
      <w:r w:rsidRPr="00795AAA">
        <w:rPr>
          <w:rFonts w:ascii="Arial" w:hAnsi="Arial" w:cs="Arial"/>
          <w:b/>
          <w:bCs/>
          <w:i w:val="0"/>
          <w:iCs w:val="0"/>
          <w:color w:val="000000" w:themeColor="text1"/>
          <w:sz w:val="24"/>
          <w:szCs w:val="24"/>
        </w:rPr>
        <w:t xml:space="preserve">Tabla </w:t>
      </w:r>
      <w:r w:rsidRPr="00795AAA">
        <w:rPr>
          <w:rFonts w:ascii="Arial" w:hAnsi="Arial" w:cs="Arial"/>
          <w:b/>
          <w:bCs/>
          <w:i w:val="0"/>
          <w:iCs w:val="0"/>
          <w:color w:val="000000" w:themeColor="text1"/>
          <w:sz w:val="24"/>
          <w:szCs w:val="24"/>
        </w:rPr>
        <w:fldChar w:fldCharType="begin"/>
      </w:r>
      <w:r w:rsidRPr="00795AAA">
        <w:rPr>
          <w:rFonts w:ascii="Arial" w:hAnsi="Arial" w:cs="Arial"/>
          <w:b/>
          <w:bCs/>
          <w:i w:val="0"/>
          <w:iCs w:val="0"/>
          <w:color w:val="000000" w:themeColor="text1"/>
          <w:sz w:val="24"/>
          <w:szCs w:val="24"/>
        </w:rPr>
        <w:instrText xml:space="preserve"> SEQ Tabla \* ARABIC </w:instrText>
      </w:r>
      <w:r w:rsidRPr="00795AAA">
        <w:rPr>
          <w:rFonts w:ascii="Arial" w:hAnsi="Arial" w:cs="Arial"/>
          <w:b/>
          <w:bCs/>
          <w:i w:val="0"/>
          <w:iCs w:val="0"/>
          <w:color w:val="000000" w:themeColor="text1"/>
          <w:sz w:val="24"/>
          <w:szCs w:val="24"/>
        </w:rPr>
        <w:fldChar w:fldCharType="separate"/>
      </w:r>
      <w:r w:rsidRPr="00795AAA">
        <w:rPr>
          <w:rFonts w:ascii="Arial" w:hAnsi="Arial" w:cs="Arial"/>
          <w:b/>
          <w:bCs/>
          <w:i w:val="0"/>
          <w:iCs w:val="0"/>
          <w:noProof/>
          <w:color w:val="000000" w:themeColor="text1"/>
          <w:sz w:val="24"/>
          <w:szCs w:val="24"/>
        </w:rPr>
        <w:t>4</w:t>
      </w:r>
      <w:r w:rsidRPr="00795AAA">
        <w:rPr>
          <w:rFonts w:ascii="Arial" w:hAnsi="Arial" w:cs="Arial"/>
          <w:b/>
          <w:bCs/>
          <w:i w:val="0"/>
          <w:iCs w:val="0"/>
          <w:color w:val="000000" w:themeColor="text1"/>
          <w:sz w:val="24"/>
          <w:szCs w:val="24"/>
        </w:rPr>
        <w:fldChar w:fldCharType="end"/>
      </w:r>
      <w:r w:rsidRPr="000172E9">
        <w:rPr>
          <w:rFonts w:ascii="Arial" w:hAnsi="Arial" w:cs="Arial"/>
          <w:color w:val="000000" w:themeColor="text1"/>
          <w:sz w:val="24"/>
          <w:szCs w:val="24"/>
        </w:rPr>
        <w:t xml:space="preserve"> </w:t>
      </w:r>
      <w:r w:rsidRPr="00795AAA">
        <w:rPr>
          <w:rStyle w:val="nfasis"/>
          <w:rFonts w:ascii="Arial" w:eastAsiaTheme="majorEastAsia" w:hAnsi="Arial" w:cs="Arial"/>
          <w:i/>
          <w:iCs/>
          <w:color w:val="000000" w:themeColor="text1"/>
          <w:sz w:val="24"/>
          <w:szCs w:val="24"/>
        </w:rPr>
        <w:t>Caracterización de los entrevistados en el estudio sobre el TLC entre Honduras y China</w:t>
      </w:r>
      <w:bookmarkEnd w:id="76"/>
    </w:p>
    <w:tbl>
      <w:tblPr>
        <w:tblStyle w:val="Tablaconcuadrculaclara"/>
        <w:tblW w:w="8881"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ayout w:type="fixed"/>
        <w:tblCellMar>
          <w:top w:w="57" w:type="dxa"/>
          <w:left w:w="57" w:type="dxa"/>
        </w:tblCellMar>
        <w:tblLook w:val="04A0" w:firstRow="1" w:lastRow="0" w:firstColumn="1" w:lastColumn="0" w:noHBand="0" w:noVBand="1"/>
      </w:tblPr>
      <w:tblGrid>
        <w:gridCol w:w="2405"/>
        <w:gridCol w:w="2892"/>
        <w:gridCol w:w="1538"/>
        <w:gridCol w:w="2046"/>
      </w:tblGrid>
      <w:tr w:rsidR="00BC3787" w14:paraId="0D6FE05C" w14:textId="77777777" w:rsidTr="006D06C5">
        <w:trPr>
          <w:trHeight w:val="491"/>
        </w:trPr>
        <w:tc>
          <w:tcPr>
            <w:tcW w:w="2405" w:type="dxa"/>
            <w:tcBorders>
              <w:top w:val="single" w:sz="4" w:space="0" w:color="auto"/>
              <w:bottom w:val="single" w:sz="4" w:space="0" w:color="auto"/>
            </w:tcBorders>
            <w:vAlign w:val="center"/>
            <w:hideMark/>
          </w:tcPr>
          <w:p w14:paraId="2576FE1C" w14:textId="77777777" w:rsidR="00BC3787" w:rsidRPr="00FA1E4C" w:rsidRDefault="00BC3787" w:rsidP="007A0E86">
            <w:pPr>
              <w:rPr>
                <w:rFonts w:ascii="Arial" w:hAnsi="Arial" w:cs="Arial"/>
                <w:b/>
                <w:bCs/>
              </w:rPr>
            </w:pPr>
            <w:r w:rsidRPr="00FA1E4C">
              <w:rPr>
                <w:rStyle w:val="Fuerte"/>
                <w:rFonts w:ascii="Arial" w:eastAsiaTheme="majorEastAsia" w:hAnsi="Arial" w:cs="Arial"/>
              </w:rPr>
              <w:t>Fecha de Entrevista</w:t>
            </w:r>
          </w:p>
        </w:tc>
        <w:tc>
          <w:tcPr>
            <w:tcW w:w="2892" w:type="dxa"/>
            <w:tcBorders>
              <w:top w:val="single" w:sz="4" w:space="0" w:color="auto"/>
              <w:bottom w:val="single" w:sz="4" w:space="0" w:color="auto"/>
            </w:tcBorders>
            <w:vAlign w:val="center"/>
            <w:hideMark/>
          </w:tcPr>
          <w:p w14:paraId="60FF3670" w14:textId="77777777" w:rsidR="00BC3787" w:rsidRPr="00FA1E4C" w:rsidRDefault="00BC3787" w:rsidP="007A0E86">
            <w:pPr>
              <w:rPr>
                <w:rFonts w:ascii="Arial" w:hAnsi="Arial" w:cs="Arial"/>
                <w:b/>
                <w:bCs/>
              </w:rPr>
            </w:pPr>
            <w:r w:rsidRPr="00FA1E4C">
              <w:rPr>
                <w:rStyle w:val="Fuerte"/>
                <w:rFonts w:ascii="Arial" w:eastAsiaTheme="majorEastAsia" w:hAnsi="Arial" w:cs="Arial"/>
              </w:rPr>
              <w:t>Empresa/Organización</w:t>
            </w:r>
          </w:p>
        </w:tc>
        <w:tc>
          <w:tcPr>
            <w:tcW w:w="1538" w:type="dxa"/>
            <w:tcBorders>
              <w:top w:val="single" w:sz="4" w:space="0" w:color="auto"/>
              <w:bottom w:val="single" w:sz="4" w:space="0" w:color="auto"/>
            </w:tcBorders>
            <w:vAlign w:val="center"/>
            <w:hideMark/>
          </w:tcPr>
          <w:p w14:paraId="37DCF077" w14:textId="77777777" w:rsidR="00BC3787" w:rsidRPr="00FA1E4C" w:rsidRDefault="00BC3787" w:rsidP="007A0E86">
            <w:pPr>
              <w:rPr>
                <w:rFonts w:ascii="Arial" w:hAnsi="Arial" w:cs="Arial"/>
                <w:b/>
                <w:bCs/>
              </w:rPr>
            </w:pPr>
            <w:r w:rsidRPr="00FA1E4C">
              <w:rPr>
                <w:rStyle w:val="Fuerte"/>
                <w:rFonts w:ascii="Arial" w:eastAsiaTheme="majorEastAsia" w:hAnsi="Arial" w:cs="Arial"/>
              </w:rPr>
              <w:t>Sector</w:t>
            </w:r>
          </w:p>
        </w:tc>
        <w:tc>
          <w:tcPr>
            <w:tcW w:w="2046" w:type="dxa"/>
            <w:tcBorders>
              <w:top w:val="single" w:sz="4" w:space="0" w:color="auto"/>
              <w:bottom w:val="single" w:sz="4" w:space="0" w:color="auto"/>
            </w:tcBorders>
            <w:vAlign w:val="center"/>
            <w:hideMark/>
          </w:tcPr>
          <w:p w14:paraId="3201E30B" w14:textId="77777777" w:rsidR="00BC3787" w:rsidRPr="00FA1E4C" w:rsidRDefault="00BC3787" w:rsidP="007A0E86">
            <w:pPr>
              <w:rPr>
                <w:rFonts w:ascii="Arial" w:hAnsi="Arial" w:cs="Arial"/>
                <w:b/>
                <w:bCs/>
              </w:rPr>
            </w:pPr>
            <w:r w:rsidRPr="00FA1E4C">
              <w:rPr>
                <w:rStyle w:val="Fuerte"/>
                <w:rFonts w:ascii="Arial" w:eastAsiaTheme="majorEastAsia" w:hAnsi="Arial" w:cs="Arial"/>
              </w:rPr>
              <w:t>Pseudónimo</w:t>
            </w:r>
          </w:p>
        </w:tc>
      </w:tr>
      <w:tr w:rsidR="00BC3787" w14:paraId="7D2CD4CE" w14:textId="77777777" w:rsidTr="006D06C5">
        <w:trPr>
          <w:trHeight w:val="570"/>
        </w:trPr>
        <w:tc>
          <w:tcPr>
            <w:tcW w:w="2405" w:type="dxa"/>
            <w:tcBorders>
              <w:top w:val="single" w:sz="4" w:space="0" w:color="auto"/>
            </w:tcBorders>
            <w:vAlign w:val="center"/>
            <w:hideMark/>
          </w:tcPr>
          <w:p w14:paraId="17FEE837" w14:textId="77777777" w:rsidR="00BC3787" w:rsidRPr="00FA1E4C" w:rsidRDefault="00BC3787" w:rsidP="007A0E86">
            <w:pPr>
              <w:rPr>
                <w:rFonts w:ascii="Arial" w:hAnsi="Arial" w:cs="Arial"/>
              </w:rPr>
            </w:pPr>
            <w:r w:rsidRPr="00FA1E4C">
              <w:rPr>
                <w:rFonts w:ascii="Arial" w:hAnsi="Arial" w:cs="Arial"/>
              </w:rPr>
              <w:t>12 de abril, 2024</w:t>
            </w:r>
          </w:p>
        </w:tc>
        <w:tc>
          <w:tcPr>
            <w:tcW w:w="2892" w:type="dxa"/>
            <w:tcBorders>
              <w:top w:val="single" w:sz="4" w:space="0" w:color="auto"/>
            </w:tcBorders>
            <w:vAlign w:val="center"/>
            <w:hideMark/>
          </w:tcPr>
          <w:p w14:paraId="291F41B3" w14:textId="77777777" w:rsidR="00BC3787" w:rsidRPr="00FA1E4C" w:rsidRDefault="00BC3787" w:rsidP="007A0E86">
            <w:pPr>
              <w:rPr>
                <w:rFonts w:ascii="Arial" w:hAnsi="Arial" w:cs="Arial"/>
              </w:rPr>
            </w:pPr>
            <w:r w:rsidRPr="00FA1E4C">
              <w:rPr>
                <w:rFonts w:ascii="Arial" w:hAnsi="Arial" w:cs="Arial"/>
              </w:rPr>
              <w:t>Universidad Instituto de Economía Estadual de Campinas, UNICAMP</w:t>
            </w:r>
          </w:p>
        </w:tc>
        <w:tc>
          <w:tcPr>
            <w:tcW w:w="1538" w:type="dxa"/>
            <w:tcBorders>
              <w:top w:val="single" w:sz="4" w:space="0" w:color="auto"/>
            </w:tcBorders>
            <w:vAlign w:val="center"/>
            <w:hideMark/>
          </w:tcPr>
          <w:p w14:paraId="36508AB6" w14:textId="28C389D4" w:rsidR="00BC3787" w:rsidRPr="00FA1E4C" w:rsidRDefault="00BC3787" w:rsidP="007A0E86">
            <w:pPr>
              <w:rPr>
                <w:rFonts w:ascii="Arial" w:hAnsi="Arial" w:cs="Arial"/>
              </w:rPr>
            </w:pPr>
            <w:r w:rsidRPr="00FA1E4C">
              <w:rPr>
                <w:rFonts w:ascii="Arial" w:hAnsi="Arial" w:cs="Arial"/>
              </w:rPr>
              <w:t>Académico/</w:t>
            </w:r>
            <w:r w:rsidRPr="00FA1E4C">
              <w:rPr>
                <w:rFonts w:ascii="Arial" w:hAnsi="Arial" w:cs="Arial"/>
              </w:rPr>
              <w:br/>
              <w:t>Profesional</w:t>
            </w:r>
          </w:p>
        </w:tc>
        <w:tc>
          <w:tcPr>
            <w:tcW w:w="2046" w:type="dxa"/>
            <w:tcBorders>
              <w:top w:val="single" w:sz="4" w:space="0" w:color="auto"/>
            </w:tcBorders>
            <w:vAlign w:val="center"/>
            <w:hideMark/>
          </w:tcPr>
          <w:p w14:paraId="4AE63930" w14:textId="77777777" w:rsidR="00BC3787" w:rsidRPr="00FA1E4C" w:rsidRDefault="00BC3787" w:rsidP="007A0E86">
            <w:pPr>
              <w:rPr>
                <w:rFonts w:ascii="Arial" w:hAnsi="Arial" w:cs="Arial"/>
              </w:rPr>
            </w:pPr>
            <w:r w:rsidRPr="00FA1E4C">
              <w:rPr>
                <w:rFonts w:ascii="Arial" w:hAnsi="Arial" w:cs="Arial"/>
              </w:rPr>
              <w:t>Entrevistado 9</w:t>
            </w:r>
          </w:p>
        </w:tc>
      </w:tr>
      <w:tr w:rsidR="00BC3787" w14:paraId="7684297F" w14:textId="77777777" w:rsidTr="006D06C5">
        <w:trPr>
          <w:trHeight w:val="491"/>
        </w:trPr>
        <w:tc>
          <w:tcPr>
            <w:tcW w:w="2405" w:type="dxa"/>
            <w:vAlign w:val="center"/>
            <w:hideMark/>
          </w:tcPr>
          <w:p w14:paraId="3BECD208" w14:textId="77777777" w:rsidR="00BC3787" w:rsidRPr="00FA1E4C" w:rsidRDefault="00BC3787" w:rsidP="007A0E86">
            <w:pPr>
              <w:rPr>
                <w:rFonts w:ascii="Arial" w:hAnsi="Arial" w:cs="Arial"/>
              </w:rPr>
            </w:pPr>
            <w:r w:rsidRPr="00FA1E4C">
              <w:rPr>
                <w:rFonts w:ascii="Arial" w:hAnsi="Arial" w:cs="Arial"/>
              </w:rPr>
              <w:t>15 de octubre, 2024</w:t>
            </w:r>
          </w:p>
        </w:tc>
        <w:tc>
          <w:tcPr>
            <w:tcW w:w="2892" w:type="dxa"/>
            <w:vAlign w:val="center"/>
            <w:hideMark/>
          </w:tcPr>
          <w:p w14:paraId="074245AA" w14:textId="77777777" w:rsidR="00BC3787" w:rsidRPr="00FA1E4C" w:rsidRDefault="00BC3787" w:rsidP="007A0E86">
            <w:pPr>
              <w:rPr>
                <w:rFonts w:ascii="Arial" w:hAnsi="Arial" w:cs="Arial"/>
              </w:rPr>
            </w:pPr>
            <w:r w:rsidRPr="00FA1E4C">
              <w:rPr>
                <w:rFonts w:ascii="Arial" w:hAnsi="Arial" w:cs="Arial"/>
              </w:rPr>
              <w:t>COHEP</w:t>
            </w:r>
          </w:p>
        </w:tc>
        <w:tc>
          <w:tcPr>
            <w:tcW w:w="1538" w:type="dxa"/>
            <w:vAlign w:val="center"/>
            <w:hideMark/>
          </w:tcPr>
          <w:p w14:paraId="3FC05CC5" w14:textId="2EB33CB8" w:rsidR="00BC3787" w:rsidRPr="00FA1E4C" w:rsidRDefault="00BC3787" w:rsidP="007A0E86">
            <w:pPr>
              <w:rPr>
                <w:rFonts w:ascii="Arial" w:hAnsi="Arial" w:cs="Arial"/>
              </w:rPr>
            </w:pPr>
            <w:r w:rsidRPr="00FA1E4C">
              <w:rPr>
                <w:rFonts w:ascii="Arial" w:hAnsi="Arial" w:cs="Arial"/>
              </w:rPr>
              <w:t>Profesional</w:t>
            </w:r>
          </w:p>
        </w:tc>
        <w:tc>
          <w:tcPr>
            <w:tcW w:w="2046" w:type="dxa"/>
            <w:vAlign w:val="center"/>
            <w:hideMark/>
          </w:tcPr>
          <w:p w14:paraId="51B3B719" w14:textId="77777777" w:rsidR="00BC3787" w:rsidRPr="00FA1E4C" w:rsidRDefault="00BC3787" w:rsidP="007A0E86">
            <w:pPr>
              <w:rPr>
                <w:rFonts w:ascii="Arial" w:hAnsi="Arial" w:cs="Arial"/>
              </w:rPr>
            </w:pPr>
            <w:r w:rsidRPr="00FA1E4C">
              <w:rPr>
                <w:rFonts w:ascii="Arial" w:hAnsi="Arial" w:cs="Arial"/>
              </w:rPr>
              <w:t>Entrevistado 10</w:t>
            </w:r>
          </w:p>
        </w:tc>
      </w:tr>
      <w:tr w:rsidR="00BC3787" w14:paraId="6FDCE6C6" w14:textId="77777777" w:rsidTr="006D06C5">
        <w:trPr>
          <w:trHeight w:val="491"/>
        </w:trPr>
        <w:tc>
          <w:tcPr>
            <w:tcW w:w="2405" w:type="dxa"/>
            <w:vAlign w:val="center"/>
            <w:hideMark/>
          </w:tcPr>
          <w:p w14:paraId="4738F129" w14:textId="02B5E899" w:rsidR="00BC3787" w:rsidRPr="00FA1E4C" w:rsidRDefault="00BC3787" w:rsidP="007A0E86">
            <w:pPr>
              <w:rPr>
                <w:rFonts w:ascii="Arial" w:hAnsi="Arial" w:cs="Arial"/>
              </w:rPr>
            </w:pPr>
            <w:r w:rsidRPr="00FA1E4C">
              <w:rPr>
                <w:rFonts w:ascii="Arial" w:hAnsi="Arial" w:cs="Arial"/>
              </w:rPr>
              <w:t>Enero 2025</w:t>
            </w:r>
          </w:p>
        </w:tc>
        <w:tc>
          <w:tcPr>
            <w:tcW w:w="2892" w:type="dxa"/>
            <w:vAlign w:val="center"/>
            <w:hideMark/>
          </w:tcPr>
          <w:p w14:paraId="6E888DAE" w14:textId="77777777" w:rsidR="00BC3787" w:rsidRPr="00FA1E4C" w:rsidRDefault="00BC3787" w:rsidP="007A0E86">
            <w:pPr>
              <w:rPr>
                <w:rFonts w:ascii="Arial" w:hAnsi="Arial" w:cs="Arial"/>
              </w:rPr>
            </w:pPr>
            <w:r w:rsidRPr="00FA1E4C">
              <w:rPr>
                <w:rFonts w:ascii="Arial" w:hAnsi="Arial" w:cs="Arial"/>
              </w:rPr>
              <w:t>Universidad Autónoma de Honduras (UNAH)</w:t>
            </w:r>
          </w:p>
        </w:tc>
        <w:tc>
          <w:tcPr>
            <w:tcW w:w="1538" w:type="dxa"/>
            <w:vAlign w:val="center"/>
            <w:hideMark/>
          </w:tcPr>
          <w:p w14:paraId="0E9ED0A5" w14:textId="77777777" w:rsidR="00BC3787" w:rsidRPr="00FA1E4C" w:rsidRDefault="00BC3787" w:rsidP="007A0E86">
            <w:pPr>
              <w:rPr>
                <w:rFonts w:ascii="Arial" w:hAnsi="Arial" w:cs="Arial"/>
              </w:rPr>
            </w:pPr>
            <w:r w:rsidRPr="00FA1E4C">
              <w:rPr>
                <w:rFonts w:ascii="Arial" w:hAnsi="Arial" w:cs="Arial"/>
              </w:rPr>
              <w:t>Académico</w:t>
            </w:r>
          </w:p>
        </w:tc>
        <w:tc>
          <w:tcPr>
            <w:tcW w:w="2046" w:type="dxa"/>
            <w:vAlign w:val="center"/>
            <w:hideMark/>
          </w:tcPr>
          <w:p w14:paraId="7DB6FB8A" w14:textId="77777777" w:rsidR="00BC3787" w:rsidRPr="00FA1E4C" w:rsidRDefault="00BC3787" w:rsidP="007A0E86">
            <w:pPr>
              <w:rPr>
                <w:rFonts w:ascii="Arial" w:hAnsi="Arial" w:cs="Arial"/>
              </w:rPr>
            </w:pPr>
            <w:r w:rsidRPr="00FA1E4C">
              <w:rPr>
                <w:rFonts w:ascii="Arial" w:hAnsi="Arial" w:cs="Arial"/>
              </w:rPr>
              <w:t>Entrevistado 11</w:t>
            </w:r>
          </w:p>
        </w:tc>
      </w:tr>
      <w:tr w:rsidR="00BC3787" w14:paraId="75263361" w14:textId="77777777" w:rsidTr="006D06C5">
        <w:trPr>
          <w:trHeight w:val="491"/>
        </w:trPr>
        <w:tc>
          <w:tcPr>
            <w:tcW w:w="2405" w:type="dxa"/>
            <w:tcBorders>
              <w:bottom w:val="single" w:sz="4" w:space="0" w:color="auto"/>
            </w:tcBorders>
            <w:vAlign w:val="center"/>
            <w:hideMark/>
          </w:tcPr>
          <w:p w14:paraId="088E2DB3" w14:textId="2ABDDBCF" w:rsidR="00BC3787" w:rsidRPr="00FA1E4C" w:rsidRDefault="00BC3787" w:rsidP="007A0E86">
            <w:pPr>
              <w:rPr>
                <w:rFonts w:ascii="Arial" w:hAnsi="Arial" w:cs="Arial"/>
              </w:rPr>
            </w:pPr>
            <w:r w:rsidRPr="00FA1E4C">
              <w:rPr>
                <w:rFonts w:ascii="Arial" w:hAnsi="Arial" w:cs="Arial"/>
              </w:rPr>
              <w:t>Enero 2025</w:t>
            </w:r>
          </w:p>
        </w:tc>
        <w:tc>
          <w:tcPr>
            <w:tcW w:w="2892" w:type="dxa"/>
            <w:tcBorders>
              <w:bottom w:val="single" w:sz="4" w:space="0" w:color="auto"/>
            </w:tcBorders>
            <w:vAlign w:val="center"/>
            <w:hideMark/>
          </w:tcPr>
          <w:p w14:paraId="517BD191" w14:textId="77777777" w:rsidR="00BC3787" w:rsidRPr="00FA1E4C" w:rsidRDefault="00BC3787" w:rsidP="007A0E86">
            <w:pPr>
              <w:rPr>
                <w:rFonts w:ascii="Arial" w:hAnsi="Arial" w:cs="Arial"/>
              </w:rPr>
            </w:pPr>
            <w:r w:rsidRPr="00FA1E4C">
              <w:rPr>
                <w:rFonts w:ascii="Arial" w:hAnsi="Arial" w:cs="Arial"/>
              </w:rPr>
              <w:t>Universidad Autónoma de Honduras (UNAH)</w:t>
            </w:r>
          </w:p>
        </w:tc>
        <w:tc>
          <w:tcPr>
            <w:tcW w:w="1538" w:type="dxa"/>
            <w:tcBorders>
              <w:bottom w:val="single" w:sz="4" w:space="0" w:color="auto"/>
            </w:tcBorders>
            <w:vAlign w:val="center"/>
            <w:hideMark/>
          </w:tcPr>
          <w:p w14:paraId="6B2F567E" w14:textId="2CD08DC3" w:rsidR="00BC3787" w:rsidRPr="00FA1E4C" w:rsidRDefault="00BC3787" w:rsidP="007A0E86">
            <w:pPr>
              <w:rPr>
                <w:rFonts w:ascii="Arial" w:hAnsi="Arial" w:cs="Arial"/>
              </w:rPr>
            </w:pPr>
            <w:r w:rsidRPr="00FA1E4C">
              <w:rPr>
                <w:rFonts w:ascii="Arial" w:hAnsi="Arial" w:cs="Arial"/>
              </w:rPr>
              <w:t>Académico/</w:t>
            </w:r>
            <w:r w:rsidRPr="00FA1E4C">
              <w:rPr>
                <w:rFonts w:ascii="Arial" w:hAnsi="Arial" w:cs="Arial"/>
              </w:rPr>
              <w:br/>
              <w:t>Profesional</w:t>
            </w:r>
          </w:p>
        </w:tc>
        <w:tc>
          <w:tcPr>
            <w:tcW w:w="2046" w:type="dxa"/>
            <w:tcBorders>
              <w:bottom w:val="single" w:sz="4" w:space="0" w:color="auto"/>
            </w:tcBorders>
            <w:vAlign w:val="center"/>
            <w:hideMark/>
          </w:tcPr>
          <w:p w14:paraId="12161B69" w14:textId="77777777" w:rsidR="00BC3787" w:rsidRPr="00FA1E4C" w:rsidRDefault="00BC3787" w:rsidP="007A0E86">
            <w:pPr>
              <w:rPr>
                <w:rFonts w:ascii="Arial" w:hAnsi="Arial" w:cs="Arial"/>
              </w:rPr>
            </w:pPr>
            <w:r w:rsidRPr="00FA1E4C">
              <w:rPr>
                <w:rFonts w:ascii="Arial" w:hAnsi="Arial" w:cs="Arial"/>
              </w:rPr>
              <w:t>Entrevistado 12</w:t>
            </w:r>
          </w:p>
        </w:tc>
      </w:tr>
      <w:tr w:rsidR="00BC3787" w14:paraId="4DE2BE9B" w14:textId="77777777" w:rsidTr="006D06C5">
        <w:trPr>
          <w:trHeight w:val="491"/>
        </w:trPr>
        <w:tc>
          <w:tcPr>
            <w:tcW w:w="2405" w:type="dxa"/>
            <w:tcBorders>
              <w:top w:val="single" w:sz="4" w:space="0" w:color="auto"/>
              <w:bottom w:val="single" w:sz="4" w:space="0" w:color="auto"/>
            </w:tcBorders>
            <w:vAlign w:val="center"/>
            <w:hideMark/>
          </w:tcPr>
          <w:p w14:paraId="558DFED5" w14:textId="31845C1F" w:rsidR="00BC3787" w:rsidRPr="00FA1E4C" w:rsidRDefault="00BC3787" w:rsidP="007A0E86">
            <w:pPr>
              <w:rPr>
                <w:rFonts w:ascii="Arial" w:hAnsi="Arial" w:cs="Arial"/>
              </w:rPr>
            </w:pPr>
            <w:r w:rsidRPr="00FA1E4C">
              <w:rPr>
                <w:rFonts w:ascii="Arial" w:hAnsi="Arial" w:cs="Arial"/>
              </w:rPr>
              <w:t>Enero 2025</w:t>
            </w:r>
          </w:p>
        </w:tc>
        <w:tc>
          <w:tcPr>
            <w:tcW w:w="2892" w:type="dxa"/>
            <w:tcBorders>
              <w:top w:val="single" w:sz="4" w:space="0" w:color="auto"/>
              <w:bottom w:val="single" w:sz="4" w:space="0" w:color="auto"/>
            </w:tcBorders>
            <w:vAlign w:val="center"/>
            <w:hideMark/>
          </w:tcPr>
          <w:p w14:paraId="43760F1D" w14:textId="77777777" w:rsidR="00BC3787" w:rsidRPr="00FA1E4C" w:rsidRDefault="00BC3787" w:rsidP="007A0E86">
            <w:pPr>
              <w:rPr>
                <w:rFonts w:ascii="Arial" w:hAnsi="Arial" w:cs="Arial"/>
              </w:rPr>
            </w:pPr>
            <w:r w:rsidRPr="00FA1E4C">
              <w:rPr>
                <w:rFonts w:ascii="Arial" w:hAnsi="Arial" w:cs="Arial"/>
              </w:rPr>
              <w:t>Aduanas Honduras</w:t>
            </w:r>
          </w:p>
        </w:tc>
        <w:tc>
          <w:tcPr>
            <w:tcW w:w="1538" w:type="dxa"/>
            <w:tcBorders>
              <w:top w:val="single" w:sz="4" w:space="0" w:color="auto"/>
              <w:bottom w:val="single" w:sz="4" w:space="0" w:color="auto"/>
            </w:tcBorders>
            <w:vAlign w:val="center"/>
            <w:hideMark/>
          </w:tcPr>
          <w:p w14:paraId="50E13628" w14:textId="77777777" w:rsidR="00BC3787" w:rsidRPr="00FA1E4C" w:rsidRDefault="00BC3787" w:rsidP="007A0E86">
            <w:pPr>
              <w:rPr>
                <w:rFonts w:ascii="Arial" w:hAnsi="Arial" w:cs="Arial"/>
              </w:rPr>
            </w:pPr>
            <w:r w:rsidRPr="00FA1E4C">
              <w:rPr>
                <w:rFonts w:ascii="Arial" w:hAnsi="Arial" w:cs="Arial"/>
              </w:rPr>
              <w:t>Sector Público</w:t>
            </w:r>
          </w:p>
        </w:tc>
        <w:tc>
          <w:tcPr>
            <w:tcW w:w="2046" w:type="dxa"/>
            <w:tcBorders>
              <w:top w:val="single" w:sz="4" w:space="0" w:color="auto"/>
              <w:bottom w:val="single" w:sz="4" w:space="0" w:color="auto"/>
            </w:tcBorders>
            <w:vAlign w:val="center"/>
            <w:hideMark/>
          </w:tcPr>
          <w:p w14:paraId="6AE77E3C" w14:textId="77777777" w:rsidR="00BC3787" w:rsidRPr="00FA1E4C" w:rsidRDefault="00BC3787" w:rsidP="007A0E86">
            <w:pPr>
              <w:rPr>
                <w:rFonts w:ascii="Arial" w:hAnsi="Arial" w:cs="Arial"/>
              </w:rPr>
            </w:pPr>
            <w:r w:rsidRPr="00FA1E4C">
              <w:rPr>
                <w:rFonts w:ascii="Arial" w:hAnsi="Arial" w:cs="Arial"/>
              </w:rPr>
              <w:t>Entrevistado 13</w:t>
            </w:r>
          </w:p>
        </w:tc>
      </w:tr>
    </w:tbl>
    <w:p w14:paraId="5DB049CF" w14:textId="7B508140" w:rsidR="00560B5F" w:rsidRPr="00906115" w:rsidRDefault="00EC3424" w:rsidP="00EC3424">
      <w:pPr>
        <w:spacing w:line="360" w:lineRule="auto"/>
        <w:jc w:val="both"/>
        <w:rPr>
          <w:rFonts w:ascii="Arial" w:hAnsi="Arial" w:cs="Arial"/>
        </w:rPr>
      </w:pPr>
      <w:r w:rsidRPr="0024414A">
        <w:rPr>
          <w:rFonts w:ascii="Arial" w:hAnsi="Arial" w:cs="Arial"/>
        </w:rPr>
        <w:t>Fuente: Elaboración propia.</w:t>
      </w:r>
    </w:p>
    <w:p w14:paraId="3A389196" w14:textId="77777777" w:rsidR="00BF4CB5" w:rsidRDefault="009A0B28" w:rsidP="009A0B28">
      <w:pPr>
        <w:spacing w:before="100" w:beforeAutospacing="1" w:after="100" w:afterAutospacing="1" w:line="360" w:lineRule="auto"/>
        <w:jc w:val="both"/>
        <w:rPr>
          <w:rFonts w:ascii="Arial" w:hAnsi="Arial" w:cs="Arial"/>
        </w:rPr>
      </w:pPr>
      <w:r w:rsidRPr="009A0B28">
        <w:rPr>
          <w:rFonts w:ascii="Arial" w:hAnsi="Arial" w:cs="Arial"/>
        </w:rPr>
        <w:t xml:space="preserve">Los expertos coinciden en que el TLC con China ofrece una ventana de oportunidad única para que Honduras acceda a uno de los mercados más grandes y diversificados del mundo. Esta apertura no solo implica un aumento de volúmenes, sino también la posibilidad de captar segmentos de consumidores con perfiles muy distintos, desde compradores masivos hasta nichos de alto poder adquisitivo. </w:t>
      </w:r>
    </w:p>
    <w:p w14:paraId="7412D4AC" w14:textId="3A10FF1D" w:rsidR="009A0B28" w:rsidRPr="009A0B28" w:rsidRDefault="009A0B28" w:rsidP="009A0B28">
      <w:pPr>
        <w:spacing w:before="100" w:beforeAutospacing="1" w:after="100" w:afterAutospacing="1" w:line="360" w:lineRule="auto"/>
        <w:jc w:val="both"/>
        <w:rPr>
          <w:rFonts w:ascii="Arial" w:hAnsi="Arial" w:cs="Arial"/>
        </w:rPr>
      </w:pPr>
      <w:r w:rsidRPr="009A0B28">
        <w:rPr>
          <w:rFonts w:ascii="Arial" w:hAnsi="Arial" w:cs="Arial"/>
        </w:rPr>
        <w:t xml:space="preserve">En este contexto, la dimensión del mercado chino multiplica el impacto de las exportaciones hondureñas, aun cuando participen con porcentajes relativamente </w:t>
      </w:r>
      <w:r w:rsidRPr="009A0B28">
        <w:rPr>
          <w:rFonts w:ascii="Arial" w:hAnsi="Arial" w:cs="Arial"/>
        </w:rPr>
        <w:lastRenderedPageBreak/>
        <w:t>bajos, generando un efecto renta que podría traducirse en mayor estabilidad económica.</w:t>
      </w:r>
      <w:r w:rsidR="00BF4CB5">
        <w:rPr>
          <w:rFonts w:ascii="Arial" w:hAnsi="Arial" w:cs="Arial"/>
        </w:rPr>
        <w:t xml:space="preserve"> </w:t>
      </w:r>
      <w:r w:rsidRPr="009A0B28">
        <w:rPr>
          <w:rFonts w:ascii="Arial" w:hAnsi="Arial" w:cs="Arial"/>
        </w:rPr>
        <w:t xml:space="preserve">“El acceso a un mercado tan vasto permite que incluso una fracción mínima de las exportaciones genere impactos económicos significativos” (Entrevistado 9, comunicación personal, abril 2024). Esta </w:t>
      </w:r>
      <w:r w:rsidR="00BF4CB5">
        <w:rPr>
          <w:rFonts w:ascii="Arial" w:hAnsi="Arial" w:cs="Arial"/>
        </w:rPr>
        <w:t>expresión</w:t>
      </w:r>
      <w:r w:rsidRPr="009A0B28">
        <w:rPr>
          <w:rFonts w:ascii="Arial" w:hAnsi="Arial" w:cs="Arial"/>
        </w:rPr>
        <w:t xml:space="preserve"> subraya el potencial multiplicador de las ventas externas hacia China, donde un solo contenedor adicional de productos con buen precio puede elevar considerablemente los ingresos locales. Además, la diversificación de destinos reduce la vulnerabilidad a choques en mercados tradicionales, fortaleciendo la resiliencia de la economía hondureña frente a ciclos globales adversos.</w:t>
      </w:r>
    </w:p>
    <w:p w14:paraId="1175C2BF" w14:textId="23AF42F5" w:rsidR="009A0B28" w:rsidRPr="009A0B28" w:rsidRDefault="009A0B28" w:rsidP="009A0B28">
      <w:pPr>
        <w:spacing w:before="100" w:beforeAutospacing="1" w:after="100" w:afterAutospacing="1" w:line="360" w:lineRule="auto"/>
        <w:jc w:val="both"/>
        <w:rPr>
          <w:rFonts w:ascii="Arial" w:hAnsi="Arial" w:cs="Arial"/>
        </w:rPr>
      </w:pPr>
      <w:r w:rsidRPr="009A0B28">
        <w:rPr>
          <w:rFonts w:ascii="Arial" w:hAnsi="Arial" w:cs="Arial"/>
        </w:rPr>
        <w:t xml:space="preserve">La diversificación de la matriz exportable se alza como una estrategia complementaria esencial. China demanda no solo </w:t>
      </w:r>
      <w:r w:rsidR="00BF4CB5">
        <w:rPr>
          <w:rFonts w:ascii="Arial" w:hAnsi="Arial" w:cs="Arial"/>
        </w:rPr>
        <w:t>productos agrícolas</w:t>
      </w:r>
      <w:r w:rsidR="005A0BC4">
        <w:rPr>
          <w:rFonts w:ascii="Arial" w:hAnsi="Arial" w:cs="Arial"/>
        </w:rPr>
        <w:t>,</w:t>
      </w:r>
      <w:r w:rsidRPr="009A0B28">
        <w:rPr>
          <w:rFonts w:ascii="Arial" w:hAnsi="Arial" w:cs="Arial"/>
        </w:rPr>
        <w:t xml:space="preserve"> sino que abre nichos para productos de alto valor agregado, como </w:t>
      </w:r>
      <w:r w:rsidR="00BF4CB5">
        <w:rPr>
          <w:rFonts w:ascii="Arial" w:hAnsi="Arial" w:cs="Arial"/>
        </w:rPr>
        <w:t>café</w:t>
      </w:r>
      <w:r w:rsidRPr="009A0B28">
        <w:rPr>
          <w:rFonts w:ascii="Arial" w:hAnsi="Arial" w:cs="Arial"/>
        </w:rPr>
        <w:t xml:space="preserve"> de especialidad</w:t>
      </w:r>
      <w:r w:rsidR="00BF4CB5">
        <w:rPr>
          <w:rFonts w:ascii="Arial" w:hAnsi="Arial" w:cs="Arial"/>
        </w:rPr>
        <w:t xml:space="preserve"> y </w:t>
      </w:r>
      <w:r w:rsidRPr="009A0B28">
        <w:rPr>
          <w:rFonts w:ascii="Arial" w:hAnsi="Arial" w:cs="Arial"/>
        </w:rPr>
        <w:t>cacao premium. “La inclusión de productos con alto valor agregado, como el café de especialidad, representa una oportunidad estratégica que posibilita la diversificación de nuestros destinos de exportación” (Entrevistado 10, comunicación personal, octubre 2024). Esta diversificación favorece el desplazamiento de Honduras hacia segmentos de mayor margen, mejorando su posición competitiv</w:t>
      </w:r>
      <w:r w:rsidR="00272BC9">
        <w:rPr>
          <w:rFonts w:ascii="Arial" w:hAnsi="Arial" w:cs="Arial"/>
        </w:rPr>
        <w:t xml:space="preserve">a, siempre y cuando se invierta en el sector productor y en capacitar la mano de obra para que una diversificación sea posible y sostenible. </w:t>
      </w:r>
    </w:p>
    <w:p w14:paraId="021FA887" w14:textId="15A87CFC" w:rsidR="009A0B28" w:rsidRPr="009A0B28" w:rsidRDefault="00BF4CB5" w:rsidP="009A0B28">
      <w:pPr>
        <w:spacing w:before="100" w:beforeAutospacing="1" w:after="100" w:afterAutospacing="1" w:line="360" w:lineRule="auto"/>
        <w:jc w:val="both"/>
        <w:rPr>
          <w:rFonts w:ascii="Arial" w:hAnsi="Arial" w:cs="Arial"/>
        </w:rPr>
      </w:pPr>
      <w:r>
        <w:rPr>
          <w:rFonts w:ascii="Arial" w:hAnsi="Arial" w:cs="Arial"/>
        </w:rPr>
        <w:t>Es por esto que l</w:t>
      </w:r>
      <w:r w:rsidR="009A0B28" w:rsidRPr="009A0B28">
        <w:rPr>
          <w:rFonts w:ascii="Arial" w:hAnsi="Arial" w:cs="Arial"/>
        </w:rPr>
        <w:t>a transferencia de tecnología y conocimiento desde China emerge como otra palanca de desarrollo</w:t>
      </w:r>
      <w:r>
        <w:rPr>
          <w:rFonts w:ascii="Arial" w:hAnsi="Arial" w:cs="Arial"/>
        </w:rPr>
        <w:t xml:space="preserve"> y posible oportunidad para Honduras</w:t>
      </w:r>
      <w:r w:rsidR="009A0B28" w:rsidRPr="009A0B28">
        <w:rPr>
          <w:rFonts w:ascii="Arial" w:hAnsi="Arial" w:cs="Arial"/>
        </w:rPr>
        <w:t xml:space="preserve">. </w:t>
      </w:r>
      <w:r w:rsidR="00BE5A9C">
        <w:rPr>
          <w:rFonts w:ascii="Arial" w:hAnsi="Arial" w:cs="Arial"/>
        </w:rPr>
        <w:t xml:space="preserve">El </w:t>
      </w:r>
      <w:r w:rsidR="009A0B28" w:rsidRPr="009A0B28">
        <w:rPr>
          <w:rFonts w:ascii="Arial" w:hAnsi="Arial" w:cs="Arial"/>
        </w:rPr>
        <w:t>Entrevistado 11 afirmó que “la vinculación con China podría facilitar el acceso a tecnologías avanzadas y prácticas de gestión modernas, optimizando cadenas de valor y reduciendo costos operativos” (comunicación personal, enero 2025). En un entorno donde la inversión en innovación es limitada, esta colaboración actuaría como catalizador para la adopción de procesos automatizados, sistemas de monitoreo de calidad y técnicas de producción más eficientes</w:t>
      </w:r>
      <w:r>
        <w:rPr>
          <w:rFonts w:ascii="Arial" w:hAnsi="Arial" w:cs="Arial"/>
        </w:rPr>
        <w:t xml:space="preserve"> para la industria hondureña</w:t>
      </w:r>
      <w:r w:rsidR="009A0B28" w:rsidRPr="009A0B28">
        <w:rPr>
          <w:rFonts w:ascii="Arial" w:hAnsi="Arial" w:cs="Arial"/>
        </w:rPr>
        <w:t>.</w:t>
      </w:r>
    </w:p>
    <w:p w14:paraId="38BEBB7A" w14:textId="7BCF8A10" w:rsidR="009A0B28" w:rsidRDefault="00BF4CB5" w:rsidP="009A0B28">
      <w:pPr>
        <w:spacing w:before="100" w:beforeAutospacing="1" w:after="100" w:afterAutospacing="1" w:line="360" w:lineRule="auto"/>
        <w:jc w:val="both"/>
        <w:rPr>
          <w:rFonts w:ascii="Arial" w:hAnsi="Arial" w:cs="Arial"/>
        </w:rPr>
      </w:pPr>
      <w:r>
        <w:rPr>
          <w:rFonts w:ascii="Arial" w:hAnsi="Arial" w:cs="Arial"/>
        </w:rPr>
        <w:t>Esta oportunidad, n</w:t>
      </w:r>
      <w:r w:rsidR="009A0B28" w:rsidRPr="009A0B28">
        <w:rPr>
          <w:rFonts w:ascii="Arial" w:hAnsi="Arial" w:cs="Arial"/>
        </w:rPr>
        <w:t xml:space="preserve">o se </w:t>
      </w:r>
      <w:r>
        <w:rPr>
          <w:rFonts w:ascii="Arial" w:hAnsi="Arial" w:cs="Arial"/>
        </w:rPr>
        <w:t>limita</w:t>
      </w:r>
      <w:r w:rsidR="009A0B28" w:rsidRPr="009A0B28">
        <w:rPr>
          <w:rFonts w:ascii="Arial" w:hAnsi="Arial" w:cs="Arial"/>
        </w:rPr>
        <w:t xml:space="preserve"> solo </w:t>
      </w:r>
      <w:r>
        <w:rPr>
          <w:rFonts w:ascii="Arial" w:hAnsi="Arial" w:cs="Arial"/>
        </w:rPr>
        <w:t>a</w:t>
      </w:r>
      <w:r w:rsidR="009A0B28" w:rsidRPr="009A0B28">
        <w:rPr>
          <w:rFonts w:ascii="Arial" w:hAnsi="Arial" w:cs="Arial"/>
        </w:rPr>
        <w:t xml:space="preserve"> importar maquinaria; el intercambio de </w:t>
      </w:r>
      <w:r w:rsidR="009A0B28" w:rsidRPr="005A0BC4">
        <w:rPr>
          <w:rFonts w:ascii="Arial" w:hAnsi="Arial" w:cs="Arial"/>
          <w:i/>
          <w:iCs/>
        </w:rPr>
        <w:t>know-how</w:t>
      </w:r>
      <w:r w:rsidR="009A0B28" w:rsidRPr="009A0B28">
        <w:rPr>
          <w:rFonts w:ascii="Arial" w:hAnsi="Arial" w:cs="Arial"/>
        </w:rPr>
        <w:t xml:space="preserve"> incluye metodologías de gestión de calidad, desarrollo de nuevos productos y estrategias de posicionamiento internacional. “La formación y actualización de capital humano mediante capacitación técnica con expertos </w:t>
      </w:r>
      <w:r w:rsidR="009A0B28" w:rsidRPr="009A0B28">
        <w:rPr>
          <w:rFonts w:ascii="Arial" w:hAnsi="Arial" w:cs="Arial"/>
        </w:rPr>
        <w:lastRenderedPageBreak/>
        <w:t xml:space="preserve">tecnológicos de China es esencial para mejorar la productividad y generar valor agregado sostenido” (Entrevistado 12, comunicación personal, enero 2025). El verdadero desafío reside en combinar tecnología con desarrollo de capacidades propias. </w:t>
      </w:r>
      <w:r w:rsidR="009A0B28" w:rsidRPr="00272BC9">
        <w:rPr>
          <w:rFonts w:ascii="Arial" w:hAnsi="Arial" w:cs="Arial"/>
        </w:rPr>
        <w:t>Honduras requiere fortalecer sus centros académicos y de investigación para que funcionen como nodos de transferencia de conocimiento. Invertir en programas de formación dual, becas técnicas y laboratorios de pruebas facilitaría la asimilación de normas internacionales</w:t>
      </w:r>
      <w:r w:rsidR="00272BC9" w:rsidRPr="00272BC9">
        <w:rPr>
          <w:rFonts w:ascii="Arial" w:hAnsi="Arial" w:cs="Arial"/>
        </w:rPr>
        <w:t>,</w:t>
      </w:r>
      <w:r w:rsidR="00272BC9">
        <w:rPr>
          <w:rFonts w:ascii="Arial" w:hAnsi="Arial" w:cs="Arial"/>
        </w:rPr>
        <w:t xml:space="preserve"> para así poder contar con</w:t>
      </w:r>
      <w:r w:rsidR="009A0B28" w:rsidRPr="009A0B28">
        <w:rPr>
          <w:rFonts w:ascii="Arial" w:hAnsi="Arial" w:cs="Arial"/>
        </w:rPr>
        <w:t xml:space="preserve"> especialistas</w:t>
      </w:r>
      <w:r w:rsidR="00272BC9">
        <w:rPr>
          <w:rFonts w:ascii="Arial" w:hAnsi="Arial" w:cs="Arial"/>
        </w:rPr>
        <w:t xml:space="preserve"> y profesionales</w:t>
      </w:r>
      <w:r w:rsidR="009A0B28" w:rsidRPr="009A0B28">
        <w:rPr>
          <w:rFonts w:ascii="Arial" w:hAnsi="Arial" w:cs="Arial"/>
        </w:rPr>
        <w:t xml:space="preserve"> locales capaces de operar y mantener la tecnología avanzada</w:t>
      </w:r>
      <w:r w:rsidR="00272BC9">
        <w:rPr>
          <w:rFonts w:ascii="Arial" w:hAnsi="Arial" w:cs="Arial"/>
        </w:rPr>
        <w:t xml:space="preserve"> que se pueda absorber</w:t>
      </w:r>
      <w:r w:rsidR="009A0B28" w:rsidRPr="009A0B28">
        <w:rPr>
          <w:rFonts w:ascii="Arial" w:hAnsi="Arial" w:cs="Arial"/>
        </w:rPr>
        <w:t xml:space="preserve">, evitando la dependencia </w:t>
      </w:r>
      <w:r w:rsidR="00272BC9">
        <w:rPr>
          <w:rFonts w:ascii="Arial" w:hAnsi="Arial" w:cs="Arial"/>
        </w:rPr>
        <w:t xml:space="preserve">a futuro </w:t>
      </w:r>
      <w:r w:rsidR="009A0B28" w:rsidRPr="009A0B28">
        <w:rPr>
          <w:rFonts w:ascii="Arial" w:hAnsi="Arial" w:cs="Arial"/>
        </w:rPr>
        <w:t>de expertos externos y maximizando el retorno de la inversión tecnológica.</w:t>
      </w:r>
    </w:p>
    <w:p w14:paraId="7E00B3E4" w14:textId="2CA0BD82" w:rsidR="00682F58" w:rsidRPr="009A0B28" w:rsidRDefault="00682F58" w:rsidP="009A0B28">
      <w:pPr>
        <w:spacing w:before="100" w:beforeAutospacing="1" w:after="100" w:afterAutospacing="1" w:line="360" w:lineRule="auto"/>
        <w:jc w:val="both"/>
        <w:rPr>
          <w:rFonts w:ascii="Arial" w:hAnsi="Arial" w:cs="Arial"/>
        </w:rPr>
      </w:pPr>
      <w:r w:rsidRPr="00682F58">
        <w:rPr>
          <w:rFonts w:ascii="Arial" w:hAnsi="Arial" w:cs="Arial"/>
        </w:rPr>
        <w:t>La atracción de inversión extranjera directa de China fue señalada por varios expertos como una oportunidad asociada al TLC, con expectativas de que un marco comercial formalizado incentive la llegada de capital chino para proyectos de infraestructura, manufactura y agroindustria (Entrevistado 10, comunicación personal, octubre 2024; Entrevistado 13, comunicación personal, enero 2025). Desde esta perspectiva, el Entrevistado 12 indicó que incluso la Secretaría de Desarrollo Económico ha explorado la posibilidad de que el capítulo de inversiones del TLC contemple la contribución china a la modernización de las plantas de producción nacionales, mediante la instalación de operaciones productivas y la transferencia de tecnología (comunicación personal, enero 2025).</w:t>
      </w:r>
    </w:p>
    <w:p w14:paraId="14218F86" w14:textId="3819A764" w:rsidR="00812017" w:rsidRDefault="00812017" w:rsidP="009A0B28">
      <w:pPr>
        <w:spacing w:before="100" w:beforeAutospacing="1" w:after="100" w:afterAutospacing="1" w:line="360" w:lineRule="auto"/>
        <w:jc w:val="both"/>
        <w:rPr>
          <w:rFonts w:ascii="Arial" w:hAnsi="Arial" w:cs="Arial"/>
        </w:rPr>
      </w:pPr>
      <w:r w:rsidRPr="00812017">
        <w:rPr>
          <w:rFonts w:ascii="Arial" w:hAnsi="Arial" w:cs="Arial"/>
        </w:rPr>
        <w:t xml:space="preserve">No obstante, los registros históricos invitan a moderar estas expectativas: la IED china en Honduras se concentró en un único proyecto hidroeléctrico entre 2016 y 2017, seguido de un proceso de desinversión a partir de 2018 </w:t>
      </w:r>
      <w:r>
        <w:rPr>
          <w:rFonts w:ascii="Arial" w:hAnsi="Arial" w:cs="Arial"/>
        </w:rPr>
        <w:fldChar w:fldCharType="begin"/>
      </w:r>
      <w:r>
        <w:rPr>
          <w:rFonts w:ascii="Arial" w:hAnsi="Arial" w:cs="Arial"/>
        </w:rPr>
        <w:instrText xml:space="preserve"> ADDIN ZOTERO_ITEM CSL_CITATION {"citationID":"FAdd6anO","properties":{"formattedCitation":"(Banco Central de Honduras, 2020; \\uc0\\u171{}China gana terreno con inversiones millonarias en obras de Centroam\\uc0\\u233{}rica\\uc0\\u187{}, 2019; \\uc0\\u171{}Hidroel\\uc0\\u233{}ctrica en Honduras afianza presencia de China en Centroam\\uc0\\u233{}rica\\uc0\\u187{}, 2018; Hongcan Industry Research Institute, 2024)","plainCitation":"(Banco Central de Honduras, 2020; «China gana terreno con inversiones millonarias en obras de Centroamérica», 2019; «Hidroeléctrica en Honduras afianza presencia de China en Centroamérica», 2018; Hongcan Industry Research Institute, 2024)","dontUpdate":true,"noteIndex":0},"citationItems":[{"id":1897,"uris":["http://zotero.org/users/10063313/items/W7IAKDCM"],"itemData":{"id":1897,"type":"document","title":"Informe de Flujos de Inversión Extranjera Directa en Honduras","author":[{"family":"Banco Central de Honduras","given":""}],"issued":{"date-parts":[["2020",9]]}}},{"id":1887,"uris":["http://zotero.org/users/10063313/items/KYLBZK6L"],"itemData":{"id":1887,"type":"article-newspaper","abstract":"Al este de Honduras se levanta una de las mayores inversiones de China en Centroamérica. La hidroeléctrica, cuyo valor total es de $350 millones, tiene casi terminadas las dos turbinas con capacidad para generar 52 megavatios/hora cada una, informa la agencia AFP. Se trata de la primera inversión de...","container-title":"Metro Libre","language":"es-PA","title":"China gana terreno con inversiones millonarias en obras de Centroamérica","URL":"https://www.metrolibre.com/cultura/china-gana-terrenocon-inversiones-millonarias-en-obrasde-centroamerica-HUML93548","accessed":{"date-parts":[["2024",2,28]]},"issued":{"date-parts":[["2019"]]}}},{"id":1888,"uris":["http://zotero.org/users/10063313/items/8PR8L4I4"],"itemData":{"id":1888,"type":"article-newspaper","abstract":"Decenas de obreros e ingenieros chinos trabajan entre las montañas del este de Honduras para levantar una hidroeléctrica, en una de las mayores inversiones de China en Centroamérica.","container-title":"La Nación","language":"es","title":"Hidroeléctrica en Honduras afianza presencia de China en Centroamérica","URL":"https://www.nacion.com/economia/negocios/hidroelectrica-en-honduras-afianza-presencia-de/6SMORTAQXBGYNK4TY4I6POTPIU/story/","accessed":{"date-parts":[["2024",2,28]]},"issued":{"date-parts":[["2018",3,26]]}}},{"id":1961,"uris":["http://zotero.org/users/10063313/items/43VWJ6ZN"],"itemData":{"id":1961,"type":"article-journal","container-title":"03/09/2024","title":"Informe de investigación sobre tendencias de desarrollo del café de especialidad 2024","author":[{"literal":"Hongcan Industry Research Institute"}],"issued":{"date-parts":[["2024",9,3]]}}}],"schema":"https://github.com/citation-style-language/schema/raw/master/csl-citation.json"} </w:instrText>
      </w:r>
      <w:r>
        <w:rPr>
          <w:rFonts w:ascii="Arial" w:hAnsi="Arial" w:cs="Arial"/>
        </w:rPr>
        <w:fldChar w:fldCharType="separate"/>
      </w:r>
      <w:r w:rsidRPr="00734E82">
        <w:rPr>
          <w:rFonts w:ascii="Arial" w:hAnsi="Arial" w:cs="Arial"/>
          <w:lang w:val="es-MX"/>
        </w:rPr>
        <w:t>(Banco Central de Honduras, 2020; «China gana terreno con inversiones millonarias en obras de Centroamérica», 2019; «Hidroeléctrica en Honduras afianza presencia de China en Centroamérica», 2018)</w:t>
      </w:r>
      <w:r>
        <w:rPr>
          <w:rFonts w:ascii="Arial" w:hAnsi="Arial" w:cs="Arial"/>
        </w:rPr>
        <w:fldChar w:fldCharType="end"/>
      </w:r>
      <w:r>
        <w:rPr>
          <w:rFonts w:ascii="Arial" w:hAnsi="Arial" w:cs="Arial"/>
        </w:rPr>
        <w:t>.</w:t>
      </w:r>
      <w:r w:rsidRPr="00812017">
        <w:rPr>
          <w:rFonts w:ascii="Arial" w:hAnsi="Arial" w:cs="Arial"/>
        </w:rPr>
        <w:t xml:space="preserve">, lo que evidencia la fragilidad de un vínculo de inversión que no logró articularse con la economía local. El Entrevistado 10 reconoció esta limitación al señalar que las inversiones chinas en países en desarrollo suelen dirigirse a la explotación de recursos naturales, la construcción y la generación de energía, y advirtió que el precedente negativo del litigio entre la ENEE y una empresa china podría inhibir futuros flujos de inversión </w:t>
      </w:r>
      <w:r w:rsidRPr="00812017">
        <w:rPr>
          <w:rFonts w:ascii="Arial" w:hAnsi="Arial" w:cs="Arial"/>
        </w:rPr>
        <w:lastRenderedPageBreak/>
        <w:t>(comunicación personal, octubre 2024). El Entrevistado 9 profundizó en esta cautela al referirse a la experiencia africana, donde China ha financiado proyectos de infraestructura que ejecuta con sus propias empresas y maquinaria, con limitada participación de la economía local: "China no nos va a regalar nada, ellos van a sentarse a negociar con nosotros" (comunicación personal, abril 2024). Esta tensión entre las expectativas de inversión y la evidencia disponible subraya que el desafío para Honduras no radica únicamente en atraer capital chino, sino en negociar condiciones que orienten esa inversión hacia la generación de encadenamientos productivos, transferencia efectiva de conocimientos y empleo de calidad.</w:t>
      </w:r>
    </w:p>
    <w:p w14:paraId="40C74E4D" w14:textId="57FFD4B5" w:rsidR="009A0B28" w:rsidRPr="00560B5F" w:rsidRDefault="009A0B28" w:rsidP="009A0B28">
      <w:pPr>
        <w:spacing w:before="100" w:beforeAutospacing="1" w:after="100" w:afterAutospacing="1" w:line="360" w:lineRule="auto"/>
        <w:jc w:val="both"/>
        <w:rPr>
          <w:rFonts w:ascii="Arial" w:hAnsi="Arial" w:cs="Arial"/>
          <w:color w:val="568D11" w:themeColor="accent3" w:themeShade="80"/>
        </w:rPr>
      </w:pPr>
      <w:r w:rsidRPr="009A0B28">
        <w:rPr>
          <w:rFonts w:ascii="Arial" w:hAnsi="Arial" w:cs="Arial"/>
        </w:rPr>
        <w:t xml:space="preserve">La apertura </w:t>
      </w:r>
      <w:r w:rsidR="00560B5F" w:rsidRPr="00DA3034">
        <w:rPr>
          <w:rFonts w:ascii="Arial" w:hAnsi="Arial" w:cs="Arial"/>
          <w:color w:val="000000" w:themeColor="text1"/>
        </w:rPr>
        <w:t xml:space="preserve">derivada </w:t>
      </w:r>
      <w:r w:rsidRPr="009A0B28">
        <w:rPr>
          <w:rFonts w:ascii="Arial" w:hAnsi="Arial" w:cs="Arial"/>
        </w:rPr>
        <w:t xml:space="preserve">del TLC también </w:t>
      </w:r>
      <w:r w:rsidR="007A0E86">
        <w:rPr>
          <w:rFonts w:ascii="Arial" w:hAnsi="Arial" w:cs="Arial"/>
        </w:rPr>
        <w:t>genera expectativas para</w:t>
      </w:r>
      <w:r w:rsidRPr="009A0B28">
        <w:rPr>
          <w:rFonts w:ascii="Arial" w:hAnsi="Arial" w:cs="Arial"/>
        </w:rPr>
        <w:t xml:space="preserve"> facilitar el acceso a financiamiento e insumos especializados. Según Entrevistado 10, “las facilidades de crédito … podrían traducirse en una capacidad de inversión mayor para la actualización de infraestructuras y la adquisición de insumos competitivos” (comunicación personal, octubre 2024). Estos recursos permitirían a los productores hondureños invertir en mejoras de sus procesos y en la compra de insumos de calidad, que actualmente resultan inaccesibles o demasiado costosos</w:t>
      </w:r>
      <w:r w:rsidR="007A0E86">
        <w:rPr>
          <w:rFonts w:ascii="Arial" w:hAnsi="Arial" w:cs="Arial"/>
        </w:rPr>
        <w:t>.</w:t>
      </w:r>
      <w:r w:rsidR="00560B5F">
        <w:rPr>
          <w:rFonts w:ascii="Arial" w:hAnsi="Arial" w:cs="Arial"/>
          <w:color w:val="568D11" w:themeColor="accent3" w:themeShade="80"/>
        </w:rPr>
        <w:t xml:space="preserve"> </w:t>
      </w:r>
    </w:p>
    <w:p w14:paraId="4298CB95" w14:textId="0CC7D375" w:rsidR="009A0B28" w:rsidRPr="009A0B28" w:rsidRDefault="001526F9" w:rsidP="009A0B28">
      <w:pPr>
        <w:spacing w:before="100" w:beforeAutospacing="1" w:after="100" w:afterAutospacing="1" w:line="360" w:lineRule="auto"/>
        <w:jc w:val="both"/>
        <w:rPr>
          <w:rFonts w:ascii="Arial" w:hAnsi="Arial" w:cs="Arial"/>
        </w:rPr>
      </w:pPr>
      <w:r>
        <w:rPr>
          <w:rFonts w:ascii="Arial" w:hAnsi="Arial" w:cs="Arial"/>
        </w:rPr>
        <w:t>E</w:t>
      </w:r>
      <w:r w:rsidR="009A0B28" w:rsidRPr="009A0B28">
        <w:rPr>
          <w:rFonts w:ascii="Arial" w:hAnsi="Arial" w:cs="Arial"/>
        </w:rPr>
        <w:t xml:space="preserve">stas </w:t>
      </w:r>
      <w:r>
        <w:rPr>
          <w:rFonts w:ascii="Arial" w:hAnsi="Arial" w:cs="Arial"/>
        </w:rPr>
        <w:t xml:space="preserve">potenciales </w:t>
      </w:r>
      <w:r w:rsidR="00734E82">
        <w:rPr>
          <w:rFonts w:ascii="Arial" w:hAnsi="Arial" w:cs="Arial"/>
        </w:rPr>
        <w:t>oportunidades</w:t>
      </w:r>
      <w:r w:rsidR="009A0B28" w:rsidRPr="009A0B28">
        <w:rPr>
          <w:rFonts w:ascii="Arial" w:hAnsi="Arial" w:cs="Arial"/>
        </w:rPr>
        <w:t xml:space="preserve"> </w:t>
      </w:r>
      <w:r w:rsidR="00734E82">
        <w:rPr>
          <w:rFonts w:ascii="Arial" w:hAnsi="Arial" w:cs="Arial"/>
        </w:rPr>
        <w:t>mencionadas</w:t>
      </w:r>
      <w:r>
        <w:rPr>
          <w:rFonts w:ascii="Arial" w:hAnsi="Arial" w:cs="Arial"/>
        </w:rPr>
        <w:t xml:space="preserve"> por expertos sugieren que Honduras, podría </w:t>
      </w:r>
      <w:r w:rsidR="00C54563">
        <w:rPr>
          <w:rFonts w:ascii="Arial" w:hAnsi="Arial" w:cs="Arial"/>
        </w:rPr>
        <w:t>beneficiarse</w:t>
      </w:r>
      <w:r>
        <w:rPr>
          <w:rFonts w:ascii="Arial" w:hAnsi="Arial" w:cs="Arial"/>
        </w:rPr>
        <w:t xml:space="preserve"> del acuerdo</w:t>
      </w:r>
      <w:r w:rsidR="00C54563">
        <w:rPr>
          <w:rFonts w:ascii="Arial" w:hAnsi="Arial" w:cs="Arial"/>
        </w:rPr>
        <w:t>;</w:t>
      </w:r>
      <w:r>
        <w:rPr>
          <w:rFonts w:ascii="Arial" w:hAnsi="Arial" w:cs="Arial"/>
        </w:rPr>
        <w:t xml:space="preserve"> l</w:t>
      </w:r>
      <w:r w:rsidR="009A0B28" w:rsidRPr="009A0B28">
        <w:rPr>
          <w:rFonts w:ascii="Arial" w:hAnsi="Arial" w:cs="Arial"/>
        </w:rPr>
        <w:t xml:space="preserve">a apertura de mercado, la diversificación de la oferta, la transferencia tecnológica, la </w:t>
      </w:r>
      <w:r w:rsidR="009A0B28" w:rsidRPr="00BE5A9C">
        <w:rPr>
          <w:rFonts w:ascii="Arial" w:hAnsi="Arial" w:cs="Arial"/>
          <w:color w:val="000000" w:themeColor="text1"/>
        </w:rPr>
        <w:t xml:space="preserve">atracción </w:t>
      </w:r>
      <w:r w:rsidR="009A0B28" w:rsidRPr="009A0B28">
        <w:rPr>
          <w:rFonts w:ascii="Arial" w:hAnsi="Arial" w:cs="Arial"/>
        </w:rPr>
        <w:t xml:space="preserve">de IED y la facilitación de financiamiento conforman un conjunto de </w:t>
      </w:r>
      <w:r w:rsidR="005855DC">
        <w:rPr>
          <w:rFonts w:ascii="Arial" w:hAnsi="Arial" w:cs="Arial"/>
        </w:rPr>
        <w:t>mecanismos o medios</w:t>
      </w:r>
      <w:r w:rsidR="009A0B28" w:rsidRPr="009A0B28">
        <w:rPr>
          <w:rFonts w:ascii="Arial" w:hAnsi="Arial" w:cs="Arial"/>
        </w:rPr>
        <w:t xml:space="preserve"> que, al implementarse simultáneamente </w:t>
      </w:r>
      <w:r w:rsidR="00C54563">
        <w:rPr>
          <w:rFonts w:ascii="Arial" w:hAnsi="Arial" w:cs="Arial"/>
        </w:rPr>
        <w:t>logran significar una ventaja para el crecimiento económico nacional</w:t>
      </w:r>
      <w:r w:rsidR="005855DC">
        <w:rPr>
          <w:rFonts w:ascii="Arial" w:hAnsi="Arial" w:cs="Arial"/>
        </w:rPr>
        <w:t>.</w:t>
      </w:r>
    </w:p>
    <w:p w14:paraId="41791A57" w14:textId="479355E4" w:rsidR="00C54563" w:rsidRPr="00137EA8" w:rsidRDefault="00C54563" w:rsidP="00BB36C3">
      <w:pPr>
        <w:spacing w:before="100" w:beforeAutospacing="1" w:after="100" w:afterAutospacing="1" w:line="360" w:lineRule="auto"/>
        <w:jc w:val="both"/>
        <w:rPr>
          <w:rFonts w:ascii="Arial" w:hAnsi="Arial" w:cs="Arial"/>
        </w:rPr>
      </w:pPr>
      <w:r w:rsidRPr="00BB36C3">
        <w:rPr>
          <w:rFonts w:ascii="Arial" w:hAnsi="Arial" w:cs="Arial"/>
        </w:rPr>
        <w:t>A pesar de las oportunidades señaladas, los expertos insisten en que Honduras afronta desafíos capaces de neutralizar gran parte de los beneficios del TLC</w:t>
      </w:r>
      <w:r w:rsidR="005855DC">
        <w:rPr>
          <w:rFonts w:ascii="Arial" w:hAnsi="Arial" w:cs="Arial"/>
        </w:rPr>
        <w:t xml:space="preserve">. </w:t>
      </w:r>
      <w:r w:rsidRPr="00BB36C3">
        <w:rPr>
          <w:rFonts w:ascii="Arial" w:hAnsi="Arial" w:cs="Arial"/>
        </w:rPr>
        <w:t xml:space="preserve">En primera instancia, los </w:t>
      </w:r>
      <w:r w:rsidRPr="00BB36C3">
        <w:rPr>
          <w:rStyle w:val="Fuerte"/>
          <w:rFonts w:ascii="Arial" w:eastAsiaTheme="majorEastAsia" w:hAnsi="Arial" w:cs="Arial"/>
          <w:b w:val="0"/>
          <w:bCs w:val="0"/>
        </w:rPr>
        <w:t>altos costos logísticos y de transporte</w:t>
      </w:r>
      <w:r w:rsidRPr="00BB36C3">
        <w:rPr>
          <w:rFonts w:ascii="Arial" w:hAnsi="Arial" w:cs="Arial"/>
        </w:rPr>
        <w:t xml:space="preserve"> constituyen una barrera estructural. La dependencia de insumos y maquinaria importados empuja a los exportadores a asumir elevados fletes marítimos y aéreo, así como a enfrentar trámites aduaneros complejos. “La ausencia de una infraestructura logística moderna y la dependencia de importaciones de tecnología incrementan </w:t>
      </w:r>
      <w:r w:rsidRPr="00BB36C3">
        <w:rPr>
          <w:rFonts w:ascii="Arial" w:hAnsi="Arial" w:cs="Arial"/>
        </w:rPr>
        <w:lastRenderedPageBreak/>
        <w:t xml:space="preserve">notablemente los costos operativos, afectando la competitividad de nuestros productos” (Entrevistado </w:t>
      </w:r>
      <w:r w:rsidRPr="00137EA8">
        <w:rPr>
          <w:rFonts w:ascii="Arial" w:hAnsi="Arial" w:cs="Arial"/>
        </w:rPr>
        <w:t>11, comunicación personal, enero 2025).</w:t>
      </w:r>
      <w:r w:rsidR="00AC656A" w:rsidRPr="00137EA8">
        <w:rPr>
          <w:rFonts w:ascii="Arial" w:hAnsi="Arial" w:cs="Arial"/>
        </w:rPr>
        <w:t xml:space="preserve"> </w:t>
      </w:r>
    </w:p>
    <w:p w14:paraId="5DF44FE6" w14:textId="1AD71D78" w:rsidR="00C54563" w:rsidRPr="00BB36C3" w:rsidRDefault="00C54563" w:rsidP="00BB36C3">
      <w:pPr>
        <w:spacing w:before="100" w:beforeAutospacing="1" w:after="100" w:afterAutospacing="1" w:line="360" w:lineRule="auto"/>
        <w:jc w:val="both"/>
        <w:rPr>
          <w:rFonts w:ascii="Arial" w:hAnsi="Arial" w:cs="Arial"/>
        </w:rPr>
      </w:pPr>
      <w:r w:rsidRPr="00137EA8">
        <w:rPr>
          <w:rFonts w:ascii="Arial" w:hAnsi="Arial" w:cs="Arial"/>
        </w:rPr>
        <w:t xml:space="preserve">A esta problemática se suma la </w:t>
      </w:r>
      <w:r w:rsidRPr="00137EA8">
        <w:rPr>
          <w:rStyle w:val="Fuerte"/>
          <w:rFonts w:ascii="Arial" w:eastAsiaTheme="majorEastAsia" w:hAnsi="Arial" w:cs="Arial"/>
          <w:b w:val="0"/>
          <w:bCs w:val="0"/>
        </w:rPr>
        <w:t>ineficiencia de la cadena de suministro</w:t>
      </w:r>
      <w:r w:rsidRPr="00137EA8">
        <w:rPr>
          <w:rFonts w:ascii="Arial" w:hAnsi="Arial" w:cs="Arial"/>
        </w:rPr>
        <w:t xml:space="preserve"> interna. Con corredores de transporte y capacidad portuaria insuficientes</w:t>
      </w:r>
      <w:r w:rsidR="00137EA8" w:rsidRPr="00137EA8">
        <w:rPr>
          <w:rFonts w:ascii="Arial" w:hAnsi="Arial" w:cs="Arial"/>
        </w:rPr>
        <w:t xml:space="preserve"> (Entrevistado 11, comunicación personal, enero 2025)</w:t>
      </w:r>
      <w:r w:rsidRPr="00137EA8">
        <w:rPr>
          <w:rFonts w:ascii="Arial" w:hAnsi="Arial" w:cs="Arial"/>
        </w:rPr>
        <w:t>, Honduras experimenta demoras recurrentes en la entrega de mercancías. Estos retrasos no solo encarecen el producto final, sino que también crean incertidumbre en los compradores internacionales, erosionando la confianza y dificultando la consolidación de relaciones comerciales sólidas. Sin la modernización de puertos, carreteras y sistemas de logística, cualquier aumento de producción puede verse frustrado por cuellos de botella.</w:t>
      </w:r>
    </w:p>
    <w:p w14:paraId="00AA11A9" w14:textId="06EFB98A" w:rsidR="00C54563" w:rsidRPr="00BB36C3" w:rsidRDefault="00C54563" w:rsidP="00BB36C3">
      <w:pPr>
        <w:spacing w:before="100" w:beforeAutospacing="1" w:after="100" w:afterAutospacing="1" w:line="360" w:lineRule="auto"/>
        <w:jc w:val="both"/>
        <w:rPr>
          <w:rFonts w:ascii="Arial" w:hAnsi="Arial" w:cs="Arial"/>
        </w:rPr>
      </w:pPr>
      <w:r w:rsidRPr="00BB36C3">
        <w:rPr>
          <w:rFonts w:ascii="Arial" w:hAnsi="Arial" w:cs="Arial"/>
        </w:rPr>
        <w:t xml:space="preserve">La segunda gran </w:t>
      </w:r>
      <w:r w:rsidRPr="00BB36C3">
        <w:rPr>
          <w:rStyle w:val="Fuerte"/>
          <w:rFonts w:ascii="Arial" w:eastAsiaTheme="majorEastAsia" w:hAnsi="Arial" w:cs="Arial"/>
          <w:b w:val="0"/>
          <w:bCs w:val="0"/>
        </w:rPr>
        <w:t>presión negativa</w:t>
      </w:r>
      <w:r w:rsidR="00AC656A" w:rsidRPr="00BB36C3">
        <w:rPr>
          <w:rFonts w:ascii="Arial" w:hAnsi="Arial" w:cs="Arial"/>
          <w:b/>
          <w:bCs/>
        </w:rPr>
        <w:t>,</w:t>
      </w:r>
      <w:r w:rsidR="00AC656A" w:rsidRPr="00BB36C3">
        <w:rPr>
          <w:rFonts w:ascii="Arial" w:hAnsi="Arial" w:cs="Arial"/>
        </w:rPr>
        <w:t xml:space="preserve"> mencionada ampliamente también por productores, </w:t>
      </w:r>
      <w:r w:rsidRPr="00BB36C3">
        <w:rPr>
          <w:rFonts w:ascii="Arial" w:hAnsi="Arial" w:cs="Arial"/>
        </w:rPr>
        <w:t>proviene de la necesidad de</w:t>
      </w:r>
      <w:r w:rsidRPr="00BB36C3">
        <w:rPr>
          <w:rFonts w:ascii="Arial" w:hAnsi="Arial" w:cs="Arial"/>
          <w:b/>
          <w:bCs/>
        </w:rPr>
        <w:t xml:space="preserve"> </w:t>
      </w:r>
      <w:r w:rsidRPr="00BB36C3">
        <w:rPr>
          <w:rStyle w:val="Fuerte"/>
          <w:rFonts w:ascii="Arial" w:eastAsiaTheme="majorEastAsia" w:hAnsi="Arial" w:cs="Arial"/>
          <w:b w:val="0"/>
          <w:bCs w:val="0"/>
        </w:rPr>
        <w:t xml:space="preserve">competir </w:t>
      </w:r>
      <w:r w:rsidR="00AC656A" w:rsidRPr="00BB36C3">
        <w:rPr>
          <w:rStyle w:val="Fuerte"/>
          <w:rFonts w:ascii="Arial" w:eastAsiaTheme="majorEastAsia" w:hAnsi="Arial" w:cs="Arial"/>
          <w:b w:val="0"/>
          <w:bCs w:val="0"/>
        </w:rPr>
        <w:t>con</w:t>
      </w:r>
      <w:r w:rsidRPr="00BB36C3">
        <w:rPr>
          <w:rStyle w:val="Fuerte"/>
          <w:rFonts w:ascii="Arial" w:eastAsiaTheme="majorEastAsia" w:hAnsi="Arial" w:cs="Arial"/>
          <w:b w:val="0"/>
          <w:bCs w:val="0"/>
        </w:rPr>
        <w:t xml:space="preserve"> precios extremadamente bajos</w:t>
      </w:r>
      <w:r w:rsidRPr="00BB36C3">
        <w:rPr>
          <w:rFonts w:ascii="Arial" w:hAnsi="Arial" w:cs="Arial"/>
        </w:rPr>
        <w:t xml:space="preserve">. En el sector camaronero, por ejemplo, “China está acostumbrado a comprar camarón a precios muy bajos” (Entrevistado 10, comunicación personal, octubre 2024). Esta lógica de mercado de </w:t>
      </w:r>
      <w:proofErr w:type="spellStart"/>
      <w:r w:rsidRPr="005A0BC4">
        <w:rPr>
          <w:rFonts w:ascii="Arial" w:hAnsi="Arial" w:cs="Arial"/>
          <w:i/>
          <w:iCs/>
        </w:rPr>
        <w:t>commodities</w:t>
      </w:r>
      <w:proofErr w:type="spellEnd"/>
      <w:r w:rsidRPr="00BB36C3">
        <w:rPr>
          <w:rFonts w:ascii="Arial" w:hAnsi="Arial" w:cs="Arial"/>
        </w:rPr>
        <w:t xml:space="preserve"> obliga a los productores hondureños a sacrificar márgenes o calidad para acceder al comprador chino, generando un círculo vicioso de erosión de rentabilidad</w:t>
      </w:r>
      <w:r w:rsidR="00AC656A" w:rsidRPr="00BB36C3">
        <w:rPr>
          <w:rFonts w:ascii="Arial" w:hAnsi="Arial" w:cs="Arial"/>
        </w:rPr>
        <w:t>.</w:t>
      </w:r>
    </w:p>
    <w:p w14:paraId="1774317A" w14:textId="02CB4B68" w:rsidR="00C54563" w:rsidRPr="00BB36C3" w:rsidRDefault="00C54563" w:rsidP="00BB36C3">
      <w:pPr>
        <w:spacing w:before="100" w:beforeAutospacing="1" w:after="100" w:afterAutospacing="1" w:line="360" w:lineRule="auto"/>
        <w:jc w:val="both"/>
        <w:rPr>
          <w:rFonts w:ascii="Arial" w:hAnsi="Arial" w:cs="Arial"/>
        </w:rPr>
      </w:pPr>
      <w:r w:rsidRPr="00BB36C3">
        <w:rPr>
          <w:rFonts w:ascii="Arial" w:hAnsi="Arial" w:cs="Arial"/>
        </w:rPr>
        <w:t xml:space="preserve">Este </w:t>
      </w:r>
      <w:r w:rsidRPr="00BB36C3">
        <w:rPr>
          <w:rStyle w:val="Fuerte"/>
          <w:rFonts w:ascii="Arial" w:eastAsiaTheme="majorEastAsia" w:hAnsi="Arial" w:cs="Arial"/>
          <w:b w:val="0"/>
          <w:bCs w:val="0"/>
        </w:rPr>
        <w:t>desafío de precios</w:t>
      </w:r>
      <w:r w:rsidRPr="00BB36C3">
        <w:rPr>
          <w:rFonts w:ascii="Arial" w:hAnsi="Arial" w:cs="Arial"/>
        </w:rPr>
        <w:t xml:space="preserve"> no se </w:t>
      </w:r>
      <w:r w:rsidR="00AC656A" w:rsidRPr="00BB36C3">
        <w:rPr>
          <w:rFonts w:ascii="Arial" w:hAnsi="Arial" w:cs="Arial"/>
        </w:rPr>
        <w:t>limita</w:t>
      </w:r>
      <w:r w:rsidRPr="00BB36C3">
        <w:rPr>
          <w:rFonts w:ascii="Arial" w:hAnsi="Arial" w:cs="Arial"/>
        </w:rPr>
        <w:t xml:space="preserve"> al camarón. Sectores de alto valor agregado como el café de especialidad y el cacao premium sufren una tensión similar: “La exigencia de precios reducidos impacta directamente en nuestra capacidad para mantener la calidad que caracteriza a nuestros productos de especialidad” (Entrevistado 12, comunicación personal, enero 2025). En consecuencia, los productores premium se enfrentan a un dilema estratégico: reducir sus exigencias de proceso y empaque o renunciar a participar en un mercado que valora el bajo costo por encima de la diferenciación</w:t>
      </w:r>
      <w:r w:rsidR="00AC656A" w:rsidRPr="00BB36C3">
        <w:rPr>
          <w:rFonts w:ascii="Arial" w:hAnsi="Arial" w:cs="Arial"/>
        </w:rPr>
        <w:t xml:space="preserve">, es por ello que algunos productores </w:t>
      </w:r>
      <w:r w:rsidR="005A0BC4" w:rsidRPr="00BB36C3">
        <w:rPr>
          <w:rFonts w:ascii="Arial" w:hAnsi="Arial" w:cs="Arial"/>
        </w:rPr>
        <w:t>aun</w:t>
      </w:r>
      <w:r w:rsidR="00AC656A" w:rsidRPr="00BB36C3">
        <w:rPr>
          <w:rFonts w:ascii="Arial" w:hAnsi="Arial" w:cs="Arial"/>
        </w:rPr>
        <w:t xml:space="preserve"> teniendo compradores chinos dispuestos a iniciar el proceso de compra, han decidido desistir para no comprometer su rentabilidad.</w:t>
      </w:r>
    </w:p>
    <w:p w14:paraId="5F9AC7D2" w14:textId="31B62696" w:rsidR="00C54563" w:rsidRPr="00BB36C3" w:rsidRDefault="00C54563" w:rsidP="00BB36C3">
      <w:pPr>
        <w:spacing w:before="100" w:beforeAutospacing="1" w:after="100" w:afterAutospacing="1" w:line="360" w:lineRule="auto"/>
        <w:jc w:val="both"/>
        <w:rPr>
          <w:rFonts w:ascii="Arial" w:hAnsi="Arial" w:cs="Arial"/>
        </w:rPr>
      </w:pPr>
      <w:r w:rsidRPr="00BB36C3">
        <w:rPr>
          <w:rFonts w:ascii="Arial" w:hAnsi="Arial" w:cs="Arial"/>
        </w:rPr>
        <w:t xml:space="preserve">La tercera barrera está en las </w:t>
      </w:r>
      <w:r w:rsidRPr="00BB36C3">
        <w:rPr>
          <w:rStyle w:val="Fuerte"/>
          <w:rFonts w:ascii="Arial" w:eastAsiaTheme="majorEastAsia" w:hAnsi="Arial" w:cs="Arial"/>
          <w:b w:val="0"/>
          <w:bCs w:val="0"/>
        </w:rPr>
        <w:t>exigencias técnicas, normativas y fitosanitarias</w:t>
      </w:r>
      <w:r w:rsidRPr="00BB36C3">
        <w:rPr>
          <w:rFonts w:ascii="Arial" w:hAnsi="Arial" w:cs="Arial"/>
        </w:rPr>
        <w:t xml:space="preserve"> del mercado chino. Cumplir con estándares internacionales significa invertir en certificaciones, auditorías y equipamiento especializado. “Las exigencias </w:t>
      </w:r>
      <w:r w:rsidRPr="00BB36C3">
        <w:rPr>
          <w:rFonts w:ascii="Arial" w:hAnsi="Arial" w:cs="Arial"/>
        </w:rPr>
        <w:lastRenderedPageBreak/>
        <w:t xml:space="preserve">técnicas y los estándares fitosanitarios imponen costos adicionales y una complejidad administrativa significativa, dificultando la entrada de productos hondureños” (Entrevistado 10, comunicación personal, octubre 2024). </w:t>
      </w:r>
    </w:p>
    <w:p w14:paraId="4FF0B8F7" w14:textId="7F713010" w:rsidR="00C54563" w:rsidRPr="00560B5F" w:rsidRDefault="00C54563" w:rsidP="00BB36C3">
      <w:pPr>
        <w:spacing w:before="100" w:beforeAutospacing="1" w:after="100" w:afterAutospacing="1" w:line="360" w:lineRule="auto"/>
        <w:jc w:val="both"/>
        <w:rPr>
          <w:rFonts w:ascii="Arial" w:hAnsi="Arial" w:cs="Arial"/>
          <w:color w:val="568D11" w:themeColor="accent3" w:themeShade="80"/>
        </w:rPr>
      </w:pPr>
      <w:r w:rsidRPr="00137EA8">
        <w:rPr>
          <w:rFonts w:ascii="Arial" w:hAnsi="Arial" w:cs="Arial"/>
        </w:rPr>
        <w:t xml:space="preserve">A ello se añade la </w:t>
      </w:r>
      <w:r w:rsidRPr="00137EA8">
        <w:rPr>
          <w:rStyle w:val="Fuerte"/>
          <w:rFonts w:ascii="Arial" w:eastAsiaTheme="majorEastAsia" w:hAnsi="Arial" w:cs="Arial"/>
          <w:b w:val="0"/>
          <w:bCs w:val="0"/>
        </w:rPr>
        <w:t>falta de capacidad institucional</w:t>
      </w:r>
      <w:r w:rsidRPr="00137EA8">
        <w:rPr>
          <w:rFonts w:ascii="Arial" w:hAnsi="Arial" w:cs="Arial"/>
        </w:rPr>
        <w:t xml:space="preserve"> para apoyar a los exportadores en estos procesos. La ausencia de un ente coordinador que brinde subsidios a certificaciones, facilite laboratorios de prueba y acorte los plazos de inspección agrava la situación</w:t>
      </w:r>
      <w:r w:rsidR="00137EA8" w:rsidRPr="00137EA8">
        <w:rPr>
          <w:rFonts w:ascii="Arial" w:hAnsi="Arial" w:cs="Arial"/>
        </w:rPr>
        <w:t xml:space="preserve"> (Entrevistado 11, comunicación personal, enero 2025)</w:t>
      </w:r>
      <w:r w:rsidRPr="00137EA8">
        <w:rPr>
          <w:rFonts w:ascii="Arial" w:hAnsi="Arial" w:cs="Arial"/>
        </w:rPr>
        <w:t xml:space="preserve">. Sin un soporte gubernamental claro las </w:t>
      </w:r>
      <w:r w:rsidR="00906115">
        <w:rPr>
          <w:rFonts w:ascii="Arial" w:hAnsi="Arial" w:cs="Arial"/>
        </w:rPr>
        <w:t xml:space="preserve">Pequeñas y Medianas </w:t>
      </w:r>
      <w:r w:rsidR="00100B8A">
        <w:rPr>
          <w:rFonts w:ascii="Arial" w:hAnsi="Arial" w:cs="Arial"/>
        </w:rPr>
        <w:t>Empresas (</w:t>
      </w:r>
      <w:proofErr w:type="spellStart"/>
      <w:r w:rsidRPr="00137EA8">
        <w:rPr>
          <w:rFonts w:ascii="Arial" w:hAnsi="Arial" w:cs="Arial"/>
        </w:rPr>
        <w:t>PYMEs</w:t>
      </w:r>
      <w:proofErr w:type="spellEnd"/>
      <w:r w:rsidR="00100B8A">
        <w:rPr>
          <w:rFonts w:ascii="Arial" w:hAnsi="Arial" w:cs="Arial"/>
        </w:rPr>
        <w:t>)</w:t>
      </w:r>
      <w:r w:rsidRPr="00137EA8">
        <w:rPr>
          <w:rFonts w:ascii="Arial" w:hAnsi="Arial" w:cs="Arial"/>
        </w:rPr>
        <w:t xml:space="preserve"> quedan desprovistas de herramientas clave para competir.</w:t>
      </w:r>
      <w:r w:rsidR="00560B5F">
        <w:rPr>
          <w:rFonts w:ascii="Arial" w:hAnsi="Arial" w:cs="Arial"/>
        </w:rPr>
        <w:t xml:space="preserve"> </w:t>
      </w:r>
    </w:p>
    <w:p w14:paraId="60F4ACA7" w14:textId="33F84291" w:rsidR="00C54563" w:rsidRPr="00BB36C3" w:rsidRDefault="00AC656A" w:rsidP="00BB36C3">
      <w:pPr>
        <w:spacing w:before="100" w:beforeAutospacing="1" w:after="100" w:afterAutospacing="1" w:line="360" w:lineRule="auto"/>
        <w:jc w:val="both"/>
        <w:rPr>
          <w:rFonts w:ascii="Arial" w:hAnsi="Arial" w:cs="Arial"/>
        </w:rPr>
      </w:pPr>
      <w:r w:rsidRPr="00BB36C3">
        <w:rPr>
          <w:rFonts w:ascii="Arial" w:hAnsi="Arial" w:cs="Arial"/>
        </w:rPr>
        <w:t xml:space="preserve">El </w:t>
      </w:r>
      <w:r w:rsidR="00C54563" w:rsidRPr="00BB36C3">
        <w:rPr>
          <w:rStyle w:val="Fuerte"/>
          <w:rFonts w:ascii="Arial" w:eastAsiaTheme="majorEastAsia" w:hAnsi="Arial" w:cs="Arial"/>
          <w:b w:val="0"/>
          <w:bCs w:val="0"/>
        </w:rPr>
        <w:t>riesgo de incremento del déficit comercial</w:t>
      </w:r>
      <w:r w:rsidRPr="00BB36C3">
        <w:rPr>
          <w:rFonts w:ascii="Arial" w:hAnsi="Arial" w:cs="Arial"/>
        </w:rPr>
        <w:t xml:space="preserve"> es un desafío más previsto por los expertos, también mencionado en el análisis de la relación comercial entre China y Honduras anteriormente. </w:t>
      </w:r>
      <w:r w:rsidR="00C54563" w:rsidRPr="00BB36C3">
        <w:rPr>
          <w:rFonts w:ascii="Arial" w:hAnsi="Arial" w:cs="Arial"/>
        </w:rPr>
        <w:t xml:space="preserve">La eliminación de barreras arancelarias sin contrapesos puede inundar al mercado hondureño con productos chinos de bajo costo, exacerbando el desequilibrio bilateral. “Sin una estrategia nacional que fortalezca la producción local y promueva la innovación, el acuerdo podría desencadenar una avalancha de importaciones de manufacturas chinas, incrementando el déficit comercial y presionando las reservas internacionales” (Entrevistado 9, comunicación personal, abril 2024). </w:t>
      </w:r>
    </w:p>
    <w:p w14:paraId="2590631A" w14:textId="77777777" w:rsidR="00C54563" w:rsidRPr="00BB36C3" w:rsidRDefault="00C54563" w:rsidP="00BB36C3">
      <w:pPr>
        <w:spacing w:before="100" w:beforeAutospacing="1" w:after="100" w:afterAutospacing="1" w:line="360" w:lineRule="auto"/>
        <w:jc w:val="both"/>
        <w:rPr>
          <w:rFonts w:ascii="Arial" w:hAnsi="Arial" w:cs="Arial"/>
        </w:rPr>
      </w:pPr>
      <w:r w:rsidRPr="00BB36C3">
        <w:rPr>
          <w:rFonts w:ascii="Arial" w:hAnsi="Arial" w:cs="Arial"/>
        </w:rPr>
        <w:t xml:space="preserve">La dependencia creciente de importaciones de bienes de capital agrava la </w:t>
      </w:r>
      <w:r w:rsidRPr="00BB36C3">
        <w:rPr>
          <w:rStyle w:val="Fuerte"/>
          <w:rFonts w:ascii="Arial" w:eastAsiaTheme="majorEastAsia" w:hAnsi="Arial" w:cs="Arial"/>
          <w:b w:val="0"/>
          <w:bCs w:val="0"/>
        </w:rPr>
        <w:t>vulnerabilidad de las reservas internacionales</w:t>
      </w:r>
      <w:r w:rsidRPr="00BB36C3">
        <w:rPr>
          <w:rFonts w:ascii="Arial" w:hAnsi="Arial" w:cs="Arial"/>
        </w:rPr>
        <w:t xml:space="preserve"> y la necesidad de divisas. Por cada dólar obtenido en exportaciones, Honduras podría requerir varios en importaciones, creando un saldo negativo persistente. El impacto en la cuenta corriente y en la depreciación del lempira puede disparar los costos de financiamiento externo y reducir la inversión privada.</w:t>
      </w:r>
    </w:p>
    <w:p w14:paraId="2F36AD85" w14:textId="7ECA3DAD" w:rsidR="00C54563" w:rsidRPr="00BB36C3" w:rsidRDefault="00137EA8" w:rsidP="00BB36C3">
      <w:pPr>
        <w:spacing w:before="100" w:beforeAutospacing="1" w:after="100" w:afterAutospacing="1" w:line="360" w:lineRule="auto"/>
        <w:jc w:val="both"/>
        <w:rPr>
          <w:rFonts w:ascii="Arial" w:hAnsi="Arial" w:cs="Arial"/>
        </w:rPr>
      </w:pPr>
      <w:r>
        <w:rPr>
          <w:rFonts w:ascii="Arial" w:hAnsi="Arial" w:cs="Arial"/>
        </w:rPr>
        <w:t>Otro</w:t>
      </w:r>
      <w:r w:rsidR="00470588" w:rsidRPr="00BB36C3">
        <w:rPr>
          <w:rFonts w:ascii="Arial" w:hAnsi="Arial" w:cs="Arial"/>
        </w:rPr>
        <w:t xml:space="preserve"> aspecto mencionado como </w:t>
      </w:r>
      <w:r w:rsidR="00BE5A9C">
        <w:rPr>
          <w:rFonts w:ascii="Arial" w:hAnsi="Arial" w:cs="Arial"/>
        </w:rPr>
        <w:t>limitante</w:t>
      </w:r>
      <w:r w:rsidR="00470588" w:rsidRPr="00BB36C3">
        <w:rPr>
          <w:rFonts w:ascii="Arial" w:hAnsi="Arial" w:cs="Arial"/>
        </w:rPr>
        <w:t xml:space="preserve"> es la </w:t>
      </w:r>
      <w:r w:rsidR="00C54563" w:rsidRPr="00BB36C3">
        <w:rPr>
          <w:rStyle w:val="Fuerte"/>
          <w:rFonts w:ascii="Arial" w:eastAsiaTheme="majorEastAsia" w:hAnsi="Arial" w:cs="Arial"/>
          <w:b w:val="0"/>
          <w:bCs w:val="0"/>
        </w:rPr>
        <w:t>asimetría en poder de negociación</w:t>
      </w:r>
      <w:r w:rsidR="00C54563" w:rsidRPr="00BB36C3">
        <w:rPr>
          <w:rFonts w:ascii="Arial" w:hAnsi="Arial" w:cs="Arial"/>
          <w:b/>
          <w:bCs/>
        </w:rPr>
        <w:t>.</w:t>
      </w:r>
      <w:r w:rsidR="00C54563" w:rsidRPr="00BB36C3">
        <w:rPr>
          <w:rFonts w:ascii="Arial" w:hAnsi="Arial" w:cs="Arial"/>
        </w:rPr>
        <w:t xml:space="preserve"> Ante una contraparte como China, con capacidad productiva y tecnológica superiores, Honduras corre el riesgo de ceder </w:t>
      </w:r>
      <w:r w:rsidR="00470588" w:rsidRPr="00BB36C3">
        <w:rPr>
          <w:rFonts w:ascii="Arial" w:hAnsi="Arial" w:cs="Arial"/>
        </w:rPr>
        <w:t xml:space="preserve">a </w:t>
      </w:r>
      <w:r w:rsidR="00C54563" w:rsidRPr="00BB36C3">
        <w:rPr>
          <w:rFonts w:ascii="Arial" w:hAnsi="Arial" w:cs="Arial"/>
        </w:rPr>
        <w:t xml:space="preserve">cláusulas desfavorables que faciliten la entrada de mercancías sin garantías de reciprocidad. “La estructura desigual en tecnología y capacidad productiva podría propiciar cláusulas que beneficien desproporcionadamente al gigante asiático, dejando a nuestro sector industrial en desventaja” (Entrevistado 13, </w:t>
      </w:r>
      <w:r w:rsidR="00C54563" w:rsidRPr="00BB36C3">
        <w:rPr>
          <w:rFonts w:ascii="Arial" w:hAnsi="Arial" w:cs="Arial"/>
        </w:rPr>
        <w:lastRenderedPageBreak/>
        <w:t xml:space="preserve">comunicación personal, enero 2025). Sin </w:t>
      </w:r>
      <w:r w:rsidR="00BB36C3" w:rsidRPr="00BB36C3">
        <w:rPr>
          <w:rFonts w:ascii="Arial" w:hAnsi="Arial" w:cs="Arial"/>
        </w:rPr>
        <w:t xml:space="preserve">una correcta </w:t>
      </w:r>
      <w:r w:rsidRPr="00BB36C3">
        <w:rPr>
          <w:rFonts w:ascii="Arial" w:hAnsi="Arial" w:cs="Arial"/>
        </w:rPr>
        <w:t>estrategia</w:t>
      </w:r>
      <w:r w:rsidR="00C54563" w:rsidRPr="00BB36C3">
        <w:rPr>
          <w:rFonts w:ascii="Arial" w:hAnsi="Arial" w:cs="Arial"/>
        </w:rPr>
        <w:t>, la apertura total puede resultar en un trato inequitativo.</w:t>
      </w:r>
    </w:p>
    <w:p w14:paraId="53A62BFB" w14:textId="464299DB" w:rsidR="00C54563" w:rsidRDefault="00C54563" w:rsidP="00BB36C3">
      <w:pPr>
        <w:spacing w:before="100" w:beforeAutospacing="1" w:after="100" w:afterAutospacing="1" w:line="360" w:lineRule="auto"/>
        <w:jc w:val="both"/>
        <w:rPr>
          <w:rFonts w:ascii="Arial" w:hAnsi="Arial" w:cs="Arial"/>
        </w:rPr>
      </w:pPr>
      <w:r w:rsidRPr="00BB36C3">
        <w:rPr>
          <w:rFonts w:ascii="Arial" w:hAnsi="Arial" w:cs="Arial"/>
        </w:rPr>
        <w:t xml:space="preserve">Esta asimetría impacta de modo especial a las </w:t>
      </w:r>
      <w:proofErr w:type="spellStart"/>
      <w:r w:rsidRPr="00BB36C3">
        <w:rPr>
          <w:rStyle w:val="Fuerte"/>
          <w:rFonts w:ascii="Arial" w:eastAsiaTheme="majorEastAsia" w:hAnsi="Arial" w:cs="Arial"/>
          <w:b w:val="0"/>
          <w:bCs w:val="0"/>
        </w:rPr>
        <w:t>PYMEs</w:t>
      </w:r>
      <w:proofErr w:type="spellEnd"/>
      <w:r w:rsidRPr="00BB36C3">
        <w:rPr>
          <w:rStyle w:val="Fuerte"/>
          <w:rFonts w:ascii="Arial" w:eastAsiaTheme="majorEastAsia" w:hAnsi="Arial" w:cs="Arial"/>
          <w:b w:val="0"/>
          <w:bCs w:val="0"/>
        </w:rPr>
        <w:t xml:space="preserve"> y a los productores familiares</w:t>
      </w:r>
      <w:r w:rsidRPr="00BB36C3">
        <w:rPr>
          <w:rFonts w:ascii="Arial" w:hAnsi="Arial" w:cs="Arial"/>
        </w:rPr>
        <w:t>, que carecen de la escala y los recursos para absorber shocks de apertura. Estos actores</w:t>
      </w:r>
      <w:r w:rsidR="00137EA8">
        <w:rPr>
          <w:rFonts w:ascii="Arial" w:hAnsi="Arial" w:cs="Arial"/>
        </w:rPr>
        <w:t xml:space="preserve"> </w:t>
      </w:r>
      <w:r w:rsidRPr="00BB36C3">
        <w:rPr>
          <w:rFonts w:ascii="Arial" w:hAnsi="Arial" w:cs="Arial"/>
        </w:rPr>
        <w:t xml:space="preserve">pueden verse desplazados si no se establecen medidas transitorias. </w:t>
      </w:r>
      <w:r w:rsidR="005A0BC4">
        <w:rPr>
          <w:rFonts w:ascii="Arial" w:hAnsi="Arial" w:cs="Arial"/>
        </w:rPr>
        <w:t xml:space="preserve">El </w:t>
      </w:r>
      <w:r w:rsidRPr="00BB36C3">
        <w:rPr>
          <w:rFonts w:ascii="Arial" w:hAnsi="Arial" w:cs="Arial"/>
        </w:rPr>
        <w:t xml:space="preserve">Entrevistado 9 advirtió que “las </w:t>
      </w:r>
      <w:proofErr w:type="spellStart"/>
      <w:r w:rsidRPr="00BB36C3">
        <w:rPr>
          <w:rFonts w:ascii="Arial" w:hAnsi="Arial" w:cs="Arial"/>
        </w:rPr>
        <w:t>PYMEs</w:t>
      </w:r>
      <w:proofErr w:type="spellEnd"/>
      <w:r w:rsidRPr="00BB36C3">
        <w:rPr>
          <w:rFonts w:ascii="Arial" w:hAnsi="Arial" w:cs="Arial"/>
        </w:rPr>
        <w:t xml:space="preserve"> locales requieren capacitación y fondos de garantía para adaptarse, de lo contrario muchas quedarán fuera del mercado” (comunicación personal, abril 2024).</w:t>
      </w:r>
      <w:r w:rsidR="00BB36C3" w:rsidRPr="00BB36C3">
        <w:rPr>
          <w:rFonts w:ascii="Arial" w:hAnsi="Arial" w:cs="Arial"/>
        </w:rPr>
        <w:t xml:space="preserve"> </w:t>
      </w:r>
      <w:r w:rsidRPr="00BB36C3">
        <w:rPr>
          <w:rFonts w:ascii="Arial" w:hAnsi="Arial" w:cs="Arial"/>
        </w:rPr>
        <w:t>Frente a estos retos</w:t>
      </w:r>
      <w:r w:rsidR="00BB36C3" w:rsidRPr="00BB36C3">
        <w:rPr>
          <w:rFonts w:ascii="Arial" w:hAnsi="Arial" w:cs="Arial"/>
        </w:rPr>
        <w:t>, se hace necesario implementar políticas públicas que fortalezcan la industria local, tales como medidas de salvaguardia arancelaria, incentivos para la innovación y estrategias para mejorar la competitividad</w:t>
      </w:r>
      <w:r w:rsidR="00BE5A9C">
        <w:rPr>
          <w:rFonts w:ascii="Arial" w:hAnsi="Arial" w:cs="Arial"/>
        </w:rPr>
        <w:t xml:space="preserve">. </w:t>
      </w:r>
      <w:r w:rsidR="00BB36C3" w:rsidRPr="00BB36C3">
        <w:rPr>
          <w:rFonts w:ascii="Arial" w:hAnsi="Arial" w:cs="Arial"/>
        </w:rPr>
        <w:t>La protección de la industria nacional es, por tanto, un elemento indispensable para asegurar la sostenibilidad del desarrollo económico y el equilibrio en la balanza comercial de Honduras. (Entrevistado 13, comunicación personal, enero 2025)</w:t>
      </w:r>
      <w:r w:rsidRPr="00BB36C3">
        <w:rPr>
          <w:rFonts w:ascii="Arial" w:hAnsi="Arial" w:cs="Arial"/>
        </w:rPr>
        <w:t>.</w:t>
      </w:r>
    </w:p>
    <w:p w14:paraId="43B499E3" w14:textId="468EFE61" w:rsidR="00027D09" w:rsidRPr="00BB36C3" w:rsidRDefault="00027D09" w:rsidP="00BB36C3">
      <w:pPr>
        <w:spacing w:before="100" w:beforeAutospacing="1" w:after="100" w:afterAutospacing="1" w:line="360" w:lineRule="auto"/>
        <w:jc w:val="both"/>
        <w:rPr>
          <w:rFonts w:ascii="Arial" w:hAnsi="Arial" w:cs="Arial"/>
        </w:rPr>
      </w:pPr>
      <w:r>
        <w:rPr>
          <w:rFonts w:ascii="Arial" w:hAnsi="Arial" w:cs="Arial"/>
        </w:rPr>
        <w:t>L</w:t>
      </w:r>
      <w:r w:rsidRPr="00027D09">
        <w:rPr>
          <w:rFonts w:ascii="Arial" w:hAnsi="Arial" w:cs="Arial"/>
        </w:rPr>
        <w:t>as debilidades estructurales identificadas</w:t>
      </w:r>
      <w:r>
        <w:rPr>
          <w:rFonts w:ascii="Arial" w:hAnsi="Arial" w:cs="Arial"/>
        </w:rPr>
        <w:t xml:space="preserve"> por expertos, </w:t>
      </w:r>
      <w:r w:rsidRPr="00027D09">
        <w:rPr>
          <w:rFonts w:ascii="Arial" w:hAnsi="Arial" w:cs="Arial"/>
        </w:rPr>
        <w:t>desde los elevados costos logísticos y la presión por precios bajos hasta las complejas barreras fitosanitaria</w:t>
      </w:r>
      <w:r>
        <w:rPr>
          <w:rFonts w:ascii="Arial" w:hAnsi="Arial" w:cs="Arial"/>
        </w:rPr>
        <w:t xml:space="preserve">, </w:t>
      </w:r>
      <w:r w:rsidRPr="00027D09">
        <w:rPr>
          <w:rFonts w:ascii="Arial" w:hAnsi="Arial" w:cs="Arial"/>
        </w:rPr>
        <w:t xml:space="preserve">constituyen riesgos reales que podrían frenar el crecimiento económico de Honduras, profundizar su déficit comercial y </w:t>
      </w:r>
      <w:r>
        <w:rPr>
          <w:rFonts w:ascii="Arial" w:hAnsi="Arial" w:cs="Arial"/>
        </w:rPr>
        <w:t>poner en riesgo</w:t>
      </w:r>
      <w:r w:rsidRPr="00027D09">
        <w:rPr>
          <w:rFonts w:ascii="Arial" w:hAnsi="Arial" w:cs="Arial"/>
        </w:rPr>
        <w:t xml:space="preserve"> la viabilidad de las </w:t>
      </w:r>
      <w:r>
        <w:rPr>
          <w:rFonts w:ascii="Arial" w:hAnsi="Arial" w:cs="Arial"/>
        </w:rPr>
        <w:t xml:space="preserve">pequeñas empresas </w:t>
      </w:r>
      <w:r w:rsidRPr="00027D09">
        <w:rPr>
          <w:rFonts w:ascii="Arial" w:hAnsi="Arial" w:cs="Arial"/>
        </w:rPr>
        <w:t>y del sector exportador (Entrevistado 9, comunicación personal, abril 2024; Entrevistado 11, comunicación personal, enero 2025). Estos desafíos, de no gestionarse adecuadamente, tienen el potencial de socavar las oportunidades que el TLC podría ofrecer a</w:t>
      </w:r>
      <w:r>
        <w:rPr>
          <w:rFonts w:ascii="Arial" w:hAnsi="Arial" w:cs="Arial"/>
        </w:rPr>
        <w:t xml:space="preserve"> Honduras</w:t>
      </w:r>
      <w:r w:rsidRPr="00027D09">
        <w:rPr>
          <w:rFonts w:ascii="Arial" w:hAnsi="Arial" w:cs="Arial"/>
        </w:rPr>
        <w:t>.</w:t>
      </w:r>
    </w:p>
    <w:p w14:paraId="311841E7" w14:textId="007D9285" w:rsidR="00C67B3B" w:rsidRPr="00AE2D0F" w:rsidRDefault="00E5256C">
      <w:pPr>
        <w:pStyle w:val="Ttulo4"/>
        <w:numPr>
          <w:ilvl w:val="3"/>
          <w:numId w:val="7"/>
        </w:numPr>
        <w:spacing w:line="360" w:lineRule="auto"/>
        <w:rPr>
          <w:rFonts w:ascii="Arial" w:hAnsi="Arial" w:cs="Arial"/>
          <w:i w:val="0"/>
          <w:iCs w:val="0"/>
          <w:color w:val="000000" w:themeColor="text1"/>
        </w:rPr>
      </w:pPr>
      <w:r w:rsidRPr="00AE2D0F">
        <w:rPr>
          <w:rFonts w:ascii="Arial" w:hAnsi="Arial" w:cs="Arial"/>
          <w:i w:val="0"/>
          <w:iCs w:val="0"/>
          <w:color w:val="000000" w:themeColor="text1"/>
        </w:rPr>
        <w:t>Lecciones y estrategias de expertos en el sector académico y profesional</w:t>
      </w:r>
    </w:p>
    <w:p w14:paraId="78CDB0C2" w14:textId="77777777" w:rsidR="00E77787" w:rsidRDefault="00E5256C" w:rsidP="004510B4">
      <w:pPr>
        <w:spacing w:before="100" w:beforeAutospacing="1" w:after="100" w:afterAutospacing="1" w:line="360" w:lineRule="auto"/>
        <w:jc w:val="both"/>
        <w:rPr>
          <w:rFonts w:ascii="Arial" w:hAnsi="Arial" w:cs="Arial"/>
        </w:rPr>
      </w:pPr>
      <w:r w:rsidRPr="00E5256C">
        <w:rPr>
          <w:rFonts w:ascii="Arial" w:hAnsi="Arial" w:cs="Arial"/>
        </w:rPr>
        <w:t>El análisis de las entrevistas con expertos revela la necesidad de adoptar un enfoque integral en el que Honduras se prepare de manera integral para aprovechar las oportunidades y mitigar los riesgos derivados del TLC con China, mediante una negociación estratégica y la implementación de políticas que integren varios ejes estratégicos.</w:t>
      </w:r>
      <w:r w:rsidR="00E77787">
        <w:rPr>
          <w:rFonts w:ascii="Arial" w:hAnsi="Arial" w:cs="Arial"/>
        </w:rPr>
        <w:t xml:space="preserve"> Entre las lecciones o estrategias compartidas por los entrevistados se encuentra la diversificación de la oferta exportable hondureña, la protección de la industria nacional, el aprovechamiento del </w:t>
      </w:r>
      <w:r w:rsidR="00E77787">
        <w:rPr>
          <w:rFonts w:ascii="Arial" w:hAnsi="Arial" w:cs="Arial"/>
        </w:rPr>
        <w:lastRenderedPageBreak/>
        <w:t xml:space="preserve">acuerdo para la modernización de la infraestructura logística y portuaria y la atracción de inversión extranjera directa. </w:t>
      </w:r>
    </w:p>
    <w:p w14:paraId="12752BA4" w14:textId="77777777" w:rsidR="005F4021" w:rsidRDefault="00E77787" w:rsidP="004510B4">
      <w:pPr>
        <w:spacing w:before="100" w:beforeAutospacing="1" w:after="100" w:afterAutospacing="1" w:line="360" w:lineRule="auto"/>
        <w:jc w:val="both"/>
        <w:rPr>
          <w:rFonts w:ascii="Arial" w:hAnsi="Arial" w:cs="Arial"/>
        </w:rPr>
      </w:pPr>
      <w:r w:rsidRPr="00E67B18">
        <w:rPr>
          <w:rFonts w:ascii="Arial" w:hAnsi="Arial" w:cs="Arial"/>
        </w:rPr>
        <w:t>Como primer punto</w:t>
      </w:r>
      <w:r w:rsidR="00E5256C" w:rsidRPr="00E67B18">
        <w:rPr>
          <w:rFonts w:ascii="Arial" w:hAnsi="Arial" w:cs="Arial"/>
        </w:rPr>
        <w:t>,</w:t>
      </w:r>
      <w:r w:rsidRPr="00E67B18">
        <w:rPr>
          <w:rFonts w:ascii="Arial" w:hAnsi="Arial" w:cs="Arial"/>
        </w:rPr>
        <w:t xml:space="preserve"> los expertos sugieren</w:t>
      </w:r>
      <w:r w:rsidR="00E5256C" w:rsidRPr="00E67B18">
        <w:rPr>
          <w:rFonts w:ascii="Arial" w:hAnsi="Arial" w:cs="Arial"/>
        </w:rPr>
        <w:t xml:space="preserve"> impulsar la modernización y diversificación de la estructura productiva hondureña. Esto implica invertir en nuevas tecnologías y en la capacitación del capital humano, con el fin de transformar la producción de materias primas en productos de mayor valor agregado.</w:t>
      </w:r>
      <w:r w:rsidR="00E5256C" w:rsidRPr="00E5256C">
        <w:rPr>
          <w:rFonts w:ascii="Arial" w:hAnsi="Arial" w:cs="Arial"/>
        </w:rPr>
        <w:t xml:space="preserve"> </w:t>
      </w:r>
    </w:p>
    <w:p w14:paraId="45EA4835" w14:textId="00BA9F12" w:rsidR="00E5256C" w:rsidRPr="00E5256C" w:rsidRDefault="00E5256C" w:rsidP="00CC2945">
      <w:pPr>
        <w:spacing w:after="240" w:line="360" w:lineRule="auto"/>
        <w:jc w:val="both"/>
        <w:rPr>
          <w:rFonts w:ascii="Arial" w:hAnsi="Arial" w:cs="Arial"/>
        </w:rPr>
      </w:pPr>
      <w:r w:rsidRPr="00E5256C">
        <w:rPr>
          <w:rFonts w:ascii="Arial" w:hAnsi="Arial" w:cs="Arial"/>
        </w:rPr>
        <w:t>Como resaltan los expertos, la transición hacia una industria más diversificada y tecnológicamente avanzada es fundamental para competir en un mercado global exigente (Entrevistado 12, comunicación personal, enero 2025). Además, la diversificación permitirá a Honduras reducir la dependencia de sectores tradicionales, incentivando el desarrollo de industrias emergentes y promoviendo una oferta exportable más competitiva y sustentable a largo plazo. Estas medidas deben estar acompañadas de políticas de financiamiento que faciliten la inversión en infraestructura y en procesos de innovación.</w:t>
      </w:r>
    </w:p>
    <w:p w14:paraId="4D8453BC" w14:textId="77777777" w:rsidR="00A013E9" w:rsidRDefault="00E5256C" w:rsidP="00CC2945">
      <w:pPr>
        <w:spacing w:after="240" w:line="360" w:lineRule="auto"/>
        <w:jc w:val="both"/>
        <w:rPr>
          <w:rFonts w:ascii="Arial" w:hAnsi="Arial" w:cs="Arial"/>
        </w:rPr>
      </w:pPr>
      <w:r w:rsidRPr="00E5256C">
        <w:rPr>
          <w:rFonts w:ascii="Arial" w:hAnsi="Arial" w:cs="Arial"/>
        </w:rPr>
        <w:t xml:space="preserve">Asimismo, se recomienda implementar un conjunto de medidas regulatorias que protejan la industria local. </w:t>
      </w:r>
      <w:r w:rsidRPr="00862736">
        <w:rPr>
          <w:rFonts w:ascii="Arial" w:hAnsi="Arial" w:cs="Arial"/>
        </w:rPr>
        <w:t>Ante la asimetría en la capacidad tecnológica y productiva entre China y Honduras, es crucial que el país establezca barreras temporales o cuotas de importación para ciertos productos sensible</w:t>
      </w:r>
      <w:r w:rsidR="00A013E9" w:rsidRPr="00862736">
        <w:rPr>
          <w:rFonts w:ascii="Arial" w:hAnsi="Arial" w:cs="Arial"/>
        </w:rPr>
        <w:t>s</w:t>
      </w:r>
      <w:r w:rsidR="00A013E9">
        <w:rPr>
          <w:rFonts w:ascii="Arial" w:hAnsi="Arial" w:cs="Arial"/>
        </w:rPr>
        <w:t>; d</w:t>
      </w:r>
      <w:r w:rsidRPr="00E5256C">
        <w:rPr>
          <w:rFonts w:ascii="Arial" w:hAnsi="Arial" w:cs="Arial"/>
        </w:rPr>
        <w:t xml:space="preserve">e esta manera, se evitará que la entrada masiva de bienes chinos presione negativamente al mercado interno y se genere una dependencia desmedida de importaciones. </w:t>
      </w:r>
    </w:p>
    <w:p w14:paraId="47E1030D" w14:textId="08AF5F44" w:rsidR="00E5256C" w:rsidRPr="00E5256C" w:rsidRDefault="00E5256C" w:rsidP="00CC2945">
      <w:pPr>
        <w:spacing w:after="240" w:line="360" w:lineRule="auto"/>
        <w:jc w:val="both"/>
        <w:rPr>
          <w:rFonts w:ascii="Arial" w:hAnsi="Arial" w:cs="Arial"/>
        </w:rPr>
      </w:pPr>
      <w:r w:rsidRPr="00E5256C">
        <w:rPr>
          <w:rFonts w:ascii="Arial" w:hAnsi="Arial" w:cs="Arial"/>
        </w:rPr>
        <w:t>Los expertos subrayan la importancia de contar con negociadores experimentados y de desarrollar un marco normativo robusto que, a través de incentivos fiscales y facilidades para la inversión extranjera, permita una transición gradual hacia una mayor competitividad sin sacrificar la sostenibilidad de la industria nacional (Entrevistado 13, comunicación personal, enero 2025). Esta estrategia, además, debe ser respaldada por alianzas público-privadas y colaboraciones académicas</w:t>
      </w:r>
      <w:r w:rsidR="00862736">
        <w:rPr>
          <w:rFonts w:ascii="Arial" w:hAnsi="Arial" w:cs="Arial"/>
        </w:rPr>
        <w:t>.</w:t>
      </w:r>
    </w:p>
    <w:p w14:paraId="1E3EF5D9" w14:textId="3A2D0C3F" w:rsidR="00E5256C" w:rsidRPr="00E5256C" w:rsidRDefault="00E5256C" w:rsidP="00CC2945">
      <w:pPr>
        <w:spacing w:after="240" w:line="360" w:lineRule="auto"/>
        <w:jc w:val="both"/>
        <w:rPr>
          <w:rFonts w:ascii="Arial" w:hAnsi="Arial" w:cs="Arial"/>
        </w:rPr>
      </w:pPr>
      <w:r w:rsidRPr="00E5256C">
        <w:rPr>
          <w:rFonts w:ascii="Arial" w:hAnsi="Arial" w:cs="Arial"/>
        </w:rPr>
        <w:t xml:space="preserve">Otro pilar fundamental es </w:t>
      </w:r>
      <w:r w:rsidRPr="00862736">
        <w:rPr>
          <w:rFonts w:ascii="Arial" w:hAnsi="Arial" w:cs="Arial"/>
        </w:rPr>
        <w:t>la modernización de la infraestructura logística. La mejora de los puertos y la optimización de la cadena de suministro son medidas</w:t>
      </w:r>
      <w:r w:rsidRPr="00E5256C">
        <w:rPr>
          <w:rFonts w:ascii="Arial" w:hAnsi="Arial" w:cs="Arial"/>
        </w:rPr>
        <w:t xml:space="preserve"> </w:t>
      </w:r>
      <w:r w:rsidRPr="00E5256C">
        <w:rPr>
          <w:rFonts w:ascii="Arial" w:hAnsi="Arial" w:cs="Arial"/>
        </w:rPr>
        <w:lastRenderedPageBreak/>
        <w:t xml:space="preserve">esenciales para reducir los costos y tiempos de transporte, lo que a su vez aumentaría la competitividad de las exportaciones hondureñas. La actualización de la infraestructura facilitará la inserción de productos en mercados tan exigentes como el chino, permitiendo que los bienes lleguen en óptimas condiciones y en el plazo requerido. </w:t>
      </w:r>
      <w:r w:rsidR="00862736">
        <w:rPr>
          <w:rFonts w:ascii="Arial" w:hAnsi="Arial" w:cs="Arial"/>
        </w:rPr>
        <w:t>Los e</w:t>
      </w:r>
      <w:r w:rsidRPr="00E5256C">
        <w:rPr>
          <w:rFonts w:ascii="Arial" w:hAnsi="Arial" w:cs="Arial"/>
        </w:rPr>
        <w:t xml:space="preserve">xpertos destacan que inversiones en este ámbito no solo reducen </w:t>
      </w:r>
      <w:r w:rsidR="00AE2D0F">
        <w:rPr>
          <w:rFonts w:ascii="Arial" w:hAnsi="Arial" w:cs="Arial"/>
        </w:rPr>
        <w:t xml:space="preserve">los </w:t>
      </w:r>
      <w:r w:rsidRPr="00E5256C">
        <w:rPr>
          <w:rFonts w:ascii="Arial" w:hAnsi="Arial" w:cs="Arial"/>
        </w:rPr>
        <w:t>costos operativos sino que también potencian la capacidad exportadora en un contexto de alta competencia global (Entrevistado 11, comunicación personal, enero 2025). Además, la implementación de sistemas de gestión y monitoreo de la cadena logística contribuirá a minimizar riesgos asociados a retrasos y pérdida de calidad.</w:t>
      </w:r>
    </w:p>
    <w:p w14:paraId="706A3D6D" w14:textId="4AAE3122" w:rsidR="00E5256C" w:rsidRDefault="00E5256C" w:rsidP="00CC2945">
      <w:pPr>
        <w:spacing w:after="240" w:line="360" w:lineRule="auto"/>
        <w:jc w:val="both"/>
        <w:rPr>
          <w:rFonts w:ascii="Arial" w:hAnsi="Arial" w:cs="Arial"/>
        </w:rPr>
      </w:pPr>
      <w:r w:rsidRPr="001C7ED4">
        <w:rPr>
          <w:rFonts w:ascii="Arial" w:hAnsi="Arial" w:cs="Arial"/>
        </w:rPr>
        <w:t>La formulación de estrategias para atraer inversión extranjera directa y facilitar la transferencia de tecnología constituye otro componente esencial. Los expertos coinciden en que la creación de un ambiente propicio para la inversión, mediante incentivos fiscales y facilidades regulatorias, resultará en la instalación de maquilas y en la adopción de nuevas tecnologías que incrementen la eficiencia productiva</w:t>
      </w:r>
      <w:r w:rsidR="001C7ED4" w:rsidRPr="001C7ED4">
        <w:rPr>
          <w:rFonts w:ascii="Arial" w:hAnsi="Arial" w:cs="Arial"/>
        </w:rPr>
        <w:t xml:space="preserve"> (Entrevistado 12, comunicación personal, enero 2025; Entrevistado 13, comunicación personal, enero 2025)</w:t>
      </w:r>
      <w:r w:rsidRPr="001C7ED4">
        <w:rPr>
          <w:rFonts w:ascii="Arial" w:hAnsi="Arial" w:cs="Arial"/>
        </w:rPr>
        <w:t>.</w:t>
      </w:r>
      <w:r w:rsidRPr="00E5256C">
        <w:rPr>
          <w:rFonts w:ascii="Arial" w:hAnsi="Arial" w:cs="Arial"/>
        </w:rPr>
        <w:t xml:space="preserve"> Esta inyección de capital y know-how tecnológico permitirá a los productores hondureños modernizar sus procesos y competir </w:t>
      </w:r>
      <w:r w:rsidR="00D70946">
        <w:rPr>
          <w:rFonts w:ascii="Arial" w:hAnsi="Arial" w:cs="Arial"/>
        </w:rPr>
        <w:t>de manera un poco más cercana a</w:t>
      </w:r>
      <w:r w:rsidRPr="00E5256C">
        <w:rPr>
          <w:rFonts w:ascii="Arial" w:hAnsi="Arial" w:cs="Arial"/>
        </w:rPr>
        <w:t xml:space="preserve"> niveles internacionales. La incorporación de inversiones que aporten tecnología y experiencia en gestión operativa es vital para romper con la estructura basada en materias primas y fortalecer la competitividad del país (Entrevistado 10, comunicación personal, octubre 2024).</w:t>
      </w:r>
    </w:p>
    <w:p w14:paraId="3F11CCFB" w14:textId="2E51567E" w:rsidR="005F730A" w:rsidRDefault="007077CB" w:rsidP="00015050">
      <w:pPr>
        <w:spacing w:after="240" w:line="360" w:lineRule="auto"/>
        <w:jc w:val="both"/>
        <w:rPr>
          <w:rFonts w:ascii="Arial" w:hAnsi="Arial" w:cs="Arial"/>
        </w:rPr>
      </w:pPr>
      <w:r w:rsidRPr="007077CB">
        <w:rPr>
          <w:rFonts w:ascii="Arial" w:hAnsi="Arial" w:cs="Arial"/>
        </w:rPr>
        <w:t>Como estrategia, se resalta la importancia de adoptar una diplomacia comercial proactiva y contar con negociadores altamente capacitados que articulen un acuerdo equilibrado. La negociación debe sustentarse en estudios de mercado rigurosos y en un análisis de l</w:t>
      </w:r>
      <w:r w:rsidR="00AE2D0F">
        <w:rPr>
          <w:rFonts w:ascii="Arial" w:hAnsi="Arial" w:cs="Arial"/>
        </w:rPr>
        <w:t>o</w:t>
      </w:r>
      <w:r w:rsidRPr="007077CB">
        <w:rPr>
          <w:rFonts w:ascii="Arial" w:hAnsi="Arial" w:cs="Arial"/>
        </w:rPr>
        <w:t xml:space="preserve">s </w:t>
      </w:r>
      <w:r w:rsidR="00865043">
        <w:rPr>
          <w:rFonts w:ascii="Arial" w:hAnsi="Arial" w:cs="Arial"/>
        </w:rPr>
        <w:t>datos</w:t>
      </w:r>
      <w:r w:rsidRPr="007077CB">
        <w:rPr>
          <w:rFonts w:ascii="Arial" w:hAnsi="Arial" w:cs="Arial"/>
        </w:rPr>
        <w:t xml:space="preserve"> </w:t>
      </w:r>
      <w:r w:rsidR="00865043">
        <w:rPr>
          <w:rFonts w:ascii="Arial" w:hAnsi="Arial" w:cs="Arial"/>
        </w:rPr>
        <w:t>comerciales históricos</w:t>
      </w:r>
      <w:r w:rsidRPr="007077CB">
        <w:rPr>
          <w:rFonts w:ascii="Arial" w:hAnsi="Arial" w:cs="Arial"/>
        </w:rPr>
        <w:t>, lo que permitirá a Honduras insertar cláusulas que maximicen sus beneficios y atenúen los riesgos identificados por los expertos. Este enfoque estratégico implica la integración de medidas que combinen la protección de la industria local, incentivos para la innovación y la apertura a nuevos mercados, de manera que la negociación genere beneficios sostenibles a largo plazo y fortalezca la competitividad internacional del país (Entrevistado 13, comunicación personal, enero 2025).</w:t>
      </w:r>
    </w:p>
    <w:p w14:paraId="0223A63F" w14:textId="2D63BFC7" w:rsidR="007A0E86" w:rsidRDefault="007A0E86" w:rsidP="00015050">
      <w:pPr>
        <w:spacing w:after="240" w:line="360" w:lineRule="auto"/>
        <w:jc w:val="both"/>
        <w:rPr>
          <w:rFonts w:ascii="Arial" w:hAnsi="Arial" w:cs="Arial"/>
          <w:b/>
          <w:bCs/>
          <w:color w:val="000000" w:themeColor="text1"/>
        </w:rPr>
      </w:pPr>
      <w:r w:rsidRPr="005A0BC4">
        <w:rPr>
          <w:rFonts w:ascii="Arial" w:hAnsi="Arial" w:cs="Arial"/>
          <w:b/>
          <w:bCs/>
          <w:color w:val="000000" w:themeColor="text1"/>
        </w:rPr>
        <w:lastRenderedPageBreak/>
        <w:t>Oportunidades y desafíos identificados por productores y</w:t>
      </w:r>
      <w:r w:rsidR="005A0BC4">
        <w:rPr>
          <w:rFonts w:ascii="Arial" w:hAnsi="Arial" w:cs="Arial"/>
          <w:b/>
          <w:bCs/>
          <w:color w:val="000000" w:themeColor="text1"/>
        </w:rPr>
        <w:t xml:space="preserve"> </w:t>
      </w:r>
      <w:r w:rsidR="005A0BC4" w:rsidRPr="005A0BC4">
        <w:rPr>
          <w:rFonts w:ascii="Arial" w:hAnsi="Arial" w:cs="Arial"/>
          <w:b/>
          <w:bCs/>
          <w:color w:val="000000" w:themeColor="text1"/>
        </w:rPr>
        <w:t>profesionales</w:t>
      </w:r>
    </w:p>
    <w:p w14:paraId="738FBB16" w14:textId="4293DD93" w:rsidR="00100B8A" w:rsidRPr="007A0E86" w:rsidRDefault="00F470A9" w:rsidP="00015050">
      <w:pPr>
        <w:spacing w:after="240" w:line="360" w:lineRule="auto"/>
        <w:jc w:val="both"/>
        <w:rPr>
          <w:rFonts w:ascii="Arial" w:hAnsi="Arial" w:cs="Arial"/>
          <w:b/>
          <w:bCs/>
          <w:color w:val="000000" w:themeColor="text1"/>
        </w:rPr>
      </w:pPr>
      <w:r w:rsidRPr="00F470A9">
        <w:rPr>
          <w:rFonts w:ascii="Arial" w:hAnsi="Arial" w:cs="Arial"/>
        </w:rPr>
        <w:t xml:space="preserve">Los elementos analizados permiten observar que, si bien el Tratado de Libre Comercio con China se percibe como una vía para diversificar mercados, atraer inversión y promover la modernización productiva, persisten condiciones estructurales que podrían limitar su aprovechamiento pleno. Tanto desde las experiencias del sector productivo como desde el análisis de expertos, emergen patrones coincidentes sobre las ventajas esperadas y los obstáculos que condicionan su materialización. En este sentido, a </w:t>
      </w:r>
      <w:r w:rsidR="005A0BC4" w:rsidRPr="00F470A9">
        <w:rPr>
          <w:rFonts w:ascii="Arial" w:hAnsi="Arial" w:cs="Arial"/>
        </w:rPr>
        <w:t>continuación,</w:t>
      </w:r>
      <w:r w:rsidRPr="00F470A9">
        <w:rPr>
          <w:rFonts w:ascii="Arial" w:hAnsi="Arial" w:cs="Arial"/>
        </w:rPr>
        <w:t xml:space="preserve"> se sistematizan, de manera comparativ</w:t>
      </w:r>
      <w:r w:rsidR="005A0BC4">
        <w:rPr>
          <w:rFonts w:ascii="Arial" w:hAnsi="Arial" w:cs="Arial"/>
        </w:rPr>
        <w:t>a</w:t>
      </w:r>
      <w:r w:rsidRPr="00F470A9">
        <w:rPr>
          <w:rFonts w:ascii="Arial" w:hAnsi="Arial" w:cs="Arial"/>
        </w:rPr>
        <w:t xml:space="preserve"> los principales hallazgos obtenidos a través de las entrevistas, lo cual permite delimitar con mayor claridad los puntos estratégicos que deberán ser considerados en el diseño de políticas públicas y en futuras negociaciones comerciales.</w:t>
      </w:r>
    </w:p>
    <w:p w14:paraId="6209E773" w14:textId="77777777" w:rsidR="006D25CF" w:rsidRPr="00ED618E" w:rsidRDefault="00000000">
      <w:pPr>
        <w:pStyle w:val="Descripcin1"/>
        <w:keepNext/>
        <w:spacing w:line="360" w:lineRule="auto"/>
        <w:rPr>
          <w:rFonts w:ascii="Arial" w:hAnsi="Arial" w:cs="Arial"/>
          <w:b/>
          <w:bCs/>
          <w:color w:val="000000" w:themeColor="text1"/>
          <w:sz w:val="22"/>
          <w:szCs w:val="22"/>
          <w:highlight w:val="yellow"/>
        </w:rPr>
      </w:pPr>
      <w:bookmarkStart w:id="77" w:name="_Toc215521934"/>
      <w:r>
        <w:rPr>
          <w:rFonts w:ascii="Arial" w:hAnsi="Arial" w:cs="Arial"/>
          <w:b/>
          <w:bCs/>
          <w:i w:val="0"/>
          <w:iCs w:val="0"/>
          <w:color w:val="000000" w:themeColor="text1"/>
          <w:sz w:val="24"/>
          <w:szCs w:val="24"/>
        </w:rPr>
        <w:t>Tabla 5</w:t>
      </w:r>
      <w:r w:rsidRPr="00051066">
        <w:rPr>
          <w:rFonts w:ascii="Arial" w:hAnsi="Arial" w:cs="Arial"/>
          <w:b/>
          <w:bCs/>
          <w:i w:val="0"/>
          <w:iCs w:val="0"/>
          <w:color w:val="000000" w:themeColor="text1"/>
          <w:sz w:val="24"/>
          <w:szCs w:val="24"/>
        </w:rPr>
        <w:t xml:space="preserve"> </w:t>
      </w:r>
      <w:r w:rsidRPr="00051066">
        <w:rPr>
          <w:rFonts w:ascii="Arial" w:hAnsi="Arial" w:cs="Arial"/>
          <w:color w:val="000000" w:themeColor="text1"/>
          <w:sz w:val="24"/>
          <w:szCs w:val="24"/>
        </w:rPr>
        <w:t>Oportunidades y desafíos identificados por productores y representantes del sector productivo</w:t>
      </w:r>
      <w:bookmarkEnd w:id="77"/>
    </w:p>
    <w:tbl>
      <w:tblPr>
        <w:tblW w:w="9366"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5118"/>
      </w:tblGrid>
      <w:tr w:rsidR="00085FA7" w14:paraId="7B5879BA" w14:textId="77777777" w:rsidTr="00857888">
        <w:trPr>
          <w:trHeight w:val="290"/>
        </w:trPr>
        <w:tc>
          <w:tcPr>
            <w:tcW w:w="4248" w:type="dxa"/>
            <w:vAlign w:val="center"/>
          </w:tcPr>
          <w:p w14:paraId="7656D7FD" w14:textId="77777777" w:rsidR="00085FA7" w:rsidRDefault="00085FA7" w:rsidP="00857888">
            <w:pPr>
              <w:spacing w:line="276" w:lineRule="auto"/>
              <w:rPr>
                <w:rFonts w:ascii="Arial" w:eastAsia="Arial" w:hAnsi="Arial" w:cs="Arial"/>
                <w:b/>
                <w:bCs/>
                <w:sz w:val="21"/>
                <w:szCs w:val="21"/>
              </w:rPr>
            </w:pPr>
            <w:r>
              <w:rPr>
                <w:rFonts w:ascii="Arial" w:eastAsia="Arial" w:hAnsi="Arial" w:cs="Arial"/>
                <w:b/>
                <w:bCs/>
                <w:sz w:val="21"/>
                <w:szCs w:val="21"/>
              </w:rPr>
              <w:t>Oportunidades</w:t>
            </w:r>
          </w:p>
        </w:tc>
        <w:tc>
          <w:tcPr>
            <w:tcW w:w="5118" w:type="dxa"/>
            <w:vAlign w:val="center"/>
          </w:tcPr>
          <w:p w14:paraId="7CA90602" w14:textId="77777777" w:rsidR="00085FA7" w:rsidRDefault="00085FA7" w:rsidP="00857888">
            <w:pPr>
              <w:spacing w:line="276" w:lineRule="auto"/>
              <w:rPr>
                <w:rFonts w:ascii="Arial" w:eastAsia="Arial" w:hAnsi="Arial" w:cs="Arial"/>
                <w:b/>
                <w:bCs/>
                <w:sz w:val="21"/>
                <w:szCs w:val="21"/>
              </w:rPr>
            </w:pPr>
            <w:r>
              <w:rPr>
                <w:rFonts w:ascii="Arial" w:eastAsia="Arial" w:hAnsi="Arial" w:cs="Arial"/>
                <w:b/>
                <w:bCs/>
                <w:sz w:val="21"/>
                <w:szCs w:val="21"/>
              </w:rPr>
              <w:t>Desafíos</w:t>
            </w:r>
          </w:p>
        </w:tc>
      </w:tr>
      <w:tr w:rsidR="00085FA7" w14:paraId="129FD8C5" w14:textId="77777777" w:rsidTr="00857888">
        <w:trPr>
          <w:trHeight w:val="873"/>
        </w:trPr>
        <w:tc>
          <w:tcPr>
            <w:tcW w:w="4248" w:type="dxa"/>
            <w:vAlign w:val="center"/>
          </w:tcPr>
          <w:p w14:paraId="0C42D048" w14:textId="77777777" w:rsidR="00085FA7" w:rsidRDefault="00085FA7" w:rsidP="00857888">
            <w:pPr>
              <w:spacing w:line="276" w:lineRule="auto"/>
              <w:rPr>
                <w:rFonts w:ascii="Arial" w:eastAsia="Arial" w:hAnsi="Arial" w:cs="Arial"/>
                <w:sz w:val="21"/>
                <w:szCs w:val="21"/>
              </w:rPr>
            </w:pPr>
            <w:r>
              <w:rPr>
                <w:rFonts w:ascii="Arial" w:eastAsia="Arial" w:hAnsi="Arial" w:cs="Arial"/>
                <w:sz w:val="21"/>
                <w:szCs w:val="21"/>
              </w:rPr>
              <w:t>Acceso a un mercado de gran escala, con alta demanda sostenida por productos agrícolas y pesqueros.</w:t>
            </w:r>
          </w:p>
        </w:tc>
        <w:tc>
          <w:tcPr>
            <w:tcW w:w="5118" w:type="dxa"/>
            <w:vAlign w:val="center"/>
          </w:tcPr>
          <w:p w14:paraId="7A3D096F" w14:textId="77777777" w:rsidR="00085FA7" w:rsidRDefault="00085FA7" w:rsidP="00857888">
            <w:pPr>
              <w:spacing w:line="276" w:lineRule="auto"/>
              <w:rPr>
                <w:rFonts w:ascii="Arial" w:eastAsia="Arial" w:hAnsi="Arial" w:cs="Arial"/>
                <w:sz w:val="21"/>
                <w:szCs w:val="21"/>
              </w:rPr>
            </w:pPr>
            <w:r>
              <w:rPr>
                <w:rFonts w:ascii="Arial" w:eastAsia="Arial" w:hAnsi="Arial" w:cs="Arial"/>
                <w:sz w:val="21"/>
                <w:szCs w:val="21"/>
              </w:rPr>
              <w:t>Limitaciones en la capacidad instalada para atender volúmenes exigidos por compradores chinos.</w:t>
            </w:r>
          </w:p>
        </w:tc>
      </w:tr>
      <w:tr w:rsidR="00085FA7" w14:paraId="1B465513" w14:textId="77777777" w:rsidTr="00857888">
        <w:trPr>
          <w:trHeight w:val="873"/>
        </w:trPr>
        <w:tc>
          <w:tcPr>
            <w:tcW w:w="4248" w:type="dxa"/>
            <w:vAlign w:val="center"/>
          </w:tcPr>
          <w:p w14:paraId="194BB158" w14:textId="77777777" w:rsidR="00085FA7" w:rsidRDefault="00085FA7" w:rsidP="00857888">
            <w:pPr>
              <w:spacing w:line="276" w:lineRule="auto"/>
              <w:rPr>
                <w:rFonts w:ascii="Arial" w:eastAsia="Arial" w:hAnsi="Arial" w:cs="Arial"/>
                <w:sz w:val="21"/>
                <w:szCs w:val="21"/>
              </w:rPr>
            </w:pPr>
            <w:r>
              <w:rPr>
                <w:rFonts w:ascii="Arial" w:eastAsia="Arial" w:hAnsi="Arial" w:cs="Arial"/>
                <w:sz w:val="21"/>
                <w:szCs w:val="21"/>
              </w:rPr>
              <w:t>Eliminación progresiva de aranceles que mejora la competitividad.</w:t>
            </w:r>
          </w:p>
        </w:tc>
        <w:tc>
          <w:tcPr>
            <w:tcW w:w="5118" w:type="dxa"/>
            <w:vAlign w:val="center"/>
          </w:tcPr>
          <w:p w14:paraId="07DF4428" w14:textId="77777777" w:rsidR="00085FA7" w:rsidRDefault="00085FA7" w:rsidP="00857888">
            <w:pPr>
              <w:spacing w:line="276" w:lineRule="auto"/>
              <w:rPr>
                <w:rFonts w:ascii="Arial" w:eastAsia="Arial" w:hAnsi="Arial" w:cs="Arial"/>
                <w:sz w:val="21"/>
                <w:szCs w:val="21"/>
              </w:rPr>
            </w:pPr>
            <w:r>
              <w:rPr>
                <w:rFonts w:ascii="Arial" w:eastAsia="Arial" w:hAnsi="Arial" w:cs="Arial"/>
                <w:sz w:val="21"/>
                <w:szCs w:val="21"/>
              </w:rPr>
              <w:t>Insuficiencia de financiamiento para inversiones en infraestructura, tecnología y expansión productiva.</w:t>
            </w:r>
          </w:p>
        </w:tc>
      </w:tr>
      <w:tr w:rsidR="00085FA7" w14:paraId="2085FBE4" w14:textId="77777777" w:rsidTr="00857888">
        <w:trPr>
          <w:trHeight w:val="892"/>
        </w:trPr>
        <w:tc>
          <w:tcPr>
            <w:tcW w:w="4248" w:type="dxa"/>
            <w:vAlign w:val="center"/>
          </w:tcPr>
          <w:p w14:paraId="743A89A0" w14:textId="77777777" w:rsidR="00085FA7" w:rsidRDefault="00085FA7" w:rsidP="00857888">
            <w:pPr>
              <w:spacing w:line="276" w:lineRule="auto"/>
              <w:rPr>
                <w:rFonts w:ascii="Arial" w:eastAsia="Arial" w:hAnsi="Arial" w:cs="Arial"/>
                <w:sz w:val="21"/>
                <w:szCs w:val="21"/>
              </w:rPr>
            </w:pPr>
            <w:r>
              <w:rPr>
                <w:rFonts w:ascii="Arial" w:eastAsia="Arial" w:hAnsi="Arial" w:cs="Arial"/>
                <w:sz w:val="21"/>
                <w:szCs w:val="21"/>
              </w:rPr>
              <w:t>Posibilidades de acceder a segmentos premium del mercado chino, especialmente en café y cacao.</w:t>
            </w:r>
          </w:p>
        </w:tc>
        <w:tc>
          <w:tcPr>
            <w:tcW w:w="5118" w:type="dxa"/>
            <w:vAlign w:val="center"/>
          </w:tcPr>
          <w:p w14:paraId="04BEA329" w14:textId="77777777" w:rsidR="00085FA7" w:rsidRDefault="00085FA7" w:rsidP="00857888">
            <w:pPr>
              <w:spacing w:line="276" w:lineRule="auto"/>
              <w:rPr>
                <w:rFonts w:ascii="Arial" w:eastAsia="Arial" w:hAnsi="Arial" w:cs="Arial"/>
                <w:sz w:val="21"/>
                <w:szCs w:val="21"/>
              </w:rPr>
            </w:pPr>
            <w:r>
              <w:rPr>
                <w:rFonts w:ascii="Arial" w:eastAsia="Arial" w:hAnsi="Arial" w:cs="Arial"/>
                <w:sz w:val="21"/>
                <w:szCs w:val="21"/>
              </w:rPr>
              <w:t>Dificultades logísticas y altos costos de transporte debido a la infraestructura portuaria y vial deficiente.</w:t>
            </w:r>
          </w:p>
        </w:tc>
      </w:tr>
      <w:tr w:rsidR="00085FA7" w14:paraId="7A994BBC" w14:textId="77777777" w:rsidTr="00857888">
        <w:trPr>
          <w:trHeight w:val="873"/>
        </w:trPr>
        <w:tc>
          <w:tcPr>
            <w:tcW w:w="4248" w:type="dxa"/>
            <w:vAlign w:val="center"/>
          </w:tcPr>
          <w:p w14:paraId="4F1D22CF" w14:textId="77777777" w:rsidR="00085FA7" w:rsidRDefault="00085FA7" w:rsidP="00857888">
            <w:pPr>
              <w:spacing w:line="276" w:lineRule="auto"/>
              <w:rPr>
                <w:rFonts w:ascii="Arial" w:eastAsia="Arial" w:hAnsi="Arial" w:cs="Arial"/>
                <w:sz w:val="21"/>
                <w:szCs w:val="21"/>
              </w:rPr>
            </w:pPr>
            <w:r>
              <w:rPr>
                <w:rFonts w:ascii="Arial" w:eastAsia="Arial" w:hAnsi="Arial" w:cs="Arial"/>
                <w:sz w:val="21"/>
                <w:szCs w:val="21"/>
              </w:rPr>
              <w:t>Potencial para establecer alianzas estratégicas o coinversiones que permitan ampliar la escala productiva.</w:t>
            </w:r>
          </w:p>
        </w:tc>
        <w:tc>
          <w:tcPr>
            <w:tcW w:w="5118" w:type="dxa"/>
            <w:vAlign w:val="center"/>
          </w:tcPr>
          <w:p w14:paraId="2BCD35E5" w14:textId="77777777" w:rsidR="00085FA7" w:rsidRDefault="00085FA7" w:rsidP="00857888">
            <w:pPr>
              <w:spacing w:line="276" w:lineRule="auto"/>
              <w:rPr>
                <w:rFonts w:ascii="Arial" w:eastAsia="Arial" w:hAnsi="Arial" w:cs="Arial"/>
                <w:sz w:val="21"/>
                <w:szCs w:val="21"/>
              </w:rPr>
            </w:pPr>
            <w:r>
              <w:rPr>
                <w:rFonts w:ascii="Arial" w:eastAsia="Arial" w:hAnsi="Arial" w:cs="Arial"/>
                <w:sz w:val="21"/>
                <w:szCs w:val="21"/>
              </w:rPr>
              <w:t>Presión por competir en precios bajos, lo que reduce márgenes y pone en riesgo la sostenibilidad del negocio.</w:t>
            </w:r>
          </w:p>
        </w:tc>
      </w:tr>
      <w:tr w:rsidR="00085FA7" w14:paraId="74B2703B" w14:textId="77777777" w:rsidTr="00857888">
        <w:trPr>
          <w:trHeight w:val="873"/>
        </w:trPr>
        <w:tc>
          <w:tcPr>
            <w:tcW w:w="4248" w:type="dxa"/>
            <w:vAlign w:val="center"/>
          </w:tcPr>
          <w:p w14:paraId="65FB5851" w14:textId="77777777" w:rsidR="00085FA7" w:rsidRDefault="00085FA7" w:rsidP="00857888">
            <w:pPr>
              <w:spacing w:line="276" w:lineRule="auto"/>
              <w:rPr>
                <w:rFonts w:ascii="Arial" w:eastAsia="Arial" w:hAnsi="Arial" w:cs="Arial"/>
                <w:sz w:val="21"/>
                <w:szCs w:val="21"/>
              </w:rPr>
            </w:pPr>
            <w:r>
              <w:rPr>
                <w:rFonts w:ascii="Arial" w:eastAsia="Arial" w:hAnsi="Arial" w:cs="Arial"/>
                <w:sz w:val="21"/>
                <w:szCs w:val="21"/>
              </w:rPr>
              <w:t>Acceso a maquinaria, tecnología e insumos a precios más competitivos.</w:t>
            </w:r>
          </w:p>
        </w:tc>
        <w:tc>
          <w:tcPr>
            <w:tcW w:w="5118" w:type="dxa"/>
            <w:vAlign w:val="center"/>
          </w:tcPr>
          <w:p w14:paraId="7678005A" w14:textId="77777777" w:rsidR="00085FA7" w:rsidRDefault="00085FA7" w:rsidP="00857888">
            <w:pPr>
              <w:spacing w:line="276" w:lineRule="auto"/>
              <w:rPr>
                <w:rFonts w:ascii="Arial" w:eastAsia="Arial" w:hAnsi="Arial" w:cs="Arial"/>
                <w:sz w:val="21"/>
                <w:szCs w:val="21"/>
              </w:rPr>
            </w:pPr>
            <w:r>
              <w:rPr>
                <w:rFonts w:ascii="Arial" w:eastAsia="Arial" w:hAnsi="Arial" w:cs="Arial"/>
                <w:sz w:val="21"/>
                <w:szCs w:val="21"/>
              </w:rPr>
              <w:t>Altos estándares fitosanitarios y procedimientos administrativos complejos que elevan los costos de exportación.</w:t>
            </w:r>
          </w:p>
        </w:tc>
      </w:tr>
      <w:tr w:rsidR="00085FA7" w14:paraId="77FE1D8C" w14:textId="77777777" w:rsidTr="00857888">
        <w:trPr>
          <w:trHeight w:val="873"/>
        </w:trPr>
        <w:tc>
          <w:tcPr>
            <w:tcW w:w="4248" w:type="dxa"/>
            <w:vAlign w:val="center"/>
          </w:tcPr>
          <w:p w14:paraId="7C888B3B" w14:textId="77777777" w:rsidR="00085FA7" w:rsidRDefault="00085FA7" w:rsidP="00857888">
            <w:pPr>
              <w:spacing w:line="276" w:lineRule="auto"/>
              <w:rPr>
                <w:rFonts w:ascii="Arial" w:eastAsia="Arial" w:hAnsi="Arial" w:cs="Arial"/>
                <w:sz w:val="21"/>
                <w:szCs w:val="21"/>
              </w:rPr>
            </w:pPr>
          </w:p>
        </w:tc>
        <w:tc>
          <w:tcPr>
            <w:tcW w:w="5118" w:type="dxa"/>
            <w:vAlign w:val="center"/>
          </w:tcPr>
          <w:p w14:paraId="1D5243C2" w14:textId="77777777" w:rsidR="00085FA7" w:rsidRDefault="00085FA7" w:rsidP="00857888">
            <w:pPr>
              <w:spacing w:line="276" w:lineRule="auto"/>
              <w:rPr>
                <w:rFonts w:ascii="Arial" w:eastAsia="Arial" w:hAnsi="Arial" w:cs="Arial"/>
                <w:sz w:val="21"/>
                <w:szCs w:val="21"/>
              </w:rPr>
            </w:pPr>
            <w:r>
              <w:rPr>
                <w:rFonts w:ascii="Arial" w:eastAsia="Arial" w:hAnsi="Arial" w:cs="Arial"/>
                <w:sz w:val="21"/>
                <w:szCs w:val="21"/>
              </w:rPr>
              <w:t xml:space="preserve">Riesgo de desplazamiento de </w:t>
            </w:r>
            <w:proofErr w:type="spellStart"/>
            <w:r>
              <w:rPr>
                <w:rFonts w:ascii="Arial" w:eastAsia="Arial" w:hAnsi="Arial" w:cs="Arial"/>
                <w:sz w:val="21"/>
                <w:szCs w:val="21"/>
              </w:rPr>
              <w:t>PYMEs</w:t>
            </w:r>
            <w:proofErr w:type="spellEnd"/>
            <w:r>
              <w:rPr>
                <w:rFonts w:ascii="Arial" w:eastAsia="Arial" w:hAnsi="Arial" w:cs="Arial"/>
                <w:sz w:val="21"/>
                <w:szCs w:val="21"/>
              </w:rPr>
              <w:t xml:space="preserve"> frente a actores con mayor capacidad de adaptación y sin respaldo institucional.</w:t>
            </w:r>
          </w:p>
        </w:tc>
      </w:tr>
    </w:tbl>
    <w:p w14:paraId="64C8974B" w14:textId="77777777" w:rsidR="00085FA7" w:rsidRDefault="00085FA7" w:rsidP="001B4967">
      <w:pPr>
        <w:spacing w:after="240" w:line="360" w:lineRule="auto"/>
        <w:jc w:val="both"/>
        <w:rPr>
          <w:rFonts w:ascii="Arial" w:hAnsi="Arial" w:cs="Arial"/>
        </w:rPr>
      </w:pPr>
    </w:p>
    <w:p w14:paraId="07FA13ED" w14:textId="7DE2118F" w:rsidR="001B4967" w:rsidRDefault="00E2331F" w:rsidP="001B4967">
      <w:pPr>
        <w:spacing w:after="240" w:line="360" w:lineRule="auto"/>
        <w:jc w:val="both"/>
        <w:rPr>
          <w:rFonts w:ascii="Arial" w:hAnsi="Arial" w:cs="Arial"/>
        </w:rPr>
      </w:pPr>
      <w:r>
        <w:rPr>
          <w:rFonts w:ascii="Arial" w:hAnsi="Arial" w:cs="Arial"/>
        </w:rPr>
        <w:t>Fuente: Elaboración Propia</w:t>
      </w:r>
    </w:p>
    <w:p w14:paraId="2F2E55C2" w14:textId="77777777" w:rsidR="006D25CF" w:rsidRPr="00ED618E" w:rsidRDefault="00000000">
      <w:pPr>
        <w:pStyle w:val="Descripcin1"/>
        <w:keepNext/>
        <w:spacing w:line="360" w:lineRule="auto"/>
        <w:rPr>
          <w:rFonts w:ascii="Arial" w:hAnsi="Arial" w:cs="Arial"/>
          <w:b/>
          <w:bCs/>
          <w:color w:val="000000" w:themeColor="text1"/>
          <w:sz w:val="22"/>
          <w:szCs w:val="22"/>
          <w:highlight w:val="yellow"/>
        </w:rPr>
      </w:pPr>
      <w:bookmarkStart w:id="78" w:name="_Toc215521935"/>
      <w:r>
        <w:rPr>
          <w:rFonts w:ascii="Arial" w:hAnsi="Arial" w:cs="Arial"/>
          <w:b/>
          <w:bCs/>
          <w:i w:val="0"/>
          <w:iCs w:val="0"/>
          <w:color w:val="000000" w:themeColor="text1"/>
          <w:sz w:val="24"/>
          <w:szCs w:val="24"/>
        </w:rPr>
        <w:lastRenderedPageBreak/>
        <w:t>Tabla 6</w:t>
      </w:r>
      <w:r w:rsidRPr="00051066">
        <w:rPr>
          <w:rFonts w:ascii="Arial" w:hAnsi="Arial" w:cs="Arial"/>
          <w:b/>
          <w:bCs/>
          <w:i w:val="0"/>
          <w:iCs w:val="0"/>
          <w:color w:val="000000" w:themeColor="text1"/>
          <w:sz w:val="24"/>
          <w:szCs w:val="24"/>
        </w:rPr>
        <w:t xml:space="preserve"> </w:t>
      </w:r>
      <w:r w:rsidRPr="00051066">
        <w:rPr>
          <w:rFonts w:ascii="Arial" w:hAnsi="Arial" w:cs="Arial"/>
          <w:color w:val="000000" w:themeColor="text1"/>
          <w:sz w:val="24"/>
          <w:szCs w:val="24"/>
        </w:rPr>
        <w:t xml:space="preserve">Oportunidades y desafíos desde la perspectiva de expertos </w:t>
      </w:r>
      <w:r w:rsidRPr="00795AAA">
        <w:rPr>
          <w:rFonts w:ascii="Arial" w:hAnsi="Arial" w:cs="Arial"/>
          <w:color w:val="000000" w:themeColor="text1"/>
          <w:sz w:val="24"/>
          <w:szCs w:val="24"/>
        </w:rPr>
        <w:t>académicos y profesionales del comercio internacional</w:t>
      </w:r>
      <w:bookmarkStart w:id="79" w:name="OLE_LINK2"/>
      <w:bookmarkEnd w:id="78"/>
    </w:p>
    <w:tbl>
      <w:tblPr>
        <w:tblW w:w="9351"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5104"/>
      </w:tblGrid>
      <w:tr w:rsidR="00085FA7" w14:paraId="7A068D0D" w14:textId="77777777" w:rsidTr="00857888">
        <w:tc>
          <w:tcPr>
            <w:tcW w:w="4247" w:type="dxa"/>
            <w:vAlign w:val="center"/>
          </w:tcPr>
          <w:p w14:paraId="43A32621" w14:textId="77777777" w:rsidR="00085FA7" w:rsidRDefault="00085FA7" w:rsidP="00857888">
            <w:pPr>
              <w:spacing w:line="276" w:lineRule="auto"/>
              <w:rPr>
                <w:rFonts w:ascii="Arial" w:eastAsia="Arial" w:hAnsi="Arial" w:cs="Arial"/>
                <w:b/>
                <w:bCs/>
                <w:sz w:val="21"/>
                <w:szCs w:val="21"/>
              </w:rPr>
            </w:pPr>
            <w:r>
              <w:rPr>
                <w:rFonts w:ascii="Arial" w:eastAsia="Arial" w:hAnsi="Arial" w:cs="Arial"/>
                <w:b/>
                <w:bCs/>
                <w:sz w:val="21"/>
                <w:szCs w:val="21"/>
              </w:rPr>
              <w:t>Oportunidades</w:t>
            </w:r>
          </w:p>
        </w:tc>
        <w:tc>
          <w:tcPr>
            <w:tcW w:w="5104" w:type="dxa"/>
            <w:vAlign w:val="center"/>
          </w:tcPr>
          <w:p w14:paraId="64FA867E" w14:textId="77777777" w:rsidR="00085FA7" w:rsidRDefault="00085FA7" w:rsidP="00857888">
            <w:pPr>
              <w:spacing w:line="276" w:lineRule="auto"/>
              <w:rPr>
                <w:rFonts w:ascii="Arial" w:eastAsia="Arial" w:hAnsi="Arial" w:cs="Arial"/>
                <w:b/>
                <w:bCs/>
                <w:sz w:val="21"/>
                <w:szCs w:val="21"/>
              </w:rPr>
            </w:pPr>
            <w:r>
              <w:rPr>
                <w:rFonts w:ascii="Arial" w:eastAsia="Arial" w:hAnsi="Arial" w:cs="Arial"/>
                <w:b/>
                <w:bCs/>
                <w:sz w:val="21"/>
                <w:szCs w:val="21"/>
              </w:rPr>
              <w:t>Desafíos</w:t>
            </w:r>
          </w:p>
        </w:tc>
      </w:tr>
      <w:tr w:rsidR="00085FA7" w14:paraId="3B3A0372" w14:textId="77777777" w:rsidTr="00857888">
        <w:tc>
          <w:tcPr>
            <w:tcW w:w="4247" w:type="dxa"/>
            <w:vAlign w:val="center"/>
          </w:tcPr>
          <w:p w14:paraId="685E2089" w14:textId="77777777" w:rsidR="00085FA7" w:rsidRDefault="00085FA7" w:rsidP="00857888">
            <w:pPr>
              <w:spacing w:line="276" w:lineRule="auto"/>
              <w:rPr>
                <w:rFonts w:ascii="Arial" w:eastAsia="Arial" w:hAnsi="Arial" w:cs="Arial"/>
                <w:sz w:val="21"/>
                <w:szCs w:val="21"/>
              </w:rPr>
            </w:pPr>
            <w:r>
              <w:rPr>
                <w:rFonts w:ascii="Arial" w:eastAsia="Arial" w:hAnsi="Arial" w:cs="Arial"/>
                <w:sz w:val="21"/>
                <w:szCs w:val="21"/>
              </w:rPr>
              <w:t>Inserción en uno de los mercados más dinámicos y diversificados a nivel global.</w:t>
            </w:r>
          </w:p>
        </w:tc>
        <w:tc>
          <w:tcPr>
            <w:tcW w:w="5104" w:type="dxa"/>
            <w:vAlign w:val="center"/>
          </w:tcPr>
          <w:p w14:paraId="7E130880" w14:textId="77777777" w:rsidR="00085FA7" w:rsidRDefault="00085FA7" w:rsidP="00857888">
            <w:pPr>
              <w:spacing w:line="276" w:lineRule="auto"/>
              <w:rPr>
                <w:rFonts w:ascii="Arial" w:eastAsia="Arial" w:hAnsi="Arial" w:cs="Arial"/>
                <w:sz w:val="21"/>
                <w:szCs w:val="21"/>
              </w:rPr>
            </w:pPr>
            <w:r>
              <w:rPr>
                <w:rFonts w:ascii="Arial" w:eastAsia="Arial" w:hAnsi="Arial" w:cs="Arial"/>
                <w:sz w:val="21"/>
                <w:szCs w:val="21"/>
              </w:rPr>
              <w:t>Déficit en infraestructura logística y cadenas de suministro ineficientes que encarecen la operatividad exportadora.</w:t>
            </w:r>
          </w:p>
        </w:tc>
      </w:tr>
      <w:tr w:rsidR="00085FA7" w14:paraId="13589CCA" w14:textId="77777777" w:rsidTr="00857888">
        <w:tc>
          <w:tcPr>
            <w:tcW w:w="4247" w:type="dxa"/>
            <w:vAlign w:val="center"/>
          </w:tcPr>
          <w:p w14:paraId="3BA30A73" w14:textId="77777777" w:rsidR="00085FA7" w:rsidRDefault="00085FA7" w:rsidP="00857888">
            <w:pPr>
              <w:spacing w:line="276" w:lineRule="auto"/>
              <w:rPr>
                <w:rFonts w:ascii="Arial" w:eastAsia="Arial" w:hAnsi="Arial" w:cs="Arial"/>
                <w:sz w:val="21"/>
                <w:szCs w:val="21"/>
              </w:rPr>
            </w:pPr>
            <w:r>
              <w:rPr>
                <w:rFonts w:ascii="Arial" w:eastAsia="Arial" w:hAnsi="Arial" w:cs="Arial"/>
                <w:sz w:val="21"/>
                <w:szCs w:val="21"/>
              </w:rPr>
              <w:t>Diversificación de la matriz exportadora mediante productos de mayor valor agregado.</w:t>
            </w:r>
          </w:p>
        </w:tc>
        <w:tc>
          <w:tcPr>
            <w:tcW w:w="5104" w:type="dxa"/>
            <w:vAlign w:val="center"/>
          </w:tcPr>
          <w:p w14:paraId="78D4B60A" w14:textId="77777777" w:rsidR="00085FA7" w:rsidRDefault="00085FA7" w:rsidP="00857888">
            <w:pPr>
              <w:spacing w:line="276" w:lineRule="auto"/>
              <w:rPr>
                <w:rFonts w:ascii="Arial" w:eastAsia="Arial" w:hAnsi="Arial" w:cs="Arial"/>
                <w:sz w:val="21"/>
                <w:szCs w:val="21"/>
              </w:rPr>
            </w:pPr>
            <w:r>
              <w:rPr>
                <w:rFonts w:ascii="Arial" w:eastAsia="Arial" w:hAnsi="Arial" w:cs="Arial"/>
                <w:sz w:val="21"/>
                <w:szCs w:val="21"/>
              </w:rPr>
              <w:t>Necesidad de competir con actores internacionales que operan con economías de escala y costos sustancialmente menores.</w:t>
            </w:r>
          </w:p>
        </w:tc>
      </w:tr>
      <w:tr w:rsidR="00085FA7" w14:paraId="51B387D5" w14:textId="77777777" w:rsidTr="00857888">
        <w:tc>
          <w:tcPr>
            <w:tcW w:w="4247" w:type="dxa"/>
            <w:vAlign w:val="center"/>
          </w:tcPr>
          <w:p w14:paraId="4983AE4D" w14:textId="77777777" w:rsidR="00085FA7" w:rsidRDefault="00085FA7" w:rsidP="00857888">
            <w:pPr>
              <w:spacing w:line="276" w:lineRule="auto"/>
              <w:rPr>
                <w:rFonts w:ascii="Arial" w:eastAsia="Arial" w:hAnsi="Arial" w:cs="Arial"/>
                <w:sz w:val="21"/>
                <w:szCs w:val="21"/>
              </w:rPr>
            </w:pPr>
            <w:r>
              <w:rPr>
                <w:rFonts w:ascii="Arial" w:eastAsia="Arial" w:hAnsi="Arial" w:cs="Arial"/>
                <w:sz w:val="21"/>
                <w:szCs w:val="21"/>
              </w:rPr>
              <w:t>Potencial transferencia de tecnología y conocimientos aplicables a procesos productivos y de gestión.</w:t>
            </w:r>
          </w:p>
        </w:tc>
        <w:tc>
          <w:tcPr>
            <w:tcW w:w="5104" w:type="dxa"/>
            <w:vAlign w:val="center"/>
          </w:tcPr>
          <w:p w14:paraId="5BC28D4C" w14:textId="77777777" w:rsidR="00085FA7" w:rsidRDefault="00085FA7" w:rsidP="00857888">
            <w:pPr>
              <w:spacing w:line="276" w:lineRule="auto"/>
              <w:rPr>
                <w:rFonts w:ascii="Arial" w:eastAsia="Arial" w:hAnsi="Arial" w:cs="Arial"/>
                <w:sz w:val="21"/>
                <w:szCs w:val="21"/>
              </w:rPr>
            </w:pPr>
            <w:r>
              <w:rPr>
                <w:rFonts w:ascii="Arial" w:eastAsia="Arial" w:hAnsi="Arial" w:cs="Arial"/>
                <w:sz w:val="21"/>
                <w:szCs w:val="21"/>
              </w:rPr>
              <w:t>Barreras técnicas, normativas y fitosanitarias que requieren inversiones significativas en cumplimiento y certificación.</w:t>
            </w:r>
          </w:p>
        </w:tc>
      </w:tr>
      <w:tr w:rsidR="00085FA7" w14:paraId="252A12F7" w14:textId="77777777" w:rsidTr="00857888">
        <w:tc>
          <w:tcPr>
            <w:tcW w:w="4247" w:type="dxa"/>
            <w:vAlign w:val="center"/>
          </w:tcPr>
          <w:p w14:paraId="6F6ECD71" w14:textId="77777777" w:rsidR="00085FA7" w:rsidRDefault="00085FA7" w:rsidP="00857888">
            <w:pPr>
              <w:spacing w:line="276" w:lineRule="auto"/>
              <w:rPr>
                <w:rFonts w:ascii="Arial" w:eastAsia="Arial" w:hAnsi="Arial" w:cs="Arial"/>
                <w:sz w:val="21"/>
                <w:szCs w:val="21"/>
              </w:rPr>
            </w:pPr>
            <w:r>
              <w:rPr>
                <w:rFonts w:ascii="Arial" w:eastAsia="Arial" w:hAnsi="Arial" w:cs="Arial"/>
                <w:sz w:val="21"/>
                <w:szCs w:val="21"/>
              </w:rPr>
              <w:t>Atracción de inversión extranjera directa orientada a sectores clave como infraestructura, agroindustria y manufactura.</w:t>
            </w:r>
          </w:p>
        </w:tc>
        <w:tc>
          <w:tcPr>
            <w:tcW w:w="5104" w:type="dxa"/>
            <w:vAlign w:val="center"/>
          </w:tcPr>
          <w:p w14:paraId="08CC6ACE" w14:textId="77777777" w:rsidR="00085FA7" w:rsidRDefault="00085FA7" w:rsidP="00857888">
            <w:pPr>
              <w:spacing w:line="276" w:lineRule="auto"/>
              <w:rPr>
                <w:rFonts w:ascii="Arial" w:eastAsia="Arial" w:hAnsi="Arial" w:cs="Arial"/>
                <w:sz w:val="21"/>
                <w:szCs w:val="21"/>
              </w:rPr>
            </w:pPr>
            <w:r>
              <w:rPr>
                <w:rFonts w:ascii="Arial" w:eastAsia="Arial" w:hAnsi="Arial" w:cs="Arial"/>
                <w:sz w:val="21"/>
                <w:szCs w:val="21"/>
              </w:rPr>
              <w:t>Riesgo de aumento del déficit comercial ante una apertura asimétrica sin medidas de protección o fomento productivo.</w:t>
            </w:r>
          </w:p>
        </w:tc>
      </w:tr>
      <w:tr w:rsidR="00085FA7" w14:paraId="32707D84" w14:textId="77777777" w:rsidTr="00857888">
        <w:tc>
          <w:tcPr>
            <w:tcW w:w="4247" w:type="dxa"/>
            <w:vAlign w:val="center"/>
          </w:tcPr>
          <w:p w14:paraId="5A265510" w14:textId="77777777" w:rsidR="00085FA7" w:rsidRDefault="00085FA7" w:rsidP="00857888">
            <w:pPr>
              <w:spacing w:line="276" w:lineRule="auto"/>
              <w:rPr>
                <w:rFonts w:ascii="Arial" w:eastAsia="Arial" w:hAnsi="Arial" w:cs="Arial"/>
                <w:sz w:val="21"/>
                <w:szCs w:val="21"/>
              </w:rPr>
            </w:pPr>
            <w:r>
              <w:rPr>
                <w:rFonts w:ascii="Arial" w:eastAsia="Arial" w:hAnsi="Arial" w:cs="Arial"/>
                <w:sz w:val="21"/>
                <w:szCs w:val="21"/>
              </w:rPr>
              <w:t>Facilidades de acceso a insumos estratégicos y financiamiento externo bajo esquemas comerciales bilaterales favorables.</w:t>
            </w:r>
          </w:p>
        </w:tc>
        <w:tc>
          <w:tcPr>
            <w:tcW w:w="5104" w:type="dxa"/>
            <w:vAlign w:val="center"/>
          </w:tcPr>
          <w:p w14:paraId="0B9A1DA8" w14:textId="77777777" w:rsidR="00085FA7" w:rsidRDefault="00085FA7" w:rsidP="00857888">
            <w:pPr>
              <w:spacing w:line="276" w:lineRule="auto"/>
              <w:rPr>
                <w:rFonts w:ascii="Arial" w:eastAsia="Arial" w:hAnsi="Arial" w:cs="Arial"/>
                <w:sz w:val="21"/>
                <w:szCs w:val="21"/>
              </w:rPr>
            </w:pPr>
            <w:r>
              <w:rPr>
                <w:rFonts w:ascii="Arial" w:eastAsia="Arial" w:hAnsi="Arial" w:cs="Arial"/>
                <w:sz w:val="21"/>
                <w:szCs w:val="21"/>
              </w:rPr>
              <w:t>Asimetrías en el poder de negociación que podrían traducirse en condiciones desfavorables para sectores sensibles.</w:t>
            </w:r>
          </w:p>
        </w:tc>
      </w:tr>
      <w:tr w:rsidR="00085FA7" w14:paraId="238A8148" w14:textId="77777777" w:rsidTr="00857888">
        <w:tc>
          <w:tcPr>
            <w:tcW w:w="4247" w:type="dxa"/>
            <w:vAlign w:val="center"/>
          </w:tcPr>
          <w:p w14:paraId="208BEF5F" w14:textId="77777777" w:rsidR="00085FA7" w:rsidRDefault="00085FA7" w:rsidP="00857888">
            <w:pPr>
              <w:spacing w:line="276" w:lineRule="auto"/>
              <w:rPr>
                <w:rFonts w:ascii="Arial" w:eastAsia="Arial" w:hAnsi="Arial" w:cs="Arial"/>
                <w:sz w:val="21"/>
                <w:szCs w:val="21"/>
              </w:rPr>
            </w:pPr>
            <w:r>
              <w:rPr>
                <w:rFonts w:ascii="Arial" w:eastAsia="Arial" w:hAnsi="Arial" w:cs="Arial"/>
                <w:sz w:val="21"/>
                <w:szCs w:val="21"/>
              </w:rPr>
              <w:t>Fortalecimiento de capacidades locales a través de formación técnica y cooperación académica internacional.</w:t>
            </w:r>
          </w:p>
        </w:tc>
        <w:tc>
          <w:tcPr>
            <w:tcW w:w="5104" w:type="dxa"/>
            <w:vAlign w:val="center"/>
          </w:tcPr>
          <w:p w14:paraId="336ACEC1" w14:textId="77777777" w:rsidR="00085FA7" w:rsidRDefault="00085FA7" w:rsidP="00857888">
            <w:pPr>
              <w:spacing w:line="276" w:lineRule="auto"/>
              <w:rPr>
                <w:rFonts w:ascii="Arial" w:eastAsia="Arial" w:hAnsi="Arial" w:cs="Arial"/>
                <w:sz w:val="21"/>
                <w:szCs w:val="21"/>
              </w:rPr>
            </w:pPr>
            <w:r>
              <w:rPr>
                <w:rFonts w:ascii="Arial" w:eastAsia="Arial" w:hAnsi="Arial" w:cs="Arial"/>
                <w:sz w:val="21"/>
                <w:szCs w:val="21"/>
              </w:rPr>
              <w:t>Falta de institucionalidad robusta para implementar políticas industriales y comerciales de respuesta frente al TLC.</w:t>
            </w:r>
          </w:p>
        </w:tc>
      </w:tr>
      <w:tr w:rsidR="00085FA7" w14:paraId="35B55F2F" w14:textId="77777777" w:rsidTr="00857888">
        <w:tc>
          <w:tcPr>
            <w:tcW w:w="4247" w:type="dxa"/>
            <w:vAlign w:val="center"/>
          </w:tcPr>
          <w:p w14:paraId="138E5F5B" w14:textId="77777777" w:rsidR="00085FA7" w:rsidRDefault="00085FA7" w:rsidP="00857888">
            <w:pPr>
              <w:spacing w:line="276" w:lineRule="auto"/>
              <w:rPr>
                <w:rFonts w:ascii="Arial" w:eastAsia="Arial" w:hAnsi="Arial" w:cs="Arial"/>
                <w:sz w:val="21"/>
                <w:szCs w:val="21"/>
              </w:rPr>
            </w:pPr>
            <w:r>
              <w:rPr>
                <w:rFonts w:ascii="Arial" w:eastAsia="Arial" w:hAnsi="Arial" w:cs="Arial"/>
                <w:sz w:val="21"/>
                <w:szCs w:val="21"/>
              </w:rPr>
              <w:t>Posibilidad de construir una diplomacia comercial más proactiva y estratégica, con enfoque multisectorial e inclusivo.</w:t>
            </w:r>
          </w:p>
        </w:tc>
        <w:tc>
          <w:tcPr>
            <w:tcW w:w="5104" w:type="dxa"/>
            <w:vAlign w:val="center"/>
          </w:tcPr>
          <w:p w14:paraId="57ECE260" w14:textId="77777777" w:rsidR="00085FA7" w:rsidRDefault="00085FA7" w:rsidP="00857888">
            <w:pPr>
              <w:spacing w:line="276" w:lineRule="auto"/>
              <w:rPr>
                <w:rFonts w:ascii="Arial" w:eastAsia="Arial" w:hAnsi="Arial" w:cs="Arial"/>
                <w:sz w:val="21"/>
                <w:szCs w:val="21"/>
              </w:rPr>
            </w:pPr>
            <w:r>
              <w:rPr>
                <w:rFonts w:ascii="Arial" w:eastAsia="Arial" w:hAnsi="Arial" w:cs="Arial"/>
                <w:sz w:val="21"/>
                <w:szCs w:val="21"/>
              </w:rPr>
              <w:t xml:space="preserve">Vulnerabilidad de las </w:t>
            </w:r>
            <w:proofErr w:type="spellStart"/>
            <w:r>
              <w:rPr>
                <w:rFonts w:ascii="Arial" w:eastAsia="Arial" w:hAnsi="Arial" w:cs="Arial"/>
                <w:sz w:val="21"/>
                <w:szCs w:val="21"/>
              </w:rPr>
              <w:t>PYMEs</w:t>
            </w:r>
            <w:proofErr w:type="spellEnd"/>
            <w:r>
              <w:rPr>
                <w:rFonts w:ascii="Arial" w:eastAsia="Arial" w:hAnsi="Arial" w:cs="Arial"/>
                <w:sz w:val="21"/>
                <w:szCs w:val="21"/>
              </w:rPr>
              <w:t xml:space="preserve"> ante procesos de apertura acelerada sin mecanismos de transición o salvaguardias apropiadas.</w:t>
            </w:r>
          </w:p>
        </w:tc>
      </w:tr>
    </w:tbl>
    <w:p w14:paraId="2B53A9BB" w14:textId="77777777" w:rsidR="00085FA7" w:rsidRDefault="00085FA7" w:rsidP="001B4967">
      <w:pPr>
        <w:spacing w:after="240" w:line="360" w:lineRule="auto"/>
        <w:jc w:val="both"/>
        <w:rPr>
          <w:rFonts w:ascii="Arial" w:hAnsi="Arial" w:cs="Arial"/>
        </w:rPr>
      </w:pPr>
    </w:p>
    <w:p w14:paraId="2BB2748D" w14:textId="237A7127" w:rsidR="002E1EEA" w:rsidRPr="00B14CF3" w:rsidRDefault="00B14CF3" w:rsidP="001B4967">
      <w:pPr>
        <w:spacing w:after="240" w:line="360" w:lineRule="auto"/>
        <w:jc w:val="both"/>
        <w:rPr>
          <w:rFonts w:ascii="Arial" w:hAnsi="Arial" w:cs="Arial"/>
        </w:rPr>
      </w:pPr>
      <w:r>
        <w:rPr>
          <w:rFonts w:ascii="Arial" w:hAnsi="Arial" w:cs="Arial"/>
        </w:rPr>
        <w:t>Fuente: Elaboración Propia</w:t>
      </w:r>
    </w:p>
    <w:p w14:paraId="49E173C6" w14:textId="77777777" w:rsidR="004820A6" w:rsidRDefault="004820A6" w:rsidP="00015050">
      <w:pPr>
        <w:spacing w:after="240" w:line="360" w:lineRule="auto"/>
        <w:jc w:val="both"/>
        <w:rPr>
          <w:rFonts w:ascii="Arial" w:hAnsi="Arial" w:cs="Arial"/>
          <w:highlight w:val="yellow"/>
        </w:rPr>
      </w:pPr>
    </w:p>
    <w:p w14:paraId="5C901BAC" w14:textId="01394006" w:rsidR="0005171C" w:rsidRPr="0005171C" w:rsidRDefault="0005171C" w:rsidP="0005171C">
      <w:pPr>
        <w:spacing w:after="240" w:line="360" w:lineRule="auto"/>
        <w:jc w:val="both"/>
        <w:rPr>
          <w:rFonts w:ascii="Arial" w:hAnsi="Arial" w:cs="Arial"/>
        </w:rPr>
      </w:pPr>
      <w:r w:rsidRPr="0005171C">
        <w:rPr>
          <w:rFonts w:ascii="Arial" w:hAnsi="Arial" w:cs="Arial"/>
        </w:rPr>
        <w:t>Al contrastar amb</w:t>
      </w:r>
      <w:r w:rsidR="00051066">
        <w:rPr>
          <w:rFonts w:ascii="Arial" w:hAnsi="Arial" w:cs="Arial"/>
        </w:rPr>
        <w:t>a</w:t>
      </w:r>
      <w:r w:rsidRPr="0005171C">
        <w:rPr>
          <w:rFonts w:ascii="Arial" w:hAnsi="Arial" w:cs="Arial"/>
        </w:rPr>
        <w:t>s</w:t>
      </w:r>
      <w:r w:rsidR="00051066">
        <w:rPr>
          <w:rFonts w:ascii="Arial" w:hAnsi="Arial" w:cs="Arial"/>
        </w:rPr>
        <w:t xml:space="preserve"> tablas</w:t>
      </w:r>
      <w:r w:rsidRPr="0005171C">
        <w:rPr>
          <w:rFonts w:ascii="Arial" w:hAnsi="Arial" w:cs="Arial"/>
        </w:rPr>
        <w:t xml:space="preserve"> se observa que productores y expertos coinciden en que el TLC con China representa una vía para ampliar mercados, diversificar la oferta exportable y acceder a tecnología y financiamiento que podrían modernizar la estructura productiva nacional. Sin embargo, divergen en el énfasis que otorgan a los riesgos: mientras los productores centran sus preocupaciones en factores inmediatos que afectan su operación, como la capacidad instalada insuficiente, la presión por competir en precios reducidos y la dificultad para cumplir con estándares fitosanitarios, los expertos subrayan desafíos de carácter estructural, entre ellos la debilidad institucional, la ausencia </w:t>
      </w:r>
      <w:r w:rsidRPr="0005171C">
        <w:rPr>
          <w:rFonts w:ascii="Arial" w:hAnsi="Arial" w:cs="Arial"/>
        </w:rPr>
        <w:lastRenderedPageBreak/>
        <w:t>de políticas de apoyo productivo y el riesgo de que la apertura comercial profundice el déficit externo.</w:t>
      </w:r>
    </w:p>
    <w:p w14:paraId="389F20EF" w14:textId="04AD2C66" w:rsidR="0083526B" w:rsidRDefault="0005171C" w:rsidP="0005171C">
      <w:pPr>
        <w:spacing w:after="240" w:line="360" w:lineRule="auto"/>
        <w:jc w:val="both"/>
        <w:rPr>
          <w:rFonts w:ascii="Arial" w:hAnsi="Arial" w:cs="Arial"/>
        </w:rPr>
      </w:pPr>
      <w:r>
        <w:rPr>
          <w:rFonts w:ascii="Arial" w:hAnsi="Arial" w:cs="Arial"/>
        </w:rPr>
        <w:t>Lo</w:t>
      </w:r>
      <w:r w:rsidRPr="0005171C">
        <w:rPr>
          <w:rFonts w:ascii="Arial" w:hAnsi="Arial" w:cs="Arial"/>
        </w:rPr>
        <w:t xml:space="preserve"> que ambos grupos describen desde la experiencia práctica y profesional refleja una tensión que </w:t>
      </w:r>
      <w:bookmarkStart w:id="80" w:name="_Hlk232973421"/>
      <w:r w:rsidRPr="0005171C">
        <w:rPr>
          <w:rFonts w:ascii="Arial" w:hAnsi="Arial" w:cs="Arial"/>
        </w:rPr>
        <w:t xml:space="preserve">la teoría del comercio internacional </w:t>
      </w:r>
      <w:bookmarkEnd w:id="80"/>
      <w:r w:rsidRPr="0005171C">
        <w:rPr>
          <w:rFonts w:ascii="Arial" w:hAnsi="Arial" w:cs="Arial"/>
        </w:rPr>
        <w:t xml:space="preserve">ha documentado ampliamente: la distancia entre el potencial exportador de un país y su capacidad real de aprovecharlo. Honduras posee ventajas comparativas en productos como café, camarón, banano y cacao, derivadas de sus dotaciones de recursos naturales y mano de obra, que la hacen teóricamente complementaria con la demanda china. No obstante, como han señalado los propios productores, esas ventajas no se traducen automáticamente en exportaciones sostenidas cuando la escala de producción es insuficiente, el financiamiento es escaso y la infraestructura logística no permite responder a los volúmenes y los tiempos que exige un mercado de esa magnitud. </w:t>
      </w:r>
      <w:r w:rsidR="0083526B" w:rsidRPr="0083526B">
        <w:rPr>
          <w:rFonts w:ascii="Arial" w:hAnsi="Arial" w:cs="Arial"/>
        </w:rPr>
        <w:t xml:space="preserve">El aprovechamiento de un acuerdo comercial depende de condiciones que van más allá de la desgravación arancelaria, entre ellas la capacidad productiva, la infraestructura logística, el acceso a financiamiento y el cumplimiento de los requisitos del mercado destino </w:t>
      </w:r>
      <w:r w:rsidR="0083526B">
        <w:rPr>
          <w:rFonts w:ascii="Arial" w:hAnsi="Arial" w:cs="Arial"/>
        </w:rPr>
        <w:fldChar w:fldCharType="begin"/>
      </w:r>
      <w:r w:rsidR="004D2690">
        <w:rPr>
          <w:rFonts w:ascii="Arial" w:hAnsi="Arial" w:cs="Arial"/>
        </w:rPr>
        <w:instrText xml:space="preserve"> ADDIN ZOTERO_ITEM CSL_CITATION {"citationID":"eAWcqp7j","properties":{"unsorted":false,"formattedCitation":"(Divisi\\uc0\\u243{}n de Comercio Internacional e Integraci\\uc0\\u243{}n de la Comisi\\uc0\\u243{}n Econ\\uc0\\u243{}mica para Am\\uc0\\u233{}rica Latina y el Caribe (CEPAL), 2023; Trejos, 2009)","plainCitation":"(División de Comercio Internacional e Integración de la Comisión Económica para América Latina y el Caribe (CEPAL), 2023; Trejos, 2009)","dontUpdate":true,"noteIndex":0},"citationItems":[{"id":1923,"uris":["http://zotero.org/users/10063313/items/Y7RFKDK9"],"itemData":{"id":1923,"type":"article-journal","language":"es","source":"Zotero","title":"Perspectivas del Comercio Internacional de América Latina y el Caribe, 2023","author":[{"literal":"División de Comercio Internacional e Integración de la Comisión Económica para América Latina y el Caribe (CEPAL)"}],"issued":{"date-parts":[["2023"]]}}},{"id":53,"uris":["http://zotero.org/users/10063313/items/M22TC7J5"],"itemData":{"id":53,"type":"chapter","container-title":"Comisión Económica para América Latina y el Caribe (CEPAL","language":"es","title":"Instrumentos para la evaluación del impacto de acuerdos comerciales internacionales: aplicaciones para países pequeños en América Latina","author":[{"family":"Trejos","given":"A"}],"editor":[{"family":"México","given":"D F"}],"issued":{"date-parts":[["2009"]]}}}],"schema":"https://github.com/citation-style-language/schema/raw/master/csl-citation.json"} </w:instrText>
      </w:r>
      <w:r w:rsidR="0083526B">
        <w:rPr>
          <w:rFonts w:ascii="Arial" w:hAnsi="Arial" w:cs="Arial"/>
        </w:rPr>
        <w:fldChar w:fldCharType="separate"/>
      </w:r>
      <w:r w:rsidR="0083526B" w:rsidRPr="0083526B">
        <w:rPr>
          <w:rFonts w:ascii="Arial" w:eastAsiaTheme="minorHAnsi" w:hAnsi="Arial" w:cs="Arial"/>
          <w:lang w:val="es-MX" w:eastAsia="en-US"/>
          <w14:ligatures w14:val="standardContextual"/>
        </w:rPr>
        <w:t>(CEPAL, 2023; Trejos, 2009)</w:t>
      </w:r>
      <w:r w:rsidR="0083526B">
        <w:rPr>
          <w:rFonts w:ascii="Arial" w:hAnsi="Arial" w:cs="Arial"/>
        </w:rPr>
        <w:fldChar w:fldCharType="end"/>
      </w:r>
      <w:r w:rsidR="0083526B">
        <w:rPr>
          <w:rFonts w:ascii="Arial" w:hAnsi="Arial" w:cs="Arial"/>
        </w:rPr>
        <w:t xml:space="preserve">. </w:t>
      </w:r>
      <w:r w:rsidR="0083526B" w:rsidRPr="0083526B">
        <w:rPr>
          <w:rFonts w:ascii="Arial" w:hAnsi="Arial" w:cs="Arial"/>
        </w:rPr>
        <w:t xml:space="preserve">Los testimonios recogidos evidencian que, en el caso hondureño, estas condiciones presentan deficiencias concretas: los productores carecen de la escala necesaria para atender los volúmenes que exige el mercado chino, enfrentan tasas de financiamiento </w:t>
      </w:r>
      <w:r w:rsidR="0083526B">
        <w:rPr>
          <w:rFonts w:ascii="Arial" w:hAnsi="Arial" w:cs="Arial"/>
        </w:rPr>
        <w:t>altas</w:t>
      </w:r>
      <w:r w:rsidR="0083526B" w:rsidRPr="0083526B">
        <w:rPr>
          <w:rFonts w:ascii="Arial" w:hAnsi="Arial" w:cs="Arial"/>
        </w:rPr>
        <w:t xml:space="preserve"> que impiden la modernización tecnológica y operan con una infraestructura portuaria y vial que encarece los costos de exportación</w:t>
      </w:r>
    </w:p>
    <w:p w14:paraId="04E52A54" w14:textId="77777777" w:rsidR="0083526B" w:rsidRDefault="0083526B" w:rsidP="0005171C">
      <w:pPr>
        <w:spacing w:after="240" w:line="360" w:lineRule="auto"/>
        <w:jc w:val="both"/>
        <w:rPr>
          <w:rFonts w:ascii="Arial" w:hAnsi="Arial" w:cs="Arial"/>
        </w:rPr>
      </w:pPr>
    </w:p>
    <w:p w14:paraId="2DCD6897" w14:textId="03D739B9" w:rsidR="0005171C" w:rsidRPr="0005171C" w:rsidRDefault="0005171C" w:rsidP="0005171C">
      <w:pPr>
        <w:spacing w:after="240" w:line="360" w:lineRule="auto"/>
        <w:jc w:val="both"/>
        <w:rPr>
          <w:rFonts w:ascii="Arial" w:hAnsi="Arial" w:cs="Arial"/>
        </w:rPr>
      </w:pPr>
      <w:r w:rsidRPr="0005171C">
        <w:rPr>
          <w:rFonts w:ascii="Arial" w:hAnsi="Arial" w:cs="Arial"/>
        </w:rPr>
        <w:t xml:space="preserve">La segunda convergencia significativa entre productores y expertos se encuentra en el peso que otorgan a las barreras no arancelarias. Los protocolos fitosanitarios, las certificaciones de calidad, los requisitos de trazabilidad y los procedimientos de registro ante las autoridades chinas aparecen en prácticamente todas las entrevistas como obstáculos concretos e inmediatos. Esto confirma que la negociación arancelaria, aunque necesaria, aborda solo una parte del problema de acceso al mercado chino. La experiencia de países como Costa Rica, que a pesar de contar con un TLC vigente con China desde 2011 no logró expandir significativamente sus exportaciones agrícolas debido a </w:t>
      </w:r>
      <w:r w:rsidRPr="0005171C">
        <w:rPr>
          <w:rFonts w:ascii="Arial" w:hAnsi="Arial" w:cs="Arial"/>
        </w:rPr>
        <w:lastRenderedPageBreak/>
        <w:t>las dificultades para obtener autorizaciones sanitarias y comerciales</w:t>
      </w:r>
      <w:r>
        <w:rPr>
          <w:rFonts w:ascii="Arial" w:hAnsi="Arial" w:cs="Arial"/>
        </w:rPr>
        <w:t xml:space="preserve"> (</w:t>
      </w:r>
      <w:r>
        <w:rPr>
          <w:rFonts w:ascii="Arial" w:hAnsi="Arial" w:cs="Arial"/>
        </w:rPr>
        <w:fldChar w:fldCharType="begin"/>
      </w:r>
      <w:r w:rsidR="004D2690">
        <w:rPr>
          <w:rFonts w:ascii="Arial" w:hAnsi="Arial" w:cs="Arial"/>
        </w:rPr>
        <w:instrText xml:space="preserve"> ADDIN ZOTERO_ITEM CSL_CITATION {"citationID":"a8c0M55A","properties":{"unsorted":false,"formattedCitation":"(Divisi\\uc0\\u243{}n de Comercio Internacional e Integraci\\uc0\\u243{}n de la Comisi\\uc0\\u243{}n Econ\\uc0\\u243{}mica para Am\\uc0\\u233{}rica Latina y el Caribe (CEPAL), 2023)","plainCitation":"(División de Comercio Internacional e Integración de la Comisión Económica para América Latina y el Caribe (CEPAL), 2023)","dontUpdate":true,"noteIndex":0},"citationItems":[{"id":1923,"uris":["http://zotero.org/users/10063313/items/Y7RFKDK9"],"itemData":{"id":1923,"type":"article-journal","language":"es","source":"Zotero","title":"Perspectivas del Comercio Internacional de América Latina y el Caribe, 2023","author":[{"literal":"División de Comercio Internacional e Integración de la Comisión Económica para América Latina y el Caribe (CEPAL)"}],"issued":{"date-parts":[["2023"]]}}}],"schema":"https://github.com/citation-style-language/schema/raw/master/csl-citation.json"} </w:instrText>
      </w:r>
      <w:r>
        <w:rPr>
          <w:rFonts w:ascii="Arial" w:hAnsi="Arial" w:cs="Arial"/>
        </w:rPr>
        <w:fldChar w:fldCharType="separate"/>
      </w:r>
      <w:r w:rsidRPr="0005171C">
        <w:rPr>
          <w:rFonts w:ascii="Arial" w:eastAsiaTheme="minorHAnsi" w:hAnsi="Arial" w:cs="Arial"/>
          <w:lang w:val="es-MX" w:eastAsia="en-US"/>
          <w14:ligatures w14:val="standardContextual"/>
        </w:rPr>
        <w:t>CEPAL, 2023)</w:t>
      </w:r>
      <w:r>
        <w:rPr>
          <w:rFonts w:ascii="Arial" w:hAnsi="Arial" w:cs="Arial"/>
        </w:rPr>
        <w:fldChar w:fldCharType="end"/>
      </w:r>
      <w:r>
        <w:rPr>
          <w:rFonts w:ascii="Arial" w:hAnsi="Arial" w:cs="Arial"/>
        </w:rPr>
        <w:t xml:space="preserve">, </w:t>
      </w:r>
      <w:r w:rsidRPr="0005171C">
        <w:rPr>
          <w:rFonts w:ascii="Arial" w:hAnsi="Arial" w:cs="Arial"/>
        </w:rPr>
        <w:t>anticipa un escenario que Honduras enfrentaría en condiciones aún más limitadas en términos de capacidad institucional y recursos técnicos. Para los productores hondureños, esta brecha entre el acceso pactado en el acuerdo y el acceso efectivamente alcanzable representa el desafío más inmediato y tangible del TLC.</w:t>
      </w:r>
    </w:p>
    <w:p w14:paraId="5FBBDBA1" w14:textId="1F99F33F" w:rsidR="0005171C" w:rsidRPr="0083526B" w:rsidRDefault="0005171C" w:rsidP="0005171C">
      <w:pPr>
        <w:spacing w:after="240" w:line="360" w:lineRule="auto"/>
        <w:jc w:val="both"/>
        <w:rPr>
          <w:rFonts w:ascii="Arial" w:eastAsiaTheme="minorHAnsi" w:hAnsi="Arial" w:cs="Arial"/>
          <w:lang w:val="es-MX" w:eastAsia="en-US"/>
          <w14:ligatures w14:val="standardContextual"/>
        </w:rPr>
      </w:pPr>
      <w:r w:rsidRPr="0005171C">
        <w:rPr>
          <w:rFonts w:ascii="Arial" w:hAnsi="Arial" w:cs="Arial"/>
        </w:rPr>
        <w:t xml:space="preserve">La tercera dimensión que emerge del análisis tiene implicaciones de más largo plazo. La preocupación de los expertos por el incremento del déficit comercial, la presión de precios y la asimetría en el poder de negociación apunta a un riesgo que trasciende los efectos inmediatos del acuerdo: la posibilidad de que el TLC consolide un patrón de intercambio en el que Honduras </w:t>
      </w:r>
      <w:r w:rsidRPr="00085FA7">
        <w:rPr>
          <w:rFonts w:ascii="Arial" w:hAnsi="Arial" w:cs="Arial"/>
        </w:rPr>
        <w:t>profundice</w:t>
      </w:r>
      <w:r w:rsidRPr="0005171C">
        <w:rPr>
          <w:rFonts w:ascii="Arial" w:hAnsi="Arial" w:cs="Arial"/>
        </w:rPr>
        <w:t xml:space="preserve"> su rol como proveedor de materias primas e importador de manufacturas chinas. Este patrón, que </w:t>
      </w:r>
      <w:proofErr w:type="spellStart"/>
      <w:r w:rsidRPr="0005171C">
        <w:rPr>
          <w:rFonts w:ascii="Arial" w:hAnsi="Arial" w:cs="Arial"/>
        </w:rPr>
        <w:t>Lopes</w:t>
      </w:r>
      <w:proofErr w:type="spellEnd"/>
      <w:r w:rsidRPr="0005171C">
        <w:rPr>
          <w:rFonts w:ascii="Arial" w:hAnsi="Arial" w:cs="Arial"/>
        </w:rPr>
        <w:t xml:space="preserve"> et al.</w:t>
      </w:r>
      <w:r w:rsidR="0083526B">
        <w:rPr>
          <w:rFonts w:ascii="Arial" w:hAnsi="Arial" w:cs="Arial"/>
        </w:rPr>
        <w:t xml:space="preserve"> </w:t>
      </w:r>
      <w:r w:rsidR="0083526B">
        <w:rPr>
          <w:rFonts w:ascii="Arial" w:hAnsi="Arial" w:cs="Arial"/>
        </w:rPr>
        <w:fldChar w:fldCharType="begin"/>
      </w:r>
      <w:r w:rsidR="004D2690">
        <w:rPr>
          <w:rFonts w:ascii="Arial" w:hAnsi="Arial" w:cs="Arial"/>
        </w:rPr>
        <w:instrText xml:space="preserve"> ADDIN ZOTERO_ITEM CSL_CITATION {"citationID":"tyMr4KyQ","properties":{"unsorted":false,"formattedCitation":"(Damares Lopes Afonso et\\uc0\\u160{}al., 2022)","plainCitation":"(Damares Lopes Afonso et al., 2022)","dontUpdate":true,"noteIndex":0},"citationItems":[{"id":86,"uris":["http://zotero.org/users/10063313/items/8C5PBNF2"],"itemData":{"id":86,"type":"article-journal","container-title":"Revista de la CEPAL","DOI":"10.18356/16820908-2021-135-7","ISSN":"16820908","issue":"135","language":"es","page":"159-176","source":"DOI.org (Crossref)","title":"América Latina y China: ¿beneficio mutuo o dependencia?","title-short":"América Latina y China","volume":"2021","author":[{"literal":"Damares Lopes Afonso"},{"literal":"Suzana Quinet de Andrade Bastos"},{"literal":"Fernando Salgueiro Perobelli"}],"issued":{"date-parts":[["2022",5,31]]}}}],"schema":"https://github.com/citation-style-language/schema/raw/master/csl-citation.json"} </w:instrText>
      </w:r>
      <w:r w:rsidR="0083526B">
        <w:rPr>
          <w:rFonts w:ascii="Arial" w:hAnsi="Arial" w:cs="Arial"/>
        </w:rPr>
        <w:fldChar w:fldCharType="separate"/>
      </w:r>
      <w:r w:rsidR="0083526B" w:rsidRPr="0083526B">
        <w:rPr>
          <w:rFonts w:ascii="Arial" w:eastAsiaTheme="minorHAnsi" w:hAnsi="Arial" w:cs="Arial"/>
          <w:lang w:val="es-MX" w:eastAsia="en-US"/>
          <w14:ligatures w14:val="standardContextual"/>
        </w:rPr>
        <w:t>(2022)</w:t>
      </w:r>
      <w:r w:rsidR="0083526B">
        <w:rPr>
          <w:rFonts w:ascii="Arial" w:hAnsi="Arial" w:cs="Arial"/>
        </w:rPr>
        <w:fldChar w:fldCharType="end"/>
      </w:r>
      <w:r w:rsidRPr="0005171C">
        <w:rPr>
          <w:rFonts w:ascii="Arial" w:hAnsi="Arial" w:cs="Arial"/>
        </w:rPr>
        <w:t xml:space="preserve"> han identificado a nivel regional como un proceso de </w:t>
      </w:r>
      <w:proofErr w:type="spellStart"/>
      <w:r w:rsidRPr="0005171C">
        <w:rPr>
          <w:rFonts w:ascii="Arial" w:hAnsi="Arial" w:cs="Arial"/>
        </w:rPr>
        <w:t>reprimarización</w:t>
      </w:r>
      <w:proofErr w:type="spellEnd"/>
      <w:r w:rsidRPr="0005171C">
        <w:rPr>
          <w:rFonts w:ascii="Arial" w:hAnsi="Arial" w:cs="Arial"/>
        </w:rPr>
        <w:t xml:space="preserve"> exportadora acompañado de señales de desindustrialización, ya se manifiesta en la estructura actual del comercio bilateral, donde las exportaciones hondureñas se concentran en minerales, café y productos pesqueros sin procesamiento, mientras las importaciones desde China están dominadas por bienes manufacturados y tecnológicos. La presión que los productores describen por competir con precios que China fija a la baja refuerza esta dinámica, al dificultar la incorporación de valor agregado y la diferenciación productiva que permitirían a Honduras una inserción comercial menos vulnerable.</w:t>
      </w:r>
    </w:p>
    <w:p w14:paraId="006A59B2" w14:textId="6C1F09D9" w:rsidR="004820A6" w:rsidRDefault="0005171C" w:rsidP="00015050">
      <w:pPr>
        <w:spacing w:after="240" w:line="360" w:lineRule="auto"/>
        <w:jc w:val="both"/>
        <w:rPr>
          <w:rFonts w:ascii="Arial" w:hAnsi="Arial" w:cs="Arial"/>
          <w:highlight w:val="yellow"/>
        </w:rPr>
      </w:pPr>
      <w:r w:rsidRPr="0005171C">
        <w:rPr>
          <w:rFonts w:ascii="Arial" w:hAnsi="Arial" w:cs="Arial"/>
        </w:rPr>
        <w:t xml:space="preserve">En conjunto, las perspectivas de productores y expertos no solo describen oportunidades y desafíos, sino que revelan las condiciones estructurales bajo las cuales el TLC generará o no beneficios para Honduras. Las oportunidades identificadas, desde el acceso a un mercado de gran escala hasta la posibilidad de atraer inversión y tecnología, solo podrán materializarse si se abordan simultáneamente las limitaciones de capacidad productiva que enfrentan los sectores exportadores, las barreras no arancelarias que condicionan el acceso real al mercado chino y los riesgos de profundizar una relación comercial asimétrica que refuerce la especialización primaria del país. </w:t>
      </w:r>
    </w:p>
    <w:p w14:paraId="7ACEA4C9" w14:textId="3B915B1E" w:rsidR="00C67B3B" w:rsidRDefault="00C67B3B">
      <w:pPr>
        <w:pStyle w:val="Ttulo3"/>
        <w:numPr>
          <w:ilvl w:val="3"/>
          <w:numId w:val="7"/>
        </w:numPr>
        <w:rPr>
          <w:rStyle w:val="Fuerte"/>
          <w:b w:val="0"/>
          <w:bCs w:val="0"/>
        </w:rPr>
      </w:pPr>
      <w:bookmarkStart w:id="81" w:name="_Toc236232359"/>
      <w:r>
        <w:rPr>
          <w:rStyle w:val="Fuerte"/>
          <w:b w:val="0"/>
          <w:bCs w:val="0"/>
        </w:rPr>
        <w:lastRenderedPageBreak/>
        <w:t>Perspectiva institucional desde la Embajada de Honduras en China</w:t>
      </w:r>
      <w:bookmarkEnd w:id="81"/>
    </w:p>
    <w:p w14:paraId="2774F212" w14:textId="77777777" w:rsidR="00C67B3B" w:rsidRPr="00C67B3B" w:rsidRDefault="00C67B3B" w:rsidP="00C67B3B"/>
    <w:p w14:paraId="23F71235" w14:textId="7E5C5318" w:rsidR="004352C3" w:rsidRPr="00266BFD" w:rsidRDefault="004352C3" w:rsidP="004352C3">
      <w:pPr>
        <w:spacing w:after="240" w:line="360" w:lineRule="auto"/>
        <w:jc w:val="both"/>
        <w:rPr>
          <w:rFonts w:ascii="Arial" w:hAnsi="Arial" w:cs="Arial"/>
        </w:rPr>
      </w:pPr>
      <w:r w:rsidRPr="00266BFD">
        <w:rPr>
          <w:rFonts w:ascii="Arial" w:hAnsi="Arial" w:cs="Arial"/>
        </w:rPr>
        <w:t xml:space="preserve">La </w:t>
      </w:r>
      <w:r w:rsidR="00FA76BA">
        <w:rPr>
          <w:rFonts w:ascii="Arial" w:hAnsi="Arial" w:cs="Arial"/>
        </w:rPr>
        <w:t>perspectiva</w:t>
      </w:r>
      <w:r w:rsidRPr="00266BFD">
        <w:rPr>
          <w:rFonts w:ascii="Arial" w:hAnsi="Arial" w:cs="Arial"/>
        </w:rPr>
        <w:t xml:space="preserve"> institucional, representada por</w:t>
      </w:r>
      <w:r w:rsidR="00AC7166">
        <w:rPr>
          <w:rFonts w:ascii="Arial" w:hAnsi="Arial" w:cs="Arial"/>
        </w:rPr>
        <w:t xml:space="preserve"> u</w:t>
      </w:r>
      <w:r w:rsidR="00AC7166" w:rsidRPr="00AC7166">
        <w:rPr>
          <w:rFonts w:ascii="Arial" w:hAnsi="Arial" w:cs="Arial"/>
        </w:rPr>
        <w:t>n funcionario diplomático hondureño relacionado con China</w:t>
      </w:r>
      <w:r w:rsidRPr="00266BFD">
        <w:rPr>
          <w:rFonts w:ascii="Arial" w:hAnsi="Arial" w:cs="Arial"/>
        </w:rPr>
        <w:t xml:space="preserve">, a quién se entrevistó durante febrero, 2025, refuerza ciertos elementos previamente abordados por productores y expertos, al tiempo que introduce matices específicos sobre la política exterior económica del país. Desde este </w:t>
      </w:r>
      <w:r w:rsidR="007709CF">
        <w:rPr>
          <w:rFonts w:ascii="Arial" w:hAnsi="Arial" w:cs="Arial"/>
        </w:rPr>
        <w:t>enfoque</w:t>
      </w:r>
      <w:r w:rsidRPr="00266BFD">
        <w:rPr>
          <w:rFonts w:ascii="Arial" w:hAnsi="Arial" w:cs="Arial"/>
        </w:rPr>
        <w:t>, se reitera que China constituye un mercado estratégico no solo por su escala y volumen de demanda, sino también por su potencial como fuente de tecnología e insumos industriales (Entrevistado 14, comunicación personal, 11 de febrero de 2025). El argumento central se basa en que cualquier producto hondureño encuentra un nicho posible dentro del espectro de consumo chino, lo que consolida la percepción del tratado como una puerta de entrada a nuevas oportunidades de diversificación.</w:t>
      </w:r>
    </w:p>
    <w:p w14:paraId="168C5EFF" w14:textId="076FACD1" w:rsidR="004352C3" w:rsidRPr="00266BFD" w:rsidRDefault="004352C3" w:rsidP="004352C3">
      <w:pPr>
        <w:spacing w:after="240" w:line="360" w:lineRule="auto"/>
        <w:jc w:val="both"/>
        <w:rPr>
          <w:rFonts w:ascii="Arial" w:hAnsi="Arial" w:cs="Arial"/>
        </w:rPr>
      </w:pPr>
      <w:r w:rsidRPr="00266BFD">
        <w:rPr>
          <w:rFonts w:ascii="Arial" w:hAnsi="Arial" w:cs="Arial"/>
        </w:rPr>
        <w:t>En términos de comercio bilateral, se identifican avances vinculados a productos como el café y el camarón, cuya inserción en el mercado chino se interpreta como un indicador de viabilidad exportadora. Sin embargo, persisten limitaciones logísticas, como la lejanía geográfica y la competencia regional, que restringen la competitividad de otros productos, como el banano. Este reconocimiento, aunque general, apunta a un enfoque diplomático que comprende los márgenes operativos del comercio internacional y sus restricciones actuales (Entrevistado 14, comunicación personal, 11 de febrero de 2025).</w:t>
      </w:r>
    </w:p>
    <w:p w14:paraId="020AA42B" w14:textId="0A90F1DA" w:rsidR="004352C3" w:rsidRPr="00266BFD" w:rsidRDefault="004352C3" w:rsidP="004352C3">
      <w:pPr>
        <w:spacing w:after="240" w:line="360" w:lineRule="auto"/>
        <w:jc w:val="both"/>
        <w:rPr>
          <w:rFonts w:ascii="Arial" w:hAnsi="Arial" w:cs="Arial"/>
        </w:rPr>
      </w:pPr>
      <w:r w:rsidRPr="00266BFD">
        <w:rPr>
          <w:rFonts w:ascii="Arial" w:hAnsi="Arial" w:cs="Arial"/>
        </w:rPr>
        <w:t>A diferencia de los expertos académicos, cuya preocupación principal se centra en la sostenibilidad de la balanza comercial, la visión institucional introduce el argumento de la diversificación geopolítica como objetivo estratégico. En esta entrevista, se valora positivamente la experiencia de países como Nicaragua en la firma de acuerdos similares, no solo por los beneficios comerciales directos, sino por la reducción de la dependencia estructural de mercados tradicionales como Estados Unidos (Entrevistado 14, comunicación personal, 11 de febrero de 2025). Esta perspectiva sugiere que, desde la política exterior, el TLC se concibe también como una herramienta de realineamiento económico.</w:t>
      </w:r>
    </w:p>
    <w:p w14:paraId="1B70148F" w14:textId="0A791619" w:rsidR="004352C3" w:rsidRPr="00266BFD" w:rsidRDefault="004352C3" w:rsidP="004352C3">
      <w:pPr>
        <w:spacing w:after="240" w:line="360" w:lineRule="auto"/>
        <w:jc w:val="both"/>
        <w:rPr>
          <w:rFonts w:ascii="Arial" w:hAnsi="Arial" w:cs="Arial"/>
        </w:rPr>
      </w:pPr>
      <w:r w:rsidRPr="00266BFD">
        <w:rPr>
          <w:rFonts w:ascii="Arial" w:hAnsi="Arial" w:cs="Arial"/>
        </w:rPr>
        <w:t xml:space="preserve">Una de las contribuciones de esta visión institucional es la identificación de sectores sensibles a la competencia. Se menciona, por ejemplo, la industria </w:t>
      </w:r>
      <w:r w:rsidRPr="00266BFD">
        <w:rPr>
          <w:rFonts w:ascii="Arial" w:hAnsi="Arial" w:cs="Arial"/>
        </w:rPr>
        <w:lastRenderedPageBreak/>
        <w:t>nacional de confitería como un sector vulnerable ante la posible entrada masiva de productos chinos sin regulación arancelaria. Este señalamiento permite establecer un punto de convergencia con las advertencias planteadas por actores del sector productivo y expertos, en torno a la necesidad de establecer mecanismos de protección que eviten el desplazamiento de industrias locales (Entrevistado 14, comunicación personal, 11 de febrero de 2025).</w:t>
      </w:r>
    </w:p>
    <w:p w14:paraId="3EE7845B" w14:textId="061A23CB" w:rsidR="004352C3" w:rsidRPr="00266BFD" w:rsidRDefault="004352C3" w:rsidP="004352C3">
      <w:pPr>
        <w:spacing w:after="240" w:line="360" w:lineRule="auto"/>
        <w:jc w:val="both"/>
        <w:rPr>
          <w:rFonts w:ascii="Arial" w:hAnsi="Arial" w:cs="Arial"/>
        </w:rPr>
      </w:pPr>
      <w:r w:rsidRPr="00266BFD">
        <w:rPr>
          <w:rFonts w:ascii="Arial" w:hAnsi="Arial" w:cs="Arial"/>
        </w:rPr>
        <w:t>En cuanto al perfil de exportación, la perspectiva diplomática se alinea con enfoques orientados al valor agregado. Más allá de exportar bienes primarios, se propone una estrategia centrada en posicionar productos hondureños como parte de segmentos gourmet o de alta calidad, especialmente en rubros como café, cacao, tabaco y mariscos. Esta orientación coincide con las recomendaciones que apuestan por una inserción comercial basada en diferenciación y especialización, y no exclusivamente en volumen (Entrevistado 14, comunicación personal, 11 de febrero de 2025)</w:t>
      </w:r>
    </w:p>
    <w:p w14:paraId="2B409DF5" w14:textId="129C04C0" w:rsidR="004352C3" w:rsidRPr="00266BFD" w:rsidRDefault="004352C3" w:rsidP="004352C3">
      <w:pPr>
        <w:spacing w:after="240" w:line="360" w:lineRule="auto"/>
        <w:jc w:val="both"/>
        <w:rPr>
          <w:rFonts w:ascii="Arial" w:hAnsi="Arial" w:cs="Arial"/>
        </w:rPr>
      </w:pPr>
      <w:r w:rsidRPr="00266BFD">
        <w:rPr>
          <w:rFonts w:ascii="Arial" w:hAnsi="Arial" w:cs="Arial"/>
        </w:rPr>
        <w:t>Respecto a la inversión extranjera directa, se proyecta un escenario optimista ante la posibilidad de que el TLC actúe como catalizador de capitales chinos en sectores estratégicos. Si bien no se detallan mecanismos de atracción específicos, se destacan productos con alta demanda internacional como potenciales receptores de inversión (Entrevistado 14, comunicación personal, 11 de febrero de 2025).</w:t>
      </w:r>
    </w:p>
    <w:p w14:paraId="6B67E67D" w14:textId="31D2489C" w:rsidR="004352C3" w:rsidRPr="00266BFD" w:rsidRDefault="00266BFD" w:rsidP="004352C3">
      <w:pPr>
        <w:spacing w:after="240" w:line="360" w:lineRule="auto"/>
        <w:jc w:val="both"/>
        <w:rPr>
          <w:rFonts w:ascii="Arial" w:hAnsi="Arial" w:cs="Arial"/>
        </w:rPr>
      </w:pPr>
      <w:r w:rsidRPr="00266BFD">
        <w:rPr>
          <w:rFonts w:ascii="Arial" w:hAnsi="Arial" w:cs="Arial"/>
        </w:rPr>
        <w:t>E</w:t>
      </w:r>
      <w:r w:rsidR="004352C3" w:rsidRPr="00266BFD">
        <w:rPr>
          <w:rFonts w:ascii="Arial" w:hAnsi="Arial" w:cs="Arial"/>
        </w:rPr>
        <w:t>st</w:t>
      </w:r>
      <w:r w:rsidR="005877A3">
        <w:rPr>
          <w:rFonts w:ascii="Arial" w:hAnsi="Arial" w:cs="Arial"/>
        </w:rPr>
        <w:t xml:space="preserve">e enfoque </w:t>
      </w:r>
      <w:r w:rsidR="004352C3" w:rsidRPr="00266BFD">
        <w:rPr>
          <w:rFonts w:ascii="Arial" w:hAnsi="Arial" w:cs="Arial"/>
        </w:rPr>
        <w:t xml:space="preserve">institucional aporta una </w:t>
      </w:r>
      <w:r w:rsidR="005877A3">
        <w:rPr>
          <w:rFonts w:ascii="Arial" w:hAnsi="Arial" w:cs="Arial"/>
        </w:rPr>
        <w:t>perspectiva</w:t>
      </w:r>
      <w:r w:rsidRPr="00266BFD">
        <w:rPr>
          <w:rFonts w:ascii="Arial" w:hAnsi="Arial" w:cs="Arial"/>
        </w:rPr>
        <w:t xml:space="preserve"> </w:t>
      </w:r>
      <w:r w:rsidR="004352C3" w:rsidRPr="00266BFD">
        <w:rPr>
          <w:rFonts w:ascii="Arial" w:hAnsi="Arial" w:cs="Arial"/>
        </w:rPr>
        <w:t xml:space="preserve">complementaria al análisis del </w:t>
      </w:r>
      <w:r w:rsidR="005877A3">
        <w:rPr>
          <w:rFonts w:ascii="Arial" w:hAnsi="Arial" w:cs="Arial"/>
        </w:rPr>
        <w:t>acuerdo</w:t>
      </w:r>
      <w:r w:rsidR="004352C3" w:rsidRPr="00266BFD">
        <w:rPr>
          <w:rFonts w:ascii="Arial" w:hAnsi="Arial" w:cs="Arial"/>
        </w:rPr>
        <w:t>, al enmarcar la relación comercial dentro de los objetivos de la política exterior hondureña. A diferencia de los enfoques técnico-productivos, se enfatiza el potencial diplomático y geopolítico del acuerdo como herramienta de inserción internacional</w:t>
      </w:r>
      <w:r w:rsidR="004352C3" w:rsidRPr="00641306">
        <w:rPr>
          <w:rFonts w:ascii="Arial" w:hAnsi="Arial" w:cs="Arial"/>
        </w:rPr>
        <w:t>. No obstante</w:t>
      </w:r>
      <w:r w:rsidR="00641306" w:rsidRPr="00641306">
        <w:rPr>
          <w:rFonts w:ascii="Arial" w:hAnsi="Arial" w:cs="Arial"/>
        </w:rPr>
        <w:t>,</w:t>
      </w:r>
      <w:r w:rsidR="00641306">
        <w:rPr>
          <w:rFonts w:ascii="Arial" w:hAnsi="Arial" w:cs="Arial"/>
        </w:rPr>
        <w:t xml:space="preserve"> la</w:t>
      </w:r>
      <w:r w:rsidR="004352C3" w:rsidRPr="00266BFD">
        <w:rPr>
          <w:rFonts w:ascii="Arial" w:hAnsi="Arial" w:cs="Arial"/>
        </w:rPr>
        <w:t xml:space="preserve"> visión optimista</w:t>
      </w:r>
      <w:r w:rsidR="00641306">
        <w:rPr>
          <w:rFonts w:ascii="Arial" w:hAnsi="Arial" w:cs="Arial"/>
        </w:rPr>
        <w:t xml:space="preserve"> mostrada por los negociadores hondureños</w:t>
      </w:r>
      <w:r w:rsidR="004352C3" w:rsidRPr="00266BFD">
        <w:rPr>
          <w:rFonts w:ascii="Arial" w:hAnsi="Arial" w:cs="Arial"/>
        </w:rPr>
        <w:t xml:space="preserve"> requiere ser equilibrada co</w:t>
      </w:r>
      <w:r w:rsidRPr="00266BFD">
        <w:rPr>
          <w:rFonts w:ascii="Arial" w:hAnsi="Arial" w:cs="Arial"/>
        </w:rPr>
        <w:t xml:space="preserve">n una visión </w:t>
      </w:r>
      <w:r w:rsidR="004352C3" w:rsidRPr="00266BFD">
        <w:rPr>
          <w:rFonts w:ascii="Arial" w:hAnsi="Arial" w:cs="Arial"/>
        </w:rPr>
        <w:t>más técnic</w:t>
      </w:r>
      <w:r w:rsidRPr="00266BFD">
        <w:rPr>
          <w:rFonts w:ascii="Arial" w:hAnsi="Arial" w:cs="Arial"/>
        </w:rPr>
        <w:t>a</w:t>
      </w:r>
      <w:r w:rsidR="004352C3" w:rsidRPr="00266BFD">
        <w:rPr>
          <w:rFonts w:ascii="Arial" w:hAnsi="Arial" w:cs="Arial"/>
        </w:rPr>
        <w:t xml:space="preserve">. Esta brecha reafirma la necesidad de articular la política comercial con un enfoque multisectorial, que integre las capacidades reales del </w:t>
      </w:r>
      <w:r w:rsidR="00641306">
        <w:rPr>
          <w:rFonts w:ascii="Arial" w:hAnsi="Arial" w:cs="Arial"/>
        </w:rPr>
        <w:t>sector</w:t>
      </w:r>
      <w:r w:rsidR="004352C3" w:rsidRPr="00266BFD">
        <w:rPr>
          <w:rFonts w:ascii="Arial" w:hAnsi="Arial" w:cs="Arial"/>
        </w:rPr>
        <w:t xml:space="preserve"> productivo nacional y los aprendizajes derivados de otras experiencias regionales.</w:t>
      </w:r>
    </w:p>
    <w:bookmarkEnd w:id="79"/>
    <w:p w14:paraId="07647E1F" w14:textId="13A6BC36" w:rsidR="00560B5F" w:rsidRPr="00560B5F" w:rsidRDefault="00560B5F" w:rsidP="00560B5F">
      <w:pPr>
        <w:spacing w:after="240" w:line="360" w:lineRule="auto"/>
        <w:ind w:left="360"/>
        <w:jc w:val="both"/>
        <w:rPr>
          <w:rFonts w:ascii="Arial" w:hAnsi="Arial" w:cs="Arial"/>
          <w:highlight w:val="yellow"/>
          <w:lang w:val="es-HN"/>
        </w:rPr>
      </w:pPr>
    </w:p>
    <w:p w14:paraId="7A76136F" w14:textId="77777777" w:rsidR="00BB36C3" w:rsidRDefault="00BB36C3" w:rsidP="00015050">
      <w:pPr>
        <w:spacing w:after="240" w:line="360" w:lineRule="auto"/>
        <w:jc w:val="both"/>
        <w:rPr>
          <w:rFonts w:ascii="Arial" w:hAnsi="Arial" w:cs="Arial"/>
        </w:rPr>
      </w:pPr>
    </w:p>
    <w:p w14:paraId="7EDF7A7C" w14:textId="77777777" w:rsidR="00560B5F" w:rsidRDefault="00560B5F">
      <w:pPr>
        <w:spacing w:after="160" w:line="259" w:lineRule="auto"/>
        <w:rPr>
          <w:rFonts w:ascii="Arial" w:hAnsi="Arial" w:cs="Arial"/>
          <w:b/>
          <w:bCs/>
          <w:color w:val="0D78CA" w:themeColor="background2" w:themeShade="80"/>
        </w:rPr>
      </w:pPr>
      <w:r>
        <w:rPr>
          <w:rFonts w:ascii="Arial" w:hAnsi="Arial" w:cs="Arial"/>
          <w:b/>
          <w:bCs/>
          <w:color w:val="0D78CA" w:themeColor="background2" w:themeShade="80"/>
        </w:rPr>
        <w:lastRenderedPageBreak/>
        <w:br w:type="page"/>
      </w:r>
    </w:p>
    <w:p w14:paraId="5B36CB95" w14:textId="52A87DD1" w:rsidR="00BB36C3" w:rsidRPr="00DF2979" w:rsidRDefault="00DA3034" w:rsidP="00DA3034">
      <w:pPr>
        <w:pStyle w:val="Ttulo1"/>
        <w:numPr>
          <w:ilvl w:val="0"/>
          <w:numId w:val="0"/>
        </w:numPr>
        <w:ind w:left="432" w:hanging="432"/>
        <w:rPr>
          <w:rFonts w:ascii="Arial" w:hAnsi="Arial" w:cs="Arial"/>
          <w:b/>
          <w:bCs/>
          <w:color w:val="000000" w:themeColor="text1"/>
          <w:sz w:val="28"/>
          <w:szCs w:val="28"/>
        </w:rPr>
      </w:pPr>
      <w:bookmarkStart w:id="82" w:name="_Toc236232360"/>
      <w:r w:rsidRPr="00DF2979">
        <w:rPr>
          <w:rFonts w:ascii="Arial" w:hAnsi="Arial" w:cs="Arial"/>
          <w:b/>
          <w:bCs/>
          <w:color w:val="000000" w:themeColor="text1"/>
          <w:sz w:val="28"/>
          <w:szCs w:val="28"/>
        </w:rPr>
        <w:lastRenderedPageBreak/>
        <w:t>CAPÍTULO 4</w:t>
      </w:r>
      <w:r w:rsidR="00580BA9">
        <w:rPr>
          <w:rFonts w:ascii="Arial" w:hAnsi="Arial" w:cs="Arial"/>
          <w:b/>
          <w:bCs/>
          <w:color w:val="000000" w:themeColor="text1"/>
          <w:sz w:val="28"/>
          <w:szCs w:val="28"/>
        </w:rPr>
        <w:t>. CONCLUSIONES Y RECOMENDACIONES</w:t>
      </w:r>
      <w:bookmarkEnd w:id="82"/>
      <w:r w:rsidRPr="00DF2979">
        <w:rPr>
          <w:rFonts w:ascii="Arial" w:hAnsi="Arial" w:cs="Arial"/>
          <w:b/>
          <w:bCs/>
          <w:color w:val="000000" w:themeColor="text1"/>
          <w:sz w:val="28"/>
          <w:szCs w:val="28"/>
        </w:rPr>
        <w:t xml:space="preserve"> </w:t>
      </w:r>
    </w:p>
    <w:p w14:paraId="06F0B2C7" w14:textId="77777777" w:rsidR="00DA3034" w:rsidRPr="00DF2979" w:rsidRDefault="00DA3034" w:rsidP="00DA3034">
      <w:pPr>
        <w:rPr>
          <w:rFonts w:ascii="Arial" w:hAnsi="Arial" w:cs="Arial"/>
        </w:rPr>
      </w:pPr>
    </w:p>
    <w:p w14:paraId="3CD5940A" w14:textId="77777777" w:rsidR="00085FA7" w:rsidRDefault="00085FA7" w:rsidP="00085FA7">
      <w:pPr>
        <w:spacing w:line="360" w:lineRule="auto"/>
        <w:jc w:val="both"/>
        <w:rPr>
          <w:rFonts w:ascii="Arial" w:eastAsia="Arial" w:hAnsi="Arial" w:cs="Arial"/>
        </w:rPr>
      </w:pPr>
    </w:p>
    <w:p w14:paraId="689D0977" w14:textId="1EF918FA" w:rsidR="00085FA7" w:rsidRDefault="00085FA7" w:rsidP="00085FA7">
      <w:pPr>
        <w:pStyle w:val="Ttulo2"/>
        <w:keepNext w:val="0"/>
        <w:keepLines w:val="0"/>
        <w:numPr>
          <w:ilvl w:val="0"/>
          <w:numId w:val="0"/>
        </w:numPr>
        <w:spacing w:before="0" w:line="360" w:lineRule="auto"/>
        <w:ind w:left="576" w:hanging="576"/>
        <w:jc w:val="both"/>
        <w:rPr>
          <w:rFonts w:ascii="Arial" w:eastAsia="Arial" w:hAnsi="Arial" w:cs="Arial"/>
          <w:b/>
          <w:bCs/>
          <w:color w:val="000000"/>
          <w:sz w:val="24"/>
          <w:szCs w:val="24"/>
        </w:rPr>
      </w:pPr>
      <w:bookmarkStart w:id="83" w:name="_heading=h.oks60rdnj85a" w:colFirst="0" w:colLast="0"/>
      <w:bookmarkStart w:id="84" w:name="_Toc236232361"/>
      <w:bookmarkEnd w:id="83"/>
      <w:r>
        <w:rPr>
          <w:rFonts w:ascii="Arial" w:eastAsia="Arial" w:hAnsi="Arial" w:cs="Arial"/>
          <w:b/>
          <w:bCs/>
          <w:color w:val="000000"/>
          <w:sz w:val="24"/>
          <w:szCs w:val="24"/>
        </w:rPr>
        <w:t>4.1</w:t>
      </w:r>
      <w:r>
        <w:rPr>
          <w:rFonts w:ascii="Times New Roman" w:eastAsia="Times New Roman" w:hAnsi="Times New Roman" w:cs="Times New Roman"/>
          <w:color w:val="000000"/>
          <w:sz w:val="14"/>
          <w:szCs w:val="14"/>
        </w:rPr>
        <w:t xml:space="preserve"> </w:t>
      </w:r>
      <w:r>
        <w:rPr>
          <w:rFonts w:ascii="Arial" w:eastAsia="Arial" w:hAnsi="Arial" w:cs="Arial"/>
          <w:b/>
          <w:bCs/>
          <w:color w:val="000000"/>
          <w:sz w:val="24"/>
          <w:szCs w:val="24"/>
        </w:rPr>
        <w:t xml:space="preserve">  Conclusiones de la investigación</w:t>
      </w:r>
      <w:bookmarkEnd w:id="84"/>
    </w:p>
    <w:p w14:paraId="6B80FF28" w14:textId="77777777" w:rsidR="00085FA7" w:rsidRDefault="00085FA7" w:rsidP="00085FA7">
      <w:pPr>
        <w:spacing w:line="360" w:lineRule="auto"/>
        <w:jc w:val="both"/>
        <w:rPr>
          <w:rFonts w:ascii="Arial" w:eastAsia="Arial" w:hAnsi="Arial" w:cs="Arial"/>
        </w:rPr>
      </w:pPr>
      <w:r>
        <w:rPr>
          <w:rFonts w:ascii="Arial" w:eastAsia="Arial" w:hAnsi="Arial" w:cs="Arial"/>
        </w:rPr>
        <w:t xml:space="preserve"> </w:t>
      </w:r>
    </w:p>
    <w:p w14:paraId="4EC99512" w14:textId="77777777" w:rsidR="00085FA7" w:rsidRDefault="00085FA7" w:rsidP="00085FA7">
      <w:pPr>
        <w:spacing w:line="360" w:lineRule="auto"/>
        <w:jc w:val="both"/>
        <w:rPr>
          <w:rFonts w:ascii="Arial" w:eastAsia="Arial" w:hAnsi="Arial" w:cs="Arial"/>
        </w:rPr>
      </w:pPr>
      <w:r>
        <w:rPr>
          <w:rFonts w:ascii="Arial" w:eastAsia="Arial" w:hAnsi="Arial" w:cs="Arial"/>
        </w:rPr>
        <w:t>La presente investigación se propuso analizar las oportunidades y desafíos que la firma de un Tratado de Libre Comercio con China representa para el sector exportador hondureño y para la inversión extranjera directa, con el fin de formular recomendaciones de política económica orientadas a la etapa de negociación e implementación del acuerdo. Para ello, se examinó la relación económica y comercial entre ambos países, se contrastó la experiencia de otros países latinoamericanos que ya cuentan con TLC vigentes con China, y se recopilaron las perspectivas de productores, académicos y actores institucionales sobre los posibles efectos del acuerdo.</w:t>
      </w:r>
    </w:p>
    <w:p w14:paraId="5B361836" w14:textId="77777777" w:rsidR="00AE2D0F" w:rsidRDefault="00AE2D0F" w:rsidP="00085FA7">
      <w:pPr>
        <w:spacing w:line="360" w:lineRule="auto"/>
        <w:jc w:val="both"/>
        <w:rPr>
          <w:rFonts w:ascii="Arial" w:eastAsia="Arial" w:hAnsi="Arial" w:cs="Arial"/>
        </w:rPr>
      </w:pPr>
    </w:p>
    <w:p w14:paraId="2668B0FA" w14:textId="6E728C1D" w:rsidR="00085FA7" w:rsidRDefault="00085FA7" w:rsidP="00085FA7">
      <w:pPr>
        <w:spacing w:line="360" w:lineRule="auto"/>
        <w:jc w:val="both"/>
        <w:rPr>
          <w:rFonts w:ascii="Arial" w:eastAsia="Arial" w:hAnsi="Arial" w:cs="Arial"/>
        </w:rPr>
      </w:pPr>
      <w:r>
        <w:rPr>
          <w:rFonts w:ascii="Arial" w:eastAsia="Arial" w:hAnsi="Arial" w:cs="Arial"/>
        </w:rPr>
        <w:t xml:space="preserve">La principal conclusión de la investigación es </w:t>
      </w:r>
      <w:r w:rsidR="00AE2D0F">
        <w:rPr>
          <w:rFonts w:ascii="Arial" w:eastAsia="Arial" w:hAnsi="Arial" w:cs="Arial"/>
        </w:rPr>
        <w:t xml:space="preserve">muestra que la eventual firma de un TLC con China, constituye una oportunidad estratégica para potenciar la inserción comercial y la atracción de inversión extranjera directa del país asiático, pero, el aprovechamiento de dicha oportunidad no es automático, ya que dependerá de la capacidad del país para superar las brechas productivas, institucionales y regulatorias, de lo contrario, el acuerdo podría profundizar aún más el déficit comercial bilateral existente, la concentración exportadora y la alta dependencia de bienes primarios frente a una economía china altamente industrializada. </w:t>
      </w:r>
    </w:p>
    <w:p w14:paraId="195A2DB5" w14:textId="77777777" w:rsidR="00085FA7" w:rsidRDefault="00085FA7" w:rsidP="00085FA7">
      <w:pPr>
        <w:spacing w:line="360" w:lineRule="auto"/>
        <w:jc w:val="both"/>
        <w:rPr>
          <w:rFonts w:ascii="Arial" w:eastAsia="Arial" w:hAnsi="Arial" w:cs="Arial"/>
        </w:rPr>
      </w:pPr>
    </w:p>
    <w:p w14:paraId="339825C9" w14:textId="2AC5E4FD" w:rsidR="00085FA7" w:rsidRDefault="00085FA7" w:rsidP="00085FA7">
      <w:pPr>
        <w:spacing w:line="360" w:lineRule="auto"/>
        <w:jc w:val="both"/>
        <w:rPr>
          <w:rFonts w:ascii="Arial" w:eastAsia="Arial" w:hAnsi="Arial" w:cs="Arial"/>
        </w:rPr>
      </w:pPr>
      <w:r>
        <w:rPr>
          <w:rFonts w:ascii="Arial" w:eastAsia="Arial" w:hAnsi="Arial" w:cs="Arial"/>
        </w:rPr>
        <w:t xml:space="preserve"> Las conclusiones que se presentan a continuación integran los hallazgos derivados de</w:t>
      </w:r>
      <w:r w:rsidR="00996691">
        <w:rPr>
          <w:rFonts w:ascii="Arial" w:eastAsia="Arial" w:hAnsi="Arial" w:cs="Arial"/>
        </w:rPr>
        <w:t xml:space="preserve">l cumplimiento de cada uno de los objetivos específicos formulados para la investigación. </w:t>
      </w:r>
    </w:p>
    <w:p w14:paraId="6EEE703A" w14:textId="77777777" w:rsidR="00085FA7" w:rsidRDefault="00085FA7" w:rsidP="00085FA7">
      <w:pPr>
        <w:spacing w:line="360" w:lineRule="auto"/>
        <w:jc w:val="both"/>
        <w:rPr>
          <w:rFonts w:ascii="Arial" w:eastAsia="Arial" w:hAnsi="Arial" w:cs="Arial"/>
        </w:rPr>
      </w:pPr>
      <w:r>
        <w:rPr>
          <w:rFonts w:ascii="Arial" w:eastAsia="Arial" w:hAnsi="Arial" w:cs="Arial"/>
        </w:rPr>
        <w:t xml:space="preserve"> </w:t>
      </w:r>
    </w:p>
    <w:p w14:paraId="4C54439A" w14:textId="27658364" w:rsidR="00085FA7" w:rsidRDefault="00085FA7" w:rsidP="00085FA7">
      <w:pPr>
        <w:spacing w:line="360" w:lineRule="auto"/>
        <w:jc w:val="both"/>
        <w:rPr>
          <w:rFonts w:ascii="Arial" w:eastAsia="Arial" w:hAnsi="Arial" w:cs="Arial"/>
        </w:rPr>
      </w:pPr>
      <w:r>
        <w:rPr>
          <w:rFonts w:ascii="Arial" w:eastAsia="Arial" w:hAnsi="Arial" w:cs="Arial"/>
        </w:rPr>
        <w:t xml:space="preserve">En las últimas décadas, Honduras ha sostenido una estructura comercial fuertemente orientada hacia sus socios tradicionales Estados Unidos,  México, El Salvador, Guatemala y Canadá (OEC, 2025), una tendencia compartida con la mayoría de </w:t>
      </w:r>
      <w:r w:rsidR="00AE2D0F">
        <w:rPr>
          <w:rFonts w:ascii="Arial" w:eastAsia="Arial" w:hAnsi="Arial" w:cs="Arial"/>
        </w:rPr>
        <w:t>los países</w:t>
      </w:r>
      <w:r>
        <w:rPr>
          <w:rFonts w:ascii="Arial" w:eastAsia="Arial" w:hAnsi="Arial" w:cs="Arial"/>
        </w:rPr>
        <w:t xml:space="preserve"> centroamericanos. La inserción de Honduras en los mercados asiáticos ha sido, en comparación, más limitada y concentrada. Desde </w:t>
      </w:r>
      <w:r>
        <w:rPr>
          <w:rFonts w:ascii="Arial" w:eastAsia="Arial" w:hAnsi="Arial" w:cs="Arial"/>
        </w:rPr>
        <w:lastRenderedPageBreak/>
        <w:t>2007, el país mantenía un Tratado de Libre Comercio con Taiwán (SICE, 2025), acuerdo que permitió dinamizar exportaciones como el camarón, langosta, café y algunos minerales como aluminio y acero (ITC, 2023), productos con bajo nivel de transformación. Este vínculo representaba, hasta hace pocos años, uno de los principales canales de acceso de la oferta hondureña al mercado asiático.</w:t>
      </w:r>
    </w:p>
    <w:p w14:paraId="57B23F63" w14:textId="77777777" w:rsidR="00085FA7" w:rsidRDefault="00085FA7" w:rsidP="00085FA7">
      <w:pPr>
        <w:spacing w:line="360" w:lineRule="auto"/>
        <w:jc w:val="both"/>
        <w:rPr>
          <w:rFonts w:ascii="Arial" w:eastAsia="Arial" w:hAnsi="Arial" w:cs="Arial"/>
        </w:rPr>
      </w:pPr>
      <w:r>
        <w:rPr>
          <w:rFonts w:ascii="Arial" w:eastAsia="Arial" w:hAnsi="Arial" w:cs="Arial"/>
        </w:rPr>
        <w:t xml:space="preserve"> </w:t>
      </w:r>
    </w:p>
    <w:p w14:paraId="6C36AE00" w14:textId="77777777" w:rsidR="00085FA7" w:rsidRDefault="00085FA7" w:rsidP="00085FA7">
      <w:pPr>
        <w:spacing w:line="360" w:lineRule="auto"/>
        <w:jc w:val="both"/>
        <w:rPr>
          <w:rFonts w:ascii="Arial" w:eastAsia="Arial" w:hAnsi="Arial" w:cs="Arial"/>
        </w:rPr>
      </w:pPr>
      <w:r>
        <w:rPr>
          <w:rFonts w:ascii="Arial" w:eastAsia="Arial" w:hAnsi="Arial" w:cs="Arial"/>
        </w:rPr>
        <w:t>El panorama regional comenzó a cambiar en 2007, cuando Costa Rica se convirtió en el primer país centroamericano en modificar su posición diplomática para reconocer a la República Popular China como único Estado legítimo, decisión acompañada de la firma de un acuerdo comercial bilateral (Ministerio de Comercio Exterior (COMEX), s. f.). Este giro abrió un proceso que también siguieron otros países latinoamericanos como Perú, Ecuador y Chile, todos con el objetivo de aprovechar el creciente peso económico de China en el comercio global. Más recientemente, Nicaragua siguió estos pasos en 2021 iniciando relaciones diplomáticas con China, alcanzando un acuerdo comercial en 2024.</w:t>
      </w:r>
    </w:p>
    <w:p w14:paraId="08BE2B91" w14:textId="77777777" w:rsidR="00085FA7" w:rsidRDefault="00085FA7" w:rsidP="00085FA7">
      <w:pPr>
        <w:spacing w:line="360" w:lineRule="auto"/>
        <w:jc w:val="both"/>
        <w:rPr>
          <w:rFonts w:ascii="Arial" w:eastAsia="Arial" w:hAnsi="Arial" w:cs="Arial"/>
        </w:rPr>
      </w:pPr>
      <w:r>
        <w:rPr>
          <w:rFonts w:ascii="Arial" w:eastAsia="Arial" w:hAnsi="Arial" w:cs="Arial"/>
        </w:rPr>
        <w:t xml:space="preserve"> </w:t>
      </w:r>
    </w:p>
    <w:p w14:paraId="029A0D01" w14:textId="77777777" w:rsidR="00085FA7" w:rsidRDefault="00085FA7" w:rsidP="00085FA7">
      <w:pPr>
        <w:spacing w:line="360" w:lineRule="auto"/>
        <w:jc w:val="both"/>
        <w:rPr>
          <w:rFonts w:ascii="Arial" w:eastAsia="Arial" w:hAnsi="Arial" w:cs="Arial"/>
        </w:rPr>
      </w:pPr>
      <w:r>
        <w:rPr>
          <w:rFonts w:ascii="Arial" w:eastAsia="Arial" w:hAnsi="Arial" w:cs="Arial"/>
        </w:rPr>
        <w:t>En este contexto regional, Honduras estableció relaciones diplomáticas con China en julio de 2023 (SDE, 2024b), decisión que implicó el fin del vínculo formal con Taiwán y la suspensión del TLC vigente entre ambas naciones. Casi de inmediato se anunció el inicio de negociaciones para un nuevo Tratado de Libre Comercio con China. Las rondas avanzaron con notable rapidez: una primera en julio, seguida de una segunda en septiembre y una tercera en diciembre de 2023; posteriormente una cuarta ronda en marzo de 2024, una quinta en mayo y una sexta en julio de 2024, completando un año de negociaciones continuas (SDE, 2024b).</w:t>
      </w:r>
    </w:p>
    <w:p w14:paraId="6AF1A319" w14:textId="77777777" w:rsidR="00085FA7" w:rsidRDefault="00085FA7" w:rsidP="00085FA7">
      <w:pPr>
        <w:spacing w:line="360" w:lineRule="auto"/>
        <w:jc w:val="both"/>
        <w:rPr>
          <w:rFonts w:ascii="Arial" w:eastAsia="Arial" w:hAnsi="Arial" w:cs="Arial"/>
          <w:color w:val="0B769D"/>
        </w:rPr>
      </w:pPr>
      <w:r>
        <w:rPr>
          <w:rFonts w:ascii="Arial" w:eastAsia="Arial" w:hAnsi="Arial" w:cs="Arial"/>
          <w:color w:val="0B769D"/>
        </w:rPr>
        <w:t xml:space="preserve"> </w:t>
      </w:r>
    </w:p>
    <w:p w14:paraId="530AD7B7" w14:textId="77777777" w:rsidR="00085FA7" w:rsidRDefault="00085FA7" w:rsidP="00085FA7">
      <w:pPr>
        <w:spacing w:line="360" w:lineRule="auto"/>
        <w:jc w:val="both"/>
        <w:rPr>
          <w:rFonts w:ascii="Arial" w:eastAsia="Arial" w:hAnsi="Arial" w:cs="Arial"/>
        </w:rPr>
      </w:pPr>
      <w:r>
        <w:rPr>
          <w:rFonts w:ascii="Arial" w:eastAsia="Arial" w:hAnsi="Arial" w:cs="Arial"/>
        </w:rPr>
        <w:t xml:space="preserve">Establecido el contexto diplomático y de negociación, corresponde examinar las condiciones económicas con las que Honduras llega a este proceso. El comportamiento del Índice de Apertura Comercial confirma que el país cuenta con una economía estructuralmente abierta y altamente expuesta al comercio internacional. Esta trayectoria, aunque marcada por algunas variaciones cíclicas, evidencia que el país mantiene desde hace dos décadas un nivel de integración externa elevado, aspecto que condiciona la forma en que absorberá los impactos </w:t>
      </w:r>
      <w:r>
        <w:rPr>
          <w:rFonts w:ascii="Arial" w:eastAsia="Arial" w:hAnsi="Arial" w:cs="Arial"/>
        </w:rPr>
        <w:lastRenderedPageBreak/>
        <w:t>de un acuerdo comercial con China, debido a que los resultados obtenidos sugieren que existe una alta dependencia de importaciones.</w:t>
      </w:r>
    </w:p>
    <w:p w14:paraId="62026BF5" w14:textId="77777777" w:rsidR="00085FA7" w:rsidRDefault="00085FA7" w:rsidP="00085FA7">
      <w:pPr>
        <w:spacing w:line="360" w:lineRule="auto"/>
        <w:jc w:val="both"/>
        <w:rPr>
          <w:rFonts w:ascii="Arial" w:eastAsia="Arial" w:hAnsi="Arial" w:cs="Arial"/>
        </w:rPr>
      </w:pPr>
      <w:r>
        <w:rPr>
          <w:rFonts w:ascii="Arial" w:eastAsia="Arial" w:hAnsi="Arial" w:cs="Arial"/>
        </w:rPr>
        <w:t xml:space="preserve"> </w:t>
      </w:r>
    </w:p>
    <w:p w14:paraId="11F4861A" w14:textId="77777777" w:rsidR="00085FA7" w:rsidRDefault="00085FA7" w:rsidP="00085FA7">
      <w:pPr>
        <w:spacing w:line="360" w:lineRule="auto"/>
        <w:jc w:val="both"/>
        <w:rPr>
          <w:rFonts w:ascii="Arial" w:eastAsia="Arial" w:hAnsi="Arial" w:cs="Arial"/>
        </w:rPr>
      </w:pPr>
      <w:r>
        <w:rPr>
          <w:rFonts w:ascii="Arial" w:eastAsia="Arial" w:hAnsi="Arial" w:cs="Arial"/>
        </w:rPr>
        <w:t>El comercio bilateral entre Honduras y China se ha caracterizado históricamente por una creciente dependencia hondureña de las importaciones provenientes de China y por una canasta exportadora altamente concentrada. Desde inicios de los años 2000, la balanza comercial persiste en un déficit que se ha profundizado de manera acelerada durante la última década. Este comportamiento revela la consolidación de un déficit comercial estructural, difícilmente reversible bajo las condiciones actuales de la estructura productiva hondureña.</w:t>
      </w:r>
    </w:p>
    <w:p w14:paraId="6CC93CBA" w14:textId="77777777" w:rsidR="00085FA7" w:rsidRDefault="00085FA7" w:rsidP="00085FA7">
      <w:pPr>
        <w:spacing w:line="360" w:lineRule="auto"/>
        <w:jc w:val="both"/>
        <w:rPr>
          <w:rFonts w:ascii="Arial" w:eastAsia="Arial" w:hAnsi="Arial" w:cs="Arial"/>
        </w:rPr>
      </w:pPr>
      <w:r>
        <w:rPr>
          <w:rFonts w:ascii="Arial" w:eastAsia="Arial" w:hAnsi="Arial" w:cs="Arial"/>
        </w:rPr>
        <w:t xml:space="preserve"> </w:t>
      </w:r>
    </w:p>
    <w:p w14:paraId="7F2BAEFE" w14:textId="77777777" w:rsidR="00085FA7" w:rsidRDefault="00085FA7" w:rsidP="00085FA7">
      <w:pPr>
        <w:spacing w:line="360" w:lineRule="auto"/>
        <w:jc w:val="both"/>
        <w:rPr>
          <w:rFonts w:ascii="Arial" w:eastAsia="Arial" w:hAnsi="Arial" w:cs="Arial"/>
        </w:rPr>
      </w:pPr>
      <w:r>
        <w:rPr>
          <w:rFonts w:ascii="Arial" w:eastAsia="Arial" w:hAnsi="Arial" w:cs="Arial"/>
        </w:rPr>
        <w:t>Durante los últimos veinticinco años, Honduras no ha logrado diversificar de manera significativa su oferta exportable hacia China. Las ventas externas se han mantenido concentradas en un conjunto reducido de productos minerales, principalmente hierro, aluminio, plomo, cobre y cinc, cuya participación, además de limitada, ha mostrado variaciones importantes a lo largo del tiempo. En el ámbito agrícola, el café ha sido el principal rubro exportado; sin embargo, su peso relativo continúa siendo bajo si se compara con el volumen de importaciones chinas hacia Honduras. Estas importaciones superan los mil millones de dólares anuales desde 2016 y se componen principalmente de motocicletas, refrigeradoras, productos de hierro, teléfonos, vehículos y sus partes, y otros bienes de capital (ITC, 2025), manufacturas y productos intermedios.</w:t>
      </w:r>
    </w:p>
    <w:p w14:paraId="49E53731" w14:textId="77777777" w:rsidR="00085FA7" w:rsidRDefault="00085FA7" w:rsidP="00085FA7">
      <w:pPr>
        <w:spacing w:line="360" w:lineRule="auto"/>
        <w:jc w:val="both"/>
        <w:rPr>
          <w:rFonts w:ascii="Arial" w:eastAsia="Arial" w:hAnsi="Arial" w:cs="Arial"/>
        </w:rPr>
      </w:pPr>
      <w:r>
        <w:rPr>
          <w:rFonts w:ascii="Arial" w:eastAsia="Arial" w:hAnsi="Arial" w:cs="Arial"/>
        </w:rPr>
        <w:t xml:space="preserve"> </w:t>
      </w:r>
    </w:p>
    <w:p w14:paraId="79832272" w14:textId="77777777" w:rsidR="00085FA7" w:rsidRDefault="00085FA7" w:rsidP="00085FA7">
      <w:pPr>
        <w:spacing w:line="360" w:lineRule="auto"/>
        <w:jc w:val="both"/>
        <w:rPr>
          <w:rFonts w:ascii="Arial" w:eastAsia="Arial" w:hAnsi="Arial" w:cs="Arial"/>
        </w:rPr>
      </w:pPr>
      <w:r>
        <w:rPr>
          <w:rFonts w:ascii="Arial" w:eastAsia="Arial" w:hAnsi="Arial" w:cs="Arial"/>
        </w:rPr>
        <w:t>Este patrón comercial evidencia una baja diversificación exportadora y un limitado desarrollo de encadenamientos productivos, situación que restringe la generación de valor agregado interno. Como resultado, las oportunidades de que el comercio bilateral se traduzca en beneficios sostenibles para Honduras se ven condicionadas por la débil capacidad de la economía nacional para integrarse en cadenas globales de valor con mayor complejidad tecnológica o productiva.</w:t>
      </w:r>
    </w:p>
    <w:p w14:paraId="36CD72D7" w14:textId="77777777" w:rsidR="00085FA7" w:rsidRDefault="00085FA7" w:rsidP="00085FA7">
      <w:pPr>
        <w:spacing w:line="360" w:lineRule="auto"/>
        <w:jc w:val="both"/>
        <w:rPr>
          <w:rFonts w:ascii="Arial" w:eastAsia="Arial" w:hAnsi="Arial" w:cs="Arial"/>
        </w:rPr>
      </w:pPr>
      <w:r>
        <w:rPr>
          <w:rFonts w:ascii="Arial" w:eastAsia="Arial" w:hAnsi="Arial" w:cs="Arial"/>
        </w:rPr>
        <w:t xml:space="preserve"> </w:t>
      </w:r>
    </w:p>
    <w:p w14:paraId="02BB6CAA" w14:textId="77777777" w:rsidR="00085FA7" w:rsidRDefault="00085FA7" w:rsidP="00085FA7">
      <w:pPr>
        <w:spacing w:line="360" w:lineRule="auto"/>
        <w:jc w:val="both"/>
        <w:rPr>
          <w:rFonts w:ascii="Arial" w:eastAsia="Arial" w:hAnsi="Arial" w:cs="Arial"/>
        </w:rPr>
      </w:pPr>
      <w:r>
        <w:rPr>
          <w:rFonts w:ascii="Arial" w:eastAsia="Arial" w:hAnsi="Arial" w:cs="Arial"/>
        </w:rPr>
        <w:t xml:space="preserve">Si bien el acuerdo se presenta como un paso estratégico en la política comercial hondureña, la evidencia analizada indica que, al menos en el corto y mediano plazo, sus efectos tenderán a profundizar el déficit comercial bilateral y a reforzar </w:t>
      </w:r>
      <w:r>
        <w:rPr>
          <w:rFonts w:ascii="Arial" w:eastAsia="Arial" w:hAnsi="Arial" w:cs="Arial"/>
        </w:rPr>
        <w:lastRenderedPageBreak/>
        <w:t>un patrón interindustrial en el que Honduras exporta bienes primarios e importa manufacturas. Sin embargo, esta conclusión no debe interpretarse como un argumento en contra del acuerdo, sino como una advertencia sobre sus costos previsibles y sobre la necesidad de gestionarlos. El incremento del déficit será particularmente pronunciado en la medida en que la desgravación arancelaria facilite el ingreso de manufacturas chinas a un ritmo superior al que las exportaciones hondureñas logren penetrar el mercado chino, fenómeno que la experiencia costarricense ya ha ilustrado. El riesgo mayor, no obstante, no es el déficit en sí mismo, sino la posibilidad de que este consolide una estructura comercial en la que Honduras profundice su especialización primaria sin avanzar hacia una oferta exportable de mayor complejidad y valor agregado. Evitar este escenario exige que el acuerdo se acompañe de instrumentos de protección temporal para sectores sensibles, períodos de desgravación gradual y, sobre todo, de una estrategia productiva que permita al país transitar progresivamente hacia una inserción comercial más diversificada. Esta consideración resulta particularmente urgente para las pequeñas y medianas empresas del sector exportador, que carecen de los recursos necesarios para absorber los costos de certificación, adaptación tecnológica y cumplimiento normativo que exige el mercado chino, y que enfrentan el riesgo de una exclusión progresiva si no se diseñan mecanismos de acompañamiento diferenciados.</w:t>
      </w:r>
    </w:p>
    <w:p w14:paraId="6B445EF7" w14:textId="77777777" w:rsidR="00085FA7" w:rsidRDefault="00085FA7" w:rsidP="00085FA7">
      <w:pPr>
        <w:spacing w:line="360" w:lineRule="auto"/>
        <w:jc w:val="both"/>
        <w:rPr>
          <w:rFonts w:ascii="Arial" w:eastAsia="Arial" w:hAnsi="Arial" w:cs="Arial"/>
        </w:rPr>
      </w:pPr>
      <w:r>
        <w:rPr>
          <w:rFonts w:ascii="Arial" w:eastAsia="Arial" w:hAnsi="Arial" w:cs="Arial"/>
        </w:rPr>
        <w:t xml:space="preserve"> </w:t>
      </w:r>
    </w:p>
    <w:p w14:paraId="38FC2631" w14:textId="77777777" w:rsidR="00085FA7" w:rsidRDefault="00085FA7" w:rsidP="00085FA7">
      <w:pPr>
        <w:spacing w:line="360" w:lineRule="auto"/>
        <w:jc w:val="both"/>
        <w:rPr>
          <w:rFonts w:ascii="Arial" w:eastAsia="Arial" w:hAnsi="Arial" w:cs="Arial"/>
        </w:rPr>
      </w:pPr>
      <w:r>
        <w:rPr>
          <w:rFonts w:ascii="Arial" w:eastAsia="Arial" w:hAnsi="Arial" w:cs="Arial"/>
        </w:rPr>
        <w:t xml:space="preserve">Los índices de complementariedad y de Grubel-Lloyd revelan una conclusión particularmente significativa para las perspectivas del TLC: existe un potencial de intercambio entre ambas economías, pero Honduras no ha logrado convertirlo en una relación comercial de mayor profundidad. La complementariedad elevada confirma que productos hondureños como el café, el camarón y ciertos minerales responden a una demanda real del mercado chino. No obstante, la práctica ausencia de comercio intraindustrial indica que esa complementariedad opera en una sola dirección: Honduras provee insumos primarios y China devuelve manufacturas, sin que exista un intercambio recíproco dentro de los mismos sectores productivos que estimule la transformación industrial del país. Esta brecha entre lo potencial y lo realizado constituye un hallazgo central del análisis cuantitativo, pues sugiere que el TLC podría ampliar el volumen de intercambio sin modificar su naturaleza, a menos que Honduras logre incorporar valor </w:t>
      </w:r>
      <w:r>
        <w:rPr>
          <w:rFonts w:ascii="Arial" w:eastAsia="Arial" w:hAnsi="Arial" w:cs="Arial"/>
        </w:rPr>
        <w:lastRenderedPageBreak/>
        <w:t>agregado a su oferta exportable y diversificar los segmentos en los que participa dentro del mercado chino.</w:t>
      </w:r>
    </w:p>
    <w:p w14:paraId="3C51E4F7" w14:textId="77777777" w:rsidR="00085FA7" w:rsidRDefault="00085FA7" w:rsidP="00085FA7">
      <w:pPr>
        <w:spacing w:line="360" w:lineRule="auto"/>
        <w:jc w:val="both"/>
        <w:rPr>
          <w:rFonts w:ascii="Arial" w:eastAsia="Arial" w:hAnsi="Arial" w:cs="Arial"/>
        </w:rPr>
      </w:pPr>
      <w:r>
        <w:rPr>
          <w:rFonts w:ascii="Arial" w:eastAsia="Arial" w:hAnsi="Arial" w:cs="Arial"/>
        </w:rPr>
        <w:t xml:space="preserve"> </w:t>
      </w:r>
    </w:p>
    <w:p w14:paraId="2CC9B64B" w14:textId="77777777" w:rsidR="00085FA7" w:rsidRDefault="00085FA7" w:rsidP="00085FA7">
      <w:pPr>
        <w:spacing w:line="360" w:lineRule="auto"/>
        <w:jc w:val="both"/>
        <w:rPr>
          <w:rFonts w:ascii="Arial" w:eastAsia="Arial" w:hAnsi="Arial" w:cs="Arial"/>
        </w:rPr>
      </w:pPr>
      <w:r>
        <w:rPr>
          <w:rFonts w:ascii="Arial" w:eastAsia="Arial" w:hAnsi="Arial" w:cs="Arial"/>
        </w:rPr>
        <w:t>En materia de inversión extranjera directa, la evidencia analizada permite concluir que el TLC, por sí solo, difícilmente generará flujos significativos de IED china hacia Honduras. La trayectoria histórica de la inversión bilateral, la experiencia de países como Costa Rica, donde la IED china representó apenas el 0.1% del total recibido a pesar de contar con un TLC vigente (COMEX, s. f.), y el propio patrón regional de inversión china concentrado en economías con recursos estratégicos de gran escala, sugieren que Honduras no se perfila como un destino prioritario para el capital chino bajo las condiciones actuales. Los sectores con mayor probabilidad de atraer inversión serían la manufactura textil, donde ya existen operaciones incipientes, la infraestructura energética y, en menor medida, la agroindustria. Sin embargo, las perspectivas recogidas en esta investigación advierten que la inversión china en países en desarrollo ha tendido a operar con limitada vinculación con la economía local, lo que plantea el riesgo de que los flujos que eventualmente lleguen no se traduzcan en transferencia tecnológica, encadenamientos productivos ni empleo calificado sostenido. De ello se desprende que el resultado en materia de inversión dependerá menos de la existencia del acuerdo comercial que de las disposiciones específicas que Honduras logre negociar en el capítulo de inversiones y de las políticas complementarias que implemente para orientar esa inversión hacia actividades con impacto productivo real.</w:t>
      </w:r>
    </w:p>
    <w:p w14:paraId="51631790" w14:textId="77777777" w:rsidR="00085FA7" w:rsidRDefault="00085FA7" w:rsidP="00085FA7">
      <w:pPr>
        <w:spacing w:line="360" w:lineRule="auto"/>
        <w:jc w:val="both"/>
        <w:rPr>
          <w:rFonts w:ascii="Arial" w:eastAsia="Arial" w:hAnsi="Arial" w:cs="Arial"/>
        </w:rPr>
      </w:pPr>
      <w:r>
        <w:rPr>
          <w:rFonts w:ascii="Arial" w:eastAsia="Arial" w:hAnsi="Arial" w:cs="Arial"/>
        </w:rPr>
        <w:t xml:space="preserve"> </w:t>
      </w:r>
    </w:p>
    <w:p w14:paraId="618BD19E" w14:textId="77777777" w:rsidR="00085FA7" w:rsidRDefault="00085FA7" w:rsidP="00085FA7">
      <w:pPr>
        <w:spacing w:line="360" w:lineRule="auto"/>
        <w:jc w:val="both"/>
        <w:rPr>
          <w:rFonts w:ascii="Arial" w:eastAsia="Arial" w:hAnsi="Arial" w:cs="Arial"/>
        </w:rPr>
      </w:pPr>
      <w:r>
        <w:rPr>
          <w:rFonts w:ascii="Arial" w:eastAsia="Arial" w:hAnsi="Arial" w:cs="Arial"/>
        </w:rPr>
        <w:t xml:space="preserve">La experiencia de los países latinoamericanos con TLC vigentes con China permite extraer conclusiones relevantes para Honduras. Economías con una base exportadora concentrada en recursos estratégicos de alta demanda china, como Chile y Perú, lograron incrementar sus exportaciones y mantener balanzas comerciales relativamente favorables, aunque sin abandonar un esquema dependiente de materias primas. En contraste, países con perfiles más cercanos al hondureño, como Costa Rica y Nicaragua, no lograron revertir sus déficits comerciales ni consolidar exportaciones sostenidas al carecer de productos de gran demanda estructural en el mercado chino. Esta divergencia permite concluir que el factor determinante no es la existencia del acuerdo, sino la </w:t>
      </w:r>
      <w:r>
        <w:rPr>
          <w:rFonts w:ascii="Arial" w:eastAsia="Arial" w:hAnsi="Arial" w:cs="Arial"/>
        </w:rPr>
        <w:lastRenderedPageBreak/>
        <w:t>correspondencia entre la oferta exportable del país y la demanda estructural china. Honduras, cuya canasta exportadora hacia China carece del peso y la escala de los minerales chilenos o peruanos, se encuentra en una posición más comparable a la centroamericana, lo que sugiere que las expectativas de una reversión del déficit comercial o de un incremento acelerado de las exportaciones deben ser moderadas.</w:t>
      </w:r>
    </w:p>
    <w:p w14:paraId="4BF5803A" w14:textId="77777777" w:rsidR="00085FA7" w:rsidRDefault="00085FA7" w:rsidP="00085FA7">
      <w:pPr>
        <w:spacing w:line="360" w:lineRule="auto"/>
        <w:jc w:val="both"/>
        <w:rPr>
          <w:rFonts w:ascii="Arial" w:eastAsia="Arial" w:hAnsi="Arial" w:cs="Arial"/>
        </w:rPr>
      </w:pPr>
      <w:r>
        <w:rPr>
          <w:rFonts w:ascii="Arial" w:eastAsia="Arial" w:hAnsi="Arial" w:cs="Arial"/>
        </w:rPr>
        <w:t xml:space="preserve"> </w:t>
      </w:r>
    </w:p>
    <w:p w14:paraId="24450524" w14:textId="77777777" w:rsidR="00085FA7" w:rsidRDefault="00085FA7" w:rsidP="00085FA7">
      <w:pPr>
        <w:spacing w:line="360" w:lineRule="auto"/>
        <w:jc w:val="both"/>
        <w:rPr>
          <w:rFonts w:ascii="Arial" w:eastAsia="Arial" w:hAnsi="Arial" w:cs="Arial"/>
        </w:rPr>
      </w:pPr>
      <w:r>
        <w:rPr>
          <w:rFonts w:ascii="Arial" w:eastAsia="Arial" w:hAnsi="Arial" w:cs="Arial"/>
        </w:rPr>
        <w:t>El análisis de la relación económica bilateral confirma que Honduras llega a esta negociación con un déficit estructural creciente, una canasta exportadora concentrada en productos primarios y flujos de IED prácticamente inexistentes, condiciones que definen el punto de partida del acuerdo. La experiencia latinoamericana demuestra que los resultados de un TLC con China están condicionados por la estructura productiva de cada país, y que economías con perfiles similares al hondureño han enfrentado mayores dificultades para traducir la apertura arancelaria en beneficios comerciales sostenibles. La consulta con productores, académicos y actores institucionales confirma que las oportunidades del acuerdo son reales, pero que su materialización dependerá de la capacidad de Honduras para resolver las limitaciones estructurales que hoy restringen su competitividad exportadora y para negociar condiciones que protejan sectores vulnerables y orienten la inversión extranjera hacia actividades con impacto productivo. Estas conclusiones fundamentan las recomendaciones de política que se presentan a continuación.</w:t>
      </w:r>
    </w:p>
    <w:p w14:paraId="06E30847" w14:textId="77777777" w:rsidR="00085FA7" w:rsidRDefault="00085FA7" w:rsidP="00085FA7">
      <w:pPr>
        <w:spacing w:line="360" w:lineRule="auto"/>
        <w:jc w:val="both"/>
        <w:rPr>
          <w:rFonts w:ascii="Arial" w:eastAsia="Arial" w:hAnsi="Arial" w:cs="Arial"/>
        </w:rPr>
      </w:pPr>
      <w:r>
        <w:rPr>
          <w:rFonts w:ascii="Arial" w:eastAsia="Arial" w:hAnsi="Arial" w:cs="Arial"/>
        </w:rPr>
        <w:t xml:space="preserve"> </w:t>
      </w:r>
    </w:p>
    <w:p w14:paraId="4EC1493C" w14:textId="05F93D95" w:rsidR="00085FA7" w:rsidRDefault="00085FA7" w:rsidP="00085FA7">
      <w:pPr>
        <w:spacing w:line="360" w:lineRule="auto"/>
        <w:jc w:val="both"/>
        <w:rPr>
          <w:rFonts w:ascii="Arial" w:eastAsia="Arial" w:hAnsi="Arial" w:cs="Arial"/>
          <w:b/>
          <w:bCs/>
          <w:color w:val="000000"/>
        </w:rPr>
      </w:pPr>
      <w:r>
        <w:rPr>
          <w:rFonts w:ascii="Arial" w:eastAsia="Arial" w:hAnsi="Arial" w:cs="Arial"/>
          <w:color w:val="D75C00"/>
        </w:rPr>
        <w:t xml:space="preserve"> </w:t>
      </w:r>
      <w:r>
        <w:rPr>
          <w:rFonts w:ascii="Arial" w:eastAsia="Arial" w:hAnsi="Arial" w:cs="Arial"/>
          <w:b/>
          <w:bCs/>
          <w:color w:val="000000"/>
        </w:rPr>
        <w:t>4.</w:t>
      </w:r>
      <w:r>
        <w:rPr>
          <w:rFonts w:ascii="Arial" w:eastAsia="Arial" w:hAnsi="Arial" w:cs="Arial"/>
          <w:b/>
          <w:bCs/>
        </w:rPr>
        <w:t xml:space="preserve">2. </w:t>
      </w:r>
      <w:r>
        <w:rPr>
          <w:rFonts w:ascii="Arial" w:eastAsia="Arial" w:hAnsi="Arial" w:cs="Arial"/>
          <w:b/>
          <w:bCs/>
          <w:color w:val="000000"/>
        </w:rPr>
        <w:t>Recomendaciones de Política comercial y productiva</w:t>
      </w:r>
    </w:p>
    <w:p w14:paraId="68235A89" w14:textId="77777777" w:rsidR="00085FA7" w:rsidRDefault="00085FA7" w:rsidP="00085FA7">
      <w:pPr>
        <w:spacing w:line="360" w:lineRule="auto"/>
        <w:jc w:val="both"/>
        <w:rPr>
          <w:rFonts w:ascii="Arial" w:eastAsia="Arial" w:hAnsi="Arial" w:cs="Arial"/>
        </w:rPr>
      </w:pPr>
      <w:r>
        <w:rPr>
          <w:rFonts w:ascii="Arial" w:eastAsia="Arial" w:hAnsi="Arial" w:cs="Arial"/>
        </w:rPr>
        <w:t xml:space="preserve"> </w:t>
      </w:r>
    </w:p>
    <w:p w14:paraId="2F552E82" w14:textId="77777777" w:rsidR="00085FA7" w:rsidRDefault="00085FA7" w:rsidP="00085FA7">
      <w:pPr>
        <w:spacing w:line="360" w:lineRule="auto"/>
        <w:jc w:val="both"/>
        <w:rPr>
          <w:rFonts w:ascii="Arial" w:eastAsia="Arial" w:hAnsi="Arial" w:cs="Arial"/>
        </w:rPr>
      </w:pPr>
      <w:r>
        <w:rPr>
          <w:rFonts w:ascii="Arial" w:eastAsia="Arial" w:hAnsi="Arial" w:cs="Arial"/>
        </w:rPr>
        <w:t>Los retos identificados a lo largo del análisis permiten reconocer que el aprovechamiento del futuro TLC con China dependerá, en gran medida, de la capacidad del Estado hondureño para el diseño de políticas de carácter integral que se enfoquen en la institucionalidad y capacidad productiva del sector exportador. En este sentido, las siguientes recomendaciones se presentan como propuestas integrales que buscan atender no solo los desafíos inmediatos asociados a la negociación y puesta en marcha del acuerdo, sino también las debilidades estructurales que limitan el potencial de inserción de Honduras en mercados de alta exigencia, como es el caso de China.</w:t>
      </w:r>
    </w:p>
    <w:p w14:paraId="71E60AEA" w14:textId="77777777" w:rsidR="00085FA7" w:rsidRDefault="00085FA7" w:rsidP="00085FA7">
      <w:pPr>
        <w:spacing w:line="360" w:lineRule="auto"/>
        <w:jc w:val="both"/>
        <w:rPr>
          <w:rFonts w:ascii="Arial" w:eastAsia="Arial" w:hAnsi="Arial" w:cs="Arial"/>
        </w:rPr>
      </w:pPr>
      <w:r>
        <w:rPr>
          <w:rFonts w:ascii="Arial" w:eastAsia="Arial" w:hAnsi="Arial" w:cs="Arial"/>
        </w:rPr>
        <w:lastRenderedPageBreak/>
        <w:t xml:space="preserve"> </w:t>
      </w:r>
    </w:p>
    <w:p w14:paraId="213D9D1C" w14:textId="77777777" w:rsidR="00085FA7" w:rsidRDefault="00085FA7" w:rsidP="00085FA7">
      <w:pPr>
        <w:spacing w:line="360" w:lineRule="auto"/>
        <w:jc w:val="both"/>
        <w:rPr>
          <w:rFonts w:ascii="Arial" w:eastAsia="Arial" w:hAnsi="Arial" w:cs="Arial"/>
        </w:rPr>
      </w:pPr>
      <w:r>
        <w:rPr>
          <w:rFonts w:ascii="Arial" w:eastAsia="Arial" w:hAnsi="Arial" w:cs="Arial"/>
        </w:rPr>
        <w:t>4.2.1. Dado que la investigación evidenció que las oportunidades del acuerdo dependerán de condiciones que la apertura arancelaria por sí sola no resuelve, se considera fundamental que Honduras avance hacia la elaboración de una estrategia nacional integral para el aprovechamiento del futuro TLC con China, concebida no como un documento aislado, sino como un marco de coordinación interinstitucional que oriente las decisiones públicas y privadas durante la implementación del acuerdo. Esta estrategia debería ser liderada por la Secretaría de Desarrollo Económico, en su calidad de rector de la política comercial, pero elaborada de manera conjunta con otras instituciones como la Secretaría de Agricultura y Ganadería (SAG), la Secretaría de Finanzas (SEFIN), la Cancillería, el Instituto Hondureño de Promoción a las Exportaciones (</w:t>
      </w:r>
      <w:proofErr w:type="spellStart"/>
      <w:r>
        <w:rPr>
          <w:rFonts w:ascii="Arial" w:eastAsia="Arial" w:hAnsi="Arial" w:cs="Arial"/>
        </w:rPr>
        <w:t>ProHonduras</w:t>
      </w:r>
      <w:proofErr w:type="spellEnd"/>
      <w:r>
        <w:rPr>
          <w:rFonts w:ascii="Arial" w:eastAsia="Arial" w:hAnsi="Arial" w:cs="Arial"/>
        </w:rPr>
        <w:t>), asociaciones empresariales y cooperativas productivas, además del acompañamiento técnico de universidades y centros de investigación. Su función central sería traducir los beneficios arancelarios en oportunidades reales mediante la definición y priorización de sectores prioritarios, la identificación de nichos de mercado, como el café de especialidad y productos agroindustriales de alto valor, y la elaboración de hojas de ruta concretas para la diversificación exportadora y el escalamiento productivo.</w:t>
      </w:r>
    </w:p>
    <w:p w14:paraId="53C0F670" w14:textId="77777777" w:rsidR="00085FA7" w:rsidRDefault="00085FA7" w:rsidP="00085FA7">
      <w:pPr>
        <w:spacing w:line="360" w:lineRule="auto"/>
        <w:jc w:val="both"/>
        <w:rPr>
          <w:rFonts w:ascii="Arial" w:eastAsia="Arial" w:hAnsi="Arial" w:cs="Arial"/>
        </w:rPr>
      </w:pPr>
      <w:r>
        <w:rPr>
          <w:rFonts w:ascii="Arial" w:eastAsia="Arial" w:hAnsi="Arial" w:cs="Arial"/>
        </w:rPr>
        <w:t xml:space="preserve"> </w:t>
      </w:r>
    </w:p>
    <w:p w14:paraId="2CBB1A87" w14:textId="77777777" w:rsidR="00085FA7" w:rsidRDefault="00085FA7" w:rsidP="00085FA7">
      <w:pPr>
        <w:spacing w:line="360" w:lineRule="auto"/>
        <w:jc w:val="both"/>
        <w:rPr>
          <w:rFonts w:ascii="Arial" w:eastAsia="Arial" w:hAnsi="Arial" w:cs="Arial"/>
        </w:rPr>
      </w:pPr>
      <w:r>
        <w:rPr>
          <w:rFonts w:ascii="Arial" w:eastAsia="Arial" w:hAnsi="Arial" w:cs="Arial"/>
        </w:rPr>
        <w:t>4.2.2. En segundo lugar, se recomienda el diseño e implementación de un programa nacional orientado a fortalecer la capacidad productiva, la calidad y el cumplimiento sanitario del sector exportador, con especial énfasis en los pequeños y medianos productores. El tamaño y la exigencia del mercado chino requieren no solo incrementar volúmenes de producción, sino también garantizar consistencia, inocuidad y el cumplimiento de estándares técnicos y fitosanitarios que permitan la entrada y permanencia en cadenas de valor altamente reguladas. En este marco, dicho programa debería contemplar asistencia técnica continua, acceso a tecnologías de producción y mecanismos de certificación con reconocimiento internacional, complementados por esquemas de financiamiento público-privado orientados a la ampliación de la capacidad productiva. Asimismo, se recomienda fomentar alianzas estratégicas con instituciones académicas y centros de formación técnica, orientadas a la capacitación especializada del capital humano.</w:t>
      </w:r>
    </w:p>
    <w:p w14:paraId="20F57FD7" w14:textId="77777777" w:rsidR="00085FA7" w:rsidRDefault="00085FA7" w:rsidP="00085FA7">
      <w:pPr>
        <w:spacing w:line="360" w:lineRule="auto"/>
        <w:jc w:val="both"/>
        <w:rPr>
          <w:rFonts w:ascii="Arial" w:eastAsia="Arial" w:hAnsi="Arial" w:cs="Arial"/>
        </w:rPr>
      </w:pPr>
      <w:r>
        <w:rPr>
          <w:rFonts w:ascii="Arial" w:eastAsia="Arial" w:hAnsi="Arial" w:cs="Arial"/>
        </w:rPr>
        <w:lastRenderedPageBreak/>
        <w:t xml:space="preserve"> </w:t>
      </w:r>
    </w:p>
    <w:p w14:paraId="053629EF" w14:textId="77777777" w:rsidR="00085FA7" w:rsidRDefault="00085FA7" w:rsidP="00085FA7">
      <w:pPr>
        <w:spacing w:line="360" w:lineRule="auto"/>
        <w:jc w:val="both"/>
        <w:rPr>
          <w:rFonts w:ascii="Arial" w:eastAsia="Arial" w:hAnsi="Arial" w:cs="Arial"/>
        </w:rPr>
      </w:pPr>
      <w:r>
        <w:rPr>
          <w:rFonts w:ascii="Arial" w:eastAsia="Arial" w:hAnsi="Arial" w:cs="Arial"/>
        </w:rPr>
        <w:t xml:space="preserve">De manera complementaria, la creación de oficinas o unidades de asistencia técnica para </w:t>
      </w:r>
      <w:proofErr w:type="spellStart"/>
      <w:r>
        <w:rPr>
          <w:rFonts w:ascii="Arial" w:eastAsia="Arial" w:hAnsi="Arial" w:cs="Arial"/>
        </w:rPr>
        <w:t>PYMEs</w:t>
      </w:r>
      <w:proofErr w:type="spellEnd"/>
      <w:r>
        <w:rPr>
          <w:rFonts w:ascii="Arial" w:eastAsia="Arial" w:hAnsi="Arial" w:cs="Arial"/>
        </w:rPr>
        <w:t xml:space="preserve"> exportadoras permitiría acompañar a los productores en el cumplimiento de estándares fitosanitarios, logísticos y administrativos, facilitando su inserción progresiva en un mercado altamente competitivo.</w:t>
      </w:r>
    </w:p>
    <w:p w14:paraId="09F36C9A" w14:textId="77777777" w:rsidR="00085FA7" w:rsidRDefault="00085FA7" w:rsidP="00085FA7">
      <w:pPr>
        <w:spacing w:line="360" w:lineRule="auto"/>
        <w:jc w:val="both"/>
        <w:rPr>
          <w:rFonts w:ascii="Arial" w:eastAsia="Arial" w:hAnsi="Arial" w:cs="Arial"/>
        </w:rPr>
      </w:pPr>
      <w:r>
        <w:rPr>
          <w:rFonts w:ascii="Arial" w:eastAsia="Arial" w:hAnsi="Arial" w:cs="Arial"/>
        </w:rPr>
        <w:t xml:space="preserve"> </w:t>
      </w:r>
    </w:p>
    <w:p w14:paraId="5A99FAF4" w14:textId="77777777" w:rsidR="00085FA7" w:rsidRDefault="00085FA7" w:rsidP="00085FA7">
      <w:pPr>
        <w:spacing w:line="360" w:lineRule="auto"/>
        <w:jc w:val="both"/>
        <w:rPr>
          <w:rFonts w:ascii="Arial" w:eastAsia="Arial" w:hAnsi="Arial" w:cs="Arial"/>
        </w:rPr>
      </w:pPr>
      <w:r>
        <w:rPr>
          <w:rFonts w:ascii="Arial" w:eastAsia="Arial" w:hAnsi="Arial" w:cs="Arial"/>
        </w:rPr>
        <w:t>4.2.3. Adicionalmente, se propone la creación de mecanismos permanentes de participación y diálogo entre productores, instituciones públicas y equipos negociadores, acompañados de una presencia institucional fortalecida en China que facilite inteligencia comercial, acceso a información estratégica y acompañamiento técnico.</w:t>
      </w:r>
    </w:p>
    <w:p w14:paraId="603D4685" w14:textId="77777777" w:rsidR="00085FA7" w:rsidRDefault="00085FA7" w:rsidP="00085FA7">
      <w:pPr>
        <w:spacing w:line="360" w:lineRule="auto"/>
        <w:jc w:val="both"/>
        <w:rPr>
          <w:rFonts w:ascii="Arial" w:eastAsia="Arial" w:hAnsi="Arial" w:cs="Arial"/>
        </w:rPr>
      </w:pPr>
      <w:r>
        <w:rPr>
          <w:rFonts w:ascii="Arial" w:eastAsia="Arial" w:hAnsi="Arial" w:cs="Arial"/>
        </w:rPr>
        <w:t xml:space="preserve"> </w:t>
      </w:r>
    </w:p>
    <w:p w14:paraId="29C73B07" w14:textId="77777777" w:rsidR="00085FA7" w:rsidRDefault="00085FA7" w:rsidP="00085FA7">
      <w:pPr>
        <w:spacing w:line="360" w:lineRule="auto"/>
        <w:ind w:left="140"/>
        <w:jc w:val="both"/>
        <w:rPr>
          <w:rFonts w:ascii="Arial" w:eastAsia="Arial" w:hAnsi="Arial" w:cs="Arial"/>
        </w:rPr>
      </w:pPr>
      <w:r>
        <w:rPr>
          <w:rFonts w:ascii="Arial" w:eastAsia="Arial" w:hAnsi="Arial" w:cs="Arial"/>
        </w:rPr>
        <w:t>4.2.4. Se recomienda la formulación de una política específica de atracción de IED orientada al futuro acuerdo con China, que complemente el marco legal ya existente, la Ley para la Promoción y Protección de Inversiones (Decreto 51-2011), y que oriente las oportunidades derivadas del acuerdo hacia actividades con alto potencial de generación de encadenamientos productivos, transferencia tecnológica y empleo de calidad.  La experiencia latinoamericana muestra que la inversión china, aunque relevante en algunos países, ha tenido una integración limitada con las economías locales, especialmente en contextos productivos similares al hondureño, por ello, resulta fundamental adoptar un enfoque selectivo que priorice proyectos alineados con la diversificación productiva y el fortalecimiento de capacidades internas; se sugiere el uso de incentivos e instrumentos de facilitación institucional condicionados a la vinculación con proveedores nacionales, la formación de capital humano y la incorporación de tecnología.</w:t>
      </w:r>
    </w:p>
    <w:p w14:paraId="5B3045CC" w14:textId="77777777" w:rsidR="00085FA7" w:rsidRDefault="00085FA7" w:rsidP="00085FA7">
      <w:pPr>
        <w:spacing w:line="360" w:lineRule="auto"/>
        <w:ind w:left="140"/>
        <w:jc w:val="both"/>
        <w:rPr>
          <w:rFonts w:ascii="Arial" w:eastAsia="Arial" w:hAnsi="Arial" w:cs="Arial"/>
        </w:rPr>
      </w:pPr>
      <w:r>
        <w:rPr>
          <w:rFonts w:ascii="Arial" w:eastAsia="Arial" w:hAnsi="Arial" w:cs="Arial"/>
        </w:rPr>
        <w:t xml:space="preserve"> </w:t>
      </w:r>
    </w:p>
    <w:p w14:paraId="65F27D2C" w14:textId="77777777" w:rsidR="00085FA7" w:rsidRDefault="00085FA7" w:rsidP="00085FA7">
      <w:pPr>
        <w:spacing w:line="360" w:lineRule="auto"/>
        <w:ind w:left="141"/>
        <w:jc w:val="both"/>
        <w:rPr>
          <w:rFonts w:ascii="Arial" w:eastAsia="Arial" w:hAnsi="Arial" w:cs="Arial"/>
        </w:rPr>
      </w:pPr>
      <w:r>
        <w:rPr>
          <w:rFonts w:ascii="Arial" w:eastAsia="Arial" w:hAnsi="Arial" w:cs="Arial"/>
        </w:rPr>
        <w:t xml:space="preserve">4.2.5. La ausencia de evaluaciones sistemáticas sobre los efectos de los acuerdos comerciales vigentes en Honduras limita la capacidad del país para diseñar políticas basadas en evidencia. Por ello, se recomienda avanzar hacia la creación de un centro o programa de monitoreo especializado en el análisis de los efectos de los tratados de libre comercio vigentes y en negociación, incluido el futuro TLC con China. Este centro, adscrito a facultades de economía o escuelas de políticas públicas, tendría como finalidad sistematizar </w:t>
      </w:r>
      <w:r>
        <w:rPr>
          <w:rFonts w:ascii="Arial" w:eastAsia="Arial" w:hAnsi="Arial" w:cs="Arial"/>
        </w:rPr>
        <w:lastRenderedPageBreak/>
        <w:t>información comercial, productiva y normativa, generar indicadores comparables en el tiempo y evaluar los impactos sectoriales sobre inversión, empleo, competitividad y estructura productiva.</w:t>
      </w:r>
    </w:p>
    <w:p w14:paraId="22B8E790" w14:textId="77777777" w:rsidR="00085FA7" w:rsidRDefault="00085FA7" w:rsidP="00085FA7">
      <w:pPr>
        <w:spacing w:line="360" w:lineRule="auto"/>
        <w:jc w:val="both"/>
        <w:rPr>
          <w:rFonts w:ascii="Arial" w:eastAsia="Arial" w:hAnsi="Arial" w:cs="Arial"/>
        </w:rPr>
      </w:pPr>
      <w:r>
        <w:rPr>
          <w:rFonts w:ascii="Arial" w:eastAsia="Arial" w:hAnsi="Arial" w:cs="Arial"/>
        </w:rPr>
        <w:t xml:space="preserve"> </w:t>
      </w:r>
    </w:p>
    <w:p w14:paraId="2A984C57" w14:textId="77777777" w:rsidR="00085FA7" w:rsidRDefault="00085FA7" w:rsidP="00085FA7">
      <w:pPr>
        <w:spacing w:line="360" w:lineRule="auto"/>
        <w:jc w:val="both"/>
        <w:rPr>
          <w:rFonts w:ascii="Arial" w:eastAsia="Arial" w:hAnsi="Arial" w:cs="Arial"/>
        </w:rPr>
      </w:pPr>
      <w:r>
        <w:rPr>
          <w:rFonts w:ascii="Arial" w:eastAsia="Arial" w:hAnsi="Arial" w:cs="Arial"/>
        </w:rPr>
        <w:t>La creación de un programa de esta naturaleza permitiría consolidar información y facilitar su acceso a estudiantes, docentes, productores, negociadores y responsables de política pública. Asimismo, contribuiría al impulso de investigaciones continuas, a la identificación de oportunidades comerciales y al diseño de políticas económicas más alineadas con las necesidades actuales del país.</w:t>
      </w:r>
    </w:p>
    <w:p w14:paraId="2FB574F5" w14:textId="77777777" w:rsidR="00085FA7" w:rsidRDefault="00085FA7" w:rsidP="00085FA7">
      <w:pPr>
        <w:spacing w:line="360" w:lineRule="auto"/>
        <w:jc w:val="both"/>
        <w:rPr>
          <w:rFonts w:ascii="Arial" w:eastAsia="Arial" w:hAnsi="Arial" w:cs="Arial"/>
        </w:rPr>
      </w:pPr>
      <w:r>
        <w:rPr>
          <w:rFonts w:ascii="Arial" w:eastAsia="Arial" w:hAnsi="Arial" w:cs="Arial"/>
        </w:rPr>
        <w:t xml:space="preserve"> </w:t>
      </w:r>
    </w:p>
    <w:p w14:paraId="5F549C31" w14:textId="77777777" w:rsidR="00085FA7" w:rsidRDefault="00085FA7" w:rsidP="00085FA7">
      <w:pPr>
        <w:spacing w:line="360" w:lineRule="auto"/>
        <w:jc w:val="both"/>
        <w:rPr>
          <w:rFonts w:ascii="Arial" w:eastAsia="Arial" w:hAnsi="Arial" w:cs="Arial"/>
        </w:rPr>
      </w:pPr>
      <w:r>
        <w:rPr>
          <w:rFonts w:ascii="Arial" w:eastAsia="Arial" w:hAnsi="Arial" w:cs="Arial"/>
        </w:rPr>
        <w:t>4.2.6. De manera transversal, se considera indispensable la creación de sistemas de monitoreo permanente sobre la evolución de las importaciones chinas en productos sensibles para la producción nacional, que permitan activar oportunamente mecanismos de salvaguardia o protección temporal previstos en el marco del acuerdo.</w:t>
      </w:r>
    </w:p>
    <w:p w14:paraId="4BF8DEB0" w14:textId="77777777" w:rsidR="00085FA7" w:rsidRDefault="00085FA7" w:rsidP="00085FA7">
      <w:pPr>
        <w:spacing w:line="360" w:lineRule="auto"/>
        <w:jc w:val="both"/>
        <w:rPr>
          <w:rFonts w:ascii="Arial" w:eastAsia="Arial" w:hAnsi="Arial" w:cs="Arial"/>
        </w:rPr>
      </w:pPr>
      <w:r>
        <w:rPr>
          <w:rFonts w:ascii="Arial" w:eastAsia="Arial" w:hAnsi="Arial" w:cs="Arial"/>
        </w:rPr>
        <w:t xml:space="preserve"> </w:t>
      </w:r>
    </w:p>
    <w:p w14:paraId="2583EC71" w14:textId="77777777" w:rsidR="00085FA7" w:rsidRDefault="00085FA7" w:rsidP="00085FA7">
      <w:pPr>
        <w:spacing w:line="360" w:lineRule="auto"/>
        <w:jc w:val="both"/>
        <w:rPr>
          <w:rFonts w:ascii="Arial" w:eastAsia="Arial" w:hAnsi="Arial" w:cs="Arial"/>
        </w:rPr>
      </w:pPr>
      <w:r>
        <w:rPr>
          <w:rFonts w:ascii="Arial" w:eastAsia="Arial" w:hAnsi="Arial" w:cs="Arial"/>
        </w:rPr>
        <w:t>Por último, es importante señalar que debido a su naturaleza, este estudio ofrece un análisis detallado sobre los patrones comerciales y los retos estructurales que condicionan la relación económica entre Honduras y China, pero, no incorpora estimaciones macroeconómicas de equilibrio general, tales como efectos sobre el empleo, los salarios o el PIB. Por ello, futuras investigaciones podrían ampliar el análisis hacia estas dimensiones, incorporando metodologías que permitan captar los efectos distributivos, sectoriales y dinámicos del TLC, ofreciendo así una visión más completa del papel del acuerdo en la transformación productiva del país.</w:t>
      </w:r>
    </w:p>
    <w:p w14:paraId="16E74C2E" w14:textId="3799DA9A" w:rsidR="002E11DC" w:rsidRDefault="002E11DC" w:rsidP="00C01B78">
      <w:pPr>
        <w:spacing w:line="360" w:lineRule="auto"/>
        <w:jc w:val="both"/>
      </w:pPr>
    </w:p>
    <w:p w14:paraId="2FDF36CC" w14:textId="77777777" w:rsidR="00715C83" w:rsidRDefault="00715C83" w:rsidP="00C01B78">
      <w:pPr>
        <w:spacing w:line="360" w:lineRule="auto"/>
        <w:jc w:val="both"/>
      </w:pPr>
    </w:p>
    <w:p w14:paraId="147A5DAA" w14:textId="77777777" w:rsidR="00715C83" w:rsidRDefault="00715C83" w:rsidP="00C01B78">
      <w:pPr>
        <w:spacing w:line="360" w:lineRule="auto"/>
        <w:jc w:val="both"/>
      </w:pPr>
    </w:p>
    <w:p w14:paraId="6F6CB854" w14:textId="77777777" w:rsidR="00715C83" w:rsidRPr="00715C83" w:rsidRDefault="00715C83" w:rsidP="00C01B78">
      <w:pPr>
        <w:spacing w:line="360" w:lineRule="auto"/>
        <w:jc w:val="both"/>
        <w:rPr>
          <w:rFonts w:ascii="Arial" w:eastAsia="Arial" w:hAnsi="Arial" w:cs="Arial"/>
        </w:rPr>
      </w:pPr>
    </w:p>
    <w:p w14:paraId="4F39276D" w14:textId="77777777" w:rsidR="002E11DC" w:rsidRDefault="002E11DC" w:rsidP="00C01B78">
      <w:pPr>
        <w:spacing w:line="360" w:lineRule="auto"/>
        <w:jc w:val="both"/>
        <w:rPr>
          <w:rFonts w:ascii="Arial" w:hAnsi="Arial" w:cs="Arial"/>
        </w:rPr>
      </w:pPr>
    </w:p>
    <w:p w14:paraId="4A790097" w14:textId="77777777" w:rsidR="002E11DC" w:rsidRPr="00C01B78" w:rsidRDefault="002E11DC" w:rsidP="00C01B78">
      <w:pPr>
        <w:spacing w:line="360" w:lineRule="auto"/>
        <w:jc w:val="both"/>
        <w:rPr>
          <w:rFonts w:ascii="Arial" w:hAnsi="Arial" w:cs="Arial"/>
        </w:rPr>
      </w:pPr>
    </w:p>
    <w:p w14:paraId="11D609F1" w14:textId="1F098B5A" w:rsidR="001E5AB6" w:rsidRPr="00BB2C0A" w:rsidRDefault="007B59D3" w:rsidP="00BB2C0A">
      <w:pPr>
        <w:pStyle w:val="Ttulo1"/>
        <w:numPr>
          <w:ilvl w:val="0"/>
          <w:numId w:val="0"/>
        </w:numPr>
        <w:spacing w:line="360" w:lineRule="auto"/>
        <w:jc w:val="both"/>
        <w:rPr>
          <w:rFonts w:ascii="Arial" w:hAnsi="Arial" w:cs="Arial"/>
          <w:b/>
          <w:bCs/>
          <w:color w:val="auto"/>
          <w:sz w:val="24"/>
          <w:szCs w:val="24"/>
        </w:rPr>
      </w:pPr>
      <w:bookmarkStart w:id="85" w:name="_Toc236232362"/>
      <w:r w:rsidRPr="00BB2C0A">
        <w:rPr>
          <w:rFonts w:ascii="Arial" w:hAnsi="Arial" w:cs="Arial"/>
          <w:b/>
          <w:bCs/>
          <w:color w:val="auto"/>
          <w:sz w:val="24"/>
          <w:szCs w:val="24"/>
        </w:rPr>
        <w:lastRenderedPageBreak/>
        <w:t>Referencias Bibliográficas</w:t>
      </w:r>
      <w:bookmarkEnd w:id="85"/>
      <w:r w:rsidRPr="00BB2C0A">
        <w:rPr>
          <w:rFonts w:ascii="Arial" w:hAnsi="Arial" w:cs="Arial"/>
          <w:b/>
          <w:bCs/>
          <w:color w:val="auto"/>
          <w:sz w:val="24"/>
          <w:szCs w:val="24"/>
        </w:rPr>
        <w:t xml:space="preserve"> </w:t>
      </w:r>
    </w:p>
    <w:p w14:paraId="78F9C021" w14:textId="77777777" w:rsidR="004510B4" w:rsidRDefault="004510B4" w:rsidP="00BB2C0A">
      <w:pPr>
        <w:spacing w:line="360" w:lineRule="auto"/>
        <w:jc w:val="both"/>
        <w:rPr>
          <w:rFonts w:ascii="Arial" w:hAnsi="Arial" w:cs="Arial"/>
        </w:rPr>
      </w:pPr>
    </w:p>
    <w:p w14:paraId="6C82F1B6"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Adhikari, R., &amp; Yang, Y. (2002). ¿Qué significará el ingreso en la OMC para China y sus socios comerciales? </w:t>
      </w:r>
      <w:r>
        <w:rPr>
          <w:rFonts w:ascii="Arial" w:eastAsia="Arial" w:hAnsi="Arial" w:cs="Arial"/>
          <w:i/>
          <w:iCs/>
        </w:rPr>
        <w:t>Finanzas y Desarrollo</w:t>
      </w:r>
      <w:r>
        <w:rPr>
          <w:rFonts w:ascii="Arial" w:eastAsia="Arial" w:hAnsi="Arial" w:cs="Arial"/>
        </w:rPr>
        <w:t>, 22-25.</w:t>
      </w:r>
    </w:p>
    <w:p w14:paraId="767FC947"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Aguirre, L., &amp; Jiménez, D. (2020). </w:t>
      </w:r>
      <w:r>
        <w:rPr>
          <w:rFonts w:ascii="Arial" w:eastAsia="Arial" w:hAnsi="Arial" w:cs="Arial"/>
          <w:i/>
          <w:iCs/>
        </w:rPr>
        <w:t>Efecto comercial de los tratados de libre comercio de Canadá y Chile con Costa Rica mediante indicadores comerciales: El caso del sector agrícola e industrial costarricense</w:t>
      </w:r>
      <w:r>
        <w:rPr>
          <w:rFonts w:ascii="Arial" w:eastAsia="Arial" w:hAnsi="Arial" w:cs="Arial"/>
        </w:rPr>
        <w:t>.</w:t>
      </w:r>
    </w:p>
    <w:p w14:paraId="1F5993DE" w14:textId="77777777" w:rsidR="00085FA7" w:rsidRDefault="00085FA7" w:rsidP="00085FA7">
      <w:pPr>
        <w:spacing w:line="360" w:lineRule="auto"/>
        <w:ind w:hanging="709"/>
        <w:jc w:val="both"/>
        <w:rPr>
          <w:rFonts w:ascii="Arial" w:eastAsia="Arial" w:hAnsi="Arial" w:cs="Arial"/>
        </w:rPr>
      </w:pPr>
      <w:r w:rsidRPr="005232BE">
        <w:rPr>
          <w:rFonts w:ascii="Arial" w:eastAsia="Arial" w:hAnsi="Arial" w:cs="Arial"/>
          <w:lang w:val="en-US"/>
        </w:rPr>
        <w:t xml:space="preserve">Ajewole, K., Beckman, J., Gerval, A., Johnson, W., Morgan, S., &amp; Sabala, E. (2022). Do Free Trade Agreements Benefit Developing Countries? An Examination of U.S. Agreements. </w:t>
      </w:r>
      <w:proofErr w:type="spellStart"/>
      <w:r>
        <w:rPr>
          <w:rFonts w:ascii="Arial" w:eastAsia="Arial" w:hAnsi="Arial" w:cs="Arial"/>
          <w:i/>
          <w:iCs/>
        </w:rPr>
        <w:t>Economic</w:t>
      </w:r>
      <w:proofErr w:type="spellEnd"/>
      <w:r>
        <w:rPr>
          <w:rFonts w:ascii="Arial" w:eastAsia="Arial" w:hAnsi="Arial" w:cs="Arial"/>
          <w:i/>
          <w:iCs/>
        </w:rPr>
        <w:t xml:space="preserve"> </w:t>
      </w:r>
      <w:proofErr w:type="spellStart"/>
      <w:r>
        <w:rPr>
          <w:rFonts w:ascii="Arial" w:eastAsia="Arial" w:hAnsi="Arial" w:cs="Arial"/>
          <w:i/>
          <w:iCs/>
        </w:rPr>
        <w:t>Research</w:t>
      </w:r>
      <w:proofErr w:type="spellEnd"/>
      <w:r>
        <w:rPr>
          <w:rFonts w:ascii="Arial" w:eastAsia="Arial" w:hAnsi="Arial" w:cs="Arial"/>
          <w:i/>
          <w:iCs/>
        </w:rPr>
        <w:t xml:space="preserve"> Service</w:t>
      </w:r>
      <w:r>
        <w:rPr>
          <w:rFonts w:ascii="Arial" w:eastAsia="Arial" w:hAnsi="Arial" w:cs="Arial"/>
        </w:rPr>
        <w:t>.</w:t>
      </w:r>
    </w:p>
    <w:p w14:paraId="4A8A74DA" w14:textId="77777777" w:rsidR="00085FA7" w:rsidRDefault="00085FA7" w:rsidP="00085FA7">
      <w:pPr>
        <w:spacing w:line="360" w:lineRule="auto"/>
        <w:ind w:hanging="709"/>
        <w:jc w:val="both"/>
        <w:rPr>
          <w:rFonts w:ascii="Arial" w:eastAsia="Arial" w:hAnsi="Arial" w:cs="Arial"/>
          <w:i/>
          <w:iCs/>
        </w:rPr>
      </w:pPr>
      <w:r>
        <w:rPr>
          <w:rFonts w:ascii="Arial" w:eastAsia="Arial" w:hAnsi="Arial" w:cs="Arial"/>
        </w:rPr>
        <w:t xml:space="preserve">Amaya, M. (2016). </w:t>
      </w:r>
      <w:r>
        <w:rPr>
          <w:rFonts w:ascii="Arial" w:eastAsia="Arial" w:hAnsi="Arial" w:cs="Arial"/>
          <w:i/>
          <w:iCs/>
        </w:rPr>
        <w:t>¿Cómo evaluar ex ante los costos y beneficios de un acuerdo comercial?</w:t>
      </w:r>
    </w:p>
    <w:p w14:paraId="3CB1BACB"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Antonio Alaminos Chica, Clemente Penalva Verdú, Francisco José Francés García, &amp; Óscar Antonio Santacreu Fernández. (2015). </w:t>
      </w:r>
      <w:r>
        <w:rPr>
          <w:rFonts w:ascii="Arial" w:eastAsia="Arial" w:hAnsi="Arial" w:cs="Arial"/>
          <w:i/>
          <w:iCs/>
        </w:rPr>
        <w:t xml:space="preserve">La investigación cualitativa: Técnicas de investigación y análisis con </w:t>
      </w:r>
      <w:proofErr w:type="spellStart"/>
      <w:r>
        <w:rPr>
          <w:rFonts w:ascii="Arial" w:eastAsia="Arial" w:hAnsi="Arial" w:cs="Arial"/>
          <w:i/>
          <w:iCs/>
        </w:rPr>
        <w:t>Atlas.ti</w:t>
      </w:r>
      <w:proofErr w:type="spellEnd"/>
      <w:r>
        <w:rPr>
          <w:rFonts w:ascii="Arial" w:eastAsia="Arial" w:hAnsi="Arial" w:cs="Arial"/>
          <w:i/>
          <w:iCs/>
        </w:rPr>
        <w:t>.</w:t>
      </w:r>
      <w:r>
        <w:rPr>
          <w:rFonts w:ascii="Arial" w:eastAsia="Arial" w:hAnsi="Arial" w:cs="Arial"/>
        </w:rPr>
        <w:t xml:space="preserve"> PYDLOS EDICIONES.</w:t>
      </w:r>
    </w:p>
    <w:p w14:paraId="0957D14B"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Asamblea Nacional de Nicaragua. (2023, noviembre). </w:t>
      </w:r>
      <w:r>
        <w:rPr>
          <w:rFonts w:ascii="Arial" w:eastAsia="Arial" w:hAnsi="Arial" w:cs="Arial"/>
          <w:i/>
          <w:iCs/>
        </w:rPr>
        <w:t>Asamblea Nacional aprueba TLC entre China y Nicaragua</w:t>
      </w:r>
      <w:r>
        <w:rPr>
          <w:rFonts w:ascii="Arial" w:eastAsia="Arial" w:hAnsi="Arial" w:cs="Arial"/>
        </w:rPr>
        <w:t>. https://noticias.asamblea.gob.ni/asamblea-nacional-aprueba-tlc-entre-el-gobierno-de-la-republica-popular-china-y-el-gobierno-de-la-republica-de-nicaragua/</w:t>
      </w:r>
    </w:p>
    <w:p w14:paraId="0904F208" w14:textId="77777777" w:rsidR="00085FA7" w:rsidRPr="005232BE" w:rsidRDefault="00085FA7" w:rsidP="00085FA7">
      <w:pPr>
        <w:spacing w:line="360" w:lineRule="auto"/>
        <w:ind w:hanging="709"/>
        <w:jc w:val="both"/>
        <w:rPr>
          <w:rFonts w:ascii="Arial" w:eastAsia="Arial" w:hAnsi="Arial" w:cs="Arial"/>
          <w:lang w:val="en-US"/>
        </w:rPr>
      </w:pPr>
      <w:r w:rsidRPr="005232BE">
        <w:rPr>
          <w:rFonts w:ascii="Arial" w:eastAsia="Arial" w:hAnsi="Arial" w:cs="Arial"/>
          <w:lang w:val="en-US"/>
        </w:rPr>
        <w:t xml:space="preserve">Bacchetta, M., Beverelli, C., Cadot, O., </w:t>
      </w:r>
      <w:proofErr w:type="spellStart"/>
      <w:r w:rsidRPr="005232BE">
        <w:rPr>
          <w:rFonts w:ascii="Arial" w:eastAsia="Arial" w:hAnsi="Arial" w:cs="Arial"/>
          <w:lang w:val="en-US"/>
        </w:rPr>
        <w:t>Fugazza</w:t>
      </w:r>
      <w:proofErr w:type="spellEnd"/>
      <w:r w:rsidRPr="005232BE">
        <w:rPr>
          <w:rFonts w:ascii="Arial" w:eastAsia="Arial" w:hAnsi="Arial" w:cs="Arial"/>
          <w:lang w:val="en-US"/>
        </w:rPr>
        <w:t xml:space="preserve">, M., Grether, J.-M., Helble, M., Nicita, A., &amp; </w:t>
      </w:r>
      <w:proofErr w:type="spellStart"/>
      <w:r w:rsidRPr="005232BE">
        <w:rPr>
          <w:rFonts w:ascii="Arial" w:eastAsia="Arial" w:hAnsi="Arial" w:cs="Arial"/>
          <w:lang w:val="en-US"/>
        </w:rPr>
        <w:t>Piermartini</w:t>
      </w:r>
      <w:proofErr w:type="spellEnd"/>
      <w:r w:rsidRPr="005232BE">
        <w:rPr>
          <w:rFonts w:ascii="Arial" w:eastAsia="Arial" w:hAnsi="Arial" w:cs="Arial"/>
          <w:lang w:val="en-US"/>
        </w:rPr>
        <w:t xml:space="preserve">, R. (2012). </w:t>
      </w:r>
      <w:r w:rsidRPr="005232BE">
        <w:rPr>
          <w:rFonts w:ascii="Arial" w:eastAsia="Arial" w:hAnsi="Arial" w:cs="Arial"/>
          <w:i/>
          <w:iCs/>
          <w:lang w:val="en-US"/>
        </w:rPr>
        <w:t>A Practical Guide to Trade Policy Analysis</w:t>
      </w:r>
      <w:r w:rsidRPr="005232BE">
        <w:rPr>
          <w:rFonts w:ascii="Arial" w:eastAsia="Arial" w:hAnsi="Arial" w:cs="Arial"/>
          <w:lang w:val="en-US"/>
        </w:rPr>
        <w:t>. World Trade Organization (WTO). http://vi.unctad.org/tpa</w:t>
      </w:r>
    </w:p>
    <w:p w14:paraId="1DC5D0D5" w14:textId="77777777" w:rsidR="00085FA7" w:rsidRDefault="00085FA7" w:rsidP="00085FA7">
      <w:pPr>
        <w:spacing w:line="360" w:lineRule="auto"/>
        <w:ind w:hanging="709"/>
        <w:jc w:val="both"/>
        <w:rPr>
          <w:rFonts w:ascii="Arial" w:eastAsia="Arial" w:hAnsi="Arial" w:cs="Arial"/>
        </w:rPr>
      </w:pPr>
      <w:r w:rsidRPr="005232BE">
        <w:rPr>
          <w:rFonts w:ascii="Arial" w:eastAsia="Arial" w:hAnsi="Arial" w:cs="Arial"/>
          <w:lang w:val="en-US"/>
        </w:rPr>
        <w:t xml:space="preserve">Baier, S., &amp; Bergstrand, J. (2004). Economic determinants of free trade agreements. </w:t>
      </w:r>
      <w:proofErr w:type="spellStart"/>
      <w:r>
        <w:rPr>
          <w:rFonts w:ascii="Arial" w:eastAsia="Arial" w:hAnsi="Arial" w:cs="Arial"/>
          <w:i/>
          <w:iCs/>
        </w:rPr>
        <w:t>Journal</w:t>
      </w:r>
      <w:proofErr w:type="spellEnd"/>
      <w:r>
        <w:rPr>
          <w:rFonts w:ascii="Arial" w:eastAsia="Arial" w:hAnsi="Arial" w:cs="Arial"/>
          <w:i/>
          <w:iCs/>
        </w:rPr>
        <w:t xml:space="preserve"> </w:t>
      </w:r>
      <w:proofErr w:type="spellStart"/>
      <w:r>
        <w:rPr>
          <w:rFonts w:ascii="Arial" w:eastAsia="Arial" w:hAnsi="Arial" w:cs="Arial"/>
          <w:i/>
          <w:iCs/>
        </w:rPr>
        <w:t>of</w:t>
      </w:r>
      <w:proofErr w:type="spellEnd"/>
      <w:r>
        <w:rPr>
          <w:rFonts w:ascii="Arial" w:eastAsia="Arial" w:hAnsi="Arial" w:cs="Arial"/>
          <w:i/>
          <w:iCs/>
        </w:rPr>
        <w:t xml:space="preserve"> International </w:t>
      </w:r>
      <w:proofErr w:type="spellStart"/>
      <w:r>
        <w:rPr>
          <w:rFonts w:ascii="Arial" w:eastAsia="Arial" w:hAnsi="Arial" w:cs="Arial"/>
          <w:i/>
          <w:iCs/>
        </w:rPr>
        <w:t>Economics</w:t>
      </w:r>
      <w:proofErr w:type="spellEnd"/>
      <w:r>
        <w:rPr>
          <w:rFonts w:ascii="Arial" w:eastAsia="Arial" w:hAnsi="Arial" w:cs="Arial"/>
        </w:rPr>
        <w:t>, 29-63.</w:t>
      </w:r>
    </w:p>
    <w:p w14:paraId="48E9507F"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Bajo, O. (1991). </w:t>
      </w:r>
      <w:r>
        <w:rPr>
          <w:rFonts w:ascii="Arial" w:eastAsia="Arial" w:hAnsi="Arial" w:cs="Arial"/>
          <w:i/>
          <w:iCs/>
        </w:rPr>
        <w:t>Teorías del Comercio Internacional</w:t>
      </w:r>
      <w:r>
        <w:rPr>
          <w:rFonts w:ascii="Arial" w:eastAsia="Arial" w:hAnsi="Arial" w:cs="Arial"/>
        </w:rPr>
        <w:t>.</w:t>
      </w:r>
    </w:p>
    <w:p w14:paraId="39C1FF2A"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Bajo, O. (1996). Teorías del comercio internacional: Una panorámica. </w:t>
      </w:r>
      <w:r>
        <w:rPr>
          <w:rFonts w:ascii="Arial" w:eastAsia="Arial" w:hAnsi="Arial" w:cs="Arial"/>
          <w:i/>
          <w:iCs/>
        </w:rPr>
        <w:t>Revista vasca de economía</w:t>
      </w:r>
      <w:r>
        <w:rPr>
          <w:rFonts w:ascii="Arial" w:eastAsia="Arial" w:hAnsi="Arial" w:cs="Arial"/>
        </w:rPr>
        <w:t>, 12-27.</w:t>
      </w:r>
    </w:p>
    <w:p w14:paraId="6266BEBB"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Banco Central de Honduras. (2020, septiembre). </w:t>
      </w:r>
      <w:r>
        <w:rPr>
          <w:rFonts w:ascii="Arial" w:eastAsia="Arial" w:hAnsi="Arial" w:cs="Arial"/>
          <w:i/>
          <w:iCs/>
        </w:rPr>
        <w:t>Informe de Flujos de Inversión Extranjera Directa en Honduras</w:t>
      </w:r>
      <w:r>
        <w:rPr>
          <w:rFonts w:ascii="Arial" w:eastAsia="Arial" w:hAnsi="Arial" w:cs="Arial"/>
        </w:rPr>
        <w:t>.</w:t>
      </w:r>
    </w:p>
    <w:p w14:paraId="1AAFE8EC" w14:textId="77777777" w:rsidR="00085FA7" w:rsidRPr="005232BE" w:rsidRDefault="00085FA7" w:rsidP="00085FA7">
      <w:pPr>
        <w:spacing w:line="360" w:lineRule="auto"/>
        <w:ind w:hanging="709"/>
        <w:jc w:val="both"/>
        <w:rPr>
          <w:rFonts w:ascii="Arial" w:eastAsia="Arial" w:hAnsi="Arial" w:cs="Arial"/>
          <w:lang w:val="en-US"/>
        </w:rPr>
      </w:pPr>
      <w:r w:rsidRPr="005232BE">
        <w:rPr>
          <w:rFonts w:ascii="Arial" w:eastAsia="Arial" w:hAnsi="Arial" w:cs="Arial"/>
          <w:lang w:val="en-US"/>
        </w:rPr>
        <w:t xml:space="preserve">Banco Mundial. (2002). </w:t>
      </w:r>
      <w:r w:rsidRPr="005232BE">
        <w:rPr>
          <w:rFonts w:ascii="Arial" w:eastAsia="Arial" w:hAnsi="Arial" w:cs="Arial"/>
          <w:i/>
          <w:iCs/>
          <w:lang w:val="en-US"/>
        </w:rPr>
        <w:t>Globalization, Growth, and Poverty</w:t>
      </w:r>
      <w:r w:rsidRPr="005232BE">
        <w:rPr>
          <w:rFonts w:ascii="Arial" w:eastAsia="Arial" w:hAnsi="Arial" w:cs="Arial"/>
          <w:lang w:val="en-US"/>
        </w:rPr>
        <w:t>. A World Bank Policy Research Report.</w:t>
      </w:r>
    </w:p>
    <w:p w14:paraId="6987692B"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Banco Mundial. (2010a). </w:t>
      </w:r>
      <w:r>
        <w:rPr>
          <w:rFonts w:ascii="Arial" w:eastAsia="Arial" w:hAnsi="Arial" w:cs="Arial"/>
          <w:i/>
          <w:iCs/>
        </w:rPr>
        <w:t>Indicadores comerciales</w:t>
      </w:r>
      <w:r>
        <w:rPr>
          <w:rFonts w:ascii="Arial" w:eastAsia="Arial" w:hAnsi="Arial" w:cs="Arial"/>
        </w:rPr>
        <w:t>. https://wits.worldbank.org/wits/wits/witshelp-es/Content/Utilities/e1.trade_indicators.htm</w:t>
      </w:r>
    </w:p>
    <w:p w14:paraId="0ADA82BF" w14:textId="77777777" w:rsidR="00085FA7" w:rsidRDefault="00085FA7" w:rsidP="00085FA7">
      <w:pPr>
        <w:spacing w:line="360" w:lineRule="auto"/>
        <w:ind w:hanging="709"/>
        <w:jc w:val="both"/>
        <w:rPr>
          <w:rFonts w:ascii="Arial" w:eastAsia="Arial" w:hAnsi="Arial" w:cs="Arial"/>
        </w:rPr>
      </w:pPr>
      <w:r>
        <w:rPr>
          <w:rFonts w:ascii="Arial" w:eastAsia="Arial" w:hAnsi="Arial" w:cs="Arial"/>
        </w:rPr>
        <w:lastRenderedPageBreak/>
        <w:t xml:space="preserve">Banco Mundial. (2010b). </w:t>
      </w:r>
      <w:proofErr w:type="spellStart"/>
      <w:r>
        <w:rPr>
          <w:rFonts w:ascii="Arial" w:eastAsia="Arial" w:hAnsi="Arial" w:cs="Arial"/>
          <w:i/>
          <w:iCs/>
        </w:rPr>
        <w:t>Trade</w:t>
      </w:r>
      <w:proofErr w:type="spellEnd"/>
      <w:r>
        <w:rPr>
          <w:rFonts w:ascii="Arial" w:eastAsia="Arial" w:hAnsi="Arial" w:cs="Arial"/>
          <w:i/>
          <w:iCs/>
        </w:rPr>
        <w:t xml:space="preserve"> </w:t>
      </w:r>
      <w:proofErr w:type="spellStart"/>
      <w:r>
        <w:rPr>
          <w:rFonts w:ascii="Arial" w:eastAsia="Arial" w:hAnsi="Arial" w:cs="Arial"/>
          <w:i/>
          <w:iCs/>
        </w:rPr>
        <w:t>Indicators</w:t>
      </w:r>
      <w:proofErr w:type="spellEnd"/>
      <w:r>
        <w:rPr>
          <w:rFonts w:ascii="Arial" w:eastAsia="Arial" w:hAnsi="Arial" w:cs="Arial"/>
        </w:rPr>
        <w:t xml:space="preserve"> [</w:t>
      </w:r>
      <w:proofErr w:type="spellStart"/>
      <w:r>
        <w:rPr>
          <w:rFonts w:ascii="Arial" w:eastAsia="Arial" w:hAnsi="Arial" w:cs="Arial"/>
        </w:rPr>
        <w:t>Dataset</w:t>
      </w:r>
      <w:proofErr w:type="spellEnd"/>
      <w:r>
        <w:rPr>
          <w:rFonts w:ascii="Arial" w:eastAsia="Arial" w:hAnsi="Arial" w:cs="Arial"/>
        </w:rPr>
        <w:t>]. https://wits.worldbank.org/wits/wits/WITSHELP/Content/Utilities/e1.trade_indicators.htm</w:t>
      </w:r>
    </w:p>
    <w:p w14:paraId="7BD690FB"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Baños, M. R. (2015). La falacia de la transferencia tecnológica vía Inversión Extranjera Directa: Explorando las oportunidades de desarrollo para América Latina. </w:t>
      </w:r>
      <w:r>
        <w:rPr>
          <w:rFonts w:ascii="Arial" w:eastAsia="Arial" w:hAnsi="Arial" w:cs="Arial"/>
          <w:i/>
          <w:iCs/>
        </w:rPr>
        <w:t>Mundo Siglo XXI</w:t>
      </w:r>
      <w:r>
        <w:rPr>
          <w:rFonts w:ascii="Arial" w:eastAsia="Arial" w:hAnsi="Arial" w:cs="Arial"/>
        </w:rPr>
        <w:t xml:space="preserve">, </w:t>
      </w:r>
      <w:r>
        <w:rPr>
          <w:rFonts w:ascii="Arial" w:eastAsia="Arial" w:hAnsi="Arial" w:cs="Arial"/>
          <w:i/>
          <w:iCs/>
        </w:rPr>
        <w:t>XI</w:t>
      </w:r>
      <w:r>
        <w:rPr>
          <w:rFonts w:ascii="Arial" w:eastAsia="Arial" w:hAnsi="Arial" w:cs="Arial"/>
        </w:rPr>
        <w:t>(37), 51-61.</w:t>
      </w:r>
    </w:p>
    <w:p w14:paraId="7184E4D7" w14:textId="77777777" w:rsidR="00085FA7" w:rsidRPr="005232BE" w:rsidRDefault="00085FA7" w:rsidP="00085FA7">
      <w:pPr>
        <w:spacing w:line="360" w:lineRule="auto"/>
        <w:ind w:hanging="709"/>
        <w:jc w:val="both"/>
        <w:rPr>
          <w:rFonts w:ascii="Arial" w:eastAsia="Arial" w:hAnsi="Arial" w:cs="Arial"/>
          <w:lang w:val="en-US"/>
        </w:rPr>
      </w:pPr>
      <w:r>
        <w:rPr>
          <w:rFonts w:ascii="Arial" w:eastAsia="Arial" w:hAnsi="Arial" w:cs="Arial"/>
        </w:rPr>
        <w:t xml:space="preserve">Bengoa, M., </w:t>
      </w:r>
      <w:proofErr w:type="spellStart"/>
      <w:r>
        <w:rPr>
          <w:rFonts w:ascii="Arial" w:eastAsia="Arial" w:hAnsi="Arial" w:cs="Arial"/>
        </w:rPr>
        <w:t>Sanchez</w:t>
      </w:r>
      <w:proofErr w:type="spellEnd"/>
      <w:r>
        <w:rPr>
          <w:rFonts w:ascii="Arial" w:eastAsia="Arial" w:hAnsi="Arial" w:cs="Arial"/>
        </w:rPr>
        <w:t xml:space="preserve">-Robles, B., &amp; </w:t>
      </w:r>
      <w:proofErr w:type="spellStart"/>
      <w:r>
        <w:rPr>
          <w:rFonts w:ascii="Arial" w:eastAsia="Arial" w:hAnsi="Arial" w:cs="Arial"/>
        </w:rPr>
        <w:t>Shachmurove</w:t>
      </w:r>
      <w:proofErr w:type="spellEnd"/>
      <w:r>
        <w:rPr>
          <w:rFonts w:ascii="Arial" w:eastAsia="Arial" w:hAnsi="Arial" w:cs="Arial"/>
        </w:rPr>
        <w:t xml:space="preserve">, Y. (2020). </w:t>
      </w:r>
      <w:r w:rsidRPr="005232BE">
        <w:rPr>
          <w:rFonts w:ascii="Arial" w:eastAsia="Arial" w:hAnsi="Arial" w:cs="Arial"/>
          <w:lang w:val="en-US"/>
        </w:rPr>
        <w:t xml:space="preserve">Do Trade and Investment Agreements Promote Foreign Direct Investment within Latin America? Evidence from a Structural Gravity Model. </w:t>
      </w:r>
      <w:r w:rsidRPr="005232BE">
        <w:rPr>
          <w:rFonts w:ascii="Arial" w:eastAsia="Arial" w:hAnsi="Arial" w:cs="Arial"/>
          <w:i/>
          <w:iCs/>
          <w:lang w:val="en-US"/>
        </w:rPr>
        <w:t>Mathematics</w:t>
      </w:r>
      <w:r w:rsidRPr="005232BE">
        <w:rPr>
          <w:rFonts w:ascii="Arial" w:eastAsia="Arial" w:hAnsi="Arial" w:cs="Arial"/>
          <w:lang w:val="en-US"/>
        </w:rPr>
        <w:t>.</w:t>
      </w:r>
    </w:p>
    <w:p w14:paraId="124C0F75" w14:textId="77777777" w:rsidR="00085FA7" w:rsidRPr="005232BE" w:rsidRDefault="00085FA7" w:rsidP="00085FA7">
      <w:pPr>
        <w:spacing w:line="360" w:lineRule="auto"/>
        <w:ind w:hanging="709"/>
        <w:jc w:val="both"/>
        <w:rPr>
          <w:rFonts w:ascii="Arial" w:eastAsia="Arial" w:hAnsi="Arial" w:cs="Arial"/>
          <w:lang w:val="en-US"/>
        </w:rPr>
      </w:pPr>
      <w:r w:rsidRPr="005232BE">
        <w:rPr>
          <w:rFonts w:ascii="Arial" w:eastAsia="Arial" w:hAnsi="Arial" w:cs="Arial"/>
          <w:lang w:val="en-US"/>
        </w:rPr>
        <w:t xml:space="preserve">Bernard, H. R. (1988). </w:t>
      </w:r>
      <w:r w:rsidRPr="005232BE">
        <w:rPr>
          <w:rFonts w:ascii="Arial" w:eastAsia="Arial" w:hAnsi="Arial" w:cs="Arial"/>
          <w:i/>
          <w:iCs/>
          <w:lang w:val="en-US"/>
        </w:rPr>
        <w:t xml:space="preserve">Unstructured and </w:t>
      </w:r>
      <w:proofErr w:type="spellStart"/>
      <w:r w:rsidRPr="005232BE">
        <w:rPr>
          <w:rFonts w:ascii="Arial" w:eastAsia="Arial" w:hAnsi="Arial" w:cs="Arial"/>
          <w:i/>
          <w:iCs/>
          <w:lang w:val="en-US"/>
        </w:rPr>
        <w:t>Semistructured</w:t>
      </w:r>
      <w:proofErr w:type="spellEnd"/>
      <w:r w:rsidRPr="005232BE">
        <w:rPr>
          <w:rFonts w:ascii="Arial" w:eastAsia="Arial" w:hAnsi="Arial" w:cs="Arial"/>
          <w:i/>
          <w:iCs/>
          <w:lang w:val="en-US"/>
        </w:rPr>
        <w:t xml:space="preserve"> Interviewing</w:t>
      </w:r>
      <w:r w:rsidRPr="005232BE">
        <w:rPr>
          <w:rFonts w:ascii="Arial" w:eastAsia="Arial" w:hAnsi="Arial" w:cs="Arial"/>
          <w:lang w:val="en-US"/>
        </w:rPr>
        <w:t xml:space="preserve">. </w:t>
      </w:r>
      <w:r w:rsidRPr="005232BE">
        <w:rPr>
          <w:rFonts w:ascii="Arial" w:eastAsia="Arial" w:hAnsi="Arial" w:cs="Arial"/>
          <w:i/>
          <w:iCs/>
          <w:lang w:val="en-US"/>
        </w:rPr>
        <w:t>Research Methods in Cultural Anthropology</w:t>
      </w:r>
      <w:r w:rsidRPr="005232BE">
        <w:rPr>
          <w:rFonts w:ascii="Arial" w:eastAsia="Arial" w:hAnsi="Arial" w:cs="Arial"/>
          <w:lang w:val="en-US"/>
        </w:rPr>
        <w:t>, 203-224.</w:t>
      </w:r>
    </w:p>
    <w:p w14:paraId="0AF9BF05"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Bianco, C. (2019). </w:t>
      </w:r>
      <w:r>
        <w:rPr>
          <w:rFonts w:ascii="Arial" w:eastAsia="Arial" w:hAnsi="Arial" w:cs="Arial"/>
          <w:i/>
          <w:iCs/>
        </w:rPr>
        <w:t>La síntesis neoclásica de la teoría del comercio internacional: Un modelo sencillo de Heckscher-Ohlin</w:t>
      </w:r>
      <w:r>
        <w:rPr>
          <w:rFonts w:ascii="Arial" w:eastAsia="Arial" w:hAnsi="Arial" w:cs="Arial"/>
        </w:rPr>
        <w:t>. Universidad Nacional de Quilmes. Unidad de Publicaciones del Departamento de Economía y Administración. http://ridaa.unq.edu.ar/handle/20.500.11807/2992</w:t>
      </w:r>
    </w:p>
    <w:p w14:paraId="2A21C92E"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Blanco, A. C., &amp; Naya, J. M. (2004). Integración económica, barreras no arancelarias y bienestar social. </w:t>
      </w:r>
      <w:r>
        <w:rPr>
          <w:rFonts w:ascii="Arial" w:eastAsia="Arial" w:hAnsi="Arial" w:cs="Arial"/>
          <w:i/>
          <w:iCs/>
        </w:rPr>
        <w:t>Economía Internacional: Nuevas Aportaciones</w:t>
      </w:r>
      <w:r>
        <w:rPr>
          <w:rFonts w:ascii="Arial" w:eastAsia="Arial" w:hAnsi="Arial" w:cs="Arial"/>
        </w:rPr>
        <w:t>.</w:t>
      </w:r>
    </w:p>
    <w:p w14:paraId="6D2FC38C"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Botero, J. (2005). </w:t>
      </w:r>
      <w:r>
        <w:rPr>
          <w:rFonts w:ascii="Arial" w:eastAsia="Arial" w:hAnsi="Arial" w:cs="Arial"/>
          <w:i/>
          <w:iCs/>
        </w:rPr>
        <w:t>Estimación del impacto sobre el empleo de los tratados de libre comercio en Colombia; análisis de equilibrio general computable</w:t>
      </w:r>
      <w:r>
        <w:rPr>
          <w:rFonts w:ascii="Arial" w:eastAsia="Arial" w:hAnsi="Arial" w:cs="Arial"/>
        </w:rPr>
        <w:t>. Naciones Unidas.</w:t>
      </w:r>
    </w:p>
    <w:p w14:paraId="5C6DC9E5"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Cancillería del Ecuador. (2021). </w:t>
      </w:r>
      <w:r>
        <w:rPr>
          <w:rFonts w:ascii="Arial" w:eastAsia="Arial" w:hAnsi="Arial" w:cs="Arial"/>
          <w:i/>
          <w:iCs/>
        </w:rPr>
        <w:t>Relación Bilateral – China</w:t>
      </w:r>
      <w:r>
        <w:rPr>
          <w:rFonts w:ascii="Arial" w:eastAsia="Arial" w:hAnsi="Arial" w:cs="Arial"/>
        </w:rPr>
        <w:t>. https://www.cancilleria.gob.ec/china/relacion-bilateral/</w:t>
      </w:r>
    </w:p>
    <w:p w14:paraId="7AE72FBA"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Carbaugh, R. (2009). </w:t>
      </w:r>
      <w:r>
        <w:rPr>
          <w:rFonts w:ascii="Arial" w:eastAsia="Arial" w:hAnsi="Arial" w:cs="Arial"/>
          <w:i/>
          <w:iCs/>
        </w:rPr>
        <w:t>Economía Internacional</w:t>
      </w:r>
      <w:r>
        <w:rPr>
          <w:rFonts w:ascii="Arial" w:eastAsia="Arial" w:hAnsi="Arial" w:cs="Arial"/>
        </w:rPr>
        <w:t xml:space="preserve">. Cengage </w:t>
      </w:r>
      <w:proofErr w:type="spellStart"/>
      <w:r>
        <w:rPr>
          <w:rFonts w:ascii="Arial" w:eastAsia="Arial" w:hAnsi="Arial" w:cs="Arial"/>
        </w:rPr>
        <w:t>Learning</w:t>
      </w:r>
      <w:proofErr w:type="spellEnd"/>
      <w:r>
        <w:rPr>
          <w:rFonts w:ascii="Arial" w:eastAsia="Arial" w:hAnsi="Arial" w:cs="Arial"/>
        </w:rPr>
        <w:t>.</w:t>
      </w:r>
    </w:p>
    <w:p w14:paraId="121EF519"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CEPAL. (2025). </w:t>
      </w:r>
      <w:r>
        <w:rPr>
          <w:rFonts w:ascii="Arial" w:eastAsia="Arial" w:hAnsi="Arial" w:cs="Arial"/>
          <w:i/>
          <w:iCs/>
        </w:rPr>
        <w:t>Las relaciones entre América Latina y el Caribe y China: Áreas de oportunidad para un desarrollo más productivo, inclusivo y sostenible</w:t>
      </w:r>
      <w:r>
        <w:rPr>
          <w:rFonts w:ascii="Arial" w:eastAsia="Arial" w:hAnsi="Arial" w:cs="Arial"/>
        </w:rPr>
        <w:t>.</w:t>
      </w:r>
    </w:p>
    <w:p w14:paraId="48AD83BE" w14:textId="77777777" w:rsidR="00085FA7" w:rsidRPr="005232BE" w:rsidRDefault="00085FA7" w:rsidP="00085FA7">
      <w:pPr>
        <w:spacing w:line="360" w:lineRule="auto"/>
        <w:ind w:hanging="709"/>
        <w:jc w:val="both"/>
        <w:rPr>
          <w:rFonts w:ascii="Arial" w:eastAsia="Arial" w:hAnsi="Arial" w:cs="Arial"/>
          <w:lang w:val="en-US"/>
        </w:rPr>
      </w:pPr>
      <w:r>
        <w:rPr>
          <w:rFonts w:ascii="Arial" w:eastAsia="Arial" w:hAnsi="Arial" w:cs="Arial"/>
        </w:rPr>
        <w:t xml:space="preserve">Chan, J. (2019). Los nueve años del TLC Perú – China. Su negociación y sus resultados. </w:t>
      </w:r>
      <w:r w:rsidRPr="005232BE">
        <w:rPr>
          <w:rFonts w:ascii="Arial" w:eastAsia="Arial" w:hAnsi="Arial" w:cs="Arial"/>
          <w:i/>
          <w:iCs/>
          <w:lang w:val="en-US"/>
        </w:rPr>
        <w:t>Agenda Internacional</w:t>
      </w:r>
      <w:r w:rsidRPr="005232BE">
        <w:rPr>
          <w:rFonts w:ascii="Arial" w:eastAsia="Arial" w:hAnsi="Arial" w:cs="Arial"/>
          <w:lang w:val="en-US"/>
        </w:rPr>
        <w:t xml:space="preserve">, </w:t>
      </w:r>
      <w:r w:rsidRPr="005232BE">
        <w:rPr>
          <w:rFonts w:ascii="Arial" w:eastAsia="Arial" w:hAnsi="Arial" w:cs="Arial"/>
          <w:i/>
          <w:iCs/>
          <w:lang w:val="en-US"/>
        </w:rPr>
        <w:t>26</w:t>
      </w:r>
      <w:r w:rsidRPr="005232BE">
        <w:rPr>
          <w:rFonts w:ascii="Arial" w:eastAsia="Arial" w:hAnsi="Arial" w:cs="Arial"/>
          <w:lang w:val="en-US"/>
        </w:rPr>
        <w:t>(37), Article 37. https://doi.org/10.18800/agenda.201901.003</w:t>
      </w:r>
    </w:p>
    <w:p w14:paraId="43A3EAB0" w14:textId="77777777" w:rsidR="00085FA7" w:rsidRDefault="00085FA7" w:rsidP="00085FA7">
      <w:pPr>
        <w:spacing w:line="360" w:lineRule="auto"/>
        <w:ind w:hanging="709"/>
        <w:jc w:val="both"/>
        <w:rPr>
          <w:rFonts w:ascii="Arial" w:eastAsia="Arial" w:hAnsi="Arial" w:cs="Arial"/>
        </w:rPr>
      </w:pPr>
      <w:r w:rsidRPr="005232BE">
        <w:rPr>
          <w:rFonts w:ascii="Arial" w:eastAsia="Arial" w:hAnsi="Arial" w:cs="Arial"/>
          <w:lang w:val="en-US"/>
        </w:rPr>
        <w:t xml:space="preserve">Cheong, D. (2010). </w:t>
      </w:r>
      <w:r w:rsidRPr="005232BE">
        <w:rPr>
          <w:rFonts w:ascii="Arial" w:eastAsia="Arial" w:hAnsi="Arial" w:cs="Arial"/>
          <w:i/>
          <w:iCs/>
          <w:lang w:val="en-US"/>
        </w:rPr>
        <w:t>ADB Working Paper Series on Regional Economic Integration</w:t>
      </w:r>
      <w:r w:rsidRPr="005232BE">
        <w:rPr>
          <w:rFonts w:ascii="Arial" w:eastAsia="Arial" w:hAnsi="Arial" w:cs="Arial"/>
          <w:lang w:val="en-US"/>
        </w:rPr>
        <w:t xml:space="preserve">. </w:t>
      </w:r>
      <w:r>
        <w:rPr>
          <w:rFonts w:ascii="Arial" w:eastAsia="Arial" w:hAnsi="Arial" w:cs="Arial"/>
        </w:rPr>
        <w:t xml:space="preserve">Asian </w:t>
      </w:r>
      <w:proofErr w:type="spellStart"/>
      <w:r>
        <w:rPr>
          <w:rFonts w:ascii="Arial" w:eastAsia="Arial" w:hAnsi="Arial" w:cs="Arial"/>
        </w:rPr>
        <w:t>Development</w:t>
      </w:r>
      <w:proofErr w:type="spellEnd"/>
      <w:r>
        <w:rPr>
          <w:rFonts w:ascii="Arial" w:eastAsia="Arial" w:hAnsi="Arial" w:cs="Arial"/>
        </w:rPr>
        <w:t xml:space="preserve"> Bank.</w:t>
      </w:r>
    </w:p>
    <w:p w14:paraId="026F338A"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China gana terreno con inversiones millonarias en obras de Centroamérica. (2019). </w:t>
      </w:r>
      <w:r>
        <w:rPr>
          <w:rFonts w:ascii="Arial" w:eastAsia="Arial" w:hAnsi="Arial" w:cs="Arial"/>
          <w:i/>
          <w:iCs/>
        </w:rPr>
        <w:t>Metro Libre</w:t>
      </w:r>
      <w:r>
        <w:rPr>
          <w:rFonts w:ascii="Arial" w:eastAsia="Arial" w:hAnsi="Arial" w:cs="Arial"/>
        </w:rPr>
        <w:t>. https://www.metrolibre.com/cultura/china-gana-terrenocon-inversiones-millonarias-en-obrasde-centroamerica-HUML93548</w:t>
      </w:r>
    </w:p>
    <w:p w14:paraId="7F18E130"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COMEX. (2008). </w:t>
      </w:r>
      <w:r>
        <w:rPr>
          <w:rFonts w:ascii="Arial" w:eastAsia="Arial" w:hAnsi="Arial" w:cs="Arial"/>
          <w:i/>
          <w:iCs/>
        </w:rPr>
        <w:t>Estudio de Factibilidad para un TLC entre Costa Rica y China</w:t>
      </w:r>
      <w:r>
        <w:rPr>
          <w:rFonts w:ascii="Arial" w:eastAsia="Arial" w:hAnsi="Arial" w:cs="Arial"/>
        </w:rPr>
        <w:t>.</w:t>
      </w:r>
    </w:p>
    <w:p w14:paraId="7883E725" w14:textId="77777777" w:rsidR="00085FA7" w:rsidRDefault="00085FA7" w:rsidP="00085FA7">
      <w:pPr>
        <w:spacing w:line="360" w:lineRule="auto"/>
        <w:ind w:hanging="709"/>
        <w:jc w:val="both"/>
        <w:rPr>
          <w:rFonts w:ascii="Arial" w:eastAsia="Arial" w:hAnsi="Arial" w:cs="Arial"/>
        </w:rPr>
      </w:pPr>
      <w:r>
        <w:rPr>
          <w:rFonts w:ascii="Arial" w:eastAsia="Arial" w:hAnsi="Arial" w:cs="Arial"/>
        </w:rPr>
        <w:lastRenderedPageBreak/>
        <w:t xml:space="preserve">COMEX. (2010, febrero 10). </w:t>
      </w:r>
      <w:r>
        <w:rPr>
          <w:rFonts w:ascii="Arial" w:eastAsia="Arial" w:hAnsi="Arial" w:cs="Arial"/>
          <w:i/>
          <w:iCs/>
        </w:rPr>
        <w:t>Tras seis rondas de negociación, Costa Rica y China concluyen Tratado de Libre Comercio</w:t>
      </w:r>
      <w:r>
        <w:rPr>
          <w:rFonts w:ascii="Arial" w:eastAsia="Arial" w:hAnsi="Arial" w:cs="Arial"/>
        </w:rPr>
        <w:t>. http://www.sice.oas.org/TPD/CRI_CHN/Negotiations/neg_conclusion_s.pdf</w:t>
      </w:r>
    </w:p>
    <w:p w14:paraId="77477F2F" w14:textId="77777777" w:rsidR="00085FA7" w:rsidRDefault="00085FA7" w:rsidP="00085FA7">
      <w:pPr>
        <w:spacing w:line="360" w:lineRule="auto"/>
        <w:ind w:hanging="709"/>
        <w:jc w:val="both"/>
        <w:rPr>
          <w:rFonts w:ascii="Arial" w:eastAsia="Arial" w:hAnsi="Arial" w:cs="Arial"/>
        </w:rPr>
      </w:pPr>
      <w:proofErr w:type="spellStart"/>
      <w:r>
        <w:rPr>
          <w:rFonts w:ascii="Arial" w:eastAsia="Arial" w:hAnsi="Arial" w:cs="Arial"/>
        </w:rPr>
        <w:t>ComexPerú</w:t>
      </w:r>
      <w:proofErr w:type="spellEnd"/>
      <w:r>
        <w:rPr>
          <w:rFonts w:ascii="Arial" w:eastAsia="Arial" w:hAnsi="Arial" w:cs="Arial"/>
        </w:rPr>
        <w:t xml:space="preserve">. (2023, marzo). </w:t>
      </w:r>
      <w:r>
        <w:rPr>
          <w:rFonts w:ascii="Arial" w:eastAsia="Arial" w:hAnsi="Arial" w:cs="Arial"/>
          <w:i/>
          <w:iCs/>
        </w:rPr>
        <w:t>Trece años del TLC Perú-China: Análisis de los resultados de nuestro intercambio internacional</w:t>
      </w:r>
      <w:r>
        <w:rPr>
          <w:rFonts w:ascii="Arial" w:eastAsia="Arial" w:hAnsi="Arial" w:cs="Arial"/>
        </w:rPr>
        <w:t>. COMEXPERU - Sociedad de Comercio Exterior Del Perú. https://www.comexperu.org.pe/articulo/trece-anos-del-tlc-peru-china-analisis-de-los-resultados-de-nuestro-intercambio-internacional</w:t>
      </w:r>
    </w:p>
    <w:p w14:paraId="0CE71AF3" w14:textId="77777777" w:rsidR="00085FA7" w:rsidRDefault="00085FA7" w:rsidP="00085FA7">
      <w:pPr>
        <w:spacing w:line="360" w:lineRule="auto"/>
        <w:ind w:hanging="709"/>
        <w:jc w:val="both"/>
        <w:rPr>
          <w:rFonts w:ascii="Arial" w:eastAsia="Arial" w:hAnsi="Arial" w:cs="Arial"/>
        </w:rPr>
      </w:pPr>
      <w:r w:rsidRPr="005232BE">
        <w:rPr>
          <w:rFonts w:ascii="Arial" w:eastAsia="Arial" w:hAnsi="Arial" w:cs="Arial"/>
          <w:lang w:val="en-US"/>
        </w:rPr>
        <w:t xml:space="preserve">Cooper, C. A., &amp; Massell, B. F. (1965). Toward a General Theory of Customs Unions for Developing Countries. </w:t>
      </w:r>
      <w:proofErr w:type="spellStart"/>
      <w:r>
        <w:rPr>
          <w:rFonts w:ascii="Arial" w:eastAsia="Arial" w:hAnsi="Arial" w:cs="Arial"/>
          <w:i/>
          <w:iCs/>
        </w:rPr>
        <w:t>Journal</w:t>
      </w:r>
      <w:proofErr w:type="spellEnd"/>
      <w:r>
        <w:rPr>
          <w:rFonts w:ascii="Arial" w:eastAsia="Arial" w:hAnsi="Arial" w:cs="Arial"/>
          <w:i/>
          <w:iCs/>
        </w:rPr>
        <w:t xml:space="preserve"> </w:t>
      </w:r>
      <w:proofErr w:type="spellStart"/>
      <w:r>
        <w:rPr>
          <w:rFonts w:ascii="Arial" w:eastAsia="Arial" w:hAnsi="Arial" w:cs="Arial"/>
          <w:i/>
          <w:iCs/>
        </w:rPr>
        <w:t>of</w:t>
      </w:r>
      <w:proofErr w:type="spellEnd"/>
      <w:r>
        <w:rPr>
          <w:rFonts w:ascii="Arial" w:eastAsia="Arial" w:hAnsi="Arial" w:cs="Arial"/>
          <w:i/>
          <w:iCs/>
        </w:rPr>
        <w:t xml:space="preserve"> </w:t>
      </w:r>
      <w:proofErr w:type="spellStart"/>
      <w:r>
        <w:rPr>
          <w:rFonts w:ascii="Arial" w:eastAsia="Arial" w:hAnsi="Arial" w:cs="Arial"/>
          <w:i/>
          <w:iCs/>
        </w:rPr>
        <w:t>Political</w:t>
      </w:r>
      <w:proofErr w:type="spellEnd"/>
      <w:r>
        <w:rPr>
          <w:rFonts w:ascii="Arial" w:eastAsia="Arial" w:hAnsi="Arial" w:cs="Arial"/>
          <w:i/>
          <w:iCs/>
        </w:rPr>
        <w:t xml:space="preserve"> Economy</w:t>
      </w:r>
      <w:r>
        <w:rPr>
          <w:rFonts w:ascii="Arial" w:eastAsia="Arial" w:hAnsi="Arial" w:cs="Arial"/>
        </w:rPr>
        <w:t>.</w:t>
      </w:r>
    </w:p>
    <w:p w14:paraId="19018CE9" w14:textId="77777777" w:rsidR="00085FA7" w:rsidRDefault="00085FA7" w:rsidP="00085FA7">
      <w:pPr>
        <w:spacing w:line="360" w:lineRule="auto"/>
        <w:ind w:hanging="709"/>
        <w:jc w:val="both"/>
        <w:rPr>
          <w:rFonts w:ascii="Arial" w:eastAsia="Arial" w:hAnsi="Arial" w:cs="Arial"/>
        </w:rPr>
      </w:pPr>
      <w:proofErr w:type="spellStart"/>
      <w:r>
        <w:rPr>
          <w:rFonts w:ascii="Arial" w:eastAsia="Arial" w:hAnsi="Arial" w:cs="Arial"/>
        </w:rPr>
        <w:t>Crichigno</w:t>
      </w:r>
      <w:proofErr w:type="spellEnd"/>
      <w:r>
        <w:rPr>
          <w:rFonts w:ascii="Arial" w:eastAsia="Arial" w:hAnsi="Arial" w:cs="Arial"/>
        </w:rPr>
        <w:t xml:space="preserve">, P. (1992). </w:t>
      </w:r>
      <w:r>
        <w:rPr>
          <w:rFonts w:ascii="Arial" w:eastAsia="Arial" w:hAnsi="Arial" w:cs="Arial"/>
          <w:i/>
          <w:iCs/>
        </w:rPr>
        <w:t>Teorías Sobre Población y Desarrollo: Ideas Contemporáneas Sobre el Desarrollo</w:t>
      </w:r>
      <w:r>
        <w:rPr>
          <w:rFonts w:ascii="Arial" w:eastAsia="Arial" w:hAnsi="Arial" w:cs="Arial"/>
        </w:rPr>
        <w:t>. https://repositorio.cepal.org/server/api/core/bitstreams/b9b51996-fd72-4003-ba53-233762eebe50/content</w:t>
      </w:r>
    </w:p>
    <w:p w14:paraId="6B8775B2"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Damares </w:t>
      </w:r>
      <w:proofErr w:type="spellStart"/>
      <w:r>
        <w:rPr>
          <w:rFonts w:ascii="Arial" w:eastAsia="Arial" w:hAnsi="Arial" w:cs="Arial"/>
        </w:rPr>
        <w:t>Lopes</w:t>
      </w:r>
      <w:proofErr w:type="spellEnd"/>
      <w:r>
        <w:rPr>
          <w:rFonts w:ascii="Arial" w:eastAsia="Arial" w:hAnsi="Arial" w:cs="Arial"/>
        </w:rPr>
        <w:t xml:space="preserve"> Afonso, Suzana Quinet de Andrade Bastos, &amp; Fernando Salgueiro Perobelli. (2022). América Latina y China: ¿beneficio mutuo o dependencia? </w:t>
      </w:r>
      <w:r>
        <w:rPr>
          <w:rFonts w:ascii="Arial" w:eastAsia="Arial" w:hAnsi="Arial" w:cs="Arial"/>
          <w:i/>
          <w:iCs/>
        </w:rPr>
        <w:t>Revista de la CEPAL</w:t>
      </w:r>
      <w:r>
        <w:rPr>
          <w:rFonts w:ascii="Arial" w:eastAsia="Arial" w:hAnsi="Arial" w:cs="Arial"/>
        </w:rPr>
        <w:t xml:space="preserve">, </w:t>
      </w:r>
      <w:r>
        <w:rPr>
          <w:rFonts w:ascii="Arial" w:eastAsia="Arial" w:hAnsi="Arial" w:cs="Arial"/>
          <w:i/>
          <w:iCs/>
        </w:rPr>
        <w:t>2021</w:t>
      </w:r>
      <w:r>
        <w:rPr>
          <w:rFonts w:ascii="Arial" w:eastAsia="Arial" w:hAnsi="Arial" w:cs="Arial"/>
        </w:rPr>
        <w:t>(135), 159-176. https://doi.org/10.18356/16820908-2021-135-7</w:t>
      </w:r>
    </w:p>
    <w:p w14:paraId="46BB3090"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Dávila, J. A., &amp; Orozco, C. (2015). </w:t>
      </w:r>
      <w:r>
        <w:rPr>
          <w:rFonts w:ascii="Arial" w:eastAsia="Arial" w:hAnsi="Arial" w:cs="Arial"/>
          <w:i/>
          <w:iCs/>
        </w:rPr>
        <w:t>Efecto de los Tratados de Libre Comercio, Acuerdos Comerciales y Tratados Bilaterales de Inversión sobre los Flujos de Inversión Extranjera Directa: Un Análisis para América Latina entre 2001-2014</w:t>
      </w:r>
      <w:r>
        <w:rPr>
          <w:rFonts w:ascii="Arial" w:eastAsia="Arial" w:hAnsi="Arial" w:cs="Arial"/>
        </w:rPr>
        <w:t>. Universidad EAFIT.</w:t>
      </w:r>
    </w:p>
    <w:p w14:paraId="1642EABE"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De Los Reyes, M. (1996). China y </w:t>
      </w:r>
      <w:proofErr w:type="spellStart"/>
      <w:r>
        <w:rPr>
          <w:rFonts w:ascii="Arial" w:eastAsia="Arial" w:hAnsi="Arial" w:cs="Arial"/>
        </w:rPr>
        <w:t>Taiwan</w:t>
      </w:r>
      <w:proofErr w:type="spellEnd"/>
      <w:r>
        <w:rPr>
          <w:rFonts w:ascii="Arial" w:eastAsia="Arial" w:hAnsi="Arial" w:cs="Arial"/>
        </w:rPr>
        <w:t xml:space="preserve">. Hacia la Resolución del Conflicto. </w:t>
      </w:r>
      <w:r>
        <w:rPr>
          <w:rFonts w:ascii="Arial" w:eastAsia="Arial" w:hAnsi="Arial" w:cs="Arial"/>
          <w:i/>
          <w:iCs/>
        </w:rPr>
        <w:t xml:space="preserve">Revista de Relaciones Internacionales </w:t>
      </w:r>
      <w:proofErr w:type="spellStart"/>
      <w:r>
        <w:rPr>
          <w:rFonts w:ascii="Arial" w:eastAsia="Arial" w:hAnsi="Arial" w:cs="Arial"/>
          <w:i/>
          <w:iCs/>
        </w:rPr>
        <w:t>Nro</w:t>
      </w:r>
      <w:proofErr w:type="spellEnd"/>
      <w:r>
        <w:rPr>
          <w:rFonts w:ascii="Arial" w:eastAsia="Arial" w:hAnsi="Arial" w:cs="Arial"/>
        </w:rPr>
        <w:t xml:space="preserve">, </w:t>
      </w:r>
      <w:r>
        <w:rPr>
          <w:rFonts w:ascii="Arial" w:eastAsia="Arial" w:hAnsi="Arial" w:cs="Arial"/>
          <w:i/>
          <w:iCs/>
        </w:rPr>
        <w:t>10</w:t>
      </w:r>
      <w:r>
        <w:rPr>
          <w:rFonts w:ascii="Arial" w:eastAsia="Arial" w:hAnsi="Arial" w:cs="Arial"/>
        </w:rPr>
        <w:t>.</w:t>
      </w:r>
    </w:p>
    <w:p w14:paraId="20343A1E" w14:textId="77777777" w:rsidR="00085FA7" w:rsidRDefault="00085FA7" w:rsidP="00085FA7">
      <w:pPr>
        <w:spacing w:line="360" w:lineRule="auto"/>
        <w:ind w:hanging="709"/>
        <w:jc w:val="both"/>
        <w:rPr>
          <w:rFonts w:ascii="Arial" w:eastAsia="Arial" w:hAnsi="Arial" w:cs="Arial"/>
          <w:i/>
          <w:iCs/>
        </w:rPr>
      </w:pPr>
      <w:r>
        <w:rPr>
          <w:rFonts w:ascii="Arial" w:eastAsia="Arial" w:hAnsi="Arial" w:cs="Arial"/>
        </w:rPr>
        <w:t xml:space="preserve">Departamento de Estudios de la Dirección General de Relaciones Económicas Internacionales del Ministerio de Relaciones Exteriores de Chile. (2015, agosto). </w:t>
      </w:r>
      <w:r>
        <w:rPr>
          <w:rFonts w:ascii="Arial" w:eastAsia="Arial" w:hAnsi="Arial" w:cs="Arial"/>
          <w:i/>
          <w:iCs/>
        </w:rPr>
        <w:t>Análisis de las relaciones comerciales entre Chile y China en el marco del Tratado de Libre Comercio Chile-China.</w:t>
      </w:r>
    </w:p>
    <w:p w14:paraId="0EA64221"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División de Comercio Internacional e Integración de la Comisión Económica para América Latina y el Caribe (CEPAL). (2023). </w:t>
      </w:r>
      <w:r>
        <w:rPr>
          <w:rFonts w:ascii="Arial" w:eastAsia="Arial" w:hAnsi="Arial" w:cs="Arial"/>
          <w:i/>
          <w:iCs/>
        </w:rPr>
        <w:t>Perspectivas del Comercio Internacional de América Latina y el Caribe, 2023</w:t>
      </w:r>
      <w:r>
        <w:rPr>
          <w:rFonts w:ascii="Arial" w:eastAsia="Arial" w:hAnsi="Arial" w:cs="Arial"/>
        </w:rPr>
        <w:t>.</w:t>
      </w:r>
    </w:p>
    <w:p w14:paraId="1B43AC6E" w14:textId="77777777" w:rsidR="00085FA7" w:rsidRPr="005232BE" w:rsidRDefault="00085FA7" w:rsidP="00085FA7">
      <w:pPr>
        <w:spacing w:line="360" w:lineRule="auto"/>
        <w:ind w:hanging="709"/>
        <w:jc w:val="both"/>
        <w:rPr>
          <w:rFonts w:ascii="Arial" w:eastAsia="Arial" w:hAnsi="Arial" w:cs="Arial"/>
          <w:lang w:val="en-US"/>
        </w:rPr>
      </w:pPr>
      <w:proofErr w:type="spellStart"/>
      <w:r w:rsidRPr="005232BE">
        <w:rPr>
          <w:rFonts w:ascii="Arial" w:eastAsia="Arial" w:hAnsi="Arial" w:cs="Arial"/>
          <w:lang w:val="en-US"/>
        </w:rPr>
        <w:t>Dorobăţ</w:t>
      </w:r>
      <w:proofErr w:type="spellEnd"/>
      <w:r w:rsidRPr="005232BE">
        <w:rPr>
          <w:rFonts w:ascii="Arial" w:eastAsia="Arial" w:hAnsi="Arial" w:cs="Arial"/>
          <w:lang w:val="en-US"/>
        </w:rPr>
        <w:t xml:space="preserve">, C. E. (2015). A brief history of international trade thought: From pre-doctrinal contributions to the 21st century heterodox international economics. </w:t>
      </w:r>
      <w:r w:rsidRPr="005232BE">
        <w:rPr>
          <w:rFonts w:ascii="Arial" w:eastAsia="Arial" w:hAnsi="Arial" w:cs="Arial"/>
          <w:i/>
          <w:iCs/>
          <w:lang w:val="en-US"/>
        </w:rPr>
        <w:t>The Journal of Philosophical Economics</w:t>
      </w:r>
      <w:r w:rsidRPr="005232BE">
        <w:rPr>
          <w:rFonts w:ascii="Arial" w:eastAsia="Arial" w:hAnsi="Arial" w:cs="Arial"/>
          <w:lang w:val="en-US"/>
        </w:rPr>
        <w:t xml:space="preserve">, </w:t>
      </w:r>
      <w:r w:rsidRPr="005232BE">
        <w:rPr>
          <w:rFonts w:ascii="Arial" w:eastAsia="Arial" w:hAnsi="Arial" w:cs="Arial"/>
          <w:i/>
          <w:iCs/>
          <w:lang w:val="en-US"/>
        </w:rPr>
        <w:t>VIII</w:t>
      </w:r>
      <w:r w:rsidRPr="005232BE">
        <w:rPr>
          <w:rFonts w:ascii="Arial" w:eastAsia="Arial" w:hAnsi="Arial" w:cs="Arial"/>
          <w:lang w:val="en-US"/>
        </w:rPr>
        <w:t>, 106-137.</w:t>
      </w:r>
    </w:p>
    <w:p w14:paraId="0E3AB388" w14:textId="77777777" w:rsidR="00085FA7" w:rsidRPr="005232BE" w:rsidRDefault="00085FA7" w:rsidP="00085FA7">
      <w:pPr>
        <w:spacing w:line="360" w:lineRule="auto"/>
        <w:ind w:hanging="709"/>
        <w:jc w:val="both"/>
        <w:rPr>
          <w:rFonts w:ascii="Arial" w:eastAsia="Arial" w:hAnsi="Arial" w:cs="Arial"/>
          <w:lang w:val="en-US"/>
        </w:rPr>
      </w:pPr>
      <w:r w:rsidRPr="005232BE">
        <w:rPr>
          <w:rFonts w:ascii="Arial" w:eastAsia="Arial" w:hAnsi="Arial" w:cs="Arial"/>
          <w:lang w:val="en-US"/>
        </w:rPr>
        <w:lastRenderedPageBreak/>
        <w:t xml:space="preserve">Dunning, J. H. (1988). The Eclectic Paradigm of International Production: A Restatement and Some Possible Extensions. </w:t>
      </w:r>
      <w:proofErr w:type="spellStart"/>
      <w:r w:rsidRPr="005232BE">
        <w:rPr>
          <w:rFonts w:ascii="Arial" w:eastAsia="Arial" w:hAnsi="Arial" w:cs="Arial"/>
          <w:i/>
          <w:iCs/>
          <w:lang w:val="en-US"/>
        </w:rPr>
        <w:t>Universityof</w:t>
      </w:r>
      <w:proofErr w:type="spellEnd"/>
      <w:r w:rsidRPr="005232BE">
        <w:rPr>
          <w:rFonts w:ascii="Arial" w:eastAsia="Arial" w:hAnsi="Arial" w:cs="Arial"/>
          <w:i/>
          <w:iCs/>
          <w:lang w:val="en-US"/>
        </w:rPr>
        <w:t xml:space="preserve"> Reading and Rutgers University</w:t>
      </w:r>
      <w:r w:rsidRPr="005232BE">
        <w:rPr>
          <w:rFonts w:ascii="Arial" w:eastAsia="Arial" w:hAnsi="Arial" w:cs="Arial"/>
          <w:lang w:val="en-US"/>
        </w:rPr>
        <w:t>.</w:t>
      </w:r>
    </w:p>
    <w:p w14:paraId="7D062B64" w14:textId="77777777" w:rsidR="00085FA7" w:rsidRPr="005232BE" w:rsidRDefault="00085FA7" w:rsidP="00085FA7">
      <w:pPr>
        <w:spacing w:line="360" w:lineRule="auto"/>
        <w:ind w:hanging="709"/>
        <w:jc w:val="both"/>
        <w:rPr>
          <w:rFonts w:ascii="Arial" w:eastAsia="Arial" w:hAnsi="Arial" w:cs="Arial"/>
          <w:lang w:val="en-US"/>
        </w:rPr>
      </w:pPr>
      <w:r w:rsidRPr="005232BE">
        <w:rPr>
          <w:rFonts w:ascii="Arial" w:eastAsia="Arial" w:hAnsi="Arial" w:cs="Arial"/>
          <w:lang w:val="en-US"/>
        </w:rPr>
        <w:t xml:space="preserve">Dunning, J., </w:t>
      </w:r>
      <w:proofErr w:type="spellStart"/>
      <w:r w:rsidRPr="005232BE">
        <w:rPr>
          <w:rFonts w:ascii="Arial" w:eastAsia="Arial" w:hAnsi="Arial" w:cs="Arial"/>
          <w:lang w:val="en-US"/>
        </w:rPr>
        <w:t>Lundan</w:t>
      </w:r>
      <w:proofErr w:type="spellEnd"/>
      <w:r w:rsidRPr="005232BE">
        <w:rPr>
          <w:rFonts w:ascii="Arial" w:eastAsia="Arial" w:hAnsi="Arial" w:cs="Arial"/>
          <w:lang w:val="en-US"/>
        </w:rPr>
        <w:t xml:space="preserve">, S., &amp; Elgard, E. (2008). </w:t>
      </w:r>
      <w:r w:rsidRPr="005232BE">
        <w:rPr>
          <w:rFonts w:ascii="Arial" w:eastAsia="Arial" w:hAnsi="Arial" w:cs="Arial"/>
          <w:i/>
          <w:iCs/>
          <w:lang w:val="en-US"/>
        </w:rPr>
        <w:t xml:space="preserve">Multinational Enterprises and the </w:t>
      </w:r>
      <w:proofErr w:type="gramStart"/>
      <w:r w:rsidRPr="005232BE">
        <w:rPr>
          <w:rFonts w:ascii="Arial" w:eastAsia="Arial" w:hAnsi="Arial" w:cs="Arial"/>
          <w:i/>
          <w:iCs/>
          <w:lang w:val="en-US"/>
        </w:rPr>
        <w:t>Global  Economy</w:t>
      </w:r>
      <w:proofErr w:type="gramEnd"/>
      <w:r w:rsidRPr="005232BE">
        <w:rPr>
          <w:rFonts w:ascii="Arial" w:eastAsia="Arial" w:hAnsi="Arial" w:cs="Arial"/>
          <w:lang w:val="en-US"/>
        </w:rPr>
        <w:t>.</w:t>
      </w:r>
    </w:p>
    <w:p w14:paraId="70BB8400"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Durán, J., &amp; </w:t>
      </w:r>
      <w:proofErr w:type="spellStart"/>
      <w:r>
        <w:rPr>
          <w:rFonts w:ascii="Arial" w:eastAsia="Arial" w:hAnsi="Arial" w:cs="Arial"/>
        </w:rPr>
        <w:t>Pellandra</w:t>
      </w:r>
      <w:proofErr w:type="spellEnd"/>
      <w:r>
        <w:rPr>
          <w:rFonts w:ascii="Arial" w:eastAsia="Arial" w:hAnsi="Arial" w:cs="Arial"/>
        </w:rPr>
        <w:t xml:space="preserve">, A. (2017). </w:t>
      </w:r>
      <w:r>
        <w:rPr>
          <w:rFonts w:ascii="Arial" w:eastAsia="Arial" w:hAnsi="Arial" w:cs="Arial"/>
          <w:i/>
          <w:iCs/>
        </w:rPr>
        <w:t>La irrupción de China y su impacto sobre la estructura productiva y comercial en América Latina y el Caribe</w:t>
      </w:r>
      <w:r>
        <w:rPr>
          <w:rFonts w:ascii="Arial" w:eastAsia="Arial" w:hAnsi="Arial" w:cs="Arial"/>
        </w:rPr>
        <w:t>. Naciones Unidas.</w:t>
      </w:r>
    </w:p>
    <w:p w14:paraId="64C3EAC2"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Durán Lima, J., &amp; </w:t>
      </w:r>
      <w:proofErr w:type="spellStart"/>
      <w:r>
        <w:rPr>
          <w:rFonts w:ascii="Arial" w:eastAsia="Arial" w:hAnsi="Arial" w:cs="Arial"/>
        </w:rPr>
        <w:t>Alvarez</w:t>
      </w:r>
      <w:proofErr w:type="spellEnd"/>
      <w:r>
        <w:rPr>
          <w:rFonts w:ascii="Arial" w:eastAsia="Arial" w:hAnsi="Arial" w:cs="Arial"/>
        </w:rPr>
        <w:t xml:space="preserve">, M. (2011). </w:t>
      </w:r>
      <w:r>
        <w:rPr>
          <w:rFonts w:ascii="Arial" w:eastAsia="Arial" w:hAnsi="Arial" w:cs="Arial"/>
          <w:i/>
          <w:iCs/>
        </w:rPr>
        <w:t>Indicadores de comercio exterior y política comercial: Análisis y derivaciones de la balanza de pagos</w:t>
      </w:r>
      <w:r>
        <w:rPr>
          <w:rFonts w:ascii="Arial" w:eastAsia="Arial" w:hAnsi="Arial" w:cs="Arial"/>
        </w:rPr>
        <w:t>.</w:t>
      </w:r>
    </w:p>
    <w:p w14:paraId="4B1210EF"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Durán Lima, J. E., &amp; Morales Piñero, J. (2024). </w:t>
      </w:r>
      <w:r>
        <w:rPr>
          <w:rFonts w:ascii="Arial" w:eastAsia="Arial" w:hAnsi="Arial" w:cs="Arial"/>
          <w:i/>
          <w:iCs/>
        </w:rPr>
        <w:t>Estudio sobre los posibles impactos de un acuerdo comercial entre el Ecuador y China</w:t>
      </w:r>
      <w:r>
        <w:rPr>
          <w:rFonts w:ascii="Arial" w:eastAsia="Arial" w:hAnsi="Arial" w:cs="Arial"/>
        </w:rPr>
        <w:t>. Comisión Económica para América Latina y el Caribe. https://www.cepal.org/es/publicaciones/68861-estudio-posibles-impactos-un-acuerdo-comercial-ecuador-china</w:t>
      </w:r>
    </w:p>
    <w:p w14:paraId="0F206F5A"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Dussel Peters. (2025). </w:t>
      </w:r>
      <w:r>
        <w:rPr>
          <w:rFonts w:ascii="Arial" w:eastAsia="Arial" w:hAnsi="Arial" w:cs="Arial"/>
          <w:i/>
          <w:iCs/>
        </w:rPr>
        <w:t>Monitor de la OFDI china en América Latina y el Caribe 2025</w:t>
      </w:r>
      <w:r>
        <w:rPr>
          <w:rFonts w:ascii="Arial" w:eastAsia="Arial" w:hAnsi="Arial" w:cs="Arial"/>
        </w:rPr>
        <w:t>.</w:t>
      </w:r>
    </w:p>
    <w:p w14:paraId="6A5C90F5"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Echave, J. D., &amp; Yauri, J. (2023). </w:t>
      </w:r>
      <w:r>
        <w:rPr>
          <w:rFonts w:ascii="Arial" w:eastAsia="Arial" w:hAnsi="Arial" w:cs="Arial"/>
          <w:i/>
          <w:iCs/>
        </w:rPr>
        <w:t>La Creciente Presencia China en la Economía Peruana</w:t>
      </w:r>
      <w:r>
        <w:rPr>
          <w:rFonts w:ascii="Arial" w:eastAsia="Arial" w:hAnsi="Arial" w:cs="Arial"/>
        </w:rPr>
        <w:t>.</w:t>
      </w:r>
    </w:p>
    <w:p w14:paraId="7C31E8DB"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El Universo. (2024, febrero 8). </w:t>
      </w:r>
      <w:r>
        <w:rPr>
          <w:rFonts w:ascii="Arial" w:eastAsia="Arial" w:hAnsi="Arial" w:cs="Arial"/>
          <w:i/>
          <w:iCs/>
        </w:rPr>
        <w:t>Acuerdo comercial: Estos son los productos chinos que entrarán con cero arancel a Ecuador</w:t>
      </w:r>
      <w:r>
        <w:rPr>
          <w:rFonts w:ascii="Arial" w:eastAsia="Arial" w:hAnsi="Arial" w:cs="Arial"/>
        </w:rPr>
        <w:t>. El Universo. https://www.eluniverso.com/noticias/economia/acuerdo-comercial-estos-son-los-productos-chinos-que-entraran-con-cero-arancel-a-ecuador-nota/</w:t>
      </w:r>
    </w:p>
    <w:p w14:paraId="21BF224E"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Embajada da la República Popular China en la República de Nicaragua. (2022, diciembre 14). </w:t>
      </w:r>
      <w:r>
        <w:rPr>
          <w:rFonts w:ascii="Arial" w:eastAsia="Arial" w:hAnsi="Arial" w:cs="Arial"/>
          <w:i/>
          <w:iCs/>
        </w:rPr>
        <w:t>Artículo de Opinión del Embajador Chen Xi en 19 Digital: Nueva partida hacia un futuro más brillante</w:t>
      </w:r>
      <w:r>
        <w:rPr>
          <w:rFonts w:ascii="Arial" w:eastAsia="Arial" w:hAnsi="Arial" w:cs="Arial"/>
        </w:rPr>
        <w:t>. http://ni.china-embassy.gov.cn/esp/sgxw/202212/t20221214_10990120.htm</w:t>
      </w:r>
    </w:p>
    <w:p w14:paraId="3C93D0D8"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Esquivel, B. G. (2020). </w:t>
      </w:r>
      <w:r>
        <w:rPr>
          <w:rFonts w:ascii="Arial" w:eastAsia="Arial" w:hAnsi="Arial" w:cs="Arial"/>
          <w:i/>
          <w:iCs/>
        </w:rPr>
        <w:t xml:space="preserve">El Acuerdo de Asociación entre </w:t>
      </w:r>
      <w:proofErr w:type="spellStart"/>
      <w:r>
        <w:rPr>
          <w:rFonts w:ascii="Arial" w:eastAsia="Arial" w:hAnsi="Arial" w:cs="Arial"/>
          <w:i/>
          <w:iCs/>
        </w:rPr>
        <w:t>Centroamerica</w:t>
      </w:r>
      <w:proofErr w:type="spellEnd"/>
      <w:r>
        <w:rPr>
          <w:rFonts w:ascii="Arial" w:eastAsia="Arial" w:hAnsi="Arial" w:cs="Arial"/>
          <w:i/>
          <w:iCs/>
        </w:rPr>
        <w:t xml:space="preserve"> y la Unión Europea (AACUE): Retos y Oportunidades para Costa Rica)</w:t>
      </w:r>
      <w:r>
        <w:rPr>
          <w:rFonts w:ascii="Arial" w:eastAsia="Arial" w:hAnsi="Arial" w:cs="Arial"/>
        </w:rPr>
        <w:t>.</w:t>
      </w:r>
    </w:p>
    <w:p w14:paraId="0DBFC564" w14:textId="77777777" w:rsidR="00085FA7" w:rsidRPr="005232BE" w:rsidRDefault="00085FA7" w:rsidP="00085FA7">
      <w:pPr>
        <w:spacing w:line="360" w:lineRule="auto"/>
        <w:ind w:hanging="709"/>
        <w:jc w:val="both"/>
        <w:rPr>
          <w:rFonts w:ascii="Arial" w:eastAsia="Arial" w:hAnsi="Arial" w:cs="Arial"/>
          <w:lang w:val="en-US"/>
        </w:rPr>
      </w:pPr>
      <w:r w:rsidRPr="005232BE">
        <w:rPr>
          <w:rFonts w:ascii="Arial" w:eastAsia="Arial" w:hAnsi="Arial" w:cs="Arial"/>
          <w:lang w:val="en-US"/>
        </w:rPr>
        <w:t xml:space="preserve">European Union. (2016). </w:t>
      </w:r>
      <w:r w:rsidRPr="005232BE">
        <w:rPr>
          <w:rFonts w:ascii="Arial" w:eastAsia="Arial" w:hAnsi="Arial" w:cs="Arial"/>
          <w:i/>
          <w:iCs/>
          <w:lang w:val="en-US"/>
        </w:rPr>
        <w:t>Handbook for trade sustainability impact assessment</w:t>
      </w:r>
      <w:r w:rsidRPr="005232BE">
        <w:rPr>
          <w:rFonts w:ascii="Arial" w:eastAsia="Arial" w:hAnsi="Arial" w:cs="Arial"/>
          <w:lang w:val="en-US"/>
        </w:rPr>
        <w:t>.</w:t>
      </w:r>
    </w:p>
    <w:p w14:paraId="1104356B"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Expediente Público. (2023, octubre 12). </w:t>
      </w:r>
      <w:r>
        <w:rPr>
          <w:rFonts w:ascii="Arial" w:eastAsia="Arial" w:hAnsi="Arial" w:cs="Arial"/>
          <w:i/>
          <w:iCs/>
        </w:rPr>
        <w:t>TLC China-Nicaragua 2024, otra huella del dragón en América Latina</w:t>
      </w:r>
      <w:r>
        <w:rPr>
          <w:rFonts w:ascii="Arial" w:eastAsia="Arial" w:hAnsi="Arial" w:cs="Arial"/>
        </w:rPr>
        <w:t>. https://www.expedientepublico.org/tlc-china-nicaragua-2024-otra-huella-del-dragon-en-america-latina/, https://www.expedientepublico.org/tlc-china-nicaragua-2024-otra-huella-del-dragon-en-america-latina/</w:t>
      </w:r>
    </w:p>
    <w:p w14:paraId="6982042A" w14:textId="77777777" w:rsidR="00085FA7" w:rsidRPr="005232BE" w:rsidRDefault="00085FA7" w:rsidP="00085FA7">
      <w:pPr>
        <w:spacing w:line="360" w:lineRule="auto"/>
        <w:ind w:hanging="709"/>
        <w:jc w:val="both"/>
        <w:rPr>
          <w:rFonts w:ascii="Arial" w:eastAsia="Arial" w:hAnsi="Arial" w:cs="Arial"/>
          <w:lang w:val="en-US"/>
        </w:rPr>
      </w:pPr>
      <w:r w:rsidRPr="005232BE">
        <w:rPr>
          <w:rFonts w:ascii="Arial" w:eastAsia="Arial" w:hAnsi="Arial" w:cs="Arial"/>
          <w:lang w:val="en-US"/>
        </w:rPr>
        <w:lastRenderedPageBreak/>
        <w:t xml:space="preserve">FMI. (2026). </w:t>
      </w:r>
      <w:r w:rsidRPr="005232BE">
        <w:rPr>
          <w:rFonts w:ascii="Arial" w:eastAsia="Arial" w:hAnsi="Arial" w:cs="Arial"/>
          <w:i/>
          <w:iCs/>
          <w:lang w:val="en-US"/>
        </w:rPr>
        <w:t>World Economic Outlook: Global Economy in the Shadow of War.</w:t>
      </w:r>
      <w:r w:rsidRPr="005232BE">
        <w:rPr>
          <w:rFonts w:ascii="Arial" w:eastAsia="Arial" w:hAnsi="Arial" w:cs="Arial"/>
          <w:lang w:val="en-US"/>
        </w:rPr>
        <w:t xml:space="preserve"> https://www.imf.org/en/publications/weo/issues/2026/04/14/world-economic-outlook-april-2026</w:t>
      </w:r>
    </w:p>
    <w:p w14:paraId="3BE6A53C"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Fondo Monetario Internacional (FMI). (2009). </w:t>
      </w:r>
      <w:r>
        <w:rPr>
          <w:rFonts w:ascii="Arial" w:eastAsia="Arial" w:hAnsi="Arial" w:cs="Arial"/>
          <w:i/>
          <w:iCs/>
        </w:rPr>
        <w:t>Manual de Balanza de Pagos y Posición de Inversión Internacional</w:t>
      </w:r>
      <w:r>
        <w:rPr>
          <w:rFonts w:ascii="Arial" w:eastAsia="Arial" w:hAnsi="Arial" w:cs="Arial"/>
        </w:rPr>
        <w:t>.</w:t>
      </w:r>
    </w:p>
    <w:p w14:paraId="1A5DD0CE"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Ginés, N., &amp; </w:t>
      </w:r>
      <w:proofErr w:type="spellStart"/>
      <w:r>
        <w:rPr>
          <w:rFonts w:ascii="Arial" w:eastAsia="Arial" w:hAnsi="Arial" w:cs="Arial"/>
        </w:rPr>
        <w:t>Stampa</w:t>
      </w:r>
      <w:proofErr w:type="spellEnd"/>
      <w:r>
        <w:rPr>
          <w:rFonts w:ascii="Arial" w:eastAsia="Arial" w:hAnsi="Arial" w:cs="Arial"/>
        </w:rPr>
        <w:t xml:space="preserve">, G. (2009). </w:t>
      </w:r>
      <w:r>
        <w:rPr>
          <w:rFonts w:ascii="Arial" w:eastAsia="Arial" w:hAnsi="Arial" w:cs="Arial"/>
          <w:i/>
          <w:iCs/>
        </w:rPr>
        <w:t>El arbitraje internacional. Cuestiones de actualidad</w:t>
      </w:r>
      <w:r>
        <w:rPr>
          <w:rFonts w:ascii="Arial" w:eastAsia="Arial" w:hAnsi="Arial" w:cs="Arial"/>
        </w:rPr>
        <w:t>. J.M. Bosch Editor.</w:t>
      </w:r>
    </w:p>
    <w:p w14:paraId="1C2038CB"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Gitli, E. &amp; Arce, R. (2001). El ingreso de China a la OMC y su impacto sobre los países de la cuenca del Caribe. </w:t>
      </w:r>
      <w:r>
        <w:rPr>
          <w:rFonts w:ascii="Arial" w:eastAsia="Arial" w:hAnsi="Arial" w:cs="Arial"/>
          <w:i/>
          <w:iCs/>
        </w:rPr>
        <w:t>Revista de la CEPAL</w:t>
      </w:r>
      <w:r>
        <w:rPr>
          <w:rFonts w:ascii="Arial" w:eastAsia="Arial" w:hAnsi="Arial" w:cs="Arial"/>
        </w:rPr>
        <w:t>, 87-107.</w:t>
      </w:r>
    </w:p>
    <w:p w14:paraId="1B2F81F0"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Gobierno de China. (2023). </w:t>
      </w:r>
      <w:r>
        <w:rPr>
          <w:rFonts w:ascii="Arial" w:eastAsia="Arial" w:hAnsi="Arial" w:cs="Arial"/>
          <w:i/>
          <w:iCs/>
        </w:rPr>
        <w:t>El jefe del Departamento Internacional del Ministerio de Comercio interpreta el Tratado de Libre Comercio China-Nicaragua</w:t>
      </w:r>
      <w:r>
        <w:rPr>
          <w:rFonts w:ascii="Arial" w:eastAsia="Arial" w:hAnsi="Arial" w:cs="Arial"/>
        </w:rPr>
        <w:t>. https://www.gov.cn/lianbo/bumen/202308/content_6901306.htm</w:t>
      </w:r>
    </w:p>
    <w:p w14:paraId="0898A4E4"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Guzmán, N. (2022, noviembre 29). </w:t>
      </w:r>
      <w:r>
        <w:rPr>
          <w:rFonts w:ascii="Arial" w:eastAsia="Arial" w:hAnsi="Arial" w:cs="Arial"/>
          <w:i/>
          <w:iCs/>
        </w:rPr>
        <w:t>El fantasma del canal de Nicaragua que no se vislumbra</w:t>
      </w:r>
      <w:r>
        <w:rPr>
          <w:rFonts w:ascii="Arial" w:eastAsia="Arial" w:hAnsi="Arial" w:cs="Arial"/>
        </w:rPr>
        <w:t>. dw.com. https://www.dw.com/es/el-fantasma-del-canal-interoce%C3%A1nico-de-nicaragua-que-no-se-vislumbra/a-63933731</w:t>
      </w:r>
    </w:p>
    <w:p w14:paraId="62FA63FE" w14:textId="77777777" w:rsidR="00085FA7" w:rsidRPr="005232BE" w:rsidRDefault="00085FA7" w:rsidP="00085FA7">
      <w:pPr>
        <w:spacing w:line="360" w:lineRule="auto"/>
        <w:ind w:hanging="709"/>
        <w:jc w:val="both"/>
        <w:rPr>
          <w:rFonts w:ascii="Arial" w:eastAsia="Arial" w:hAnsi="Arial" w:cs="Arial"/>
          <w:lang w:val="en-US"/>
        </w:rPr>
      </w:pPr>
      <w:r w:rsidRPr="005232BE">
        <w:rPr>
          <w:rFonts w:ascii="Arial" w:eastAsia="Arial" w:hAnsi="Arial" w:cs="Arial"/>
          <w:lang w:val="en-US"/>
        </w:rPr>
        <w:t xml:space="preserve">Hannan, S. A. (2016). </w:t>
      </w:r>
      <w:r w:rsidRPr="005232BE">
        <w:rPr>
          <w:rFonts w:ascii="Arial" w:eastAsia="Arial" w:hAnsi="Arial" w:cs="Arial"/>
          <w:i/>
          <w:iCs/>
          <w:lang w:val="en-US"/>
        </w:rPr>
        <w:t>The Impact of Trade Agreements: New Approach, New Insights</w:t>
      </w:r>
      <w:r w:rsidRPr="005232BE">
        <w:rPr>
          <w:rFonts w:ascii="Arial" w:eastAsia="Arial" w:hAnsi="Arial" w:cs="Arial"/>
          <w:lang w:val="en-US"/>
        </w:rPr>
        <w:t>.</w:t>
      </w:r>
    </w:p>
    <w:p w14:paraId="3ADAE4B6"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Hannig Núñez, S. (2024, agosto 19). </w:t>
      </w:r>
      <w:r>
        <w:rPr>
          <w:rFonts w:ascii="Arial" w:eastAsia="Arial" w:hAnsi="Arial" w:cs="Arial"/>
          <w:i/>
          <w:iCs/>
        </w:rPr>
        <w:t>EL TLC de Costa Rica con China: 12 años de expectativas frustradas</w:t>
      </w:r>
      <w:r>
        <w:rPr>
          <w:rFonts w:ascii="Arial" w:eastAsia="Arial" w:hAnsi="Arial" w:cs="Arial"/>
        </w:rPr>
        <w:t>. CADAL.ORG. https://www.cadal.org/publicaciones/informes/?id=16728</w:t>
      </w:r>
    </w:p>
    <w:p w14:paraId="7A84E0FF"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Hernández, M. G. (2023). Aplicación de la metodología Grubel y Lloyd en el comercio internacional México con Sudamérica. </w:t>
      </w:r>
      <w:r>
        <w:rPr>
          <w:rFonts w:ascii="Arial" w:eastAsia="Arial" w:hAnsi="Arial" w:cs="Arial"/>
          <w:i/>
          <w:iCs/>
        </w:rPr>
        <w:t>Apuntes de Economía y Sociedad</w:t>
      </w:r>
      <w:r>
        <w:rPr>
          <w:rFonts w:ascii="Arial" w:eastAsia="Arial" w:hAnsi="Arial" w:cs="Arial"/>
        </w:rPr>
        <w:t>. https://doi.org/https://doi.org/10.5377/aes.v4i1.16449</w:t>
      </w:r>
    </w:p>
    <w:p w14:paraId="56B89065" w14:textId="77777777" w:rsidR="00085FA7" w:rsidRPr="00857888" w:rsidRDefault="00085FA7" w:rsidP="00085FA7">
      <w:pPr>
        <w:spacing w:line="360" w:lineRule="auto"/>
        <w:ind w:hanging="709"/>
        <w:jc w:val="both"/>
        <w:rPr>
          <w:rFonts w:ascii="Arial" w:eastAsia="Arial" w:hAnsi="Arial" w:cs="Arial"/>
          <w:lang w:val="en-US"/>
        </w:rPr>
      </w:pPr>
      <w:r>
        <w:rPr>
          <w:rFonts w:ascii="Arial" w:eastAsia="Arial" w:hAnsi="Arial" w:cs="Arial"/>
        </w:rPr>
        <w:t xml:space="preserve">Hernández Sampieri, R., &amp; </w:t>
      </w:r>
      <w:proofErr w:type="spellStart"/>
      <w:r>
        <w:rPr>
          <w:rFonts w:ascii="Arial" w:eastAsia="Arial" w:hAnsi="Arial" w:cs="Arial"/>
        </w:rPr>
        <w:t>Fernandez</w:t>
      </w:r>
      <w:proofErr w:type="spellEnd"/>
      <w:r>
        <w:rPr>
          <w:rFonts w:ascii="Arial" w:eastAsia="Arial" w:hAnsi="Arial" w:cs="Arial"/>
        </w:rPr>
        <w:t xml:space="preserve">-Collado, C. F. (2014). </w:t>
      </w:r>
      <w:r>
        <w:rPr>
          <w:rFonts w:ascii="Arial" w:eastAsia="Arial" w:hAnsi="Arial" w:cs="Arial"/>
          <w:i/>
          <w:iCs/>
        </w:rPr>
        <w:t>Metodología de la investigación</w:t>
      </w:r>
      <w:r>
        <w:rPr>
          <w:rFonts w:ascii="Arial" w:eastAsia="Arial" w:hAnsi="Arial" w:cs="Arial"/>
        </w:rPr>
        <w:t xml:space="preserve"> (P. Baptista Lucio, Ed.; Sexta edición). </w:t>
      </w:r>
      <w:r w:rsidRPr="00857888">
        <w:rPr>
          <w:rFonts w:ascii="Arial" w:eastAsia="Arial" w:hAnsi="Arial" w:cs="Arial"/>
          <w:lang w:val="en-US"/>
        </w:rPr>
        <w:t>McGraw-Hill Education.</w:t>
      </w:r>
    </w:p>
    <w:p w14:paraId="018852FA" w14:textId="77777777" w:rsidR="00085FA7" w:rsidRDefault="00085FA7" w:rsidP="00085FA7">
      <w:pPr>
        <w:spacing w:line="360" w:lineRule="auto"/>
        <w:ind w:hanging="709"/>
        <w:jc w:val="both"/>
        <w:rPr>
          <w:rFonts w:ascii="Arial" w:eastAsia="Arial" w:hAnsi="Arial" w:cs="Arial"/>
        </w:rPr>
      </w:pPr>
      <w:r w:rsidRPr="00857888">
        <w:rPr>
          <w:rFonts w:ascii="Arial" w:eastAsia="Arial" w:hAnsi="Arial" w:cs="Arial"/>
          <w:lang w:val="en-US"/>
        </w:rPr>
        <w:t xml:space="preserve">Hernández Sampieri, R., &amp; Mendoza Torres, C. P. (2018). </w:t>
      </w:r>
      <w:r>
        <w:rPr>
          <w:rFonts w:ascii="Arial" w:eastAsia="Arial" w:hAnsi="Arial" w:cs="Arial"/>
          <w:i/>
          <w:iCs/>
        </w:rPr>
        <w:t>Metodología de la investigación: Las rutas cuantitativa, cualitativa y mixta</w:t>
      </w:r>
      <w:r>
        <w:rPr>
          <w:rFonts w:ascii="Arial" w:eastAsia="Arial" w:hAnsi="Arial" w:cs="Arial"/>
        </w:rPr>
        <w:t xml:space="preserve"> (First </w:t>
      </w:r>
      <w:proofErr w:type="spellStart"/>
      <w:r>
        <w:rPr>
          <w:rFonts w:ascii="Arial" w:eastAsia="Arial" w:hAnsi="Arial" w:cs="Arial"/>
        </w:rPr>
        <w:t>edition</w:t>
      </w:r>
      <w:proofErr w:type="spellEnd"/>
      <w:r>
        <w:rPr>
          <w:rFonts w:ascii="Arial" w:eastAsia="Arial" w:hAnsi="Arial" w:cs="Arial"/>
        </w:rPr>
        <w:t xml:space="preserve">). McGraw-Hill </w:t>
      </w:r>
      <w:proofErr w:type="spellStart"/>
      <w:r>
        <w:rPr>
          <w:rFonts w:ascii="Arial" w:eastAsia="Arial" w:hAnsi="Arial" w:cs="Arial"/>
        </w:rPr>
        <w:t>Education</w:t>
      </w:r>
      <w:proofErr w:type="spellEnd"/>
      <w:r>
        <w:rPr>
          <w:rFonts w:ascii="Arial" w:eastAsia="Arial" w:hAnsi="Arial" w:cs="Arial"/>
        </w:rPr>
        <w:t>.</w:t>
      </w:r>
    </w:p>
    <w:p w14:paraId="65E403F4"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Hidroeléctrica en Honduras afianza presencia de China en Centroamérica. (2018, marzo 26). </w:t>
      </w:r>
      <w:r>
        <w:rPr>
          <w:rFonts w:ascii="Arial" w:eastAsia="Arial" w:hAnsi="Arial" w:cs="Arial"/>
          <w:i/>
          <w:iCs/>
        </w:rPr>
        <w:t>La Nación</w:t>
      </w:r>
      <w:r>
        <w:rPr>
          <w:rFonts w:ascii="Arial" w:eastAsia="Arial" w:hAnsi="Arial" w:cs="Arial"/>
        </w:rPr>
        <w:t>. https://www.nacion.com/economia/negocios/hidroelectrica-en-honduras-afianza-presencia-de/6SMORTAQXBGYNK4TY4I6POTPIU/story/</w:t>
      </w:r>
    </w:p>
    <w:p w14:paraId="77789E40" w14:textId="77777777" w:rsidR="00085FA7" w:rsidRPr="005232BE" w:rsidRDefault="00085FA7" w:rsidP="00085FA7">
      <w:pPr>
        <w:spacing w:line="360" w:lineRule="auto"/>
        <w:ind w:hanging="709"/>
        <w:jc w:val="both"/>
        <w:rPr>
          <w:rFonts w:ascii="Arial" w:eastAsia="Arial" w:hAnsi="Arial" w:cs="Arial"/>
          <w:lang w:val="en-US"/>
        </w:rPr>
      </w:pPr>
      <w:r w:rsidRPr="005232BE">
        <w:rPr>
          <w:rFonts w:ascii="Arial" w:eastAsia="Arial" w:hAnsi="Arial" w:cs="Arial"/>
          <w:lang w:val="en-US"/>
        </w:rPr>
        <w:t xml:space="preserve">Hitzemann, R. (2016). </w:t>
      </w:r>
      <w:r w:rsidRPr="005232BE">
        <w:rPr>
          <w:rFonts w:ascii="Arial" w:eastAsia="Arial" w:hAnsi="Arial" w:cs="Arial"/>
          <w:i/>
          <w:iCs/>
          <w:lang w:val="en-US"/>
        </w:rPr>
        <w:t>Trade creation and trade diversion resulting from bilateral trade agreements: An empirical analysis of European Association Agreements</w:t>
      </w:r>
      <w:r w:rsidRPr="005232BE">
        <w:rPr>
          <w:rFonts w:ascii="Arial" w:eastAsia="Arial" w:hAnsi="Arial" w:cs="Arial"/>
          <w:lang w:val="en-US"/>
        </w:rPr>
        <w:t>.</w:t>
      </w:r>
    </w:p>
    <w:p w14:paraId="695BF728" w14:textId="77777777" w:rsidR="00085FA7" w:rsidRPr="005232BE" w:rsidRDefault="00085FA7" w:rsidP="00085FA7">
      <w:pPr>
        <w:spacing w:line="360" w:lineRule="auto"/>
        <w:ind w:hanging="709"/>
        <w:jc w:val="both"/>
        <w:rPr>
          <w:rFonts w:ascii="Arial" w:eastAsia="Arial" w:hAnsi="Arial" w:cs="Arial"/>
          <w:lang w:val="en-US"/>
        </w:rPr>
      </w:pPr>
      <w:proofErr w:type="spellStart"/>
      <w:r>
        <w:rPr>
          <w:rFonts w:ascii="Arial" w:eastAsia="Arial" w:hAnsi="Arial" w:cs="Arial"/>
        </w:rPr>
        <w:lastRenderedPageBreak/>
        <w:t>Hongcan</w:t>
      </w:r>
      <w:proofErr w:type="spellEnd"/>
      <w:r>
        <w:rPr>
          <w:rFonts w:ascii="Arial" w:eastAsia="Arial" w:hAnsi="Arial" w:cs="Arial"/>
        </w:rPr>
        <w:t xml:space="preserve"> </w:t>
      </w:r>
      <w:proofErr w:type="spellStart"/>
      <w:r>
        <w:rPr>
          <w:rFonts w:ascii="Arial" w:eastAsia="Arial" w:hAnsi="Arial" w:cs="Arial"/>
        </w:rPr>
        <w:t>Industry</w:t>
      </w:r>
      <w:proofErr w:type="spellEnd"/>
      <w:r>
        <w:rPr>
          <w:rFonts w:ascii="Arial" w:eastAsia="Arial" w:hAnsi="Arial" w:cs="Arial"/>
        </w:rPr>
        <w:t xml:space="preserve"> </w:t>
      </w:r>
      <w:proofErr w:type="spellStart"/>
      <w:r>
        <w:rPr>
          <w:rFonts w:ascii="Arial" w:eastAsia="Arial" w:hAnsi="Arial" w:cs="Arial"/>
        </w:rPr>
        <w:t>Research</w:t>
      </w:r>
      <w:proofErr w:type="spellEnd"/>
      <w:r>
        <w:rPr>
          <w:rFonts w:ascii="Arial" w:eastAsia="Arial" w:hAnsi="Arial" w:cs="Arial"/>
        </w:rPr>
        <w:t xml:space="preserve"> </w:t>
      </w:r>
      <w:proofErr w:type="spellStart"/>
      <w:r>
        <w:rPr>
          <w:rFonts w:ascii="Arial" w:eastAsia="Arial" w:hAnsi="Arial" w:cs="Arial"/>
        </w:rPr>
        <w:t>Institute</w:t>
      </w:r>
      <w:proofErr w:type="spellEnd"/>
      <w:r>
        <w:rPr>
          <w:rFonts w:ascii="Arial" w:eastAsia="Arial" w:hAnsi="Arial" w:cs="Arial"/>
        </w:rPr>
        <w:t xml:space="preserve">. (2024). Informe de investigación sobre tendencias de desarrollo del café de especialidad 2024. </w:t>
      </w:r>
      <w:r w:rsidRPr="005232BE">
        <w:rPr>
          <w:rFonts w:ascii="Arial" w:eastAsia="Arial" w:hAnsi="Arial" w:cs="Arial"/>
          <w:i/>
          <w:iCs/>
          <w:lang w:val="en-US"/>
        </w:rPr>
        <w:t>03/09/2024</w:t>
      </w:r>
      <w:r w:rsidRPr="005232BE">
        <w:rPr>
          <w:rFonts w:ascii="Arial" w:eastAsia="Arial" w:hAnsi="Arial" w:cs="Arial"/>
          <w:lang w:val="en-US"/>
        </w:rPr>
        <w:t>.</w:t>
      </w:r>
    </w:p>
    <w:p w14:paraId="0825A7C1" w14:textId="77777777" w:rsidR="00085FA7" w:rsidRPr="005232BE" w:rsidRDefault="00085FA7" w:rsidP="00085FA7">
      <w:pPr>
        <w:spacing w:line="360" w:lineRule="auto"/>
        <w:ind w:hanging="709"/>
        <w:jc w:val="both"/>
        <w:rPr>
          <w:rFonts w:ascii="Arial" w:eastAsia="Arial" w:hAnsi="Arial" w:cs="Arial"/>
          <w:lang w:val="en-US"/>
        </w:rPr>
      </w:pPr>
      <w:r w:rsidRPr="005232BE">
        <w:rPr>
          <w:rFonts w:ascii="Arial" w:eastAsia="Arial" w:hAnsi="Arial" w:cs="Arial"/>
          <w:lang w:val="en-US"/>
        </w:rPr>
        <w:t xml:space="preserve">Hymer, S. H. (1976). </w:t>
      </w:r>
      <w:r w:rsidRPr="005232BE">
        <w:rPr>
          <w:rFonts w:ascii="Arial" w:eastAsia="Arial" w:hAnsi="Arial" w:cs="Arial"/>
          <w:i/>
          <w:iCs/>
          <w:lang w:val="en-US"/>
        </w:rPr>
        <w:t>The International Operations of National Firms: A Study of Direct Foreign Investment</w:t>
      </w:r>
      <w:r w:rsidRPr="005232BE">
        <w:rPr>
          <w:rFonts w:ascii="Arial" w:eastAsia="Arial" w:hAnsi="Arial" w:cs="Arial"/>
          <w:lang w:val="en-US"/>
        </w:rPr>
        <w:t>.</w:t>
      </w:r>
    </w:p>
    <w:p w14:paraId="27A15202" w14:textId="77777777" w:rsidR="00085FA7" w:rsidRPr="005232BE" w:rsidRDefault="00085FA7" w:rsidP="00085FA7">
      <w:pPr>
        <w:spacing w:line="360" w:lineRule="auto"/>
        <w:ind w:hanging="709"/>
        <w:jc w:val="both"/>
        <w:rPr>
          <w:rFonts w:ascii="Arial" w:eastAsia="Arial" w:hAnsi="Arial" w:cs="Arial"/>
          <w:lang w:val="en-US"/>
        </w:rPr>
      </w:pPr>
      <w:r>
        <w:rPr>
          <w:rFonts w:ascii="Arial" w:eastAsia="Arial" w:hAnsi="Arial" w:cs="Arial"/>
        </w:rPr>
        <w:t>Interés Chino en proyectos hidroeléctricos en Honduras—</w:t>
      </w:r>
      <w:proofErr w:type="spellStart"/>
      <w:r>
        <w:rPr>
          <w:rFonts w:ascii="Arial" w:eastAsia="Arial" w:hAnsi="Arial" w:cs="Arial"/>
        </w:rPr>
        <w:t>CentralAmericaData</w:t>
      </w:r>
      <w:proofErr w:type="spellEnd"/>
      <w:r>
        <w:rPr>
          <w:rFonts w:ascii="Arial" w:eastAsia="Arial" w:hAnsi="Arial" w:cs="Arial"/>
        </w:rPr>
        <w:t xml:space="preserve">: Central </w:t>
      </w:r>
      <w:proofErr w:type="spellStart"/>
      <w:r>
        <w:rPr>
          <w:rFonts w:ascii="Arial" w:eastAsia="Arial" w:hAnsi="Arial" w:cs="Arial"/>
        </w:rPr>
        <w:t>America</w:t>
      </w:r>
      <w:proofErr w:type="spellEnd"/>
      <w:r>
        <w:rPr>
          <w:rFonts w:ascii="Arial" w:eastAsia="Arial" w:hAnsi="Arial" w:cs="Arial"/>
        </w:rPr>
        <w:t xml:space="preserve"> Data. </w:t>
      </w:r>
      <w:r w:rsidRPr="005232BE">
        <w:rPr>
          <w:rFonts w:ascii="Arial" w:eastAsia="Arial" w:hAnsi="Arial" w:cs="Arial"/>
          <w:lang w:val="en-US"/>
        </w:rPr>
        <w:t xml:space="preserve">(2010). </w:t>
      </w:r>
      <w:r w:rsidRPr="005232BE">
        <w:rPr>
          <w:rFonts w:ascii="Arial" w:eastAsia="Arial" w:hAnsi="Arial" w:cs="Arial"/>
          <w:i/>
          <w:iCs/>
          <w:lang w:val="en-US"/>
        </w:rPr>
        <w:t>Central American Data</w:t>
      </w:r>
      <w:r w:rsidRPr="005232BE">
        <w:rPr>
          <w:rFonts w:ascii="Arial" w:eastAsia="Arial" w:hAnsi="Arial" w:cs="Arial"/>
          <w:lang w:val="en-US"/>
        </w:rPr>
        <w:t>. https://www.centralamericadata.com/es/article/home/China_desarrollara_proyectos_hidroelectricos_en_Honduras</w:t>
      </w:r>
    </w:p>
    <w:p w14:paraId="72D3E7B9" w14:textId="77777777" w:rsidR="00085FA7" w:rsidRPr="005232BE" w:rsidRDefault="00085FA7" w:rsidP="00085FA7">
      <w:pPr>
        <w:spacing w:line="360" w:lineRule="auto"/>
        <w:ind w:hanging="709"/>
        <w:jc w:val="both"/>
        <w:rPr>
          <w:rFonts w:ascii="Arial" w:eastAsia="Arial" w:hAnsi="Arial" w:cs="Arial"/>
          <w:lang w:val="en-US"/>
        </w:rPr>
      </w:pPr>
      <w:r w:rsidRPr="005232BE">
        <w:rPr>
          <w:rFonts w:ascii="Arial" w:eastAsia="Arial" w:hAnsi="Arial" w:cs="Arial"/>
          <w:lang w:val="en-US"/>
        </w:rPr>
        <w:t xml:space="preserve">International Trade Center (ITC). (2023). </w:t>
      </w:r>
      <w:r w:rsidRPr="005232BE">
        <w:rPr>
          <w:rFonts w:ascii="Arial" w:eastAsia="Arial" w:hAnsi="Arial" w:cs="Arial"/>
          <w:i/>
          <w:iCs/>
          <w:lang w:val="en-US"/>
        </w:rPr>
        <w:t>Trade Map</w:t>
      </w:r>
      <w:r w:rsidRPr="005232BE">
        <w:rPr>
          <w:rFonts w:ascii="Arial" w:eastAsia="Arial" w:hAnsi="Arial" w:cs="Arial"/>
          <w:lang w:val="en-US"/>
        </w:rPr>
        <w:t>. https://www.trademap.org/</w:t>
      </w:r>
    </w:p>
    <w:p w14:paraId="466D8B9C"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ITC. (2025). </w:t>
      </w:r>
      <w:r>
        <w:rPr>
          <w:rFonts w:ascii="Arial" w:eastAsia="Arial" w:hAnsi="Arial" w:cs="Arial"/>
          <w:i/>
          <w:iCs/>
        </w:rPr>
        <w:t xml:space="preserve">Comercio actual y potencial entre Honduras y </w:t>
      </w:r>
      <w:proofErr w:type="spellStart"/>
      <w:r>
        <w:rPr>
          <w:rFonts w:ascii="Arial" w:eastAsia="Arial" w:hAnsi="Arial" w:cs="Arial"/>
          <w:i/>
          <w:iCs/>
        </w:rPr>
        <w:t>Taipei</w:t>
      </w:r>
      <w:proofErr w:type="spellEnd"/>
      <w:r>
        <w:rPr>
          <w:rFonts w:ascii="Arial" w:eastAsia="Arial" w:hAnsi="Arial" w:cs="Arial"/>
          <w:i/>
          <w:iCs/>
        </w:rPr>
        <w:t xml:space="preserve">, </w:t>
      </w:r>
      <w:proofErr w:type="spellStart"/>
      <w:r>
        <w:rPr>
          <w:rFonts w:ascii="Arial" w:eastAsia="Arial" w:hAnsi="Arial" w:cs="Arial"/>
          <w:i/>
          <w:iCs/>
        </w:rPr>
        <w:t>Chinese</w:t>
      </w:r>
      <w:proofErr w:type="spellEnd"/>
      <w:r>
        <w:rPr>
          <w:rFonts w:ascii="Arial" w:eastAsia="Arial" w:hAnsi="Arial" w:cs="Arial"/>
        </w:rPr>
        <w:t xml:space="preserve"> [</w:t>
      </w:r>
      <w:proofErr w:type="spellStart"/>
      <w:r>
        <w:rPr>
          <w:rFonts w:ascii="Arial" w:eastAsia="Arial" w:hAnsi="Arial" w:cs="Arial"/>
        </w:rPr>
        <w:t>Dataset</w:t>
      </w:r>
      <w:proofErr w:type="spellEnd"/>
      <w:r>
        <w:rPr>
          <w:rFonts w:ascii="Arial" w:eastAsia="Arial" w:hAnsi="Arial" w:cs="Arial"/>
        </w:rPr>
        <w:t>].</w:t>
      </w:r>
    </w:p>
    <w:p w14:paraId="7391AC9F" w14:textId="77777777" w:rsidR="00085FA7" w:rsidRPr="005232BE" w:rsidRDefault="00085FA7" w:rsidP="00085FA7">
      <w:pPr>
        <w:spacing w:line="360" w:lineRule="auto"/>
        <w:ind w:hanging="709"/>
        <w:jc w:val="both"/>
        <w:rPr>
          <w:rFonts w:ascii="Arial" w:eastAsia="Arial" w:hAnsi="Arial" w:cs="Arial"/>
          <w:lang w:val="en-US"/>
        </w:rPr>
      </w:pPr>
      <w:r w:rsidRPr="005232BE">
        <w:rPr>
          <w:rFonts w:ascii="Arial" w:eastAsia="Arial" w:hAnsi="Arial" w:cs="Arial"/>
          <w:lang w:val="en-US"/>
        </w:rPr>
        <w:t xml:space="preserve">James, P. (1997). ‘Post-Dependency: The Third World in an Era of Globalism and Late Capitalism’ (1997). </w:t>
      </w:r>
      <w:r w:rsidRPr="005232BE">
        <w:rPr>
          <w:rFonts w:ascii="Arial" w:eastAsia="Arial" w:hAnsi="Arial" w:cs="Arial"/>
          <w:i/>
          <w:iCs/>
          <w:lang w:val="en-US"/>
        </w:rPr>
        <w:t>Alternatives: Social Transformation and Human Governance</w:t>
      </w:r>
      <w:r w:rsidRPr="005232BE">
        <w:rPr>
          <w:rFonts w:ascii="Arial" w:eastAsia="Arial" w:hAnsi="Arial" w:cs="Arial"/>
          <w:lang w:val="en-US"/>
        </w:rPr>
        <w:t>. https://www.academia.edu/7311042/_Post_Dependency_The_Third_World_in_an_Era_of_Globalism_and_Late_Capitalism_1997_</w:t>
      </w:r>
    </w:p>
    <w:p w14:paraId="36983E82" w14:textId="77777777" w:rsidR="00085FA7" w:rsidRPr="005232BE" w:rsidRDefault="00085FA7" w:rsidP="00085FA7">
      <w:pPr>
        <w:spacing w:line="360" w:lineRule="auto"/>
        <w:ind w:hanging="709"/>
        <w:jc w:val="both"/>
        <w:rPr>
          <w:rFonts w:ascii="Arial" w:eastAsia="Arial" w:hAnsi="Arial" w:cs="Arial"/>
          <w:lang w:val="en-US"/>
        </w:rPr>
      </w:pPr>
      <w:r w:rsidRPr="005232BE">
        <w:rPr>
          <w:rFonts w:ascii="Arial" w:eastAsia="Arial" w:hAnsi="Arial" w:cs="Arial"/>
          <w:lang w:val="en-US"/>
        </w:rPr>
        <w:t xml:space="preserve">Jenkins, R., &amp; Dussel, E. (2008). </w:t>
      </w:r>
      <w:r w:rsidRPr="005232BE">
        <w:rPr>
          <w:rFonts w:ascii="Arial" w:eastAsia="Arial" w:hAnsi="Arial" w:cs="Arial"/>
          <w:i/>
          <w:iCs/>
          <w:lang w:val="en-US"/>
        </w:rPr>
        <w:t>The Impact of China on Latin America and the Caribbean</w:t>
      </w:r>
      <w:r w:rsidRPr="005232BE">
        <w:rPr>
          <w:rFonts w:ascii="Arial" w:eastAsia="Arial" w:hAnsi="Arial" w:cs="Arial"/>
          <w:lang w:val="en-US"/>
        </w:rPr>
        <w:t>.</w:t>
      </w:r>
    </w:p>
    <w:p w14:paraId="09A2C6B0" w14:textId="77777777" w:rsidR="00085FA7" w:rsidRDefault="00085FA7" w:rsidP="00085FA7">
      <w:pPr>
        <w:spacing w:line="360" w:lineRule="auto"/>
        <w:ind w:hanging="709"/>
        <w:jc w:val="both"/>
        <w:rPr>
          <w:rFonts w:ascii="Arial" w:eastAsia="Arial" w:hAnsi="Arial" w:cs="Arial"/>
        </w:rPr>
      </w:pPr>
      <w:r w:rsidRPr="00857888">
        <w:rPr>
          <w:rFonts w:ascii="Arial" w:eastAsia="Arial" w:hAnsi="Arial" w:cs="Arial"/>
          <w:lang w:val="fr-FR"/>
        </w:rPr>
        <w:t xml:space="preserve">Jiménez, J. C., &amp; </w:t>
      </w:r>
      <w:proofErr w:type="spellStart"/>
      <w:r w:rsidRPr="00857888">
        <w:rPr>
          <w:rFonts w:ascii="Arial" w:eastAsia="Arial" w:hAnsi="Arial" w:cs="Arial"/>
          <w:lang w:val="fr-FR"/>
        </w:rPr>
        <w:t>Narbona</w:t>
      </w:r>
      <w:proofErr w:type="spellEnd"/>
      <w:r w:rsidRPr="00857888">
        <w:rPr>
          <w:rFonts w:ascii="Arial" w:eastAsia="Arial" w:hAnsi="Arial" w:cs="Arial"/>
          <w:lang w:val="fr-FR"/>
        </w:rPr>
        <w:t xml:space="preserve">, A. (2010). </w:t>
      </w:r>
      <w:r>
        <w:rPr>
          <w:rFonts w:ascii="Arial" w:eastAsia="Arial" w:hAnsi="Arial" w:cs="Arial"/>
        </w:rPr>
        <w:t xml:space="preserve">Los factores institucionales como determinantes de los flujos comerciales internacionales. </w:t>
      </w:r>
      <w:r>
        <w:rPr>
          <w:rFonts w:ascii="Arial" w:eastAsia="Arial" w:hAnsi="Arial" w:cs="Arial"/>
          <w:i/>
          <w:iCs/>
        </w:rPr>
        <w:t>Revista de Economía Mundial</w:t>
      </w:r>
      <w:r>
        <w:rPr>
          <w:rFonts w:ascii="Arial" w:eastAsia="Arial" w:hAnsi="Arial" w:cs="Arial"/>
        </w:rPr>
        <w:t xml:space="preserve">, </w:t>
      </w:r>
      <w:r>
        <w:rPr>
          <w:rFonts w:ascii="Arial" w:eastAsia="Arial" w:hAnsi="Arial" w:cs="Arial"/>
          <w:i/>
          <w:iCs/>
        </w:rPr>
        <w:t>24</w:t>
      </w:r>
      <w:r>
        <w:rPr>
          <w:rFonts w:ascii="Arial" w:eastAsia="Arial" w:hAnsi="Arial" w:cs="Arial"/>
        </w:rPr>
        <w:t>, 23-48.</w:t>
      </w:r>
    </w:p>
    <w:p w14:paraId="44AD1006" w14:textId="77777777" w:rsidR="00085FA7" w:rsidRDefault="00085FA7" w:rsidP="00085FA7">
      <w:pPr>
        <w:spacing w:line="360" w:lineRule="auto"/>
        <w:ind w:hanging="709"/>
        <w:jc w:val="both"/>
        <w:rPr>
          <w:rFonts w:ascii="Arial" w:eastAsia="Arial" w:hAnsi="Arial" w:cs="Arial"/>
        </w:rPr>
      </w:pPr>
      <w:proofErr w:type="spellStart"/>
      <w:r>
        <w:rPr>
          <w:rFonts w:ascii="Arial" w:eastAsia="Arial" w:hAnsi="Arial" w:cs="Arial"/>
        </w:rPr>
        <w:t>Jose</w:t>
      </w:r>
      <w:proofErr w:type="spellEnd"/>
      <w:r>
        <w:rPr>
          <w:rFonts w:ascii="Arial" w:eastAsia="Arial" w:hAnsi="Arial" w:cs="Arial"/>
        </w:rPr>
        <w:t xml:space="preserve"> Massaguer. (1989). </w:t>
      </w:r>
      <w:r>
        <w:rPr>
          <w:rFonts w:ascii="Arial" w:eastAsia="Arial" w:hAnsi="Arial" w:cs="Arial"/>
          <w:i/>
          <w:iCs/>
        </w:rPr>
        <w:t>El Contrato de Licencia de Know How</w:t>
      </w:r>
      <w:r>
        <w:rPr>
          <w:rFonts w:ascii="Arial" w:eastAsia="Arial" w:hAnsi="Arial" w:cs="Arial"/>
        </w:rPr>
        <w:t>. Editorial Librería Bosch,.</w:t>
      </w:r>
    </w:p>
    <w:p w14:paraId="3E4C97F6"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José Quezada. (2023, julio 4). </w:t>
      </w:r>
      <w:r>
        <w:rPr>
          <w:rFonts w:ascii="Arial" w:eastAsia="Arial" w:hAnsi="Arial" w:cs="Arial"/>
          <w:i/>
          <w:iCs/>
        </w:rPr>
        <w:t>Honduras inicia negociaciones de Tratado de Libre Comercio con China</w:t>
      </w:r>
      <w:r>
        <w:rPr>
          <w:rFonts w:ascii="Arial" w:eastAsia="Arial" w:hAnsi="Arial" w:cs="Arial"/>
        </w:rPr>
        <w:t>. https://www.elheraldo.hn/honduras/honduras-inicia-negociaciones-tratado-libre-comercio-china-fedis-cerrato-wang-wentao-AE14235014</w:t>
      </w:r>
    </w:p>
    <w:p w14:paraId="1B6E93C8" w14:textId="77777777" w:rsidR="00085FA7" w:rsidRDefault="00085FA7" w:rsidP="00085FA7">
      <w:pPr>
        <w:spacing w:line="360" w:lineRule="auto"/>
        <w:ind w:hanging="709"/>
        <w:jc w:val="both"/>
        <w:rPr>
          <w:rFonts w:ascii="Arial" w:eastAsia="Arial" w:hAnsi="Arial" w:cs="Arial"/>
        </w:rPr>
      </w:pPr>
      <w:r w:rsidRPr="005232BE">
        <w:rPr>
          <w:rFonts w:ascii="Arial" w:eastAsia="Arial" w:hAnsi="Arial" w:cs="Arial"/>
          <w:lang w:val="en-US"/>
        </w:rPr>
        <w:t xml:space="preserve">Krugman, P., Obstfeld, M., &amp; Melitz, M. (2012). </w:t>
      </w:r>
      <w:r>
        <w:rPr>
          <w:rFonts w:ascii="Arial" w:eastAsia="Arial" w:hAnsi="Arial" w:cs="Arial"/>
          <w:i/>
          <w:iCs/>
        </w:rPr>
        <w:t>Economía Internacional: Teoría y política</w:t>
      </w:r>
      <w:r>
        <w:rPr>
          <w:rFonts w:ascii="Arial" w:eastAsia="Arial" w:hAnsi="Arial" w:cs="Arial"/>
        </w:rPr>
        <w:t>. Pearson Educación.</w:t>
      </w:r>
    </w:p>
    <w:p w14:paraId="7C282A35"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Lalanne, A., &amp; </w:t>
      </w:r>
      <w:proofErr w:type="spellStart"/>
      <w:r>
        <w:rPr>
          <w:rFonts w:ascii="Arial" w:eastAsia="Arial" w:hAnsi="Arial" w:cs="Arial"/>
        </w:rPr>
        <w:t>Sanchez</w:t>
      </w:r>
      <w:proofErr w:type="spellEnd"/>
      <w:r>
        <w:rPr>
          <w:rFonts w:ascii="Arial" w:eastAsia="Arial" w:hAnsi="Arial" w:cs="Arial"/>
        </w:rPr>
        <w:t xml:space="preserve">, G. (2019). Evaluación del impacto de acuerdos comerciales: Metodologías, experiencias internacionales y aplicaciones para el caso uruguayo. En </w:t>
      </w:r>
      <w:r>
        <w:rPr>
          <w:rFonts w:ascii="Arial" w:eastAsia="Arial" w:hAnsi="Arial" w:cs="Arial"/>
          <w:i/>
          <w:iCs/>
        </w:rPr>
        <w:t>Comisión Económica para América Latina y el Caribe (CEPAL)</w:t>
      </w:r>
      <w:r>
        <w:rPr>
          <w:rFonts w:ascii="Arial" w:eastAsia="Arial" w:hAnsi="Arial" w:cs="Arial"/>
        </w:rPr>
        <w:t>.</w:t>
      </w:r>
    </w:p>
    <w:p w14:paraId="2BE82931"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Ley General de la Administración Pública, Diario Oficial La Gaceta No. 28 (1996).</w:t>
      </w:r>
    </w:p>
    <w:p w14:paraId="0481130C" w14:textId="77777777" w:rsidR="00085FA7" w:rsidRPr="005232BE" w:rsidRDefault="00085FA7" w:rsidP="00085FA7">
      <w:pPr>
        <w:spacing w:line="360" w:lineRule="auto"/>
        <w:ind w:hanging="709"/>
        <w:jc w:val="both"/>
        <w:rPr>
          <w:rFonts w:ascii="Arial" w:eastAsia="Arial" w:hAnsi="Arial" w:cs="Arial"/>
          <w:lang w:val="en-US"/>
        </w:rPr>
      </w:pPr>
      <w:r w:rsidRPr="005232BE">
        <w:rPr>
          <w:rFonts w:ascii="Arial" w:eastAsia="Arial" w:hAnsi="Arial" w:cs="Arial"/>
          <w:lang w:val="en-US"/>
        </w:rPr>
        <w:t xml:space="preserve">Lopes, D. A., Andrade Bastos, S., &amp; </w:t>
      </w:r>
      <w:proofErr w:type="spellStart"/>
      <w:r w:rsidRPr="005232BE">
        <w:rPr>
          <w:rFonts w:ascii="Arial" w:eastAsia="Arial" w:hAnsi="Arial" w:cs="Arial"/>
          <w:lang w:val="en-US"/>
        </w:rPr>
        <w:t>Perobilli</w:t>
      </w:r>
      <w:proofErr w:type="spellEnd"/>
      <w:r w:rsidRPr="005232BE">
        <w:rPr>
          <w:rFonts w:ascii="Arial" w:eastAsia="Arial" w:hAnsi="Arial" w:cs="Arial"/>
          <w:lang w:val="en-US"/>
        </w:rPr>
        <w:t xml:space="preserve">, F. (2021). </w:t>
      </w:r>
      <w:r w:rsidRPr="005232BE">
        <w:rPr>
          <w:rFonts w:ascii="Arial" w:eastAsia="Arial" w:hAnsi="Arial" w:cs="Arial"/>
          <w:i/>
          <w:iCs/>
          <w:lang w:val="en-US"/>
        </w:rPr>
        <w:t>Latin America and China: Mutual benefit or dependency? CEPAL</w:t>
      </w:r>
      <w:r w:rsidRPr="005232BE">
        <w:rPr>
          <w:rFonts w:ascii="Arial" w:eastAsia="Arial" w:hAnsi="Arial" w:cs="Arial"/>
          <w:lang w:val="en-US"/>
        </w:rPr>
        <w:t>.</w:t>
      </w:r>
    </w:p>
    <w:p w14:paraId="66C46975" w14:textId="77777777" w:rsidR="00085FA7" w:rsidRPr="005232BE" w:rsidRDefault="00085FA7" w:rsidP="00085FA7">
      <w:pPr>
        <w:spacing w:line="360" w:lineRule="auto"/>
        <w:ind w:hanging="709"/>
        <w:jc w:val="both"/>
        <w:rPr>
          <w:rFonts w:ascii="Arial" w:eastAsia="Arial" w:hAnsi="Arial" w:cs="Arial"/>
          <w:lang w:val="en-US"/>
        </w:rPr>
      </w:pPr>
      <w:r w:rsidRPr="005232BE">
        <w:rPr>
          <w:rFonts w:ascii="Arial" w:eastAsia="Arial" w:hAnsi="Arial" w:cs="Arial"/>
          <w:lang w:val="en-US"/>
        </w:rPr>
        <w:lastRenderedPageBreak/>
        <w:t xml:space="preserve">MacDermott, R. (2007). Regional trade agreement and foreign direct investment. </w:t>
      </w:r>
      <w:r w:rsidRPr="005232BE">
        <w:rPr>
          <w:rFonts w:ascii="Arial" w:eastAsia="Arial" w:hAnsi="Arial" w:cs="Arial"/>
          <w:i/>
          <w:iCs/>
          <w:lang w:val="en-US"/>
        </w:rPr>
        <w:t>The North American Journal of Economics and Finance</w:t>
      </w:r>
      <w:r w:rsidRPr="005232BE">
        <w:rPr>
          <w:rFonts w:ascii="Arial" w:eastAsia="Arial" w:hAnsi="Arial" w:cs="Arial"/>
          <w:lang w:val="en-US"/>
        </w:rPr>
        <w:t>, 107-116.</w:t>
      </w:r>
    </w:p>
    <w:p w14:paraId="180E8CE4" w14:textId="77777777" w:rsidR="00085FA7" w:rsidRDefault="00085FA7" w:rsidP="00085FA7">
      <w:pPr>
        <w:spacing w:line="360" w:lineRule="auto"/>
        <w:ind w:hanging="709"/>
        <w:jc w:val="both"/>
        <w:rPr>
          <w:rFonts w:ascii="Arial" w:eastAsia="Arial" w:hAnsi="Arial" w:cs="Arial"/>
        </w:rPr>
      </w:pPr>
      <w:proofErr w:type="spellStart"/>
      <w:r w:rsidRPr="005232BE">
        <w:rPr>
          <w:rFonts w:ascii="Arial" w:eastAsia="Arial" w:hAnsi="Arial" w:cs="Arial"/>
          <w:lang w:val="en-US"/>
        </w:rPr>
        <w:t>Marzábal</w:t>
      </w:r>
      <w:proofErr w:type="spellEnd"/>
      <w:r w:rsidRPr="005232BE">
        <w:rPr>
          <w:rFonts w:ascii="Arial" w:eastAsia="Arial" w:hAnsi="Arial" w:cs="Arial"/>
          <w:lang w:val="en-US"/>
        </w:rPr>
        <w:t xml:space="preserve">, Ó. R., &amp; López, Jorge Alberto. </w:t>
      </w:r>
      <w:r>
        <w:rPr>
          <w:rFonts w:ascii="Arial" w:eastAsia="Arial" w:hAnsi="Arial" w:cs="Arial"/>
        </w:rPr>
        <w:t xml:space="preserve">(2009). </w:t>
      </w:r>
      <w:r>
        <w:rPr>
          <w:rFonts w:ascii="Arial" w:eastAsia="Arial" w:hAnsi="Arial" w:cs="Arial"/>
          <w:i/>
          <w:iCs/>
        </w:rPr>
        <w:t xml:space="preserve">Efectos del Tratado de Libre </w:t>
      </w:r>
      <w:proofErr w:type="spellStart"/>
      <w:r>
        <w:rPr>
          <w:rFonts w:ascii="Arial" w:eastAsia="Arial" w:hAnsi="Arial" w:cs="Arial"/>
          <w:i/>
          <w:iCs/>
        </w:rPr>
        <w:t>Comerci</w:t>
      </w:r>
      <w:proofErr w:type="spellEnd"/>
      <w:r>
        <w:rPr>
          <w:rFonts w:ascii="Arial" w:eastAsia="Arial" w:hAnsi="Arial" w:cs="Arial"/>
          <w:i/>
          <w:iCs/>
        </w:rPr>
        <w:t xml:space="preserve"> o de América del Norte sobre el comercio de México: Creación de comercio y especialización intraindustrial</w:t>
      </w:r>
      <w:r>
        <w:rPr>
          <w:rFonts w:ascii="Arial" w:eastAsia="Arial" w:hAnsi="Arial" w:cs="Arial"/>
        </w:rPr>
        <w:t>.</w:t>
      </w:r>
    </w:p>
    <w:p w14:paraId="013FC313"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MINCETUR. (2007). </w:t>
      </w:r>
      <w:r>
        <w:rPr>
          <w:rFonts w:ascii="Arial" w:eastAsia="Arial" w:hAnsi="Arial" w:cs="Arial"/>
          <w:i/>
          <w:iCs/>
        </w:rPr>
        <w:t>Tratado de Libre Comercio entre Perú y China: Estudio Conjunto de Factibilidad</w:t>
      </w:r>
      <w:r>
        <w:rPr>
          <w:rFonts w:ascii="Arial" w:eastAsia="Arial" w:hAnsi="Arial" w:cs="Arial"/>
        </w:rPr>
        <w:t>.</w:t>
      </w:r>
    </w:p>
    <w:p w14:paraId="062B64E1"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Ministerio de Asuntos Exteriores de Taiwán. (2023). </w:t>
      </w:r>
      <w:r>
        <w:rPr>
          <w:rFonts w:ascii="Arial" w:eastAsia="Arial" w:hAnsi="Arial" w:cs="Arial"/>
          <w:i/>
          <w:iCs/>
        </w:rPr>
        <w:t>Aliados Diplomáticos</w:t>
      </w:r>
      <w:r>
        <w:rPr>
          <w:rFonts w:ascii="Arial" w:eastAsia="Arial" w:hAnsi="Arial" w:cs="Arial"/>
        </w:rPr>
        <w:t>.</w:t>
      </w:r>
    </w:p>
    <w:p w14:paraId="49C9CF53"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Ministerio de Comercio Exterior (COMEX). (s. f.). </w:t>
      </w:r>
      <w:r>
        <w:rPr>
          <w:rFonts w:ascii="Arial" w:eastAsia="Arial" w:hAnsi="Arial" w:cs="Arial"/>
          <w:i/>
          <w:iCs/>
        </w:rPr>
        <w:t>Tratado de Libre Comercio entre el Gobierno de la República de Costa Rica y el Gobierno de la República Popular China</w:t>
      </w:r>
      <w:r>
        <w:rPr>
          <w:rFonts w:ascii="Arial" w:eastAsia="Arial" w:hAnsi="Arial" w:cs="Arial"/>
        </w:rPr>
        <w:t>. Recuperado 14 de abril de 2024, de https://www.comex.go.cr/tratados/china/</w:t>
      </w:r>
    </w:p>
    <w:p w14:paraId="5E238258"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Ministerio de Comercio Exterior (COMEX). (2010). </w:t>
      </w:r>
      <w:r>
        <w:rPr>
          <w:rFonts w:ascii="Arial" w:eastAsia="Arial" w:hAnsi="Arial" w:cs="Arial"/>
          <w:i/>
          <w:iCs/>
        </w:rPr>
        <w:t>Documento Explicativo Tratado de Libre Comercio Costa Rica—China</w:t>
      </w:r>
      <w:r>
        <w:rPr>
          <w:rFonts w:ascii="Arial" w:eastAsia="Arial" w:hAnsi="Arial" w:cs="Arial"/>
        </w:rPr>
        <w:t>.</w:t>
      </w:r>
    </w:p>
    <w:p w14:paraId="134C46BC"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Ministerio de Comercio Exterior de Costa Rica (COMEX). (2003). </w:t>
      </w:r>
      <w:r>
        <w:rPr>
          <w:rFonts w:ascii="Arial" w:eastAsia="Arial" w:hAnsi="Arial" w:cs="Arial"/>
          <w:i/>
          <w:iCs/>
        </w:rPr>
        <w:t>Tratado de Libre Comercio entre Centroamérica y Estados</w:t>
      </w:r>
      <w:r>
        <w:rPr>
          <w:rFonts w:ascii="Arial" w:eastAsia="Arial" w:hAnsi="Arial" w:cs="Arial"/>
        </w:rPr>
        <w:t>.</w:t>
      </w:r>
    </w:p>
    <w:p w14:paraId="704248D3"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Ministerio de Comercio Exterior y Turismo. (2008). </w:t>
      </w:r>
      <w:r>
        <w:rPr>
          <w:rFonts w:ascii="Arial" w:eastAsia="Arial" w:hAnsi="Arial" w:cs="Arial"/>
          <w:i/>
          <w:iCs/>
        </w:rPr>
        <w:t>Resumen Ejecutivo Tratado de Libre Comercio entre Perú y China</w:t>
      </w:r>
      <w:r>
        <w:rPr>
          <w:rFonts w:ascii="Arial" w:eastAsia="Arial" w:hAnsi="Arial" w:cs="Arial"/>
        </w:rPr>
        <w:t>. https://www.acuerdoscomerciales.gob.pe/En_Vigencia/China/Documentos/docs/Informes_Finales_TLC_Peru-China.pdf</w:t>
      </w:r>
    </w:p>
    <w:p w14:paraId="39F0BF23"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Ministerio de Comercio Exterior y Turismo. (2014). </w:t>
      </w:r>
      <w:r>
        <w:rPr>
          <w:rFonts w:ascii="Arial" w:eastAsia="Arial" w:hAnsi="Arial" w:cs="Arial"/>
          <w:i/>
          <w:iCs/>
        </w:rPr>
        <w:t>Estudio de aprovechamiento del TLC Perú – China: Cuarto año de vigencia del TLC</w:t>
      </w:r>
      <w:r>
        <w:rPr>
          <w:rFonts w:ascii="Arial" w:eastAsia="Arial" w:hAnsi="Arial" w:cs="Arial"/>
        </w:rPr>
        <w:t>. Oficina de Estudios Económicos Internacionales. http://www.sice.oas.org/tpd/per_chn/Studies/Study_TLC_China_Yr4_s.pdf</w:t>
      </w:r>
    </w:p>
    <w:p w14:paraId="63E17E8D"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Molina, L. (2023, noviembre 8). A 12 años del TLC con China, Costa Rica importa cada vez más y exporta menos. </w:t>
      </w:r>
      <w:r>
        <w:rPr>
          <w:rFonts w:ascii="Arial" w:eastAsia="Arial" w:hAnsi="Arial" w:cs="Arial"/>
          <w:i/>
          <w:iCs/>
        </w:rPr>
        <w:t>Seminario Universidad</w:t>
      </w:r>
      <w:r>
        <w:rPr>
          <w:rFonts w:ascii="Arial" w:eastAsia="Arial" w:hAnsi="Arial" w:cs="Arial"/>
        </w:rPr>
        <w:t>.</w:t>
      </w:r>
    </w:p>
    <w:p w14:paraId="5CC0C315" w14:textId="77777777" w:rsidR="00085FA7" w:rsidRPr="00857888" w:rsidRDefault="00085FA7" w:rsidP="00085FA7">
      <w:pPr>
        <w:spacing w:line="360" w:lineRule="auto"/>
        <w:ind w:hanging="709"/>
        <w:jc w:val="both"/>
        <w:rPr>
          <w:rFonts w:ascii="Arial" w:eastAsia="Arial" w:hAnsi="Arial" w:cs="Arial"/>
        </w:rPr>
      </w:pPr>
      <w:r>
        <w:rPr>
          <w:rFonts w:ascii="Arial" w:eastAsia="Arial" w:hAnsi="Arial" w:cs="Arial"/>
        </w:rPr>
        <w:t xml:space="preserve">Monge-González, R., Loría-Sagot, M., &amp; González-Vega, C. (2003). </w:t>
      </w:r>
      <w:r>
        <w:rPr>
          <w:rFonts w:ascii="Arial" w:eastAsia="Arial" w:hAnsi="Arial" w:cs="Arial"/>
          <w:i/>
          <w:iCs/>
        </w:rPr>
        <w:t>Retos y Oportunidades para los Sectores Agropecuario y Agroindustrial de Centro América ante un Tratado de Libre Comercio con los Estados Unidos</w:t>
      </w:r>
      <w:r>
        <w:rPr>
          <w:rFonts w:ascii="Arial" w:eastAsia="Arial" w:hAnsi="Arial" w:cs="Arial"/>
        </w:rPr>
        <w:t xml:space="preserve">. </w:t>
      </w:r>
      <w:r w:rsidRPr="00857888">
        <w:rPr>
          <w:rFonts w:ascii="Arial" w:eastAsia="Arial" w:hAnsi="Arial" w:cs="Arial"/>
        </w:rPr>
        <w:t>Banco Mundial.</w:t>
      </w:r>
    </w:p>
    <w:p w14:paraId="6A08F0FE" w14:textId="77777777" w:rsidR="00085FA7" w:rsidRPr="00857888" w:rsidRDefault="00085FA7" w:rsidP="00085FA7">
      <w:pPr>
        <w:spacing w:line="360" w:lineRule="auto"/>
        <w:ind w:hanging="709"/>
        <w:jc w:val="both"/>
        <w:rPr>
          <w:rFonts w:ascii="Arial" w:eastAsia="Arial" w:hAnsi="Arial" w:cs="Arial"/>
        </w:rPr>
      </w:pPr>
      <w:r w:rsidRPr="00857888">
        <w:rPr>
          <w:rFonts w:ascii="Arial" w:eastAsia="Arial" w:hAnsi="Arial" w:cs="Arial"/>
        </w:rPr>
        <w:t xml:space="preserve">O’Boyle, B. (2015, enero 14). </w:t>
      </w:r>
      <w:proofErr w:type="spellStart"/>
      <w:r w:rsidRPr="00857888">
        <w:rPr>
          <w:rFonts w:ascii="Arial" w:eastAsia="Arial" w:hAnsi="Arial" w:cs="Arial"/>
          <w:i/>
          <w:iCs/>
        </w:rPr>
        <w:t>Explainer</w:t>
      </w:r>
      <w:proofErr w:type="spellEnd"/>
      <w:r w:rsidRPr="00857888">
        <w:rPr>
          <w:rFonts w:ascii="Arial" w:eastAsia="Arial" w:hAnsi="Arial" w:cs="Arial"/>
          <w:i/>
          <w:iCs/>
        </w:rPr>
        <w:t xml:space="preserve">: Seven Points </w:t>
      </w:r>
      <w:proofErr w:type="spellStart"/>
      <w:r w:rsidRPr="00857888">
        <w:rPr>
          <w:rFonts w:ascii="Arial" w:eastAsia="Arial" w:hAnsi="Arial" w:cs="Arial"/>
          <w:i/>
          <w:iCs/>
        </w:rPr>
        <w:t>on</w:t>
      </w:r>
      <w:proofErr w:type="spellEnd"/>
      <w:r w:rsidRPr="00857888">
        <w:rPr>
          <w:rFonts w:ascii="Arial" w:eastAsia="Arial" w:hAnsi="Arial" w:cs="Arial"/>
          <w:i/>
          <w:iCs/>
        </w:rPr>
        <w:t xml:space="preserve"> </w:t>
      </w:r>
      <w:proofErr w:type="spellStart"/>
      <w:r w:rsidRPr="00857888">
        <w:rPr>
          <w:rFonts w:ascii="Arial" w:eastAsia="Arial" w:hAnsi="Arial" w:cs="Arial"/>
          <w:i/>
          <w:iCs/>
        </w:rPr>
        <w:t>Nicaragua’s</w:t>
      </w:r>
      <w:proofErr w:type="spellEnd"/>
      <w:r w:rsidRPr="00857888">
        <w:rPr>
          <w:rFonts w:ascii="Arial" w:eastAsia="Arial" w:hAnsi="Arial" w:cs="Arial"/>
          <w:i/>
          <w:iCs/>
        </w:rPr>
        <w:t xml:space="preserve"> </w:t>
      </w:r>
      <w:proofErr w:type="spellStart"/>
      <w:r w:rsidRPr="00857888">
        <w:rPr>
          <w:rFonts w:ascii="Arial" w:eastAsia="Arial" w:hAnsi="Arial" w:cs="Arial"/>
          <w:i/>
          <w:iCs/>
        </w:rPr>
        <w:t>Massive</w:t>
      </w:r>
      <w:proofErr w:type="spellEnd"/>
      <w:r w:rsidRPr="00857888">
        <w:rPr>
          <w:rFonts w:ascii="Arial" w:eastAsia="Arial" w:hAnsi="Arial" w:cs="Arial"/>
          <w:i/>
          <w:iCs/>
        </w:rPr>
        <w:t xml:space="preserve"> Canal Project</w:t>
      </w:r>
      <w:r w:rsidRPr="00857888">
        <w:rPr>
          <w:rFonts w:ascii="Arial" w:eastAsia="Arial" w:hAnsi="Arial" w:cs="Arial"/>
        </w:rPr>
        <w:t>. https://www.as-coa.org/articles/explainer-seven-points-nicaraguas-massive-canal-project</w:t>
      </w:r>
    </w:p>
    <w:p w14:paraId="74121D7B" w14:textId="77777777" w:rsidR="00085FA7" w:rsidRDefault="00085FA7" w:rsidP="00085FA7">
      <w:pPr>
        <w:spacing w:line="360" w:lineRule="auto"/>
        <w:ind w:hanging="709"/>
        <w:jc w:val="both"/>
        <w:rPr>
          <w:rFonts w:ascii="Arial" w:eastAsia="Arial" w:hAnsi="Arial" w:cs="Arial"/>
        </w:rPr>
      </w:pPr>
      <w:r>
        <w:rPr>
          <w:rFonts w:ascii="Arial" w:eastAsia="Arial" w:hAnsi="Arial" w:cs="Arial"/>
        </w:rPr>
        <w:lastRenderedPageBreak/>
        <w:t xml:space="preserve">Observatorio de Complejidad Económica (OEC). </w:t>
      </w:r>
      <w:r w:rsidRPr="005232BE">
        <w:rPr>
          <w:rFonts w:ascii="Arial" w:eastAsia="Arial" w:hAnsi="Arial" w:cs="Arial"/>
          <w:lang w:val="en-US"/>
        </w:rPr>
        <w:t xml:space="preserve">(s. f.). </w:t>
      </w:r>
      <w:proofErr w:type="gramStart"/>
      <w:r w:rsidRPr="005232BE">
        <w:rPr>
          <w:rFonts w:ascii="Arial" w:eastAsia="Arial" w:hAnsi="Arial" w:cs="Arial"/>
          <w:lang w:val="en-US"/>
        </w:rPr>
        <w:t>Shrimps and prawns,</w:t>
      </w:r>
      <w:proofErr w:type="gramEnd"/>
      <w:r w:rsidRPr="005232BE">
        <w:rPr>
          <w:rFonts w:ascii="Arial" w:eastAsia="Arial" w:hAnsi="Arial" w:cs="Arial"/>
          <w:lang w:val="en-US"/>
        </w:rPr>
        <w:t xml:space="preserve"> prepared or preserved (HS 1605). </w:t>
      </w:r>
      <w:r>
        <w:rPr>
          <w:rFonts w:ascii="Arial" w:eastAsia="Arial" w:hAnsi="Arial" w:cs="Arial"/>
          <w:i/>
          <w:iCs/>
        </w:rPr>
        <w:t>2023</w:t>
      </w:r>
      <w:r>
        <w:rPr>
          <w:rFonts w:ascii="Arial" w:eastAsia="Arial" w:hAnsi="Arial" w:cs="Arial"/>
        </w:rPr>
        <w:t>.</w:t>
      </w:r>
    </w:p>
    <w:p w14:paraId="7601F662"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OEC. (2025). </w:t>
      </w:r>
      <w:r>
        <w:rPr>
          <w:rFonts w:ascii="Arial" w:eastAsia="Arial" w:hAnsi="Arial" w:cs="Arial"/>
          <w:i/>
          <w:iCs/>
        </w:rPr>
        <w:t>Honduras (HND) Exportaciones, Importaciones y Socios Comerciales</w:t>
      </w:r>
      <w:r>
        <w:rPr>
          <w:rFonts w:ascii="Arial" w:eastAsia="Arial" w:hAnsi="Arial" w:cs="Arial"/>
        </w:rPr>
        <w:t>. Observatorio de Complejidad Económica. https://oec.world/es/profile/country/hnd</w:t>
      </w:r>
    </w:p>
    <w:p w14:paraId="445613CC" w14:textId="77777777" w:rsidR="00085FA7" w:rsidRPr="005232BE" w:rsidRDefault="00085FA7" w:rsidP="00085FA7">
      <w:pPr>
        <w:spacing w:line="360" w:lineRule="auto"/>
        <w:ind w:hanging="709"/>
        <w:jc w:val="both"/>
        <w:rPr>
          <w:rFonts w:ascii="Arial" w:eastAsia="Arial" w:hAnsi="Arial" w:cs="Arial"/>
          <w:lang w:val="en-US"/>
        </w:rPr>
      </w:pPr>
      <w:r w:rsidRPr="005232BE">
        <w:rPr>
          <w:rFonts w:ascii="Arial" w:eastAsia="Arial" w:hAnsi="Arial" w:cs="Arial"/>
          <w:lang w:val="en-US"/>
        </w:rPr>
        <w:t xml:space="preserve">OMC. (2024). </w:t>
      </w:r>
      <w:r w:rsidRPr="005232BE">
        <w:rPr>
          <w:rFonts w:ascii="Arial" w:eastAsia="Arial" w:hAnsi="Arial" w:cs="Arial"/>
          <w:i/>
          <w:iCs/>
          <w:lang w:val="en-US"/>
        </w:rPr>
        <w:t>Regional Trade Agreements Database</w:t>
      </w:r>
      <w:r w:rsidRPr="005232BE">
        <w:rPr>
          <w:rFonts w:ascii="Arial" w:eastAsia="Arial" w:hAnsi="Arial" w:cs="Arial"/>
          <w:lang w:val="en-US"/>
        </w:rPr>
        <w:t>.</w:t>
      </w:r>
    </w:p>
    <w:p w14:paraId="35425F3D" w14:textId="77777777" w:rsidR="00085FA7" w:rsidRDefault="00085FA7" w:rsidP="00085FA7">
      <w:pPr>
        <w:spacing w:line="360" w:lineRule="auto"/>
        <w:ind w:hanging="709"/>
        <w:jc w:val="both"/>
        <w:rPr>
          <w:rFonts w:ascii="Arial" w:eastAsia="Arial" w:hAnsi="Arial" w:cs="Arial"/>
          <w:i/>
          <w:iCs/>
        </w:rPr>
      </w:pPr>
      <w:r>
        <w:rPr>
          <w:rFonts w:ascii="Arial" w:eastAsia="Arial" w:hAnsi="Arial" w:cs="Arial"/>
        </w:rPr>
        <w:t xml:space="preserve">Orduna, L. (2000). </w:t>
      </w:r>
      <w:r>
        <w:rPr>
          <w:rFonts w:ascii="Arial" w:eastAsia="Arial" w:hAnsi="Arial" w:cs="Arial"/>
          <w:i/>
          <w:iCs/>
        </w:rPr>
        <w:t>¿</w:t>
      </w:r>
      <w:proofErr w:type="spellStart"/>
      <w:r>
        <w:rPr>
          <w:rFonts w:ascii="Arial" w:eastAsia="Arial" w:hAnsi="Arial" w:cs="Arial"/>
          <w:i/>
          <w:iCs/>
        </w:rPr>
        <w:t>Porqué</w:t>
      </w:r>
      <w:proofErr w:type="spellEnd"/>
      <w:r>
        <w:rPr>
          <w:rFonts w:ascii="Arial" w:eastAsia="Arial" w:hAnsi="Arial" w:cs="Arial"/>
          <w:i/>
          <w:iCs/>
        </w:rPr>
        <w:t xml:space="preserve"> ha de reputarse inválida la teoría de la ventaja comparativa para regir el comercio internacional?</w:t>
      </w:r>
    </w:p>
    <w:p w14:paraId="4E4C70BD"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Organización Mundial del Comercio. (2011). </w:t>
      </w:r>
      <w:r>
        <w:rPr>
          <w:rFonts w:ascii="Arial" w:eastAsia="Arial" w:hAnsi="Arial" w:cs="Arial"/>
          <w:i/>
          <w:iCs/>
        </w:rPr>
        <w:t>Glosario de términos: Guía de “la jerga de la OMC”</w:t>
      </w:r>
      <w:r>
        <w:rPr>
          <w:rFonts w:ascii="Arial" w:eastAsia="Arial" w:hAnsi="Arial" w:cs="Arial"/>
        </w:rPr>
        <w:t>.</w:t>
      </w:r>
    </w:p>
    <w:p w14:paraId="658DEABC"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Organización Mundial del Comercio (OMC). (2016). </w:t>
      </w:r>
      <w:r>
        <w:rPr>
          <w:rFonts w:ascii="Arial" w:eastAsia="Arial" w:hAnsi="Arial" w:cs="Arial"/>
          <w:i/>
          <w:iCs/>
        </w:rPr>
        <w:t>Examen de las políticas comerciales de Honduras</w:t>
      </w:r>
      <w:r>
        <w:rPr>
          <w:rFonts w:ascii="Arial" w:eastAsia="Arial" w:hAnsi="Arial" w:cs="Arial"/>
        </w:rPr>
        <w:t>.</w:t>
      </w:r>
    </w:p>
    <w:p w14:paraId="1073139A"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Otero Ortega, A. (2018). </w:t>
      </w:r>
      <w:r>
        <w:rPr>
          <w:rFonts w:ascii="Arial" w:eastAsia="Arial" w:hAnsi="Arial" w:cs="Arial"/>
          <w:i/>
          <w:iCs/>
        </w:rPr>
        <w:t>Enfoques de Investigación</w:t>
      </w:r>
      <w:r>
        <w:rPr>
          <w:rFonts w:ascii="Arial" w:eastAsia="Arial" w:hAnsi="Arial" w:cs="Arial"/>
        </w:rPr>
        <w:t xml:space="preserve"> [</w:t>
      </w:r>
      <w:proofErr w:type="spellStart"/>
      <w:r>
        <w:rPr>
          <w:rFonts w:ascii="Arial" w:eastAsia="Arial" w:hAnsi="Arial" w:cs="Arial"/>
        </w:rPr>
        <w:t>Manuscript</w:t>
      </w:r>
      <w:proofErr w:type="spellEnd"/>
      <w:r>
        <w:rPr>
          <w:rFonts w:ascii="Arial" w:eastAsia="Arial" w:hAnsi="Arial" w:cs="Arial"/>
        </w:rPr>
        <w:t>].</w:t>
      </w:r>
    </w:p>
    <w:p w14:paraId="29C3C49A"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Pereira, J., &amp; Ortega, A. C. (2021). El Origen del conflicto entre las dos chinas: China en </w:t>
      </w:r>
      <w:proofErr w:type="spellStart"/>
      <w:r>
        <w:rPr>
          <w:rFonts w:ascii="Arial" w:eastAsia="Arial" w:hAnsi="Arial" w:cs="Arial"/>
        </w:rPr>
        <w:t>Taiwan</w:t>
      </w:r>
      <w:proofErr w:type="spellEnd"/>
      <w:r>
        <w:rPr>
          <w:rFonts w:ascii="Arial" w:eastAsia="Arial" w:hAnsi="Arial" w:cs="Arial"/>
        </w:rPr>
        <w:t xml:space="preserve"> y </w:t>
      </w:r>
      <w:proofErr w:type="spellStart"/>
      <w:r>
        <w:rPr>
          <w:rFonts w:ascii="Arial" w:eastAsia="Arial" w:hAnsi="Arial" w:cs="Arial"/>
        </w:rPr>
        <w:t>Republica</w:t>
      </w:r>
      <w:proofErr w:type="spellEnd"/>
      <w:r>
        <w:rPr>
          <w:rFonts w:ascii="Arial" w:eastAsia="Arial" w:hAnsi="Arial" w:cs="Arial"/>
        </w:rPr>
        <w:t xml:space="preserve"> Popular China. </w:t>
      </w:r>
      <w:r>
        <w:rPr>
          <w:rFonts w:ascii="Arial" w:eastAsia="Arial" w:hAnsi="Arial" w:cs="Arial"/>
          <w:i/>
          <w:iCs/>
        </w:rPr>
        <w:t>Saber, Ciencia Y Libertad En Germinación</w:t>
      </w:r>
      <w:r>
        <w:rPr>
          <w:rFonts w:ascii="Arial" w:eastAsia="Arial" w:hAnsi="Arial" w:cs="Arial"/>
        </w:rPr>
        <w:t>, 99-102.</w:t>
      </w:r>
    </w:p>
    <w:p w14:paraId="565A10A0"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Peritz, L. J. (2015). </w:t>
      </w:r>
      <w:proofErr w:type="spellStart"/>
      <w:r>
        <w:rPr>
          <w:rFonts w:ascii="Arial" w:eastAsia="Arial" w:hAnsi="Arial" w:cs="Arial"/>
          <w:i/>
          <w:iCs/>
        </w:rPr>
        <w:t>Preferential</w:t>
      </w:r>
      <w:proofErr w:type="spellEnd"/>
      <w:r>
        <w:rPr>
          <w:rFonts w:ascii="Arial" w:eastAsia="Arial" w:hAnsi="Arial" w:cs="Arial"/>
          <w:i/>
          <w:iCs/>
        </w:rPr>
        <w:t xml:space="preserve"> </w:t>
      </w:r>
      <w:proofErr w:type="spellStart"/>
      <w:r>
        <w:rPr>
          <w:rFonts w:ascii="Arial" w:eastAsia="Arial" w:hAnsi="Arial" w:cs="Arial"/>
          <w:i/>
          <w:iCs/>
        </w:rPr>
        <w:t>Trade</w:t>
      </w:r>
      <w:proofErr w:type="spellEnd"/>
      <w:r>
        <w:rPr>
          <w:rFonts w:ascii="Arial" w:eastAsia="Arial" w:hAnsi="Arial" w:cs="Arial"/>
          <w:i/>
          <w:iCs/>
        </w:rPr>
        <w:t xml:space="preserve"> </w:t>
      </w:r>
      <w:proofErr w:type="spellStart"/>
      <w:r>
        <w:rPr>
          <w:rFonts w:ascii="Arial" w:eastAsia="Arial" w:hAnsi="Arial" w:cs="Arial"/>
          <w:i/>
          <w:iCs/>
        </w:rPr>
        <w:t>Agreement</w:t>
      </w:r>
      <w:proofErr w:type="spellEnd"/>
      <w:r>
        <w:rPr>
          <w:rFonts w:ascii="Arial" w:eastAsia="Arial" w:hAnsi="Arial" w:cs="Arial"/>
          <w:i/>
          <w:iCs/>
        </w:rPr>
        <w:t xml:space="preserve"> Networks: </w:t>
      </w:r>
      <w:proofErr w:type="spellStart"/>
      <w:r>
        <w:rPr>
          <w:rFonts w:ascii="Arial" w:eastAsia="Arial" w:hAnsi="Arial" w:cs="Arial"/>
          <w:i/>
          <w:iCs/>
        </w:rPr>
        <w:t>Proliferation</w:t>
      </w:r>
      <w:proofErr w:type="spellEnd"/>
      <w:r>
        <w:rPr>
          <w:rFonts w:ascii="Arial" w:eastAsia="Arial" w:hAnsi="Arial" w:cs="Arial"/>
          <w:i/>
          <w:iCs/>
        </w:rPr>
        <w:t xml:space="preserve"> and </w:t>
      </w:r>
      <w:proofErr w:type="spellStart"/>
      <w:r>
        <w:rPr>
          <w:rFonts w:ascii="Arial" w:eastAsia="Arial" w:hAnsi="Arial" w:cs="Arial"/>
          <w:i/>
          <w:iCs/>
        </w:rPr>
        <w:t>Impact</w:t>
      </w:r>
      <w:proofErr w:type="spellEnd"/>
      <w:r>
        <w:rPr>
          <w:rFonts w:ascii="Arial" w:eastAsia="Arial" w:hAnsi="Arial" w:cs="Arial"/>
        </w:rPr>
        <w:t xml:space="preserve">. Los </w:t>
      </w:r>
      <w:proofErr w:type="spellStart"/>
      <w:r>
        <w:rPr>
          <w:rFonts w:ascii="Arial" w:eastAsia="Arial" w:hAnsi="Arial" w:cs="Arial"/>
        </w:rPr>
        <w:t>Angeles</w:t>
      </w:r>
      <w:proofErr w:type="spellEnd"/>
      <w:r>
        <w:rPr>
          <w:rFonts w:ascii="Arial" w:eastAsia="Arial" w:hAnsi="Arial" w:cs="Arial"/>
        </w:rPr>
        <w:t>.</w:t>
      </w:r>
    </w:p>
    <w:p w14:paraId="583CAB4E"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Plummer, M. G., Cheong, D., &amp; Hamanaka, S. (2010). </w:t>
      </w:r>
      <w:r w:rsidRPr="005232BE">
        <w:rPr>
          <w:rFonts w:ascii="Arial" w:eastAsia="Arial" w:hAnsi="Arial" w:cs="Arial"/>
          <w:i/>
          <w:iCs/>
          <w:lang w:val="en-US"/>
        </w:rPr>
        <w:t>Methodology for Impact Assessment of Free Trade Agreements</w:t>
      </w:r>
      <w:r w:rsidRPr="005232BE">
        <w:rPr>
          <w:rFonts w:ascii="Arial" w:eastAsia="Arial" w:hAnsi="Arial" w:cs="Arial"/>
          <w:lang w:val="en-US"/>
        </w:rPr>
        <w:t xml:space="preserve">. </w:t>
      </w:r>
      <w:r>
        <w:rPr>
          <w:rFonts w:ascii="Arial" w:eastAsia="Arial" w:hAnsi="Arial" w:cs="Arial"/>
        </w:rPr>
        <w:t xml:space="preserve">Asian </w:t>
      </w:r>
      <w:proofErr w:type="spellStart"/>
      <w:r>
        <w:rPr>
          <w:rFonts w:ascii="Arial" w:eastAsia="Arial" w:hAnsi="Arial" w:cs="Arial"/>
        </w:rPr>
        <w:t>Development</w:t>
      </w:r>
      <w:proofErr w:type="spellEnd"/>
      <w:r>
        <w:rPr>
          <w:rFonts w:ascii="Arial" w:eastAsia="Arial" w:hAnsi="Arial" w:cs="Arial"/>
        </w:rPr>
        <w:t xml:space="preserve"> Bank.</w:t>
      </w:r>
    </w:p>
    <w:p w14:paraId="2A84BFBB"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Primicias. (2024). </w:t>
      </w:r>
      <w:r>
        <w:rPr>
          <w:rFonts w:ascii="Arial" w:eastAsia="Arial" w:hAnsi="Arial" w:cs="Arial"/>
          <w:i/>
          <w:iCs/>
        </w:rPr>
        <w:t>El acuerdo comercial con China entrará en vigencia el 1 de mayo</w:t>
      </w:r>
      <w:r>
        <w:rPr>
          <w:rFonts w:ascii="Arial" w:eastAsia="Arial" w:hAnsi="Arial" w:cs="Arial"/>
        </w:rPr>
        <w:t>. https://www.primicias.ec/noticias/economia/acuerdo-comercial-china-exportaciones-importaciones/</w:t>
      </w:r>
    </w:p>
    <w:p w14:paraId="41BC2E18"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Protocolo de Tegucigalpa a la Carta de la Organización de Estados Centroamericanos (ODECA), Artículo 1 (1991).</w:t>
      </w:r>
    </w:p>
    <w:p w14:paraId="6B411B4B"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Reed, R., Lira, C., Lee, B.-K., &amp; Lee, J. (2016). </w:t>
      </w:r>
      <w:r w:rsidRPr="005232BE">
        <w:rPr>
          <w:rFonts w:ascii="Arial" w:eastAsia="Arial" w:hAnsi="Arial" w:cs="Arial"/>
          <w:lang w:val="en-US"/>
        </w:rPr>
        <w:t xml:space="preserve">Free Trade Agreements and Foreign Direct Investment: The Role of Endogeneity and Dynamics. </w:t>
      </w:r>
      <w:r>
        <w:rPr>
          <w:rFonts w:ascii="Arial" w:eastAsia="Arial" w:hAnsi="Arial" w:cs="Arial"/>
          <w:i/>
          <w:iCs/>
        </w:rPr>
        <w:t xml:space="preserve">Southern </w:t>
      </w:r>
      <w:proofErr w:type="spellStart"/>
      <w:r>
        <w:rPr>
          <w:rFonts w:ascii="Arial" w:eastAsia="Arial" w:hAnsi="Arial" w:cs="Arial"/>
          <w:i/>
          <w:iCs/>
        </w:rPr>
        <w:t>Economic</w:t>
      </w:r>
      <w:proofErr w:type="spellEnd"/>
      <w:r>
        <w:rPr>
          <w:rFonts w:ascii="Arial" w:eastAsia="Arial" w:hAnsi="Arial" w:cs="Arial"/>
          <w:i/>
          <w:iCs/>
        </w:rPr>
        <w:t xml:space="preserve"> </w:t>
      </w:r>
      <w:proofErr w:type="spellStart"/>
      <w:r>
        <w:rPr>
          <w:rFonts w:ascii="Arial" w:eastAsia="Arial" w:hAnsi="Arial" w:cs="Arial"/>
          <w:i/>
          <w:iCs/>
        </w:rPr>
        <w:t>Journal</w:t>
      </w:r>
      <w:proofErr w:type="spellEnd"/>
      <w:r>
        <w:rPr>
          <w:rFonts w:ascii="Arial" w:eastAsia="Arial" w:hAnsi="Arial" w:cs="Arial"/>
        </w:rPr>
        <w:t>.</w:t>
      </w:r>
    </w:p>
    <w:p w14:paraId="3BC0FE83"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Ruiz, H. (2023). TLC con China: Geopolítica, comercio y diplomacia. </w:t>
      </w:r>
      <w:r>
        <w:rPr>
          <w:rFonts w:ascii="Arial" w:eastAsia="Arial" w:hAnsi="Arial" w:cs="Arial"/>
          <w:i/>
          <w:iCs/>
        </w:rPr>
        <w:t>Vicerrectoría de Investigación</w:t>
      </w:r>
      <w:r>
        <w:rPr>
          <w:rFonts w:ascii="Arial" w:eastAsia="Arial" w:hAnsi="Arial" w:cs="Arial"/>
        </w:rPr>
        <w:t>. https://www.uned.ac.cr/ocex/index.php/capsulas/647-abriendo-las-puertas-a-asia-10-anos-del-tlc-con-china</w:t>
      </w:r>
    </w:p>
    <w:p w14:paraId="75F0C193"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SDE. (2024a, mayo 22). </w:t>
      </w:r>
      <w:r>
        <w:rPr>
          <w:rFonts w:ascii="Arial" w:eastAsia="Arial" w:hAnsi="Arial" w:cs="Arial"/>
          <w:i/>
          <w:iCs/>
        </w:rPr>
        <w:t>Comunicado de Prensa Concluye Quinta Ronda de Negociaciones del TLC entre Honduras y China</w:t>
      </w:r>
      <w:r>
        <w:rPr>
          <w:rFonts w:ascii="Arial" w:eastAsia="Arial" w:hAnsi="Arial" w:cs="Arial"/>
        </w:rPr>
        <w:t>. https://sde.gob.hn/wp-</w:t>
      </w:r>
      <w:r>
        <w:rPr>
          <w:rFonts w:ascii="Arial" w:eastAsia="Arial" w:hAnsi="Arial" w:cs="Arial"/>
        </w:rPr>
        <w:lastRenderedPageBreak/>
        <w:t>content/uploads/2024/09/COMUNICADO-DE-PRENSA_Concluye-V-Ronda-TLC-HN-CN-22.05.24.pdf</w:t>
      </w:r>
    </w:p>
    <w:p w14:paraId="303F2A60"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SDE. (2024b, agosto 2). </w:t>
      </w:r>
      <w:r>
        <w:rPr>
          <w:rFonts w:ascii="Arial" w:eastAsia="Arial" w:hAnsi="Arial" w:cs="Arial"/>
          <w:i/>
          <w:iCs/>
        </w:rPr>
        <w:t>Comunicado de Prensa Finaliza Sexta Ronda de Negociaciones del TLC entre Honduras y China</w:t>
      </w:r>
      <w:r>
        <w:rPr>
          <w:rFonts w:ascii="Arial" w:eastAsia="Arial" w:hAnsi="Arial" w:cs="Arial"/>
        </w:rPr>
        <w:t>.</w:t>
      </w:r>
    </w:p>
    <w:p w14:paraId="02497607"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Secretaría de Desarrollo Económico (SDE). (2023). </w:t>
      </w:r>
      <w:r>
        <w:rPr>
          <w:rFonts w:ascii="Arial" w:eastAsia="Arial" w:hAnsi="Arial" w:cs="Arial"/>
          <w:i/>
          <w:iCs/>
        </w:rPr>
        <w:t>Comunicado de Prensa: Segunda Ronda de Negociación del TLC Honduras—China</w:t>
      </w:r>
      <w:r>
        <w:rPr>
          <w:rFonts w:ascii="Arial" w:eastAsia="Arial" w:hAnsi="Arial" w:cs="Arial"/>
        </w:rPr>
        <w:t>.</w:t>
      </w:r>
    </w:p>
    <w:p w14:paraId="57419327"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Secretaría de Integración Económica Centroamericana (SIECA). (2012). </w:t>
      </w:r>
      <w:r>
        <w:rPr>
          <w:rFonts w:ascii="Arial" w:eastAsia="Arial" w:hAnsi="Arial" w:cs="Arial"/>
          <w:i/>
          <w:iCs/>
        </w:rPr>
        <w:t>Relaciones Comerciales entre Centroamérica y la República Popular China</w:t>
      </w:r>
      <w:r>
        <w:rPr>
          <w:rFonts w:ascii="Arial" w:eastAsia="Arial" w:hAnsi="Arial" w:cs="Arial"/>
        </w:rPr>
        <w:t>.</w:t>
      </w:r>
    </w:p>
    <w:p w14:paraId="09B72A3F"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Secretaría de Relaciones Exteriores y Cooperación Internacional. (2023). </w:t>
      </w:r>
      <w:r>
        <w:rPr>
          <w:rFonts w:ascii="Arial" w:eastAsia="Arial" w:hAnsi="Arial" w:cs="Arial"/>
          <w:i/>
          <w:iCs/>
        </w:rPr>
        <w:t>Comunicado: Honduras Anuncia Ruptura de Relaciones Diplomáticas con Taiwán</w:t>
      </w:r>
      <w:r>
        <w:rPr>
          <w:rFonts w:ascii="Arial" w:eastAsia="Arial" w:hAnsi="Arial" w:cs="Arial"/>
        </w:rPr>
        <w:t>.</w:t>
      </w:r>
    </w:p>
    <w:p w14:paraId="52DC6CA8" w14:textId="77777777" w:rsidR="00085FA7" w:rsidRDefault="00085FA7" w:rsidP="00085FA7">
      <w:pPr>
        <w:spacing w:line="360" w:lineRule="auto"/>
        <w:ind w:hanging="709"/>
        <w:jc w:val="both"/>
        <w:rPr>
          <w:rFonts w:ascii="Arial" w:eastAsia="Arial" w:hAnsi="Arial" w:cs="Arial"/>
        </w:rPr>
      </w:pPr>
      <w:proofErr w:type="spellStart"/>
      <w:r>
        <w:rPr>
          <w:rFonts w:ascii="Arial" w:eastAsia="Arial" w:hAnsi="Arial" w:cs="Arial"/>
        </w:rPr>
        <w:t>Sevares</w:t>
      </w:r>
      <w:proofErr w:type="spellEnd"/>
      <w:r>
        <w:rPr>
          <w:rFonts w:ascii="Arial" w:eastAsia="Arial" w:hAnsi="Arial" w:cs="Arial"/>
        </w:rPr>
        <w:t xml:space="preserve">,  j. (2016). </w:t>
      </w:r>
      <w:r>
        <w:rPr>
          <w:rFonts w:ascii="Arial" w:eastAsia="Arial" w:hAnsi="Arial" w:cs="Arial"/>
          <w:i/>
          <w:iCs/>
        </w:rPr>
        <w:t>Por qué y cómo China ingresó en la OMC. Contexto, condiciones y consecuencias</w:t>
      </w:r>
      <w:r>
        <w:rPr>
          <w:rFonts w:ascii="Arial" w:eastAsia="Arial" w:hAnsi="Arial" w:cs="Arial"/>
        </w:rPr>
        <w:t>. Consejo Argentino para las Relaciones Internacionales.</w:t>
      </w:r>
    </w:p>
    <w:p w14:paraId="6D414497"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SICE. (2008). </w:t>
      </w:r>
      <w:r>
        <w:rPr>
          <w:rFonts w:ascii="Arial" w:eastAsia="Arial" w:hAnsi="Arial" w:cs="Arial"/>
          <w:i/>
          <w:iCs/>
        </w:rPr>
        <w:t>Tratado de Libre Comercio entre la República de China (Taiwán), la República de El Salvador y la República de Honduras</w:t>
      </w:r>
      <w:r>
        <w:rPr>
          <w:rFonts w:ascii="Arial" w:eastAsia="Arial" w:hAnsi="Arial" w:cs="Arial"/>
        </w:rPr>
        <w:t>. http://www.sice.oas.org/trade/slv_hnd_twn_fta_s/SLV_HND_TWN_text_s.asp</w:t>
      </w:r>
    </w:p>
    <w:p w14:paraId="7BF153B5"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SICE. (2025). </w:t>
      </w:r>
      <w:r>
        <w:rPr>
          <w:rFonts w:ascii="Arial" w:eastAsia="Arial" w:hAnsi="Arial" w:cs="Arial"/>
          <w:i/>
          <w:iCs/>
        </w:rPr>
        <w:t>El Salvador, Honduras y Taiwán</w:t>
      </w:r>
      <w:r>
        <w:rPr>
          <w:rFonts w:ascii="Arial" w:eastAsia="Arial" w:hAnsi="Arial" w:cs="Arial"/>
        </w:rPr>
        <w:t>. http://www.sice.oas.org/tpd/slv_twn/slv_twn_s.asp</w:t>
      </w:r>
    </w:p>
    <w:p w14:paraId="74253485"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Sistema de Información sobre Comercio Exterior (SICE). (2022). </w:t>
      </w:r>
      <w:r>
        <w:rPr>
          <w:rFonts w:ascii="Arial" w:eastAsia="Arial" w:hAnsi="Arial" w:cs="Arial"/>
          <w:i/>
          <w:iCs/>
        </w:rPr>
        <w:t>Ecuador-China</w:t>
      </w:r>
      <w:r>
        <w:rPr>
          <w:rFonts w:ascii="Arial" w:eastAsia="Arial" w:hAnsi="Arial" w:cs="Arial"/>
        </w:rPr>
        <w:t>.</w:t>
      </w:r>
    </w:p>
    <w:p w14:paraId="525CD690"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Stake, R. (1999). </w:t>
      </w:r>
      <w:r>
        <w:rPr>
          <w:rFonts w:ascii="Arial" w:eastAsia="Arial" w:hAnsi="Arial" w:cs="Arial"/>
          <w:i/>
          <w:iCs/>
        </w:rPr>
        <w:t>Investigación con estudio de casos</w:t>
      </w:r>
      <w:r>
        <w:rPr>
          <w:rFonts w:ascii="Arial" w:eastAsia="Arial" w:hAnsi="Arial" w:cs="Arial"/>
        </w:rPr>
        <w:t>.</w:t>
      </w:r>
    </w:p>
    <w:p w14:paraId="4EA04314"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Subsecretaría de Relaciones Económicas Internacionales. (s. f.). </w:t>
      </w:r>
      <w:r>
        <w:rPr>
          <w:rFonts w:ascii="Arial" w:eastAsia="Arial" w:hAnsi="Arial" w:cs="Arial"/>
          <w:i/>
          <w:iCs/>
        </w:rPr>
        <w:t>China y Chile: Acuerdo Comercial</w:t>
      </w:r>
      <w:r>
        <w:rPr>
          <w:rFonts w:ascii="Arial" w:eastAsia="Arial" w:hAnsi="Arial" w:cs="Arial"/>
        </w:rPr>
        <w:t>. Default. Recuperado 7 de marzo de 2024, de https://www.subrei.gob.cl/acuerdos-comerciales/acuerdos-comerciales-vigentes/china</w:t>
      </w:r>
    </w:p>
    <w:p w14:paraId="753A3E43"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Timini, J., &amp; Sánchez-Albornoz, A. E.-D. (2019). El impacto de China sobre América Latina: Los canales comerciales y de inversión extranjera directa. </w:t>
      </w:r>
      <w:r>
        <w:rPr>
          <w:rFonts w:ascii="Arial" w:eastAsia="Arial" w:hAnsi="Arial" w:cs="Arial"/>
          <w:i/>
          <w:iCs/>
        </w:rPr>
        <w:t>Banco de España</w:t>
      </w:r>
      <w:r>
        <w:rPr>
          <w:rFonts w:ascii="Arial" w:eastAsia="Arial" w:hAnsi="Arial" w:cs="Arial"/>
        </w:rPr>
        <w:t>.</w:t>
      </w:r>
    </w:p>
    <w:p w14:paraId="56739509"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Torres C., V. (2010). </w:t>
      </w:r>
      <w:r>
        <w:rPr>
          <w:rFonts w:ascii="Arial" w:eastAsia="Arial" w:hAnsi="Arial" w:cs="Arial"/>
          <w:i/>
          <w:iCs/>
        </w:rPr>
        <w:t>El TLC Perú-China:¿oportunidad o amenaza? Posibles implicancias para el Perú</w:t>
      </w:r>
      <w:r>
        <w:rPr>
          <w:rFonts w:ascii="Arial" w:eastAsia="Arial" w:hAnsi="Arial" w:cs="Arial"/>
        </w:rPr>
        <w:t xml:space="preserve"> (1. </w:t>
      </w:r>
      <w:proofErr w:type="spellStart"/>
      <w:r>
        <w:rPr>
          <w:rFonts w:ascii="Arial" w:eastAsia="Arial" w:hAnsi="Arial" w:cs="Arial"/>
        </w:rPr>
        <w:t>ed</w:t>
      </w:r>
      <w:proofErr w:type="spellEnd"/>
      <w:r>
        <w:rPr>
          <w:rFonts w:ascii="Arial" w:eastAsia="Arial" w:hAnsi="Arial" w:cs="Arial"/>
        </w:rPr>
        <w:t>). Centro Peruano de Estudios Sociales, CEPES.</w:t>
      </w:r>
    </w:p>
    <w:p w14:paraId="2B296E7C" w14:textId="77777777" w:rsidR="00085FA7" w:rsidRDefault="00085FA7" w:rsidP="00085FA7">
      <w:pPr>
        <w:spacing w:line="360" w:lineRule="auto"/>
        <w:ind w:hanging="709"/>
        <w:jc w:val="both"/>
        <w:rPr>
          <w:rFonts w:ascii="Arial" w:eastAsia="Arial" w:hAnsi="Arial" w:cs="Arial"/>
        </w:rPr>
      </w:pPr>
      <w:r>
        <w:rPr>
          <w:rFonts w:ascii="Arial" w:eastAsia="Arial" w:hAnsi="Arial" w:cs="Arial"/>
          <w:i/>
          <w:iCs/>
        </w:rPr>
        <w:t>Tratado De Libre Comercio entre El Gobierno De La República del Ecuador y El Gobierno De La República Popular China</w:t>
      </w:r>
      <w:r>
        <w:rPr>
          <w:rFonts w:ascii="Arial" w:eastAsia="Arial" w:hAnsi="Arial" w:cs="Arial"/>
        </w:rPr>
        <w:t>. (2024). https://www.produccion.gob.ec/wp-content/uploads/2023/12/Copia-de-FTA-COPY-ECUADOR-SPANISH_.pdf</w:t>
      </w:r>
    </w:p>
    <w:p w14:paraId="6F805A52" w14:textId="77777777" w:rsidR="00085FA7" w:rsidRDefault="00085FA7" w:rsidP="00085FA7">
      <w:pPr>
        <w:spacing w:line="360" w:lineRule="auto"/>
        <w:ind w:hanging="709"/>
        <w:jc w:val="both"/>
        <w:rPr>
          <w:rFonts w:ascii="Arial" w:eastAsia="Arial" w:hAnsi="Arial" w:cs="Arial"/>
        </w:rPr>
      </w:pPr>
      <w:r>
        <w:rPr>
          <w:rFonts w:ascii="Arial" w:eastAsia="Arial" w:hAnsi="Arial" w:cs="Arial"/>
          <w:i/>
          <w:iCs/>
        </w:rPr>
        <w:lastRenderedPageBreak/>
        <w:t>Tratado de Libre Comercio entre el Gobierno de la República Popular China y el Gobierno de la República de Nicaragua</w:t>
      </w:r>
      <w:r>
        <w:rPr>
          <w:rFonts w:ascii="Arial" w:eastAsia="Arial" w:hAnsi="Arial" w:cs="Arial"/>
        </w:rPr>
        <w:t>. (2022). http://fta.mofcom.gov.cn/nicaragua/xieyi/njly_xdzw_es.pdf</w:t>
      </w:r>
    </w:p>
    <w:p w14:paraId="2A15DC60"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Trejos, A. (2009). Instrumentos para la evaluación del impacto de acuerdos comerciales internacionales: Aplicaciones para países pequeños en América Latina. En D. F. México (Ed.), </w:t>
      </w:r>
      <w:r>
        <w:rPr>
          <w:rFonts w:ascii="Arial" w:eastAsia="Arial" w:hAnsi="Arial" w:cs="Arial"/>
          <w:i/>
          <w:iCs/>
        </w:rPr>
        <w:t>Comisión Económica para América Latina y el Caribe (CEPAL</w:t>
      </w:r>
      <w:r>
        <w:rPr>
          <w:rFonts w:ascii="Arial" w:eastAsia="Arial" w:hAnsi="Arial" w:cs="Arial"/>
        </w:rPr>
        <w:t>.</w:t>
      </w:r>
    </w:p>
    <w:p w14:paraId="23B40799"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UNCTAD. (2008). </w:t>
      </w:r>
      <w:r>
        <w:rPr>
          <w:rFonts w:ascii="Arial" w:eastAsia="Arial" w:hAnsi="Arial" w:cs="Arial"/>
          <w:i/>
          <w:iCs/>
        </w:rPr>
        <w:t>Disposiciones de promoción de la inversión en los acuerdos internacionales de inversión</w:t>
      </w:r>
      <w:r>
        <w:rPr>
          <w:rFonts w:ascii="Arial" w:eastAsia="Arial" w:hAnsi="Arial" w:cs="Arial"/>
        </w:rPr>
        <w:t>. Naciones Unidas.</w:t>
      </w:r>
    </w:p>
    <w:p w14:paraId="4C943F50"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Vernengo, M. (2004). </w:t>
      </w:r>
      <w:proofErr w:type="spellStart"/>
      <w:r>
        <w:rPr>
          <w:rFonts w:ascii="Arial" w:eastAsia="Arial" w:hAnsi="Arial" w:cs="Arial"/>
          <w:i/>
          <w:iCs/>
        </w:rPr>
        <w:t>Technology</w:t>
      </w:r>
      <w:proofErr w:type="spellEnd"/>
      <w:r>
        <w:rPr>
          <w:rFonts w:ascii="Arial" w:eastAsia="Arial" w:hAnsi="Arial" w:cs="Arial"/>
          <w:i/>
          <w:iCs/>
        </w:rPr>
        <w:t xml:space="preserve">, </w:t>
      </w:r>
      <w:proofErr w:type="spellStart"/>
      <w:r>
        <w:rPr>
          <w:rFonts w:ascii="Arial" w:eastAsia="Arial" w:hAnsi="Arial" w:cs="Arial"/>
          <w:i/>
          <w:iCs/>
        </w:rPr>
        <w:t>Finance</w:t>
      </w:r>
      <w:proofErr w:type="spellEnd"/>
      <w:r>
        <w:rPr>
          <w:rFonts w:ascii="Arial" w:eastAsia="Arial" w:hAnsi="Arial" w:cs="Arial"/>
          <w:i/>
          <w:iCs/>
        </w:rPr>
        <w:t xml:space="preserve"> and </w:t>
      </w:r>
      <w:proofErr w:type="spellStart"/>
      <w:r>
        <w:rPr>
          <w:rFonts w:ascii="Arial" w:eastAsia="Arial" w:hAnsi="Arial" w:cs="Arial"/>
          <w:i/>
          <w:iCs/>
        </w:rPr>
        <w:t>Dependency</w:t>
      </w:r>
      <w:proofErr w:type="spellEnd"/>
      <w:r>
        <w:rPr>
          <w:rFonts w:ascii="Arial" w:eastAsia="Arial" w:hAnsi="Arial" w:cs="Arial"/>
          <w:i/>
          <w:iCs/>
        </w:rPr>
        <w:t xml:space="preserve">: </w:t>
      </w:r>
      <w:proofErr w:type="spellStart"/>
      <w:r>
        <w:rPr>
          <w:rFonts w:ascii="Arial" w:eastAsia="Arial" w:hAnsi="Arial" w:cs="Arial"/>
          <w:i/>
          <w:iCs/>
        </w:rPr>
        <w:t>Latin</w:t>
      </w:r>
      <w:proofErr w:type="spellEnd"/>
      <w:r>
        <w:rPr>
          <w:rFonts w:ascii="Arial" w:eastAsia="Arial" w:hAnsi="Arial" w:cs="Arial"/>
          <w:i/>
          <w:iCs/>
        </w:rPr>
        <w:t xml:space="preserve"> American Radical </w:t>
      </w:r>
      <w:proofErr w:type="spellStart"/>
      <w:r>
        <w:rPr>
          <w:rFonts w:ascii="Arial" w:eastAsia="Arial" w:hAnsi="Arial" w:cs="Arial"/>
          <w:i/>
          <w:iCs/>
        </w:rPr>
        <w:t>Political</w:t>
      </w:r>
      <w:proofErr w:type="spellEnd"/>
      <w:r>
        <w:rPr>
          <w:rFonts w:ascii="Arial" w:eastAsia="Arial" w:hAnsi="Arial" w:cs="Arial"/>
          <w:i/>
          <w:iCs/>
        </w:rPr>
        <w:t xml:space="preserve"> Economy in </w:t>
      </w:r>
      <w:proofErr w:type="spellStart"/>
      <w:r>
        <w:rPr>
          <w:rFonts w:ascii="Arial" w:eastAsia="Arial" w:hAnsi="Arial" w:cs="Arial"/>
          <w:i/>
          <w:iCs/>
        </w:rPr>
        <w:t>Retrospect</w:t>
      </w:r>
      <w:proofErr w:type="spellEnd"/>
      <w:r>
        <w:rPr>
          <w:rFonts w:ascii="Arial" w:eastAsia="Arial" w:hAnsi="Arial" w:cs="Arial"/>
        </w:rPr>
        <w:t>. https://web.archive.org/web/20120317085658/http://www.econ.utah.edu/activities/papers/2004_06.pdf</w:t>
      </w:r>
    </w:p>
    <w:p w14:paraId="6E4DCBE2" w14:textId="77777777" w:rsidR="00085FA7" w:rsidRPr="005232BE" w:rsidRDefault="00085FA7" w:rsidP="00085FA7">
      <w:pPr>
        <w:spacing w:line="360" w:lineRule="auto"/>
        <w:ind w:hanging="709"/>
        <w:jc w:val="both"/>
        <w:rPr>
          <w:rFonts w:ascii="Arial" w:eastAsia="Arial" w:hAnsi="Arial" w:cs="Arial"/>
          <w:lang w:val="en-US"/>
        </w:rPr>
      </w:pPr>
      <w:proofErr w:type="spellStart"/>
      <w:r>
        <w:rPr>
          <w:rFonts w:ascii="Arial" w:eastAsia="Arial" w:hAnsi="Arial" w:cs="Arial"/>
        </w:rPr>
        <w:t>Vicarioli</w:t>
      </w:r>
      <w:proofErr w:type="spellEnd"/>
      <w:r>
        <w:rPr>
          <w:rFonts w:ascii="Arial" w:eastAsia="Arial" w:hAnsi="Arial" w:cs="Arial"/>
        </w:rPr>
        <w:t xml:space="preserve">, V. G. (2011). Oportunidades y desafíos del Acuerdo de Asociación con la Unión Europea. </w:t>
      </w:r>
      <w:r w:rsidRPr="005232BE">
        <w:rPr>
          <w:rFonts w:ascii="Arial" w:eastAsia="Arial" w:hAnsi="Arial" w:cs="Arial"/>
          <w:i/>
          <w:iCs/>
          <w:lang w:val="en-US"/>
        </w:rPr>
        <w:t xml:space="preserve">Revista de </w:t>
      </w:r>
      <w:proofErr w:type="spellStart"/>
      <w:r w:rsidRPr="005232BE">
        <w:rPr>
          <w:rFonts w:ascii="Arial" w:eastAsia="Arial" w:hAnsi="Arial" w:cs="Arial"/>
          <w:i/>
          <w:iCs/>
          <w:lang w:val="en-US"/>
        </w:rPr>
        <w:t>Ciencias</w:t>
      </w:r>
      <w:proofErr w:type="spellEnd"/>
      <w:r w:rsidRPr="005232BE">
        <w:rPr>
          <w:rFonts w:ascii="Arial" w:eastAsia="Arial" w:hAnsi="Arial" w:cs="Arial"/>
          <w:i/>
          <w:iCs/>
          <w:lang w:val="en-US"/>
        </w:rPr>
        <w:t xml:space="preserve"> </w:t>
      </w:r>
      <w:proofErr w:type="spellStart"/>
      <w:r w:rsidRPr="005232BE">
        <w:rPr>
          <w:rFonts w:ascii="Arial" w:eastAsia="Arial" w:hAnsi="Arial" w:cs="Arial"/>
          <w:i/>
          <w:iCs/>
          <w:lang w:val="en-US"/>
        </w:rPr>
        <w:t>Jurídicas</w:t>
      </w:r>
      <w:proofErr w:type="spellEnd"/>
      <w:r w:rsidRPr="005232BE">
        <w:rPr>
          <w:rFonts w:ascii="Arial" w:eastAsia="Arial" w:hAnsi="Arial" w:cs="Arial"/>
          <w:lang w:val="en-US"/>
        </w:rPr>
        <w:t>, 13-30.</w:t>
      </w:r>
    </w:p>
    <w:p w14:paraId="3993858D" w14:textId="77777777" w:rsidR="00085FA7" w:rsidRDefault="00085FA7" w:rsidP="00085FA7">
      <w:pPr>
        <w:spacing w:line="360" w:lineRule="auto"/>
        <w:ind w:hanging="709"/>
        <w:jc w:val="both"/>
        <w:rPr>
          <w:rFonts w:ascii="Arial" w:eastAsia="Arial" w:hAnsi="Arial" w:cs="Arial"/>
        </w:rPr>
      </w:pPr>
      <w:r w:rsidRPr="005232BE">
        <w:rPr>
          <w:rFonts w:ascii="Arial" w:eastAsia="Arial" w:hAnsi="Arial" w:cs="Arial"/>
          <w:lang w:val="en-US"/>
        </w:rPr>
        <w:t xml:space="preserve">Yang, L., &amp; </w:t>
      </w:r>
      <w:proofErr w:type="spellStart"/>
      <w:r w:rsidRPr="005232BE">
        <w:rPr>
          <w:rFonts w:ascii="Arial" w:eastAsia="Arial" w:hAnsi="Arial" w:cs="Arial"/>
          <w:lang w:val="en-US"/>
        </w:rPr>
        <w:t>Mingyang</w:t>
      </w:r>
      <w:proofErr w:type="spellEnd"/>
      <w:r w:rsidRPr="005232BE">
        <w:rPr>
          <w:rFonts w:ascii="Arial" w:eastAsia="Arial" w:hAnsi="Arial" w:cs="Arial"/>
          <w:lang w:val="en-US"/>
        </w:rPr>
        <w:t xml:space="preserve">, T. (2023). Honduras will «soon» start FTA negotiations with China, with agricultural goods in focus. </w:t>
      </w:r>
      <w:r>
        <w:rPr>
          <w:rFonts w:ascii="Arial" w:eastAsia="Arial" w:hAnsi="Arial" w:cs="Arial"/>
          <w:i/>
          <w:iCs/>
        </w:rPr>
        <w:t>Global Times</w:t>
      </w:r>
      <w:r>
        <w:rPr>
          <w:rFonts w:ascii="Arial" w:eastAsia="Arial" w:hAnsi="Arial" w:cs="Arial"/>
        </w:rPr>
        <w:t>.</w:t>
      </w:r>
    </w:p>
    <w:p w14:paraId="6B775427" w14:textId="77777777" w:rsidR="00085FA7" w:rsidRDefault="00085FA7" w:rsidP="00085FA7">
      <w:pPr>
        <w:spacing w:line="360" w:lineRule="auto"/>
        <w:ind w:hanging="709"/>
        <w:jc w:val="both"/>
        <w:rPr>
          <w:rFonts w:ascii="Arial" w:eastAsia="Arial" w:hAnsi="Arial" w:cs="Arial"/>
        </w:rPr>
      </w:pPr>
      <w:r>
        <w:rPr>
          <w:rFonts w:ascii="Arial" w:eastAsia="Arial" w:hAnsi="Arial" w:cs="Arial"/>
        </w:rPr>
        <w:t xml:space="preserve">Yuni, J. A., &amp; Urbano, C. A. (2006). </w:t>
      </w:r>
      <w:r>
        <w:rPr>
          <w:rFonts w:ascii="Arial" w:eastAsia="Arial" w:hAnsi="Arial" w:cs="Arial"/>
          <w:i/>
          <w:iCs/>
        </w:rPr>
        <w:t>Técnicas para investigar: Recursos metodológicos para la preparación de proyectos de investigación</w:t>
      </w:r>
      <w:r>
        <w:rPr>
          <w:rFonts w:ascii="Arial" w:eastAsia="Arial" w:hAnsi="Arial" w:cs="Arial"/>
        </w:rPr>
        <w:t>. https://ies6043-sal.infd.edu.ar/sitio/upload/YUNI-URBANO-2006-Tecnicas-para-investigar.pdf</w:t>
      </w:r>
    </w:p>
    <w:p w14:paraId="5BE44584" w14:textId="77777777" w:rsidR="00085FA7" w:rsidRPr="005232BE" w:rsidRDefault="00085FA7" w:rsidP="00085FA7">
      <w:pPr>
        <w:spacing w:line="360" w:lineRule="auto"/>
        <w:ind w:hanging="709"/>
        <w:jc w:val="both"/>
        <w:rPr>
          <w:rFonts w:ascii="Arial" w:eastAsia="Arial" w:hAnsi="Arial" w:cs="Arial"/>
          <w:lang w:val="en-US"/>
        </w:rPr>
      </w:pPr>
      <w:r>
        <w:rPr>
          <w:rFonts w:ascii="Arial" w:eastAsia="Arial" w:hAnsi="Arial" w:cs="Arial"/>
        </w:rPr>
        <w:t xml:space="preserve">Zhiltsov, S. S., Petrenko, E. Y., &amp; Carreras, M. I. (2022). Relaciones de los países de América Latina y la República Popular de China: Oportunidades y Retos. </w:t>
      </w:r>
      <w:proofErr w:type="spellStart"/>
      <w:r w:rsidRPr="005232BE">
        <w:rPr>
          <w:rFonts w:ascii="Arial" w:eastAsia="Arial" w:hAnsi="Arial" w:cs="Arial"/>
          <w:i/>
          <w:iCs/>
          <w:lang w:val="en-US"/>
        </w:rPr>
        <w:t>Iberoamérica</w:t>
      </w:r>
      <w:proofErr w:type="spellEnd"/>
      <w:r w:rsidRPr="005232BE">
        <w:rPr>
          <w:rFonts w:ascii="Arial" w:eastAsia="Arial" w:hAnsi="Arial" w:cs="Arial"/>
          <w:lang w:val="en-US"/>
        </w:rPr>
        <w:t xml:space="preserve">, </w:t>
      </w:r>
      <w:r w:rsidRPr="005232BE">
        <w:rPr>
          <w:rFonts w:ascii="Arial" w:eastAsia="Arial" w:hAnsi="Arial" w:cs="Arial"/>
          <w:i/>
          <w:iCs/>
          <w:lang w:val="en-US"/>
        </w:rPr>
        <w:t>2</w:t>
      </w:r>
      <w:r w:rsidRPr="005232BE">
        <w:rPr>
          <w:rFonts w:ascii="Arial" w:eastAsia="Arial" w:hAnsi="Arial" w:cs="Arial"/>
          <w:lang w:val="en-US"/>
        </w:rPr>
        <w:t>, 148-174.</w:t>
      </w:r>
    </w:p>
    <w:p w14:paraId="5F4BC1C7" w14:textId="77777777" w:rsidR="00085FA7" w:rsidRDefault="00085FA7" w:rsidP="00085FA7">
      <w:pPr>
        <w:spacing w:line="360" w:lineRule="auto"/>
        <w:ind w:hanging="709"/>
        <w:jc w:val="both"/>
        <w:rPr>
          <w:rFonts w:ascii="Arial" w:eastAsia="Arial" w:hAnsi="Arial" w:cs="Arial"/>
        </w:rPr>
      </w:pPr>
      <w:r w:rsidRPr="005232BE">
        <w:rPr>
          <w:rFonts w:ascii="Arial" w:eastAsia="Arial" w:hAnsi="Arial" w:cs="Arial"/>
          <w:lang w:val="en-US"/>
        </w:rPr>
        <w:t xml:space="preserve">Zhou, Z., &amp; Yue, Y. (2019). </w:t>
      </w:r>
      <w:r w:rsidRPr="005232BE">
        <w:rPr>
          <w:rFonts w:ascii="Arial" w:eastAsia="Arial" w:hAnsi="Arial" w:cs="Arial"/>
          <w:i/>
          <w:iCs/>
          <w:lang w:val="en-US"/>
        </w:rPr>
        <w:t>Sino-Latin American Comprehensive Cooperation: Development Logic, Driving Forces, and Prospects</w:t>
      </w:r>
      <w:r w:rsidRPr="005232BE">
        <w:rPr>
          <w:rFonts w:ascii="Arial" w:eastAsia="Arial" w:hAnsi="Arial" w:cs="Arial"/>
          <w:lang w:val="en-US"/>
        </w:rPr>
        <w:t xml:space="preserve"> (E. Y. Chai &amp; Y. Yue, Eds.). </w:t>
      </w:r>
      <w:r>
        <w:rPr>
          <w:rFonts w:ascii="Arial" w:eastAsia="Arial" w:hAnsi="Arial" w:cs="Arial"/>
        </w:rPr>
        <w:t>Sino-</w:t>
      </w:r>
      <w:proofErr w:type="spellStart"/>
      <w:r>
        <w:rPr>
          <w:rFonts w:ascii="Arial" w:eastAsia="Arial" w:hAnsi="Arial" w:cs="Arial"/>
        </w:rPr>
        <w:t>Latin</w:t>
      </w:r>
      <w:proofErr w:type="spellEnd"/>
      <w:r>
        <w:rPr>
          <w:rFonts w:ascii="Arial" w:eastAsia="Arial" w:hAnsi="Arial" w:cs="Arial"/>
        </w:rPr>
        <w:t xml:space="preserve"> American </w:t>
      </w:r>
      <w:proofErr w:type="spellStart"/>
      <w:r>
        <w:rPr>
          <w:rFonts w:ascii="Arial" w:eastAsia="Arial" w:hAnsi="Arial" w:cs="Arial"/>
        </w:rPr>
        <w:t>Economic</w:t>
      </w:r>
      <w:proofErr w:type="spellEnd"/>
      <w:r>
        <w:rPr>
          <w:rFonts w:ascii="Arial" w:eastAsia="Arial" w:hAnsi="Arial" w:cs="Arial"/>
        </w:rPr>
        <w:t xml:space="preserve"> and </w:t>
      </w:r>
      <w:proofErr w:type="spellStart"/>
      <w:r>
        <w:rPr>
          <w:rFonts w:ascii="Arial" w:eastAsia="Arial" w:hAnsi="Arial" w:cs="Arial"/>
        </w:rPr>
        <w:t>Trade</w:t>
      </w:r>
      <w:proofErr w:type="spellEnd"/>
      <w:r>
        <w:rPr>
          <w:rFonts w:ascii="Arial" w:eastAsia="Arial" w:hAnsi="Arial" w:cs="Arial"/>
        </w:rPr>
        <w:t xml:space="preserve"> </w:t>
      </w:r>
      <w:proofErr w:type="spellStart"/>
      <w:r>
        <w:rPr>
          <w:rFonts w:ascii="Arial" w:eastAsia="Arial" w:hAnsi="Arial" w:cs="Arial"/>
        </w:rPr>
        <w:t>Relations</w:t>
      </w:r>
      <w:proofErr w:type="spellEnd"/>
      <w:r>
        <w:rPr>
          <w:rFonts w:ascii="Arial" w:eastAsia="Arial" w:hAnsi="Arial" w:cs="Arial"/>
        </w:rPr>
        <w:t>.</w:t>
      </w:r>
    </w:p>
    <w:p w14:paraId="7855CD8D" w14:textId="77777777" w:rsidR="00085FA7" w:rsidRDefault="00085FA7" w:rsidP="00085FA7">
      <w:pPr>
        <w:spacing w:before="240" w:line="276" w:lineRule="auto"/>
        <w:jc w:val="both"/>
      </w:pPr>
    </w:p>
    <w:p w14:paraId="53403468" w14:textId="77777777" w:rsidR="00085FA7" w:rsidRDefault="00085FA7" w:rsidP="00BB2C0A">
      <w:pPr>
        <w:spacing w:line="360" w:lineRule="auto"/>
        <w:jc w:val="both"/>
        <w:rPr>
          <w:rFonts w:ascii="Arial" w:hAnsi="Arial" w:cs="Arial"/>
        </w:rPr>
      </w:pPr>
    </w:p>
    <w:p w14:paraId="3BA8F8FB" w14:textId="77777777" w:rsidR="00085FA7" w:rsidRDefault="00085FA7" w:rsidP="00BB2C0A">
      <w:pPr>
        <w:spacing w:line="360" w:lineRule="auto"/>
        <w:jc w:val="both"/>
        <w:rPr>
          <w:rFonts w:ascii="Arial" w:hAnsi="Arial" w:cs="Arial"/>
        </w:rPr>
      </w:pPr>
    </w:p>
    <w:p w14:paraId="04AF0833" w14:textId="77777777" w:rsidR="001E16B9" w:rsidRDefault="001E16B9" w:rsidP="00BB2C0A">
      <w:pPr>
        <w:spacing w:before="240" w:line="360" w:lineRule="auto"/>
        <w:jc w:val="both"/>
        <w:rPr>
          <w:rFonts w:ascii="Arial" w:hAnsi="Arial" w:cs="Arial"/>
        </w:rPr>
      </w:pPr>
    </w:p>
    <w:p w14:paraId="47FD99D0" w14:textId="77777777" w:rsidR="00715C83" w:rsidRDefault="00715C83" w:rsidP="00BB2C0A">
      <w:pPr>
        <w:spacing w:before="240" w:line="360" w:lineRule="auto"/>
        <w:jc w:val="both"/>
        <w:rPr>
          <w:rFonts w:ascii="Arial" w:hAnsi="Arial" w:cs="Arial"/>
        </w:rPr>
      </w:pPr>
    </w:p>
    <w:p w14:paraId="6CEF704C" w14:textId="77777777" w:rsidR="00715C83" w:rsidRPr="00BB2C0A" w:rsidRDefault="00715C83" w:rsidP="00BB2C0A">
      <w:pPr>
        <w:spacing w:before="240" w:line="360" w:lineRule="auto"/>
        <w:jc w:val="both"/>
        <w:rPr>
          <w:rFonts w:ascii="Arial" w:hAnsi="Arial" w:cs="Arial"/>
        </w:rPr>
      </w:pPr>
    </w:p>
    <w:p w14:paraId="08D8149F" w14:textId="79724AC6" w:rsidR="009F5558" w:rsidRPr="00DE4FCB" w:rsidRDefault="009F5558" w:rsidP="009F5558">
      <w:pPr>
        <w:pStyle w:val="Ttulo1"/>
        <w:numPr>
          <w:ilvl w:val="0"/>
          <w:numId w:val="0"/>
        </w:numPr>
        <w:rPr>
          <w:rFonts w:ascii="Arial" w:hAnsi="Arial" w:cs="Arial"/>
          <w:b/>
          <w:bCs/>
          <w:color w:val="000000" w:themeColor="text1"/>
          <w:sz w:val="28"/>
          <w:szCs w:val="28"/>
        </w:rPr>
      </w:pPr>
      <w:bookmarkStart w:id="86" w:name="_Toc236232363"/>
      <w:r w:rsidRPr="00DE4FCB">
        <w:rPr>
          <w:rFonts w:ascii="Arial" w:hAnsi="Arial" w:cs="Arial"/>
          <w:b/>
          <w:bCs/>
          <w:color w:val="000000" w:themeColor="text1"/>
          <w:sz w:val="28"/>
          <w:szCs w:val="28"/>
        </w:rPr>
        <w:lastRenderedPageBreak/>
        <w:t>Anexo</w:t>
      </w:r>
      <w:r w:rsidR="00BB2C0A">
        <w:rPr>
          <w:rFonts w:ascii="Arial" w:hAnsi="Arial" w:cs="Arial"/>
          <w:b/>
          <w:bCs/>
          <w:color w:val="000000" w:themeColor="text1"/>
          <w:sz w:val="28"/>
          <w:szCs w:val="28"/>
        </w:rPr>
        <w:t>s</w:t>
      </w:r>
      <w:bookmarkEnd w:id="86"/>
    </w:p>
    <w:p w14:paraId="649BD31A" w14:textId="77777777" w:rsidR="009F5558" w:rsidRPr="000F42B6" w:rsidRDefault="009F5558" w:rsidP="009F5558"/>
    <w:p w14:paraId="48FE8741" w14:textId="77777777" w:rsidR="009F5558" w:rsidRPr="00822279" w:rsidRDefault="009F5558" w:rsidP="009F5558">
      <w:pPr>
        <w:pStyle w:val="Ttulo2"/>
        <w:numPr>
          <w:ilvl w:val="0"/>
          <w:numId w:val="0"/>
        </w:numPr>
        <w:ind w:left="576" w:hanging="144"/>
        <w:rPr>
          <w:rFonts w:ascii="Arial" w:hAnsi="Arial" w:cs="Arial"/>
          <w:color w:val="000000" w:themeColor="text1"/>
          <w:sz w:val="24"/>
          <w:szCs w:val="24"/>
        </w:rPr>
      </w:pPr>
      <w:bookmarkStart w:id="87" w:name="_Toc236232364"/>
      <w:r w:rsidRPr="00795AAA">
        <w:rPr>
          <w:rFonts w:ascii="Arial" w:hAnsi="Arial" w:cs="Arial"/>
          <w:b/>
          <w:bCs/>
          <w:color w:val="000000" w:themeColor="text1"/>
          <w:sz w:val="24"/>
          <w:szCs w:val="24"/>
        </w:rPr>
        <w:t>Anexo I:</w:t>
      </w:r>
      <w:r w:rsidRPr="00822279">
        <w:rPr>
          <w:rFonts w:ascii="Arial" w:hAnsi="Arial" w:cs="Arial"/>
          <w:color w:val="000000" w:themeColor="text1"/>
          <w:sz w:val="24"/>
          <w:szCs w:val="24"/>
        </w:rPr>
        <w:t xml:space="preserve"> </w:t>
      </w:r>
      <w:r w:rsidRPr="00795AAA">
        <w:rPr>
          <w:rFonts w:ascii="Arial" w:hAnsi="Arial" w:cs="Arial"/>
          <w:i/>
          <w:iCs/>
          <w:color w:val="000000" w:themeColor="text1"/>
          <w:sz w:val="24"/>
          <w:szCs w:val="24"/>
        </w:rPr>
        <w:t>Entrevista a Productores en Honduras</w:t>
      </w:r>
      <w:bookmarkEnd w:id="87"/>
    </w:p>
    <w:p w14:paraId="67979749" w14:textId="77777777" w:rsidR="009F5558" w:rsidRPr="00522440" w:rsidRDefault="009F5558" w:rsidP="009F5558">
      <w:r>
        <w:tab/>
      </w:r>
    </w:p>
    <w:tbl>
      <w:tblPr>
        <w:tblStyle w:val="Tablaconcuadrcula"/>
        <w:tblpPr w:leftFromText="142" w:rightFromText="142" w:vertAnchor="text" w:tblpY="1"/>
        <w:tblW w:w="8777" w:type="dxa"/>
        <w:tblLook w:val="04A0" w:firstRow="1" w:lastRow="0" w:firstColumn="1" w:lastColumn="0" w:noHBand="0" w:noVBand="1"/>
      </w:tblPr>
      <w:tblGrid>
        <w:gridCol w:w="4387"/>
        <w:gridCol w:w="4390"/>
      </w:tblGrid>
      <w:tr w:rsidR="009F5558" w:rsidRPr="007F217F" w14:paraId="3D3F59A7" w14:textId="77777777" w:rsidTr="00552171">
        <w:trPr>
          <w:trHeight w:val="994"/>
        </w:trPr>
        <w:tc>
          <w:tcPr>
            <w:tcW w:w="8777" w:type="dxa"/>
            <w:gridSpan w:val="2"/>
            <w:vAlign w:val="center"/>
          </w:tcPr>
          <w:p w14:paraId="3D93C115" w14:textId="77777777" w:rsidR="009F5558" w:rsidRDefault="009F5558" w:rsidP="00B06EAF">
            <w:pPr>
              <w:spacing w:after="160"/>
              <w:rPr>
                <w:rFonts w:ascii="Arial" w:hAnsi="Arial" w:cs="Arial"/>
                <w:sz w:val="22"/>
                <w:szCs w:val="22"/>
              </w:rPr>
            </w:pPr>
          </w:p>
          <w:p w14:paraId="68631C3E" w14:textId="77777777" w:rsidR="009F5558" w:rsidRPr="007F217F" w:rsidRDefault="009F5558" w:rsidP="00B06EAF">
            <w:pPr>
              <w:spacing w:before="240" w:after="160"/>
              <w:jc w:val="center"/>
              <w:rPr>
                <w:rFonts w:ascii="Arial" w:hAnsi="Arial" w:cs="Arial"/>
                <w:sz w:val="22"/>
                <w:szCs w:val="22"/>
              </w:rPr>
            </w:pPr>
            <w:r w:rsidRPr="007F217F">
              <w:rPr>
                <w:rFonts w:ascii="Arial" w:hAnsi="Arial" w:cs="Arial"/>
                <w:b/>
                <w:noProof/>
                <w:color w:val="000000" w:themeColor="text1"/>
                <w:sz w:val="22"/>
                <w:szCs w:val="22"/>
              </w:rPr>
              <w:drawing>
                <wp:inline distT="0" distB="0" distL="0" distR="0" wp14:anchorId="2EF8E943" wp14:editId="1E1985BC">
                  <wp:extent cx="937895" cy="818865"/>
                  <wp:effectExtent l="0" t="0" r="1905" b="0"/>
                  <wp:docPr id="968289690" name="Imagen 968289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5" cstate="print">
                            <a:extLst>
                              <a:ext uri="{28A0092B-C50C-407E-A947-70E740481C1C}">
                                <a14:useLocalDpi xmlns:a14="http://schemas.microsoft.com/office/drawing/2010/main" val="0"/>
                              </a:ext>
                            </a:extLst>
                          </a:blip>
                          <a:srcRect l="26105" t="12383" r="25182" b="11252"/>
                          <a:stretch>
                            <a:fillRect/>
                          </a:stretch>
                        </pic:blipFill>
                        <pic:spPr bwMode="auto">
                          <a:xfrm>
                            <a:off x="0" y="0"/>
                            <a:ext cx="942659" cy="823025"/>
                          </a:xfrm>
                          <a:prstGeom prst="rect">
                            <a:avLst/>
                          </a:prstGeom>
                          <a:noFill/>
                          <a:ln>
                            <a:noFill/>
                          </a:ln>
                        </pic:spPr>
                      </pic:pic>
                    </a:graphicData>
                  </a:graphic>
                </wp:inline>
              </w:drawing>
            </w:r>
          </w:p>
        </w:tc>
      </w:tr>
      <w:tr w:rsidR="009F5558" w:rsidRPr="007F217F" w14:paraId="30D04E90" w14:textId="77777777" w:rsidTr="00552171">
        <w:trPr>
          <w:trHeight w:val="788"/>
        </w:trPr>
        <w:tc>
          <w:tcPr>
            <w:tcW w:w="8777" w:type="dxa"/>
            <w:gridSpan w:val="2"/>
          </w:tcPr>
          <w:p w14:paraId="425F416C" w14:textId="77777777" w:rsidR="009F5558" w:rsidRPr="00FA1E4C" w:rsidRDefault="009F5558" w:rsidP="00B06EAF">
            <w:pPr>
              <w:spacing w:after="160"/>
              <w:jc w:val="center"/>
              <w:rPr>
                <w:rFonts w:ascii="Arial" w:hAnsi="Arial" w:cs="Arial"/>
                <w:color w:val="000000" w:themeColor="text1"/>
              </w:rPr>
            </w:pPr>
            <w:r w:rsidRPr="00FA1E4C">
              <w:rPr>
                <w:rFonts w:ascii="Arial" w:hAnsi="Arial" w:cs="Arial"/>
                <w:color w:val="000000" w:themeColor="text1"/>
              </w:rPr>
              <w:t>Negociación del Tratado de Libre Comercio entre Honduras y China</w:t>
            </w:r>
          </w:p>
          <w:p w14:paraId="5B5D9956" w14:textId="77777777" w:rsidR="009F5558" w:rsidRPr="00FA1E4C" w:rsidRDefault="009F5558" w:rsidP="00B06EAF">
            <w:pPr>
              <w:spacing w:after="160"/>
              <w:jc w:val="center"/>
              <w:rPr>
                <w:rFonts w:ascii="Arial" w:hAnsi="Arial" w:cs="Arial"/>
                <w:b/>
                <w:bCs/>
                <w:color w:val="000000" w:themeColor="text1"/>
              </w:rPr>
            </w:pPr>
            <w:r w:rsidRPr="00FA1E4C">
              <w:rPr>
                <w:rFonts w:ascii="Arial" w:hAnsi="Arial" w:cs="Arial"/>
                <w:b/>
                <w:bCs/>
                <w:color w:val="000000" w:themeColor="text1"/>
              </w:rPr>
              <w:t>Entrevista a Productores en Honduras</w:t>
            </w:r>
          </w:p>
        </w:tc>
      </w:tr>
      <w:tr w:rsidR="009F5558" w:rsidRPr="007F217F" w14:paraId="12AB847C" w14:textId="77777777" w:rsidTr="00552171">
        <w:trPr>
          <w:trHeight w:val="385"/>
        </w:trPr>
        <w:tc>
          <w:tcPr>
            <w:tcW w:w="4387" w:type="dxa"/>
          </w:tcPr>
          <w:p w14:paraId="4262A761" w14:textId="77777777" w:rsidR="009F5558" w:rsidRPr="00FA1E4C" w:rsidRDefault="009F5558" w:rsidP="00B06EAF">
            <w:pPr>
              <w:spacing w:after="160"/>
              <w:rPr>
                <w:rFonts w:ascii="Arial" w:hAnsi="Arial" w:cs="Arial"/>
                <w:color w:val="000000" w:themeColor="text1"/>
              </w:rPr>
            </w:pPr>
            <w:r w:rsidRPr="00FA1E4C">
              <w:rPr>
                <w:rFonts w:ascii="Arial" w:hAnsi="Arial" w:cs="Arial"/>
                <w:color w:val="000000" w:themeColor="text1"/>
              </w:rPr>
              <w:t>Lugar:</w:t>
            </w:r>
          </w:p>
        </w:tc>
        <w:tc>
          <w:tcPr>
            <w:tcW w:w="4389" w:type="dxa"/>
          </w:tcPr>
          <w:p w14:paraId="5DBC0F80" w14:textId="77777777" w:rsidR="009F5558" w:rsidRPr="00FA1E4C" w:rsidRDefault="009F5558" w:rsidP="00B06EAF">
            <w:pPr>
              <w:spacing w:after="160"/>
              <w:rPr>
                <w:rFonts w:ascii="Arial" w:hAnsi="Arial" w:cs="Arial"/>
              </w:rPr>
            </w:pPr>
          </w:p>
        </w:tc>
      </w:tr>
      <w:tr w:rsidR="009F5558" w:rsidRPr="007F217F" w14:paraId="7AF5D509" w14:textId="77777777" w:rsidTr="00552171">
        <w:trPr>
          <w:trHeight w:val="368"/>
        </w:trPr>
        <w:tc>
          <w:tcPr>
            <w:tcW w:w="4387" w:type="dxa"/>
          </w:tcPr>
          <w:p w14:paraId="59063A80" w14:textId="77777777" w:rsidR="009F5558" w:rsidRPr="00FA1E4C" w:rsidRDefault="009F5558" w:rsidP="00B06EAF">
            <w:pPr>
              <w:spacing w:after="160"/>
              <w:rPr>
                <w:rFonts w:ascii="Arial" w:hAnsi="Arial" w:cs="Arial"/>
                <w:color w:val="000000" w:themeColor="text1"/>
              </w:rPr>
            </w:pPr>
            <w:r w:rsidRPr="00FA1E4C">
              <w:rPr>
                <w:rFonts w:ascii="Arial" w:hAnsi="Arial" w:cs="Arial"/>
                <w:color w:val="000000" w:themeColor="text1"/>
              </w:rPr>
              <w:t xml:space="preserve">Fecha: </w:t>
            </w:r>
          </w:p>
        </w:tc>
        <w:tc>
          <w:tcPr>
            <w:tcW w:w="4389" w:type="dxa"/>
          </w:tcPr>
          <w:p w14:paraId="5EFF15D7" w14:textId="77777777" w:rsidR="009F5558" w:rsidRPr="00FA1E4C" w:rsidRDefault="009F5558" w:rsidP="00B06EAF">
            <w:pPr>
              <w:spacing w:after="160"/>
              <w:rPr>
                <w:rFonts w:ascii="Arial" w:hAnsi="Arial" w:cs="Arial"/>
              </w:rPr>
            </w:pPr>
          </w:p>
        </w:tc>
      </w:tr>
      <w:tr w:rsidR="009F5558" w:rsidRPr="007F217F" w14:paraId="018EEB36" w14:textId="77777777" w:rsidTr="00552171">
        <w:trPr>
          <w:trHeight w:val="288"/>
        </w:trPr>
        <w:tc>
          <w:tcPr>
            <w:tcW w:w="8777" w:type="dxa"/>
            <w:gridSpan w:val="2"/>
          </w:tcPr>
          <w:p w14:paraId="43FAA4BE" w14:textId="77777777" w:rsidR="009F5558" w:rsidRPr="00FA1E4C" w:rsidRDefault="009F5558" w:rsidP="00B06EAF">
            <w:pPr>
              <w:spacing w:after="160"/>
              <w:jc w:val="center"/>
              <w:rPr>
                <w:rFonts w:ascii="Arial" w:hAnsi="Arial" w:cs="Arial"/>
                <w:color w:val="000000" w:themeColor="text1"/>
              </w:rPr>
            </w:pPr>
            <w:r w:rsidRPr="00FA1E4C">
              <w:rPr>
                <w:rFonts w:ascii="Arial" w:hAnsi="Arial" w:cs="Arial"/>
                <w:color w:val="000000" w:themeColor="text1"/>
              </w:rPr>
              <w:t>Datos del entrevistado</w:t>
            </w:r>
          </w:p>
        </w:tc>
      </w:tr>
      <w:tr w:rsidR="009F5558" w:rsidRPr="007F217F" w14:paraId="65C59D24" w14:textId="77777777" w:rsidTr="00552171">
        <w:trPr>
          <w:trHeight w:val="385"/>
        </w:trPr>
        <w:tc>
          <w:tcPr>
            <w:tcW w:w="4387" w:type="dxa"/>
          </w:tcPr>
          <w:p w14:paraId="62E23674" w14:textId="77777777" w:rsidR="009F5558" w:rsidRPr="00FA1E4C" w:rsidRDefault="009F5558" w:rsidP="00B06EAF">
            <w:pPr>
              <w:spacing w:after="160"/>
              <w:rPr>
                <w:rFonts w:ascii="Arial" w:hAnsi="Arial" w:cs="Arial"/>
                <w:color w:val="000000" w:themeColor="text1"/>
              </w:rPr>
            </w:pPr>
            <w:r w:rsidRPr="00FA1E4C">
              <w:rPr>
                <w:rFonts w:ascii="Arial" w:hAnsi="Arial" w:cs="Arial"/>
                <w:color w:val="000000" w:themeColor="text1"/>
              </w:rPr>
              <w:t>Nombre y apellido:</w:t>
            </w:r>
          </w:p>
        </w:tc>
        <w:tc>
          <w:tcPr>
            <w:tcW w:w="4389" w:type="dxa"/>
          </w:tcPr>
          <w:p w14:paraId="1B4FF70E" w14:textId="77777777" w:rsidR="009F5558" w:rsidRPr="00FA1E4C" w:rsidRDefault="009F5558" w:rsidP="00B06EAF">
            <w:pPr>
              <w:spacing w:after="160"/>
              <w:rPr>
                <w:rFonts w:ascii="Arial" w:hAnsi="Arial" w:cs="Arial"/>
              </w:rPr>
            </w:pPr>
          </w:p>
        </w:tc>
      </w:tr>
      <w:tr w:rsidR="009F5558" w:rsidRPr="007F217F" w14:paraId="567B9BCF" w14:textId="77777777" w:rsidTr="00552171">
        <w:trPr>
          <w:trHeight w:val="385"/>
        </w:trPr>
        <w:tc>
          <w:tcPr>
            <w:tcW w:w="4387" w:type="dxa"/>
          </w:tcPr>
          <w:p w14:paraId="692A4BBC" w14:textId="77777777" w:rsidR="009F5558" w:rsidRPr="00FA1E4C" w:rsidRDefault="009F5558" w:rsidP="00B06EAF">
            <w:pPr>
              <w:spacing w:after="160"/>
              <w:rPr>
                <w:rFonts w:ascii="Arial" w:hAnsi="Arial" w:cs="Arial"/>
                <w:color w:val="000000" w:themeColor="text1"/>
              </w:rPr>
            </w:pPr>
            <w:r w:rsidRPr="00FA1E4C">
              <w:rPr>
                <w:rFonts w:ascii="Arial" w:hAnsi="Arial" w:cs="Arial"/>
                <w:color w:val="000000" w:themeColor="text1"/>
              </w:rPr>
              <w:t>Empresa u Organización:</w:t>
            </w:r>
          </w:p>
        </w:tc>
        <w:tc>
          <w:tcPr>
            <w:tcW w:w="4389" w:type="dxa"/>
          </w:tcPr>
          <w:p w14:paraId="16A86D73" w14:textId="77777777" w:rsidR="009F5558" w:rsidRPr="00FA1E4C" w:rsidRDefault="009F5558" w:rsidP="00B06EAF">
            <w:pPr>
              <w:spacing w:after="160"/>
              <w:rPr>
                <w:rFonts w:ascii="Arial" w:hAnsi="Arial" w:cs="Arial"/>
              </w:rPr>
            </w:pPr>
          </w:p>
        </w:tc>
      </w:tr>
      <w:tr w:rsidR="009F5558" w:rsidRPr="007F217F" w14:paraId="3F6A71CB" w14:textId="77777777" w:rsidTr="00552171">
        <w:trPr>
          <w:trHeight w:val="385"/>
        </w:trPr>
        <w:tc>
          <w:tcPr>
            <w:tcW w:w="4387" w:type="dxa"/>
          </w:tcPr>
          <w:p w14:paraId="5F153588" w14:textId="77777777" w:rsidR="009F5558" w:rsidRPr="00FA1E4C" w:rsidRDefault="009F5558" w:rsidP="00B06EAF">
            <w:pPr>
              <w:spacing w:after="160"/>
              <w:rPr>
                <w:rFonts w:ascii="Arial" w:hAnsi="Arial" w:cs="Arial"/>
                <w:color w:val="000000" w:themeColor="text1"/>
              </w:rPr>
            </w:pPr>
            <w:r w:rsidRPr="00FA1E4C">
              <w:rPr>
                <w:rFonts w:ascii="Arial" w:hAnsi="Arial" w:cs="Arial"/>
                <w:color w:val="000000" w:themeColor="text1"/>
              </w:rPr>
              <w:t xml:space="preserve">Puesto o Cargo: </w:t>
            </w:r>
          </w:p>
        </w:tc>
        <w:tc>
          <w:tcPr>
            <w:tcW w:w="4389" w:type="dxa"/>
          </w:tcPr>
          <w:p w14:paraId="4BB37A5F" w14:textId="77777777" w:rsidR="009F5558" w:rsidRPr="00FA1E4C" w:rsidRDefault="009F5558" w:rsidP="00B06EAF">
            <w:pPr>
              <w:spacing w:after="160"/>
              <w:rPr>
                <w:rFonts w:ascii="Arial" w:hAnsi="Arial" w:cs="Arial"/>
              </w:rPr>
            </w:pPr>
          </w:p>
        </w:tc>
      </w:tr>
      <w:tr w:rsidR="009F5558" w:rsidRPr="007F217F" w14:paraId="0E850EFC" w14:textId="77777777" w:rsidTr="00552171">
        <w:trPr>
          <w:trHeight w:val="385"/>
        </w:trPr>
        <w:tc>
          <w:tcPr>
            <w:tcW w:w="4387" w:type="dxa"/>
          </w:tcPr>
          <w:p w14:paraId="719C4612" w14:textId="77777777" w:rsidR="009F5558" w:rsidRPr="00FA1E4C" w:rsidRDefault="009F5558" w:rsidP="00B06EAF">
            <w:pPr>
              <w:spacing w:after="160"/>
              <w:rPr>
                <w:rFonts w:ascii="Arial" w:hAnsi="Arial" w:cs="Arial"/>
                <w:color w:val="000000" w:themeColor="text1"/>
              </w:rPr>
            </w:pPr>
            <w:r w:rsidRPr="00FA1E4C">
              <w:rPr>
                <w:rFonts w:ascii="Arial" w:hAnsi="Arial" w:cs="Arial"/>
                <w:color w:val="000000" w:themeColor="text1"/>
              </w:rPr>
              <w:t xml:space="preserve">Sector/Rubro: </w:t>
            </w:r>
          </w:p>
        </w:tc>
        <w:tc>
          <w:tcPr>
            <w:tcW w:w="4389" w:type="dxa"/>
          </w:tcPr>
          <w:p w14:paraId="13390BC4" w14:textId="77777777" w:rsidR="009F5558" w:rsidRPr="00FA1E4C" w:rsidRDefault="009F5558" w:rsidP="00B06EAF">
            <w:pPr>
              <w:spacing w:after="160"/>
              <w:rPr>
                <w:rFonts w:ascii="Arial" w:hAnsi="Arial" w:cs="Arial"/>
              </w:rPr>
            </w:pPr>
          </w:p>
        </w:tc>
      </w:tr>
      <w:tr w:rsidR="009F5558" w:rsidRPr="007F217F" w14:paraId="7F1730FB" w14:textId="77777777" w:rsidTr="00552171">
        <w:trPr>
          <w:trHeight w:val="3768"/>
        </w:trPr>
        <w:tc>
          <w:tcPr>
            <w:tcW w:w="8777" w:type="dxa"/>
            <w:gridSpan w:val="2"/>
          </w:tcPr>
          <w:p w14:paraId="219C968A" w14:textId="77777777" w:rsidR="009F5558" w:rsidRPr="00FA1E4C" w:rsidRDefault="009F5558">
            <w:pPr>
              <w:pStyle w:val="Prrafodelista"/>
              <w:numPr>
                <w:ilvl w:val="0"/>
                <w:numId w:val="12"/>
              </w:numPr>
              <w:jc w:val="both"/>
              <w:rPr>
                <w:rFonts w:ascii="Arial" w:hAnsi="Arial" w:cs="Arial"/>
                <w:color w:val="000000" w:themeColor="text1"/>
              </w:rPr>
            </w:pPr>
            <w:bookmarkStart w:id="88" w:name="OLE_LINK3"/>
            <w:bookmarkStart w:id="89" w:name="OLE_LINK4"/>
            <w:r w:rsidRPr="00FA1E4C">
              <w:rPr>
                <w:rFonts w:ascii="Arial" w:hAnsi="Arial" w:cs="Arial"/>
                <w:color w:val="000000" w:themeColor="text1"/>
              </w:rPr>
              <w:t>¿Podría compartir su perspectiva sobre la viabilidad de que los productores hondureños exporten a China y cómo visualiza la dinámica comercial con este país en un futuro cercano?</w:t>
            </w:r>
          </w:p>
          <w:bookmarkEnd w:id="88"/>
          <w:bookmarkEnd w:id="89"/>
          <w:p w14:paraId="0F48006E" w14:textId="77777777" w:rsidR="009F5558" w:rsidRPr="00FA1E4C" w:rsidRDefault="009F5558" w:rsidP="00B06EAF">
            <w:pPr>
              <w:jc w:val="both"/>
              <w:rPr>
                <w:rFonts w:ascii="Arial" w:hAnsi="Arial" w:cs="Arial"/>
                <w:color w:val="000000" w:themeColor="text1"/>
              </w:rPr>
            </w:pPr>
          </w:p>
          <w:p w14:paraId="58453CB3" w14:textId="77777777" w:rsidR="009F5558" w:rsidRPr="00FA1E4C" w:rsidRDefault="009F5558">
            <w:pPr>
              <w:pStyle w:val="Prrafodelista"/>
              <w:numPr>
                <w:ilvl w:val="0"/>
                <w:numId w:val="12"/>
              </w:numPr>
              <w:jc w:val="both"/>
              <w:rPr>
                <w:rFonts w:ascii="Arial" w:hAnsi="Arial" w:cs="Arial"/>
                <w:color w:val="000000" w:themeColor="text1"/>
              </w:rPr>
            </w:pPr>
            <w:bookmarkStart w:id="90" w:name="OLE_LINK5"/>
            <w:bookmarkStart w:id="91" w:name="OLE_LINK6"/>
            <w:r w:rsidRPr="00FA1E4C">
              <w:rPr>
                <w:rFonts w:ascii="Arial" w:hAnsi="Arial" w:cs="Arial"/>
                <w:color w:val="000000" w:themeColor="text1"/>
              </w:rPr>
              <w:t>Desde su punto de vista, ¿cuáles considera que son las principales ventajas de exportar sus productos a China en comparación con otros mercados a los que ya exporta? ¿Cuáles percibe como posibles desafíos?</w:t>
            </w:r>
          </w:p>
          <w:bookmarkEnd w:id="90"/>
          <w:bookmarkEnd w:id="91"/>
          <w:p w14:paraId="73367677" w14:textId="77777777" w:rsidR="009F5558" w:rsidRPr="00FA1E4C" w:rsidRDefault="009F5558" w:rsidP="00B06EAF">
            <w:pPr>
              <w:jc w:val="both"/>
              <w:rPr>
                <w:rFonts w:ascii="Arial" w:hAnsi="Arial" w:cs="Arial"/>
                <w:color w:val="000000" w:themeColor="text1"/>
              </w:rPr>
            </w:pPr>
          </w:p>
          <w:p w14:paraId="0B6BB276" w14:textId="77777777" w:rsidR="009F5558" w:rsidRPr="00FA1E4C" w:rsidRDefault="009F5558">
            <w:pPr>
              <w:pStyle w:val="Prrafodelista"/>
              <w:numPr>
                <w:ilvl w:val="0"/>
                <w:numId w:val="12"/>
              </w:numPr>
              <w:jc w:val="both"/>
              <w:rPr>
                <w:rFonts w:ascii="Arial" w:hAnsi="Arial" w:cs="Arial"/>
                <w:color w:val="000000" w:themeColor="text1"/>
              </w:rPr>
            </w:pPr>
            <w:bookmarkStart w:id="92" w:name="OLE_LINK7"/>
            <w:bookmarkStart w:id="93" w:name="OLE_LINK8"/>
            <w:r w:rsidRPr="00FA1E4C">
              <w:rPr>
                <w:rFonts w:ascii="Arial" w:hAnsi="Arial" w:cs="Arial"/>
                <w:color w:val="000000" w:themeColor="text1"/>
              </w:rPr>
              <w:t>¿Cree que las importaciones de China tendrán un impacto directo en su negocio y representarán una competencia en el mercado hondureño?</w:t>
            </w:r>
          </w:p>
          <w:bookmarkEnd w:id="92"/>
          <w:bookmarkEnd w:id="93"/>
          <w:p w14:paraId="3DAA1CAE" w14:textId="77777777" w:rsidR="009F5558" w:rsidRPr="00FA1E4C" w:rsidRDefault="009F5558" w:rsidP="00B06EAF">
            <w:pPr>
              <w:jc w:val="both"/>
              <w:rPr>
                <w:rFonts w:ascii="Arial" w:hAnsi="Arial" w:cs="Arial"/>
                <w:color w:val="000000" w:themeColor="text1"/>
              </w:rPr>
            </w:pPr>
          </w:p>
          <w:p w14:paraId="421B0173" w14:textId="77777777" w:rsidR="009F5558" w:rsidRPr="00FA1E4C" w:rsidRDefault="009F5558">
            <w:pPr>
              <w:pStyle w:val="Prrafodelista"/>
              <w:numPr>
                <w:ilvl w:val="0"/>
                <w:numId w:val="12"/>
              </w:numPr>
              <w:jc w:val="both"/>
              <w:rPr>
                <w:rFonts w:ascii="Arial" w:hAnsi="Arial" w:cs="Arial"/>
                <w:color w:val="000000" w:themeColor="text1"/>
              </w:rPr>
            </w:pPr>
            <w:bookmarkStart w:id="94" w:name="OLE_LINK9"/>
            <w:bookmarkStart w:id="95" w:name="OLE_LINK10"/>
            <w:r w:rsidRPr="00FA1E4C">
              <w:rPr>
                <w:rFonts w:ascii="Arial" w:hAnsi="Arial" w:cs="Arial"/>
                <w:color w:val="000000" w:themeColor="text1"/>
              </w:rPr>
              <w:t>Dado que Honduras anunció la firma y entrada en vigencia del acuerdo para julio de 2024, ¿planea aprovechar el Tratado de Libre Comercio (TLC)? En caso afirmativo, ¿cuál es el plazo que estima para aprovecharlo?</w:t>
            </w:r>
          </w:p>
          <w:bookmarkEnd w:id="94"/>
          <w:bookmarkEnd w:id="95"/>
          <w:p w14:paraId="21136222" w14:textId="77777777" w:rsidR="009F5558" w:rsidRPr="00FA1E4C" w:rsidRDefault="009F5558" w:rsidP="00B06EAF">
            <w:pPr>
              <w:jc w:val="both"/>
              <w:rPr>
                <w:rFonts w:ascii="Arial" w:hAnsi="Arial" w:cs="Arial"/>
                <w:color w:val="000000" w:themeColor="text1"/>
              </w:rPr>
            </w:pPr>
          </w:p>
          <w:p w14:paraId="7FA88585" w14:textId="77777777" w:rsidR="009F5558" w:rsidRPr="00FA1E4C" w:rsidRDefault="009F5558">
            <w:pPr>
              <w:pStyle w:val="Prrafodelista"/>
              <w:numPr>
                <w:ilvl w:val="0"/>
                <w:numId w:val="12"/>
              </w:numPr>
              <w:jc w:val="both"/>
              <w:rPr>
                <w:rFonts w:ascii="Arial" w:hAnsi="Arial" w:cs="Arial"/>
                <w:color w:val="000000" w:themeColor="text1"/>
              </w:rPr>
            </w:pPr>
            <w:r w:rsidRPr="00FA1E4C">
              <w:rPr>
                <w:rFonts w:ascii="Arial" w:hAnsi="Arial" w:cs="Arial"/>
                <w:color w:val="000000" w:themeColor="text1"/>
              </w:rPr>
              <w:t>Durante el proceso de negociación, ¿se tuvo en cuenta su participación?</w:t>
            </w:r>
          </w:p>
        </w:tc>
      </w:tr>
    </w:tbl>
    <w:p w14:paraId="37BEFC27" w14:textId="77777777" w:rsidR="009F5558" w:rsidRDefault="009F5558" w:rsidP="009F5558">
      <w:pPr>
        <w:spacing w:after="160" w:line="259" w:lineRule="auto"/>
        <w:rPr>
          <w:rFonts w:ascii="Arial" w:hAnsi="Arial" w:cs="Arial"/>
        </w:rPr>
      </w:pPr>
    </w:p>
    <w:p w14:paraId="34DC3E75" w14:textId="77777777" w:rsidR="009F5558" w:rsidRDefault="009F5558" w:rsidP="009F5558">
      <w:pPr>
        <w:spacing w:after="160" w:line="259" w:lineRule="auto"/>
        <w:rPr>
          <w:rFonts w:ascii="Arial" w:hAnsi="Arial" w:cs="Arial"/>
        </w:rPr>
      </w:pPr>
    </w:p>
    <w:p w14:paraId="0054E3A0" w14:textId="5CD3FD45" w:rsidR="009F5558" w:rsidRPr="00822279" w:rsidRDefault="009F5558" w:rsidP="009F5558">
      <w:pPr>
        <w:pStyle w:val="Ttulo2"/>
        <w:numPr>
          <w:ilvl w:val="0"/>
          <w:numId w:val="0"/>
        </w:numPr>
        <w:ind w:left="576"/>
        <w:rPr>
          <w:rFonts w:ascii="Arial" w:hAnsi="Arial" w:cs="Arial"/>
          <w:color w:val="000000" w:themeColor="text1"/>
          <w:sz w:val="24"/>
          <w:szCs w:val="24"/>
        </w:rPr>
      </w:pPr>
      <w:bookmarkStart w:id="96" w:name="_Toc236232365"/>
      <w:r w:rsidRPr="00795AAA">
        <w:rPr>
          <w:rFonts w:ascii="Arial" w:hAnsi="Arial" w:cs="Arial"/>
          <w:b/>
          <w:bCs/>
          <w:color w:val="000000" w:themeColor="text1"/>
          <w:sz w:val="24"/>
          <w:szCs w:val="24"/>
        </w:rPr>
        <w:lastRenderedPageBreak/>
        <w:t>Anexo II:</w:t>
      </w:r>
      <w:r w:rsidRPr="00822279">
        <w:rPr>
          <w:rFonts w:ascii="Arial" w:hAnsi="Arial" w:cs="Arial"/>
          <w:color w:val="000000" w:themeColor="text1"/>
          <w:sz w:val="24"/>
          <w:szCs w:val="24"/>
        </w:rPr>
        <w:t xml:space="preserve"> </w:t>
      </w:r>
      <w:r w:rsidRPr="00795AAA">
        <w:rPr>
          <w:rFonts w:ascii="Arial" w:hAnsi="Arial" w:cs="Arial"/>
          <w:i/>
          <w:iCs/>
          <w:color w:val="000000" w:themeColor="text1"/>
          <w:sz w:val="24"/>
          <w:szCs w:val="24"/>
        </w:rPr>
        <w:t>Entrevista a Académicos y Profesionales del área de Comercio Internacional</w:t>
      </w:r>
      <w:bookmarkEnd w:id="96"/>
    </w:p>
    <w:tbl>
      <w:tblPr>
        <w:tblStyle w:val="Tablaconcuadrcula"/>
        <w:tblpPr w:leftFromText="142" w:rightFromText="142" w:vertAnchor="text" w:tblpY="1"/>
        <w:tblW w:w="0" w:type="auto"/>
        <w:tblLook w:val="04A0" w:firstRow="1" w:lastRow="0" w:firstColumn="1" w:lastColumn="0" w:noHBand="0" w:noVBand="1"/>
      </w:tblPr>
      <w:tblGrid>
        <w:gridCol w:w="4270"/>
        <w:gridCol w:w="4224"/>
      </w:tblGrid>
      <w:tr w:rsidR="009F5558" w:rsidRPr="007F217F" w14:paraId="365BE2DC" w14:textId="77777777" w:rsidTr="00B06EAF">
        <w:tc>
          <w:tcPr>
            <w:tcW w:w="8494" w:type="dxa"/>
            <w:gridSpan w:val="2"/>
            <w:vAlign w:val="center"/>
          </w:tcPr>
          <w:p w14:paraId="53AD31CA" w14:textId="77777777" w:rsidR="009F5558" w:rsidRPr="007F217F" w:rsidRDefault="009F5558" w:rsidP="00B06EAF">
            <w:pPr>
              <w:spacing w:before="240" w:after="160"/>
              <w:jc w:val="center"/>
              <w:rPr>
                <w:rFonts w:ascii="Arial" w:hAnsi="Arial" w:cs="Arial"/>
                <w:sz w:val="22"/>
                <w:szCs w:val="22"/>
              </w:rPr>
            </w:pPr>
            <w:r w:rsidRPr="007F217F">
              <w:rPr>
                <w:rFonts w:ascii="Arial" w:hAnsi="Arial" w:cs="Arial"/>
                <w:b/>
                <w:noProof/>
                <w:color w:val="000000" w:themeColor="text1"/>
                <w:sz w:val="22"/>
                <w:szCs w:val="22"/>
              </w:rPr>
              <w:drawing>
                <wp:inline distT="0" distB="0" distL="0" distR="0" wp14:anchorId="542C4155" wp14:editId="40D33105">
                  <wp:extent cx="1120775" cy="978535"/>
                  <wp:effectExtent l="0" t="0" r="0" b="0"/>
                  <wp:docPr id="1994821085" name="Imagen 199482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6" cstate="print">
                            <a:extLst>
                              <a:ext uri="{28A0092B-C50C-407E-A947-70E740481C1C}">
                                <a14:useLocalDpi xmlns:a14="http://schemas.microsoft.com/office/drawing/2010/main" val="0"/>
                              </a:ext>
                            </a:extLst>
                          </a:blip>
                          <a:srcRect l="26105" t="12383" r="25182" b="11252"/>
                          <a:stretch>
                            <a:fillRect/>
                          </a:stretch>
                        </pic:blipFill>
                        <pic:spPr bwMode="auto">
                          <a:xfrm>
                            <a:off x="0" y="0"/>
                            <a:ext cx="1120775" cy="978535"/>
                          </a:xfrm>
                          <a:prstGeom prst="rect">
                            <a:avLst/>
                          </a:prstGeom>
                          <a:noFill/>
                          <a:ln>
                            <a:noFill/>
                          </a:ln>
                        </pic:spPr>
                      </pic:pic>
                    </a:graphicData>
                  </a:graphic>
                </wp:inline>
              </w:drawing>
            </w:r>
          </w:p>
        </w:tc>
      </w:tr>
      <w:tr w:rsidR="009F5558" w:rsidRPr="007F217F" w14:paraId="2E0CA260" w14:textId="77777777" w:rsidTr="00B06EAF">
        <w:tc>
          <w:tcPr>
            <w:tcW w:w="8494" w:type="dxa"/>
            <w:gridSpan w:val="2"/>
          </w:tcPr>
          <w:p w14:paraId="7E1AD6ED" w14:textId="77777777" w:rsidR="009F5558" w:rsidRPr="00FA1E4C" w:rsidRDefault="009F5558" w:rsidP="00B06EAF">
            <w:pPr>
              <w:spacing w:after="160"/>
              <w:jc w:val="center"/>
              <w:rPr>
                <w:rFonts w:ascii="Arial" w:hAnsi="Arial" w:cs="Arial"/>
                <w:color w:val="000000" w:themeColor="text1"/>
              </w:rPr>
            </w:pPr>
            <w:r w:rsidRPr="00FA1E4C">
              <w:rPr>
                <w:rFonts w:ascii="Arial" w:hAnsi="Arial" w:cs="Arial"/>
                <w:color w:val="000000" w:themeColor="text1"/>
              </w:rPr>
              <w:t>Negociación del Tratado de Libre Comercio entre Honduras y China</w:t>
            </w:r>
          </w:p>
          <w:p w14:paraId="66B44D76" w14:textId="77777777" w:rsidR="009F5558" w:rsidRPr="00FA1E4C" w:rsidRDefault="009F5558" w:rsidP="00B06EAF">
            <w:pPr>
              <w:spacing w:after="160"/>
              <w:jc w:val="center"/>
              <w:rPr>
                <w:rFonts w:ascii="Arial" w:hAnsi="Arial" w:cs="Arial"/>
                <w:b/>
                <w:bCs/>
                <w:color w:val="000000" w:themeColor="text1"/>
              </w:rPr>
            </w:pPr>
            <w:r w:rsidRPr="00FA1E4C">
              <w:rPr>
                <w:rFonts w:ascii="Arial" w:hAnsi="Arial" w:cs="Arial"/>
                <w:b/>
                <w:bCs/>
                <w:color w:val="000000" w:themeColor="text1"/>
              </w:rPr>
              <w:t>Entrevista a Académicos y Profesionales del área de Comercio Internacional</w:t>
            </w:r>
          </w:p>
        </w:tc>
      </w:tr>
      <w:tr w:rsidR="009F5558" w:rsidRPr="007F217F" w14:paraId="03E8C48C" w14:textId="77777777" w:rsidTr="00B06EAF">
        <w:tc>
          <w:tcPr>
            <w:tcW w:w="4270" w:type="dxa"/>
          </w:tcPr>
          <w:p w14:paraId="35BE160A" w14:textId="77777777" w:rsidR="009F5558" w:rsidRPr="00FA1E4C" w:rsidRDefault="009F5558" w:rsidP="00B06EAF">
            <w:pPr>
              <w:spacing w:after="160"/>
              <w:rPr>
                <w:rFonts w:ascii="Arial" w:hAnsi="Arial" w:cs="Arial"/>
                <w:color w:val="000000" w:themeColor="text1"/>
              </w:rPr>
            </w:pPr>
            <w:r w:rsidRPr="00FA1E4C">
              <w:rPr>
                <w:rFonts w:ascii="Arial" w:hAnsi="Arial" w:cs="Arial"/>
                <w:color w:val="000000" w:themeColor="text1"/>
              </w:rPr>
              <w:t>Lugar:</w:t>
            </w:r>
          </w:p>
        </w:tc>
        <w:tc>
          <w:tcPr>
            <w:tcW w:w="4224" w:type="dxa"/>
          </w:tcPr>
          <w:p w14:paraId="58605D51" w14:textId="77777777" w:rsidR="009F5558" w:rsidRPr="00FA1E4C" w:rsidRDefault="009F5558" w:rsidP="00B06EAF">
            <w:pPr>
              <w:spacing w:after="160"/>
              <w:rPr>
                <w:rFonts w:ascii="Arial" w:hAnsi="Arial" w:cs="Arial"/>
              </w:rPr>
            </w:pPr>
          </w:p>
        </w:tc>
      </w:tr>
      <w:tr w:rsidR="009F5558" w:rsidRPr="007F217F" w14:paraId="12CF0645" w14:textId="77777777" w:rsidTr="00B06EAF">
        <w:tc>
          <w:tcPr>
            <w:tcW w:w="4270" w:type="dxa"/>
          </w:tcPr>
          <w:p w14:paraId="13C8D35A" w14:textId="77777777" w:rsidR="009F5558" w:rsidRPr="00FA1E4C" w:rsidRDefault="009F5558" w:rsidP="00B06EAF">
            <w:pPr>
              <w:spacing w:after="160"/>
              <w:rPr>
                <w:rFonts w:ascii="Arial" w:hAnsi="Arial" w:cs="Arial"/>
                <w:color w:val="000000" w:themeColor="text1"/>
              </w:rPr>
            </w:pPr>
            <w:r w:rsidRPr="00FA1E4C">
              <w:rPr>
                <w:rFonts w:ascii="Arial" w:hAnsi="Arial" w:cs="Arial"/>
                <w:color w:val="000000" w:themeColor="text1"/>
              </w:rPr>
              <w:t xml:space="preserve">Fecha: </w:t>
            </w:r>
          </w:p>
        </w:tc>
        <w:tc>
          <w:tcPr>
            <w:tcW w:w="4224" w:type="dxa"/>
          </w:tcPr>
          <w:p w14:paraId="1A60E8C8" w14:textId="77777777" w:rsidR="009F5558" w:rsidRPr="00FA1E4C" w:rsidRDefault="009F5558" w:rsidP="00B06EAF">
            <w:pPr>
              <w:spacing w:after="160"/>
              <w:rPr>
                <w:rFonts w:ascii="Arial" w:hAnsi="Arial" w:cs="Arial"/>
              </w:rPr>
            </w:pPr>
          </w:p>
        </w:tc>
      </w:tr>
      <w:tr w:rsidR="009F5558" w:rsidRPr="007F217F" w14:paraId="727D6F1B" w14:textId="77777777" w:rsidTr="00B06EAF">
        <w:tc>
          <w:tcPr>
            <w:tcW w:w="8494" w:type="dxa"/>
            <w:gridSpan w:val="2"/>
          </w:tcPr>
          <w:p w14:paraId="2B302EBA" w14:textId="77777777" w:rsidR="009F5558" w:rsidRPr="00FA1E4C" w:rsidRDefault="009F5558" w:rsidP="00B06EAF">
            <w:pPr>
              <w:spacing w:after="160"/>
              <w:jc w:val="center"/>
              <w:rPr>
                <w:rFonts w:ascii="Arial" w:hAnsi="Arial" w:cs="Arial"/>
                <w:color w:val="000000" w:themeColor="text1"/>
              </w:rPr>
            </w:pPr>
            <w:r w:rsidRPr="00FA1E4C">
              <w:rPr>
                <w:rFonts w:ascii="Arial" w:hAnsi="Arial" w:cs="Arial"/>
                <w:color w:val="000000" w:themeColor="text1"/>
              </w:rPr>
              <w:t>Datos del entrevistado</w:t>
            </w:r>
          </w:p>
        </w:tc>
      </w:tr>
      <w:tr w:rsidR="009F5558" w:rsidRPr="007F217F" w14:paraId="44042FD7" w14:textId="77777777" w:rsidTr="00B06EAF">
        <w:tc>
          <w:tcPr>
            <w:tcW w:w="4270" w:type="dxa"/>
          </w:tcPr>
          <w:p w14:paraId="511C6155" w14:textId="77777777" w:rsidR="009F5558" w:rsidRPr="00FA1E4C" w:rsidRDefault="009F5558" w:rsidP="00B06EAF">
            <w:pPr>
              <w:spacing w:after="160"/>
              <w:rPr>
                <w:rFonts w:ascii="Arial" w:hAnsi="Arial" w:cs="Arial"/>
                <w:color w:val="000000" w:themeColor="text1"/>
              </w:rPr>
            </w:pPr>
            <w:r w:rsidRPr="00FA1E4C">
              <w:rPr>
                <w:rFonts w:ascii="Arial" w:hAnsi="Arial" w:cs="Arial"/>
                <w:color w:val="000000" w:themeColor="text1"/>
              </w:rPr>
              <w:t>Nombre y apellido:</w:t>
            </w:r>
          </w:p>
        </w:tc>
        <w:tc>
          <w:tcPr>
            <w:tcW w:w="4224" w:type="dxa"/>
          </w:tcPr>
          <w:p w14:paraId="48CEE3C1" w14:textId="77777777" w:rsidR="009F5558" w:rsidRPr="00FA1E4C" w:rsidRDefault="009F5558" w:rsidP="00B06EAF">
            <w:pPr>
              <w:spacing w:after="160"/>
              <w:rPr>
                <w:rFonts w:ascii="Arial" w:hAnsi="Arial" w:cs="Arial"/>
              </w:rPr>
            </w:pPr>
          </w:p>
        </w:tc>
      </w:tr>
      <w:tr w:rsidR="009F5558" w:rsidRPr="007F217F" w14:paraId="65D238E1" w14:textId="77777777" w:rsidTr="00B06EAF">
        <w:tc>
          <w:tcPr>
            <w:tcW w:w="4270" w:type="dxa"/>
          </w:tcPr>
          <w:p w14:paraId="6FAC24F1" w14:textId="77777777" w:rsidR="009F5558" w:rsidRPr="00FA1E4C" w:rsidRDefault="009F5558" w:rsidP="00B06EAF">
            <w:pPr>
              <w:spacing w:after="160"/>
              <w:rPr>
                <w:rFonts w:ascii="Arial" w:hAnsi="Arial" w:cs="Arial"/>
                <w:color w:val="000000" w:themeColor="text1"/>
              </w:rPr>
            </w:pPr>
            <w:r w:rsidRPr="00FA1E4C">
              <w:rPr>
                <w:rFonts w:ascii="Arial" w:hAnsi="Arial" w:cs="Arial"/>
                <w:color w:val="000000" w:themeColor="text1"/>
              </w:rPr>
              <w:t>Empresa u Organización:</w:t>
            </w:r>
          </w:p>
        </w:tc>
        <w:tc>
          <w:tcPr>
            <w:tcW w:w="4224" w:type="dxa"/>
          </w:tcPr>
          <w:p w14:paraId="3A122996" w14:textId="77777777" w:rsidR="009F5558" w:rsidRPr="00FA1E4C" w:rsidRDefault="009F5558" w:rsidP="00B06EAF">
            <w:pPr>
              <w:spacing w:after="160"/>
              <w:rPr>
                <w:rFonts w:ascii="Arial" w:hAnsi="Arial" w:cs="Arial"/>
              </w:rPr>
            </w:pPr>
          </w:p>
        </w:tc>
      </w:tr>
      <w:tr w:rsidR="009F5558" w:rsidRPr="007F217F" w14:paraId="3957E10B" w14:textId="77777777" w:rsidTr="00B06EAF">
        <w:tc>
          <w:tcPr>
            <w:tcW w:w="4270" w:type="dxa"/>
          </w:tcPr>
          <w:p w14:paraId="4CDD0454" w14:textId="77777777" w:rsidR="009F5558" w:rsidRPr="00FA1E4C" w:rsidRDefault="009F5558" w:rsidP="00B06EAF">
            <w:pPr>
              <w:spacing w:after="160"/>
              <w:rPr>
                <w:rFonts w:ascii="Arial" w:hAnsi="Arial" w:cs="Arial"/>
                <w:color w:val="000000" w:themeColor="text1"/>
              </w:rPr>
            </w:pPr>
            <w:r w:rsidRPr="00FA1E4C">
              <w:rPr>
                <w:rFonts w:ascii="Arial" w:hAnsi="Arial" w:cs="Arial"/>
                <w:color w:val="000000" w:themeColor="text1"/>
              </w:rPr>
              <w:t xml:space="preserve">Puesto o Cargo: </w:t>
            </w:r>
          </w:p>
        </w:tc>
        <w:tc>
          <w:tcPr>
            <w:tcW w:w="4224" w:type="dxa"/>
          </w:tcPr>
          <w:p w14:paraId="55FBD644" w14:textId="77777777" w:rsidR="009F5558" w:rsidRPr="00FA1E4C" w:rsidRDefault="009F5558" w:rsidP="00B06EAF">
            <w:pPr>
              <w:spacing w:after="160"/>
              <w:rPr>
                <w:rFonts w:ascii="Arial" w:hAnsi="Arial" w:cs="Arial"/>
              </w:rPr>
            </w:pPr>
          </w:p>
        </w:tc>
      </w:tr>
      <w:tr w:rsidR="009F5558" w:rsidRPr="007F217F" w14:paraId="0E9C309F" w14:textId="77777777" w:rsidTr="00B06EAF">
        <w:tc>
          <w:tcPr>
            <w:tcW w:w="4270" w:type="dxa"/>
          </w:tcPr>
          <w:p w14:paraId="7B6143E0" w14:textId="77777777" w:rsidR="009F5558" w:rsidRPr="00FA1E4C" w:rsidRDefault="009F5558" w:rsidP="00B06EAF">
            <w:pPr>
              <w:spacing w:after="160"/>
              <w:rPr>
                <w:rFonts w:ascii="Arial" w:hAnsi="Arial" w:cs="Arial"/>
                <w:color w:val="000000" w:themeColor="text1"/>
              </w:rPr>
            </w:pPr>
            <w:r w:rsidRPr="00FA1E4C">
              <w:rPr>
                <w:rFonts w:ascii="Arial" w:hAnsi="Arial" w:cs="Arial"/>
                <w:color w:val="000000" w:themeColor="text1"/>
              </w:rPr>
              <w:t xml:space="preserve">Sector/Rubro: </w:t>
            </w:r>
          </w:p>
        </w:tc>
        <w:tc>
          <w:tcPr>
            <w:tcW w:w="4224" w:type="dxa"/>
          </w:tcPr>
          <w:p w14:paraId="5D75E342" w14:textId="77777777" w:rsidR="009F5558" w:rsidRPr="00FA1E4C" w:rsidRDefault="009F5558" w:rsidP="00B06EAF">
            <w:pPr>
              <w:spacing w:after="160"/>
              <w:rPr>
                <w:rFonts w:ascii="Arial" w:hAnsi="Arial" w:cs="Arial"/>
              </w:rPr>
            </w:pPr>
          </w:p>
        </w:tc>
      </w:tr>
      <w:tr w:rsidR="009F5558" w:rsidRPr="007F217F" w14:paraId="48350EF0" w14:textId="77777777" w:rsidTr="00B06EAF">
        <w:tc>
          <w:tcPr>
            <w:tcW w:w="8494" w:type="dxa"/>
            <w:gridSpan w:val="2"/>
          </w:tcPr>
          <w:p w14:paraId="19020ED8" w14:textId="77777777" w:rsidR="009F5558" w:rsidRPr="00FA1E4C" w:rsidRDefault="009F5558">
            <w:pPr>
              <w:numPr>
                <w:ilvl w:val="0"/>
                <w:numId w:val="5"/>
              </w:numPr>
              <w:jc w:val="both"/>
              <w:rPr>
                <w:rFonts w:ascii="Arial" w:hAnsi="Arial" w:cs="Arial"/>
                <w:i/>
                <w:iCs/>
                <w:color w:val="000000" w:themeColor="text1"/>
                <w:lang w:val="es-HN"/>
              </w:rPr>
            </w:pPr>
            <w:r w:rsidRPr="00FA1E4C">
              <w:rPr>
                <w:rFonts w:ascii="Arial" w:hAnsi="Arial" w:cs="Arial"/>
                <w:color w:val="000000" w:themeColor="text1"/>
              </w:rPr>
              <w:t>Desde su perspectiva ¿qué potenciales beneficios o desventajas podría enfrentar Honduras al negociar un TLC con China?</w:t>
            </w:r>
          </w:p>
          <w:p w14:paraId="7F002817" w14:textId="77777777" w:rsidR="009F5558" w:rsidRPr="00FA1E4C" w:rsidRDefault="009F5558" w:rsidP="00B06EAF">
            <w:pPr>
              <w:jc w:val="both"/>
              <w:rPr>
                <w:rFonts w:ascii="Arial" w:hAnsi="Arial" w:cs="Arial"/>
                <w:i/>
                <w:iCs/>
                <w:color w:val="000000" w:themeColor="text1"/>
              </w:rPr>
            </w:pPr>
          </w:p>
          <w:p w14:paraId="440F0054" w14:textId="77777777" w:rsidR="009F5558" w:rsidRPr="00FA1E4C" w:rsidRDefault="009F5558" w:rsidP="00B06EAF">
            <w:pPr>
              <w:ind w:left="720"/>
              <w:jc w:val="both"/>
              <w:rPr>
                <w:rFonts w:ascii="Arial" w:hAnsi="Arial" w:cs="Arial"/>
                <w:i/>
                <w:iCs/>
                <w:color w:val="000000" w:themeColor="text1"/>
                <w:lang w:val="es-HN"/>
              </w:rPr>
            </w:pPr>
          </w:p>
          <w:p w14:paraId="0E8C67AB" w14:textId="77777777" w:rsidR="009F5558" w:rsidRPr="00FA1E4C" w:rsidRDefault="009F5558">
            <w:pPr>
              <w:numPr>
                <w:ilvl w:val="0"/>
                <w:numId w:val="5"/>
              </w:numPr>
              <w:jc w:val="both"/>
              <w:rPr>
                <w:rFonts w:ascii="Arial" w:hAnsi="Arial" w:cs="Arial"/>
                <w:i/>
                <w:iCs/>
                <w:color w:val="000000" w:themeColor="text1"/>
                <w:lang w:val="es-HN"/>
              </w:rPr>
            </w:pPr>
            <w:r w:rsidRPr="00FA1E4C">
              <w:rPr>
                <w:rFonts w:ascii="Arial" w:hAnsi="Arial" w:cs="Arial"/>
                <w:color w:val="000000" w:themeColor="text1"/>
              </w:rPr>
              <w:t>¿Cómo evaluaría la actual relación comercial entre China y Honduras, especialmente en lo que respecta al sector exportador?</w:t>
            </w:r>
          </w:p>
          <w:p w14:paraId="3B71B3BC" w14:textId="77777777" w:rsidR="009F5558" w:rsidRPr="00FA1E4C" w:rsidRDefault="009F5558" w:rsidP="00B06EAF">
            <w:pPr>
              <w:ind w:left="720"/>
              <w:jc w:val="both"/>
              <w:rPr>
                <w:rFonts w:ascii="Arial" w:hAnsi="Arial" w:cs="Arial"/>
                <w:i/>
                <w:iCs/>
                <w:color w:val="000000" w:themeColor="text1"/>
                <w:lang w:val="es-HN"/>
              </w:rPr>
            </w:pPr>
          </w:p>
          <w:p w14:paraId="1408F802" w14:textId="77777777" w:rsidR="009F5558" w:rsidRPr="00FA1E4C" w:rsidRDefault="009F5558">
            <w:pPr>
              <w:numPr>
                <w:ilvl w:val="0"/>
                <w:numId w:val="5"/>
              </w:numPr>
              <w:jc w:val="both"/>
              <w:rPr>
                <w:rFonts w:ascii="Arial" w:hAnsi="Arial" w:cs="Arial"/>
                <w:i/>
                <w:iCs/>
                <w:color w:val="000000" w:themeColor="text1"/>
                <w:lang w:val="es-HN"/>
              </w:rPr>
            </w:pPr>
            <w:r w:rsidRPr="00FA1E4C">
              <w:rPr>
                <w:rFonts w:ascii="Arial" w:hAnsi="Arial" w:cs="Arial"/>
                <w:color w:val="000000" w:themeColor="text1"/>
              </w:rPr>
              <w:t>¿Qué lecciones o estrategias puede adoptar Honduras de otros países para maximizar los beneficios de un potencial TLC con China?</w:t>
            </w:r>
          </w:p>
          <w:p w14:paraId="371F2DDC" w14:textId="77777777" w:rsidR="009F5558" w:rsidRPr="00FA1E4C" w:rsidRDefault="009F5558" w:rsidP="00B06EAF">
            <w:pPr>
              <w:ind w:left="720"/>
              <w:jc w:val="both"/>
              <w:rPr>
                <w:rFonts w:ascii="Arial" w:hAnsi="Arial" w:cs="Arial"/>
                <w:color w:val="000000" w:themeColor="text1"/>
              </w:rPr>
            </w:pPr>
          </w:p>
          <w:p w14:paraId="422F0F30" w14:textId="77777777" w:rsidR="009F5558" w:rsidRPr="00FA1E4C" w:rsidRDefault="009F5558">
            <w:pPr>
              <w:numPr>
                <w:ilvl w:val="0"/>
                <w:numId w:val="5"/>
              </w:numPr>
              <w:jc w:val="both"/>
              <w:rPr>
                <w:rFonts w:ascii="Arial" w:hAnsi="Arial" w:cs="Arial"/>
                <w:color w:val="000000" w:themeColor="text1"/>
                <w:lang w:val="es-HN"/>
              </w:rPr>
            </w:pPr>
            <w:r w:rsidRPr="00FA1E4C">
              <w:rPr>
                <w:rFonts w:ascii="Arial" w:hAnsi="Arial" w:cs="Arial"/>
                <w:color w:val="000000" w:themeColor="text1"/>
                <w:lang w:val="es-HN"/>
              </w:rPr>
              <w:t xml:space="preserve">Desde su perspectiva, ¿cuáles considera usted como son los factores críticos que Honduras debería priorizar o negociar en el TLC con China para optimizar su potencial comercial? </w:t>
            </w:r>
          </w:p>
          <w:p w14:paraId="22667C1B" w14:textId="77777777" w:rsidR="009F5558" w:rsidRPr="00FA1E4C" w:rsidRDefault="009F5558" w:rsidP="00B06EAF">
            <w:pPr>
              <w:ind w:left="720"/>
              <w:jc w:val="both"/>
              <w:rPr>
                <w:rFonts w:ascii="Arial" w:hAnsi="Arial" w:cs="Arial"/>
                <w:color w:val="000000" w:themeColor="text1"/>
                <w:lang w:val="es-HN"/>
              </w:rPr>
            </w:pPr>
          </w:p>
          <w:p w14:paraId="50B3DF37" w14:textId="77777777" w:rsidR="009F5558" w:rsidRPr="00FA1E4C" w:rsidRDefault="009F5558" w:rsidP="00B06EAF">
            <w:pPr>
              <w:jc w:val="both"/>
              <w:rPr>
                <w:rFonts w:ascii="Arial" w:hAnsi="Arial" w:cs="Arial"/>
                <w:color w:val="000000" w:themeColor="text1"/>
                <w:lang w:val="es-HN"/>
              </w:rPr>
            </w:pPr>
          </w:p>
          <w:p w14:paraId="1F871ECB" w14:textId="77777777" w:rsidR="009F5558" w:rsidRPr="00FA1E4C" w:rsidRDefault="009F5558">
            <w:pPr>
              <w:numPr>
                <w:ilvl w:val="0"/>
                <w:numId w:val="5"/>
              </w:numPr>
              <w:jc w:val="both"/>
              <w:rPr>
                <w:rFonts w:ascii="Arial" w:hAnsi="Arial" w:cs="Arial"/>
                <w:i/>
                <w:iCs/>
                <w:color w:val="000000" w:themeColor="text1"/>
                <w:lang w:val="es-HN"/>
              </w:rPr>
            </w:pPr>
            <w:r w:rsidRPr="00FA1E4C">
              <w:rPr>
                <w:rFonts w:ascii="Arial" w:hAnsi="Arial" w:cs="Arial"/>
                <w:color w:val="000000" w:themeColor="text1"/>
              </w:rPr>
              <w:t>¿Cree que la balanza comercial entre Honduras y China experimentará una mejora o cambio para Honduras de ser firmado el TLC? ¿Por qué?</w:t>
            </w:r>
          </w:p>
          <w:p w14:paraId="1DB5151C" w14:textId="77777777" w:rsidR="009F5558" w:rsidRPr="00FA1E4C" w:rsidRDefault="009F5558" w:rsidP="00B06EAF">
            <w:pPr>
              <w:ind w:left="720"/>
              <w:jc w:val="both"/>
              <w:rPr>
                <w:rFonts w:ascii="Arial" w:hAnsi="Arial" w:cs="Arial"/>
                <w:i/>
                <w:iCs/>
                <w:color w:val="000000" w:themeColor="text1"/>
              </w:rPr>
            </w:pPr>
          </w:p>
          <w:p w14:paraId="46F791F6" w14:textId="77777777" w:rsidR="009F5558" w:rsidRPr="00FA1E4C" w:rsidRDefault="009F5558">
            <w:pPr>
              <w:numPr>
                <w:ilvl w:val="0"/>
                <w:numId w:val="5"/>
              </w:numPr>
              <w:jc w:val="both"/>
              <w:rPr>
                <w:rFonts w:ascii="Arial" w:hAnsi="Arial" w:cs="Arial"/>
                <w:color w:val="000000" w:themeColor="text1"/>
                <w:lang w:val="es-HN"/>
              </w:rPr>
            </w:pPr>
            <w:r w:rsidRPr="00FA1E4C">
              <w:rPr>
                <w:rFonts w:ascii="Arial" w:hAnsi="Arial" w:cs="Arial"/>
                <w:color w:val="000000" w:themeColor="text1"/>
                <w:lang w:val="es-HN"/>
              </w:rPr>
              <w:t>Actualmente la IED que Honduras recibe de China representa el 0.012% del total de inversión recibida para el año 2022, cree que con la firma del acuerdo, se espere un incremento en los flujos de inversión china?</w:t>
            </w:r>
          </w:p>
          <w:p w14:paraId="22A76C73" w14:textId="77777777" w:rsidR="009F5558" w:rsidRPr="00FA1E4C" w:rsidRDefault="009F5558" w:rsidP="00B06EAF">
            <w:pPr>
              <w:ind w:left="360"/>
              <w:jc w:val="both"/>
              <w:rPr>
                <w:rFonts w:ascii="Arial" w:hAnsi="Arial" w:cs="Arial"/>
                <w:color w:val="000000" w:themeColor="text1"/>
                <w:lang w:val="es-HN"/>
              </w:rPr>
            </w:pPr>
          </w:p>
          <w:p w14:paraId="0BF848B4" w14:textId="77777777" w:rsidR="009F5558" w:rsidRPr="00FA1E4C" w:rsidRDefault="009F5558" w:rsidP="00B06EAF">
            <w:pPr>
              <w:ind w:left="360"/>
              <w:jc w:val="both"/>
              <w:rPr>
                <w:rFonts w:ascii="Arial" w:hAnsi="Arial" w:cs="Arial"/>
                <w:color w:val="000000" w:themeColor="text1"/>
                <w:lang w:val="es-HN"/>
              </w:rPr>
            </w:pPr>
          </w:p>
          <w:p w14:paraId="4F09DB76" w14:textId="77777777" w:rsidR="009F5558" w:rsidRPr="00FA1E4C" w:rsidRDefault="009F5558" w:rsidP="00B06EAF">
            <w:pPr>
              <w:ind w:left="360"/>
              <w:jc w:val="both"/>
              <w:rPr>
                <w:rFonts w:ascii="Arial" w:hAnsi="Arial" w:cs="Arial"/>
                <w:color w:val="000000" w:themeColor="text1"/>
                <w:lang w:val="es-HN"/>
              </w:rPr>
            </w:pPr>
            <w:r w:rsidRPr="00FA1E4C">
              <w:rPr>
                <w:rFonts w:ascii="Arial" w:hAnsi="Arial" w:cs="Arial"/>
                <w:color w:val="000000" w:themeColor="text1"/>
                <w:lang w:val="es-HN"/>
              </w:rPr>
              <w:br/>
            </w:r>
          </w:p>
        </w:tc>
      </w:tr>
    </w:tbl>
    <w:p w14:paraId="3E0A7269" w14:textId="77777777" w:rsidR="009F5558" w:rsidRDefault="009F5558" w:rsidP="009F5558">
      <w:pPr>
        <w:spacing w:before="240" w:line="360" w:lineRule="auto"/>
        <w:jc w:val="both"/>
        <w:rPr>
          <w:rFonts w:ascii="Arial" w:hAnsi="Arial" w:cs="Arial"/>
        </w:rPr>
      </w:pPr>
    </w:p>
    <w:p w14:paraId="31D40E4C" w14:textId="77777777" w:rsidR="009F5558" w:rsidRPr="00822279" w:rsidRDefault="009F5558" w:rsidP="009F5558">
      <w:pPr>
        <w:pStyle w:val="Ttulo2"/>
        <w:numPr>
          <w:ilvl w:val="0"/>
          <w:numId w:val="0"/>
        </w:numPr>
        <w:ind w:left="576"/>
        <w:rPr>
          <w:rFonts w:ascii="Arial" w:hAnsi="Arial" w:cs="Arial"/>
          <w:color w:val="000000" w:themeColor="text1"/>
          <w:sz w:val="24"/>
          <w:szCs w:val="24"/>
        </w:rPr>
      </w:pPr>
      <w:bookmarkStart w:id="97" w:name="_Toc236232366"/>
      <w:r w:rsidRPr="00795AAA">
        <w:rPr>
          <w:rFonts w:ascii="Arial" w:hAnsi="Arial" w:cs="Arial"/>
          <w:b/>
          <w:bCs/>
          <w:color w:val="000000" w:themeColor="text1"/>
          <w:sz w:val="24"/>
          <w:szCs w:val="24"/>
        </w:rPr>
        <w:t>Anexo III:</w:t>
      </w:r>
      <w:r w:rsidRPr="00822279">
        <w:rPr>
          <w:rFonts w:ascii="Arial" w:hAnsi="Arial" w:cs="Arial"/>
          <w:color w:val="000000" w:themeColor="text1"/>
          <w:sz w:val="24"/>
          <w:szCs w:val="24"/>
        </w:rPr>
        <w:t xml:space="preserve"> </w:t>
      </w:r>
      <w:r w:rsidRPr="00795AAA">
        <w:rPr>
          <w:rFonts w:ascii="Arial" w:hAnsi="Arial" w:cs="Arial"/>
          <w:i/>
          <w:iCs/>
          <w:color w:val="000000" w:themeColor="text1"/>
          <w:sz w:val="24"/>
          <w:szCs w:val="24"/>
        </w:rPr>
        <w:t>Entrevista para los principales actores en la negociación del TLC China – Honduras</w:t>
      </w:r>
      <w:bookmarkEnd w:id="97"/>
    </w:p>
    <w:tbl>
      <w:tblPr>
        <w:tblStyle w:val="Tablaconcuadrcula"/>
        <w:tblpPr w:leftFromText="142" w:rightFromText="142" w:vertAnchor="text" w:tblpY="1"/>
        <w:tblW w:w="0" w:type="auto"/>
        <w:tblLook w:val="04A0" w:firstRow="1" w:lastRow="0" w:firstColumn="1" w:lastColumn="0" w:noHBand="0" w:noVBand="1"/>
      </w:tblPr>
      <w:tblGrid>
        <w:gridCol w:w="4270"/>
        <w:gridCol w:w="4224"/>
      </w:tblGrid>
      <w:tr w:rsidR="009F5558" w:rsidRPr="007F217F" w14:paraId="28D296DA" w14:textId="77777777" w:rsidTr="00B06EAF">
        <w:tc>
          <w:tcPr>
            <w:tcW w:w="8494" w:type="dxa"/>
            <w:gridSpan w:val="2"/>
            <w:vAlign w:val="center"/>
          </w:tcPr>
          <w:p w14:paraId="2F353F85" w14:textId="77777777" w:rsidR="009F5558" w:rsidRPr="007F217F" w:rsidRDefault="009F5558" w:rsidP="00B06EAF">
            <w:pPr>
              <w:spacing w:before="240" w:after="160"/>
              <w:jc w:val="center"/>
              <w:rPr>
                <w:rFonts w:ascii="Arial" w:hAnsi="Arial" w:cs="Arial"/>
                <w:sz w:val="22"/>
                <w:szCs w:val="22"/>
              </w:rPr>
            </w:pPr>
            <w:r w:rsidRPr="007F217F">
              <w:rPr>
                <w:rFonts w:ascii="Arial" w:hAnsi="Arial" w:cs="Arial"/>
                <w:b/>
                <w:noProof/>
                <w:color w:val="000000" w:themeColor="text1"/>
                <w:sz w:val="22"/>
                <w:szCs w:val="22"/>
              </w:rPr>
              <w:drawing>
                <wp:inline distT="0" distB="0" distL="0" distR="0" wp14:anchorId="010C702D" wp14:editId="55381C47">
                  <wp:extent cx="1120775" cy="978535"/>
                  <wp:effectExtent l="0" t="0" r="0" b="0"/>
                  <wp:docPr id="1048850168" name="Imagen 1048850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6" cstate="print">
                            <a:extLst>
                              <a:ext uri="{28A0092B-C50C-407E-A947-70E740481C1C}">
                                <a14:useLocalDpi xmlns:a14="http://schemas.microsoft.com/office/drawing/2010/main" val="0"/>
                              </a:ext>
                            </a:extLst>
                          </a:blip>
                          <a:srcRect l="26105" t="12383" r="25182" b="11252"/>
                          <a:stretch>
                            <a:fillRect/>
                          </a:stretch>
                        </pic:blipFill>
                        <pic:spPr bwMode="auto">
                          <a:xfrm>
                            <a:off x="0" y="0"/>
                            <a:ext cx="1120775" cy="978535"/>
                          </a:xfrm>
                          <a:prstGeom prst="rect">
                            <a:avLst/>
                          </a:prstGeom>
                          <a:noFill/>
                          <a:ln>
                            <a:noFill/>
                          </a:ln>
                        </pic:spPr>
                      </pic:pic>
                    </a:graphicData>
                  </a:graphic>
                </wp:inline>
              </w:drawing>
            </w:r>
          </w:p>
        </w:tc>
      </w:tr>
      <w:tr w:rsidR="009F5558" w:rsidRPr="007F217F" w14:paraId="6BEB255B" w14:textId="77777777" w:rsidTr="00B06EAF">
        <w:tc>
          <w:tcPr>
            <w:tcW w:w="8494" w:type="dxa"/>
            <w:gridSpan w:val="2"/>
          </w:tcPr>
          <w:p w14:paraId="31F1F240" w14:textId="77777777" w:rsidR="009F5558" w:rsidRPr="00FA1E4C" w:rsidRDefault="009F5558" w:rsidP="00B06EAF">
            <w:pPr>
              <w:spacing w:after="160"/>
              <w:jc w:val="center"/>
              <w:rPr>
                <w:rFonts w:ascii="Arial" w:hAnsi="Arial" w:cs="Arial"/>
                <w:color w:val="000000" w:themeColor="text1"/>
              </w:rPr>
            </w:pPr>
            <w:r w:rsidRPr="00FA1E4C">
              <w:rPr>
                <w:rFonts w:ascii="Arial" w:hAnsi="Arial" w:cs="Arial"/>
                <w:color w:val="000000" w:themeColor="text1"/>
              </w:rPr>
              <w:t>Negociación del Tratado de Libre Comercio entre Honduras y China</w:t>
            </w:r>
          </w:p>
          <w:p w14:paraId="29E75EE9" w14:textId="77777777" w:rsidR="009F5558" w:rsidRPr="00FA1E4C" w:rsidRDefault="009F5558" w:rsidP="00B06EAF">
            <w:pPr>
              <w:spacing w:after="160"/>
              <w:jc w:val="center"/>
              <w:rPr>
                <w:rFonts w:ascii="Arial" w:hAnsi="Arial" w:cs="Arial"/>
                <w:b/>
                <w:bCs/>
                <w:color w:val="000000" w:themeColor="text1"/>
              </w:rPr>
            </w:pPr>
            <w:r w:rsidRPr="00FA1E4C">
              <w:rPr>
                <w:rFonts w:ascii="Arial" w:hAnsi="Arial" w:cs="Arial"/>
                <w:b/>
                <w:bCs/>
                <w:color w:val="000000" w:themeColor="text1"/>
              </w:rPr>
              <w:t>Entrevista para los negociadores del TLC</w:t>
            </w:r>
          </w:p>
          <w:p w14:paraId="2C30EC6F" w14:textId="77777777" w:rsidR="009F5558" w:rsidRPr="00FA1E4C" w:rsidRDefault="009F5558" w:rsidP="00B06EAF">
            <w:pPr>
              <w:spacing w:after="160"/>
              <w:jc w:val="center"/>
              <w:rPr>
                <w:rFonts w:ascii="Arial" w:hAnsi="Arial" w:cs="Arial"/>
                <w:b/>
                <w:bCs/>
                <w:color w:val="000000" w:themeColor="text1"/>
              </w:rPr>
            </w:pPr>
            <w:r w:rsidRPr="00FA1E4C">
              <w:rPr>
                <w:rFonts w:ascii="Arial" w:hAnsi="Arial" w:cs="Arial"/>
                <w:b/>
                <w:bCs/>
                <w:color w:val="000000" w:themeColor="text1"/>
              </w:rPr>
              <w:t xml:space="preserve">principales actores en la negociación del TLC China – Honduras </w:t>
            </w:r>
          </w:p>
        </w:tc>
      </w:tr>
      <w:tr w:rsidR="009F5558" w:rsidRPr="007F217F" w14:paraId="3C746166" w14:textId="77777777" w:rsidTr="00B06EAF">
        <w:tc>
          <w:tcPr>
            <w:tcW w:w="4270" w:type="dxa"/>
          </w:tcPr>
          <w:p w14:paraId="3704F564" w14:textId="77777777" w:rsidR="009F5558" w:rsidRPr="00FA1E4C" w:rsidRDefault="009F5558" w:rsidP="00B06EAF">
            <w:pPr>
              <w:spacing w:after="160"/>
              <w:rPr>
                <w:rFonts w:ascii="Arial" w:hAnsi="Arial" w:cs="Arial"/>
                <w:color w:val="000000" w:themeColor="text1"/>
              </w:rPr>
            </w:pPr>
            <w:r w:rsidRPr="00FA1E4C">
              <w:rPr>
                <w:rFonts w:ascii="Arial" w:hAnsi="Arial" w:cs="Arial"/>
                <w:color w:val="000000" w:themeColor="text1"/>
              </w:rPr>
              <w:t>Lugar:</w:t>
            </w:r>
          </w:p>
        </w:tc>
        <w:tc>
          <w:tcPr>
            <w:tcW w:w="4224" w:type="dxa"/>
          </w:tcPr>
          <w:p w14:paraId="5446D55E" w14:textId="77777777" w:rsidR="009F5558" w:rsidRPr="00FA1E4C" w:rsidRDefault="009F5558" w:rsidP="00B06EAF">
            <w:pPr>
              <w:spacing w:after="160"/>
              <w:rPr>
                <w:rFonts w:ascii="Arial" w:hAnsi="Arial" w:cs="Arial"/>
              </w:rPr>
            </w:pPr>
          </w:p>
        </w:tc>
      </w:tr>
      <w:tr w:rsidR="009F5558" w:rsidRPr="007F217F" w14:paraId="528814F2" w14:textId="77777777" w:rsidTr="00B06EAF">
        <w:tc>
          <w:tcPr>
            <w:tcW w:w="4270" w:type="dxa"/>
          </w:tcPr>
          <w:p w14:paraId="57C94F42" w14:textId="77777777" w:rsidR="009F5558" w:rsidRPr="00FA1E4C" w:rsidRDefault="009F5558" w:rsidP="00B06EAF">
            <w:pPr>
              <w:spacing w:after="160"/>
              <w:rPr>
                <w:rFonts w:ascii="Arial" w:hAnsi="Arial" w:cs="Arial"/>
                <w:color w:val="000000" w:themeColor="text1"/>
              </w:rPr>
            </w:pPr>
            <w:r w:rsidRPr="00FA1E4C">
              <w:rPr>
                <w:rFonts w:ascii="Arial" w:hAnsi="Arial" w:cs="Arial"/>
                <w:color w:val="000000" w:themeColor="text1"/>
              </w:rPr>
              <w:t xml:space="preserve">Fecha: </w:t>
            </w:r>
          </w:p>
        </w:tc>
        <w:tc>
          <w:tcPr>
            <w:tcW w:w="4224" w:type="dxa"/>
          </w:tcPr>
          <w:p w14:paraId="60F28292" w14:textId="77777777" w:rsidR="009F5558" w:rsidRPr="00FA1E4C" w:rsidRDefault="009F5558" w:rsidP="00B06EAF">
            <w:pPr>
              <w:spacing w:after="160"/>
              <w:rPr>
                <w:rFonts w:ascii="Arial" w:hAnsi="Arial" w:cs="Arial"/>
              </w:rPr>
            </w:pPr>
          </w:p>
        </w:tc>
      </w:tr>
      <w:tr w:rsidR="009F5558" w:rsidRPr="007F217F" w14:paraId="78F5F7BC" w14:textId="77777777" w:rsidTr="00B06EAF">
        <w:tc>
          <w:tcPr>
            <w:tcW w:w="8494" w:type="dxa"/>
            <w:gridSpan w:val="2"/>
          </w:tcPr>
          <w:p w14:paraId="4998760F" w14:textId="77777777" w:rsidR="009F5558" w:rsidRPr="00FA1E4C" w:rsidRDefault="009F5558" w:rsidP="00B06EAF">
            <w:pPr>
              <w:spacing w:after="160"/>
              <w:jc w:val="center"/>
              <w:rPr>
                <w:rFonts w:ascii="Arial" w:hAnsi="Arial" w:cs="Arial"/>
                <w:color w:val="000000" w:themeColor="text1"/>
              </w:rPr>
            </w:pPr>
            <w:r w:rsidRPr="00FA1E4C">
              <w:rPr>
                <w:rFonts w:ascii="Arial" w:hAnsi="Arial" w:cs="Arial"/>
                <w:color w:val="000000" w:themeColor="text1"/>
              </w:rPr>
              <w:t>Datos del entrevistado</w:t>
            </w:r>
          </w:p>
        </w:tc>
      </w:tr>
      <w:tr w:rsidR="009F5558" w:rsidRPr="007F217F" w14:paraId="39F4C143" w14:textId="77777777" w:rsidTr="00B06EAF">
        <w:tc>
          <w:tcPr>
            <w:tcW w:w="4270" w:type="dxa"/>
          </w:tcPr>
          <w:p w14:paraId="0F2DE2C8" w14:textId="77777777" w:rsidR="009F5558" w:rsidRPr="00FA1E4C" w:rsidRDefault="009F5558" w:rsidP="00B06EAF">
            <w:pPr>
              <w:spacing w:after="160"/>
              <w:rPr>
                <w:rFonts w:ascii="Arial" w:hAnsi="Arial" w:cs="Arial"/>
                <w:color w:val="000000" w:themeColor="text1"/>
              </w:rPr>
            </w:pPr>
            <w:r w:rsidRPr="00FA1E4C">
              <w:rPr>
                <w:rFonts w:ascii="Arial" w:hAnsi="Arial" w:cs="Arial"/>
                <w:color w:val="000000" w:themeColor="text1"/>
              </w:rPr>
              <w:t>Nombre y apellido:</w:t>
            </w:r>
          </w:p>
        </w:tc>
        <w:tc>
          <w:tcPr>
            <w:tcW w:w="4224" w:type="dxa"/>
          </w:tcPr>
          <w:p w14:paraId="6E61D351" w14:textId="77777777" w:rsidR="009F5558" w:rsidRPr="00FA1E4C" w:rsidRDefault="009F5558" w:rsidP="00B06EAF">
            <w:pPr>
              <w:spacing w:after="160"/>
              <w:rPr>
                <w:rFonts w:ascii="Arial" w:hAnsi="Arial" w:cs="Arial"/>
              </w:rPr>
            </w:pPr>
          </w:p>
        </w:tc>
      </w:tr>
      <w:tr w:rsidR="009F5558" w:rsidRPr="007F217F" w14:paraId="28B2CF67" w14:textId="77777777" w:rsidTr="00B06EAF">
        <w:tc>
          <w:tcPr>
            <w:tcW w:w="4270" w:type="dxa"/>
          </w:tcPr>
          <w:p w14:paraId="7DA70453" w14:textId="77777777" w:rsidR="009F5558" w:rsidRPr="00FA1E4C" w:rsidRDefault="009F5558" w:rsidP="00B06EAF">
            <w:pPr>
              <w:spacing w:after="160"/>
              <w:rPr>
                <w:rFonts w:ascii="Arial" w:hAnsi="Arial" w:cs="Arial"/>
                <w:color w:val="000000" w:themeColor="text1"/>
              </w:rPr>
            </w:pPr>
            <w:r w:rsidRPr="00FA1E4C">
              <w:rPr>
                <w:rFonts w:ascii="Arial" w:hAnsi="Arial" w:cs="Arial"/>
                <w:color w:val="000000" w:themeColor="text1"/>
              </w:rPr>
              <w:t>Empresa u Organización:</w:t>
            </w:r>
          </w:p>
        </w:tc>
        <w:tc>
          <w:tcPr>
            <w:tcW w:w="4224" w:type="dxa"/>
          </w:tcPr>
          <w:p w14:paraId="0B5DCDF4" w14:textId="77777777" w:rsidR="009F5558" w:rsidRPr="00FA1E4C" w:rsidRDefault="009F5558" w:rsidP="00B06EAF">
            <w:pPr>
              <w:spacing w:after="160"/>
              <w:rPr>
                <w:rFonts w:ascii="Arial" w:hAnsi="Arial" w:cs="Arial"/>
              </w:rPr>
            </w:pPr>
          </w:p>
        </w:tc>
      </w:tr>
      <w:tr w:rsidR="009F5558" w:rsidRPr="007F217F" w14:paraId="31E0CEBD" w14:textId="77777777" w:rsidTr="00B06EAF">
        <w:tc>
          <w:tcPr>
            <w:tcW w:w="4270" w:type="dxa"/>
          </w:tcPr>
          <w:p w14:paraId="6ECB5A03" w14:textId="77777777" w:rsidR="009F5558" w:rsidRPr="00FA1E4C" w:rsidRDefault="009F5558" w:rsidP="00B06EAF">
            <w:pPr>
              <w:spacing w:after="160"/>
              <w:rPr>
                <w:rFonts w:ascii="Arial" w:hAnsi="Arial" w:cs="Arial"/>
                <w:color w:val="000000" w:themeColor="text1"/>
              </w:rPr>
            </w:pPr>
            <w:r w:rsidRPr="00FA1E4C">
              <w:rPr>
                <w:rFonts w:ascii="Arial" w:hAnsi="Arial" w:cs="Arial"/>
                <w:color w:val="000000" w:themeColor="text1"/>
              </w:rPr>
              <w:t xml:space="preserve">Puesto o Cargo: </w:t>
            </w:r>
          </w:p>
        </w:tc>
        <w:tc>
          <w:tcPr>
            <w:tcW w:w="4224" w:type="dxa"/>
          </w:tcPr>
          <w:p w14:paraId="0A491CC1" w14:textId="77777777" w:rsidR="009F5558" w:rsidRPr="00FA1E4C" w:rsidRDefault="009F5558" w:rsidP="00B06EAF">
            <w:pPr>
              <w:spacing w:after="160"/>
              <w:rPr>
                <w:rFonts w:ascii="Arial" w:hAnsi="Arial" w:cs="Arial"/>
              </w:rPr>
            </w:pPr>
          </w:p>
        </w:tc>
      </w:tr>
      <w:tr w:rsidR="009F5558" w:rsidRPr="007F217F" w14:paraId="5A995610" w14:textId="77777777" w:rsidTr="00B06EAF">
        <w:tc>
          <w:tcPr>
            <w:tcW w:w="4270" w:type="dxa"/>
          </w:tcPr>
          <w:p w14:paraId="1867EC19" w14:textId="77777777" w:rsidR="009F5558" w:rsidRPr="00FA1E4C" w:rsidRDefault="009F5558" w:rsidP="00B06EAF">
            <w:pPr>
              <w:spacing w:after="160"/>
              <w:rPr>
                <w:rFonts w:ascii="Arial" w:hAnsi="Arial" w:cs="Arial"/>
                <w:color w:val="000000" w:themeColor="text1"/>
              </w:rPr>
            </w:pPr>
            <w:r w:rsidRPr="00FA1E4C">
              <w:rPr>
                <w:rFonts w:ascii="Arial" w:hAnsi="Arial" w:cs="Arial"/>
                <w:color w:val="000000" w:themeColor="text1"/>
              </w:rPr>
              <w:t xml:space="preserve">Sector/Rubro: </w:t>
            </w:r>
          </w:p>
        </w:tc>
        <w:tc>
          <w:tcPr>
            <w:tcW w:w="4224" w:type="dxa"/>
          </w:tcPr>
          <w:p w14:paraId="65D940D7" w14:textId="77777777" w:rsidR="009F5558" w:rsidRPr="00FA1E4C" w:rsidRDefault="009F5558" w:rsidP="00B06EAF">
            <w:pPr>
              <w:spacing w:after="160"/>
              <w:rPr>
                <w:rFonts w:ascii="Arial" w:hAnsi="Arial" w:cs="Arial"/>
              </w:rPr>
            </w:pPr>
          </w:p>
        </w:tc>
      </w:tr>
      <w:tr w:rsidR="009F5558" w:rsidRPr="00FA1E4C" w14:paraId="2F0A73DF" w14:textId="77777777" w:rsidTr="00B06EAF">
        <w:tc>
          <w:tcPr>
            <w:tcW w:w="8494" w:type="dxa"/>
            <w:gridSpan w:val="2"/>
          </w:tcPr>
          <w:p w14:paraId="47879B79" w14:textId="77777777" w:rsidR="009F5558" w:rsidRPr="00FA1E4C" w:rsidRDefault="009F5558">
            <w:pPr>
              <w:pStyle w:val="Prrafodelista"/>
              <w:numPr>
                <w:ilvl w:val="0"/>
                <w:numId w:val="6"/>
              </w:numPr>
              <w:spacing w:before="240"/>
              <w:jc w:val="both"/>
              <w:rPr>
                <w:rFonts w:ascii="Arial" w:hAnsi="Arial" w:cs="Arial"/>
              </w:rPr>
            </w:pPr>
            <w:r w:rsidRPr="00FA1E4C">
              <w:rPr>
                <w:rFonts w:ascii="Arial" w:hAnsi="Arial" w:cs="Arial"/>
              </w:rPr>
              <w:t>Para los sectores que se han mencionado como potenciales beneficiarios en comunicados institucionales (Café, tabaco, camarón, carne bovina, zinc), ¿cuál es la expectativa tiene en la negociación del TLC?. Adicionalmente,  existe un sector adicional que este percibiéndose como prioritario?</w:t>
            </w:r>
          </w:p>
          <w:p w14:paraId="38644DDE" w14:textId="77777777" w:rsidR="009F5558" w:rsidRPr="00FA1E4C" w:rsidRDefault="009F5558" w:rsidP="00B06EAF">
            <w:pPr>
              <w:pStyle w:val="Prrafodelista"/>
              <w:spacing w:before="240"/>
              <w:jc w:val="both"/>
              <w:rPr>
                <w:rFonts w:ascii="Arial" w:hAnsi="Arial" w:cs="Arial"/>
              </w:rPr>
            </w:pPr>
          </w:p>
          <w:p w14:paraId="7B0C207A" w14:textId="77777777" w:rsidR="009F5558" w:rsidRPr="00FA1E4C" w:rsidRDefault="009F5558">
            <w:pPr>
              <w:pStyle w:val="Prrafodelista"/>
              <w:numPr>
                <w:ilvl w:val="0"/>
                <w:numId w:val="6"/>
              </w:numPr>
              <w:spacing w:before="240"/>
              <w:jc w:val="both"/>
              <w:rPr>
                <w:rFonts w:ascii="Arial" w:hAnsi="Arial" w:cs="Arial"/>
              </w:rPr>
            </w:pPr>
            <w:r w:rsidRPr="00FA1E4C">
              <w:rPr>
                <w:rFonts w:ascii="Arial" w:hAnsi="Arial" w:cs="Arial"/>
              </w:rPr>
              <w:t>En cuanto a la Inversión Extranjera Directa, ¿cuál es la estrategia contemplada en el TLC para atraer la inversión de la República Popular China a Honduras? ¿En qué áreas específicas se centra la expectativa  de las potenciales IED Chinas en el país?</w:t>
            </w:r>
          </w:p>
          <w:p w14:paraId="1B46D891" w14:textId="77777777" w:rsidR="009F5558" w:rsidRPr="00FA1E4C" w:rsidRDefault="009F5558" w:rsidP="00B06EAF">
            <w:pPr>
              <w:pStyle w:val="Prrafodelista"/>
              <w:rPr>
                <w:rFonts w:ascii="Arial" w:hAnsi="Arial" w:cs="Arial"/>
              </w:rPr>
            </w:pPr>
          </w:p>
          <w:p w14:paraId="07EEE9E7" w14:textId="77777777" w:rsidR="009F5558" w:rsidRPr="00FA1E4C" w:rsidRDefault="009F5558" w:rsidP="00B06EAF">
            <w:pPr>
              <w:pStyle w:val="Prrafodelista"/>
              <w:spacing w:before="240"/>
              <w:jc w:val="both"/>
              <w:rPr>
                <w:rFonts w:ascii="Arial" w:hAnsi="Arial" w:cs="Arial"/>
              </w:rPr>
            </w:pPr>
          </w:p>
          <w:p w14:paraId="738FF15F" w14:textId="77777777" w:rsidR="009F5558" w:rsidRPr="00FA1E4C" w:rsidRDefault="009F5558">
            <w:pPr>
              <w:pStyle w:val="Prrafodelista"/>
              <w:numPr>
                <w:ilvl w:val="0"/>
                <w:numId w:val="6"/>
              </w:numPr>
              <w:spacing w:before="240"/>
              <w:jc w:val="both"/>
              <w:rPr>
                <w:rFonts w:ascii="Arial" w:hAnsi="Arial" w:cs="Arial"/>
                <w:color w:val="000000" w:themeColor="text1"/>
              </w:rPr>
            </w:pPr>
            <w:r w:rsidRPr="00FA1E4C">
              <w:rPr>
                <w:rFonts w:ascii="Arial" w:hAnsi="Arial" w:cs="Arial"/>
                <w:color w:val="000000" w:themeColor="text1"/>
              </w:rPr>
              <w:t>¿Se espera una mejora significativa en el empleo para los sectores mencionados como posibles beneficiarios en el TLC? ¿Cuáles son las proyecciones a corto mediano y largo plazo para el aumento de empleabilidad en estos sectores?</w:t>
            </w:r>
          </w:p>
          <w:p w14:paraId="742BBB06" w14:textId="77777777" w:rsidR="009F5558" w:rsidRPr="00FA1E4C" w:rsidRDefault="009F5558" w:rsidP="00B06EAF">
            <w:pPr>
              <w:pStyle w:val="Prrafodelista"/>
              <w:spacing w:before="240"/>
              <w:jc w:val="both"/>
              <w:rPr>
                <w:rFonts w:ascii="Arial" w:hAnsi="Arial" w:cs="Arial"/>
                <w:color w:val="000000" w:themeColor="text1"/>
              </w:rPr>
            </w:pPr>
          </w:p>
          <w:p w14:paraId="4CB2DC93" w14:textId="77777777" w:rsidR="009F5558" w:rsidRPr="00FA1E4C" w:rsidRDefault="009F5558">
            <w:pPr>
              <w:pStyle w:val="Prrafodelista"/>
              <w:numPr>
                <w:ilvl w:val="0"/>
                <w:numId w:val="6"/>
              </w:numPr>
              <w:spacing w:before="240"/>
              <w:jc w:val="both"/>
              <w:rPr>
                <w:rFonts w:ascii="Arial" w:hAnsi="Arial" w:cs="Arial"/>
              </w:rPr>
            </w:pPr>
            <w:bookmarkStart w:id="98" w:name="OLE_LINK15"/>
            <w:r w:rsidRPr="00FA1E4C">
              <w:rPr>
                <w:rFonts w:ascii="Arial" w:hAnsi="Arial" w:cs="Arial"/>
              </w:rPr>
              <w:t>Respecto a las importaciones, ¿en qué sectores o productos se vislumbra que China espere potenciar sus exportaciones hacia Honduras en el marco del TLC?</w:t>
            </w:r>
            <w:bookmarkEnd w:id="98"/>
          </w:p>
          <w:p w14:paraId="0E500632" w14:textId="77777777" w:rsidR="009F5558" w:rsidRPr="00FA1E4C" w:rsidRDefault="009F5558" w:rsidP="00B06EAF">
            <w:pPr>
              <w:spacing w:before="240"/>
              <w:jc w:val="both"/>
              <w:rPr>
                <w:rFonts w:ascii="Arial" w:hAnsi="Arial" w:cs="Arial"/>
              </w:rPr>
            </w:pPr>
          </w:p>
        </w:tc>
      </w:tr>
    </w:tbl>
    <w:p w14:paraId="3F0C0555" w14:textId="77777777" w:rsidR="009F5558" w:rsidRDefault="009F5558" w:rsidP="009F5558">
      <w:pPr>
        <w:spacing w:before="240" w:line="360" w:lineRule="auto"/>
        <w:jc w:val="both"/>
        <w:rPr>
          <w:rFonts w:ascii="Arial" w:hAnsi="Arial" w:cs="Arial"/>
        </w:rPr>
      </w:pPr>
    </w:p>
    <w:p w14:paraId="4B35671E" w14:textId="77777777" w:rsidR="009F5558" w:rsidRPr="00822279" w:rsidRDefault="009F5558" w:rsidP="009F5558">
      <w:pPr>
        <w:spacing w:before="240" w:line="360" w:lineRule="auto"/>
        <w:jc w:val="both"/>
        <w:rPr>
          <w:rFonts w:ascii="Arial" w:hAnsi="Arial" w:cs="Arial"/>
        </w:rPr>
      </w:pPr>
      <w:r w:rsidRPr="00795AAA">
        <w:rPr>
          <w:rFonts w:ascii="Arial" w:hAnsi="Arial" w:cs="Arial"/>
          <w:b/>
          <w:bCs/>
        </w:rPr>
        <w:t>Anexo IV:</w:t>
      </w:r>
      <w:r w:rsidRPr="00822279">
        <w:rPr>
          <w:rFonts w:ascii="Arial" w:hAnsi="Arial" w:cs="Arial"/>
        </w:rPr>
        <w:t xml:space="preserve"> </w:t>
      </w:r>
      <w:r w:rsidRPr="00795AAA">
        <w:rPr>
          <w:rFonts w:ascii="Arial" w:hAnsi="Arial" w:cs="Arial"/>
          <w:i/>
          <w:iCs/>
        </w:rPr>
        <w:t>Entrevista para representantes de las asociaciones hondureñas de los sectores prioritarios</w:t>
      </w:r>
    </w:p>
    <w:tbl>
      <w:tblPr>
        <w:tblStyle w:val="Tablaconcuadrcula"/>
        <w:tblpPr w:leftFromText="142" w:rightFromText="142" w:vertAnchor="text" w:tblpY="1"/>
        <w:tblW w:w="0" w:type="auto"/>
        <w:tblLook w:val="04A0" w:firstRow="1" w:lastRow="0" w:firstColumn="1" w:lastColumn="0" w:noHBand="0" w:noVBand="1"/>
      </w:tblPr>
      <w:tblGrid>
        <w:gridCol w:w="4270"/>
        <w:gridCol w:w="4224"/>
      </w:tblGrid>
      <w:tr w:rsidR="009F5558" w:rsidRPr="007F217F" w14:paraId="586A8537" w14:textId="77777777" w:rsidTr="00B06EAF">
        <w:tc>
          <w:tcPr>
            <w:tcW w:w="8494" w:type="dxa"/>
            <w:gridSpan w:val="2"/>
            <w:vAlign w:val="center"/>
          </w:tcPr>
          <w:p w14:paraId="5AC1D08D" w14:textId="77777777" w:rsidR="009F5558" w:rsidRPr="00FA1E4C" w:rsidRDefault="009F5558" w:rsidP="00B06EAF">
            <w:pPr>
              <w:spacing w:after="160"/>
              <w:jc w:val="center"/>
              <w:rPr>
                <w:rFonts w:ascii="Arial" w:hAnsi="Arial" w:cs="Arial"/>
              </w:rPr>
            </w:pPr>
            <w:r w:rsidRPr="00FA1E4C">
              <w:rPr>
                <w:rFonts w:ascii="Arial" w:hAnsi="Arial" w:cs="Arial"/>
                <w:b/>
                <w:noProof/>
                <w:color w:val="000000" w:themeColor="text1"/>
              </w:rPr>
              <w:drawing>
                <wp:inline distT="0" distB="0" distL="0" distR="0" wp14:anchorId="64A1B6E5" wp14:editId="2AF25219">
                  <wp:extent cx="1120775" cy="978535"/>
                  <wp:effectExtent l="0" t="0" r="0" b="0"/>
                  <wp:docPr id="1406696185" name="Imagen 1406696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6" cstate="print">
                            <a:extLst>
                              <a:ext uri="{28A0092B-C50C-407E-A947-70E740481C1C}">
                                <a14:useLocalDpi xmlns:a14="http://schemas.microsoft.com/office/drawing/2010/main" val="0"/>
                              </a:ext>
                            </a:extLst>
                          </a:blip>
                          <a:srcRect l="26105" t="12383" r="25182" b="11252"/>
                          <a:stretch>
                            <a:fillRect/>
                          </a:stretch>
                        </pic:blipFill>
                        <pic:spPr bwMode="auto">
                          <a:xfrm>
                            <a:off x="0" y="0"/>
                            <a:ext cx="1120775" cy="978535"/>
                          </a:xfrm>
                          <a:prstGeom prst="rect">
                            <a:avLst/>
                          </a:prstGeom>
                          <a:noFill/>
                          <a:ln>
                            <a:noFill/>
                          </a:ln>
                        </pic:spPr>
                      </pic:pic>
                    </a:graphicData>
                  </a:graphic>
                </wp:inline>
              </w:drawing>
            </w:r>
          </w:p>
        </w:tc>
      </w:tr>
      <w:tr w:rsidR="009F5558" w:rsidRPr="007F217F" w14:paraId="29D60319" w14:textId="77777777" w:rsidTr="00B06EAF">
        <w:tc>
          <w:tcPr>
            <w:tcW w:w="8494" w:type="dxa"/>
            <w:gridSpan w:val="2"/>
          </w:tcPr>
          <w:p w14:paraId="09858093" w14:textId="77777777" w:rsidR="009F5558" w:rsidRPr="00FA1E4C" w:rsidRDefault="009F5558" w:rsidP="00B06EAF">
            <w:pPr>
              <w:spacing w:after="160"/>
              <w:jc w:val="center"/>
              <w:rPr>
                <w:rFonts w:ascii="Arial" w:hAnsi="Arial" w:cs="Arial"/>
                <w:color w:val="000000" w:themeColor="text1"/>
              </w:rPr>
            </w:pPr>
            <w:r w:rsidRPr="00FA1E4C">
              <w:rPr>
                <w:rFonts w:ascii="Arial" w:hAnsi="Arial" w:cs="Arial"/>
                <w:color w:val="000000" w:themeColor="text1"/>
              </w:rPr>
              <w:t>Negociación del Tratado de Libre Comercio entre Honduras y China</w:t>
            </w:r>
          </w:p>
          <w:p w14:paraId="61A248F6" w14:textId="77777777" w:rsidR="009F5558" w:rsidRPr="00FA1E4C" w:rsidRDefault="009F5558" w:rsidP="00B06EAF">
            <w:pPr>
              <w:spacing w:after="160"/>
              <w:jc w:val="center"/>
              <w:rPr>
                <w:rFonts w:ascii="Arial" w:hAnsi="Arial" w:cs="Arial"/>
                <w:b/>
                <w:bCs/>
                <w:color w:val="000000" w:themeColor="text1"/>
              </w:rPr>
            </w:pPr>
            <w:r w:rsidRPr="00FA1E4C">
              <w:rPr>
                <w:rFonts w:ascii="Arial" w:hAnsi="Arial" w:cs="Arial"/>
                <w:b/>
                <w:bCs/>
                <w:color w:val="000000" w:themeColor="text1"/>
              </w:rPr>
              <w:t>Entrevista para representantes de las asociaciones hondureñas de los sectores prioritarios</w:t>
            </w:r>
          </w:p>
        </w:tc>
      </w:tr>
      <w:tr w:rsidR="009F5558" w:rsidRPr="007F217F" w14:paraId="5E3510C2" w14:textId="77777777" w:rsidTr="00B06EAF">
        <w:tc>
          <w:tcPr>
            <w:tcW w:w="4270" w:type="dxa"/>
          </w:tcPr>
          <w:p w14:paraId="1241A7FB" w14:textId="77777777" w:rsidR="009F5558" w:rsidRPr="00FA1E4C" w:rsidRDefault="009F5558" w:rsidP="00B06EAF">
            <w:pPr>
              <w:spacing w:after="160"/>
              <w:rPr>
                <w:rFonts w:ascii="Arial" w:hAnsi="Arial" w:cs="Arial"/>
                <w:color w:val="000000" w:themeColor="text1"/>
              </w:rPr>
            </w:pPr>
            <w:r w:rsidRPr="00FA1E4C">
              <w:rPr>
                <w:rFonts w:ascii="Arial" w:hAnsi="Arial" w:cs="Arial"/>
                <w:color w:val="000000" w:themeColor="text1"/>
              </w:rPr>
              <w:t>Lugar:</w:t>
            </w:r>
          </w:p>
        </w:tc>
        <w:tc>
          <w:tcPr>
            <w:tcW w:w="4224" w:type="dxa"/>
          </w:tcPr>
          <w:p w14:paraId="7BD6101D" w14:textId="77777777" w:rsidR="009F5558" w:rsidRPr="00FA1E4C" w:rsidRDefault="009F5558" w:rsidP="00B06EAF">
            <w:pPr>
              <w:spacing w:after="160"/>
              <w:rPr>
                <w:rFonts w:ascii="Arial" w:hAnsi="Arial" w:cs="Arial"/>
              </w:rPr>
            </w:pPr>
          </w:p>
        </w:tc>
      </w:tr>
      <w:tr w:rsidR="009F5558" w:rsidRPr="007F217F" w14:paraId="73B3D84B" w14:textId="77777777" w:rsidTr="00B06EAF">
        <w:tc>
          <w:tcPr>
            <w:tcW w:w="4270" w:type="dxa"/>
          </w:tcPr>
          <w:p w14:paraId="34D0D5CB" w14:textId="77777777" w:rsidR="009F5558" w:rsidRPr="00FA1E4C" w:rsidRDefault="009F5558" w:rsidP="00B06EAF">
            <w:pPr>
              <w:spacing w:after="160"/>
              <w:rPr>
                <w:rFonts w:ascii="Arial" w:hAnsi="Arial" w:cs="Arial"/>
                <w:color w:val="000000" w:themeColor="text1"/>
              </w:rPr>
            </w:pPr>
            <w:r w:rsidRPr="00FA1E4C">
              <w:rPr>
                <w:rFonts w:ascii="Arial" w:hAnsi="Arial" w:cs="Arial"/>
                <w:color w:val="000000" w:themeColor="text1"/>
              </w:rPr>
              <w:t xml:space="preserve">Fecha: </w:t>
            </w:r>
          </w:p>
        </w:tc>
        <w:tc>
          <w:tcPr>
            <w:tcW w:w="4224" w:type="dxa"/>
          </w:tcPr>
          <w:p w14:paraId="4AA69520" w14:textId="77777777" w:rsidR="009F5558" w:rsidRPr="00FA1E4C" w:rsidRDefault="009F5558" w:rsidP="00B06EAF">
            <w:pPr>
              <w:spacing w:after="160"/>
              <w:rPr>
                <w:rFonts w:ascii="Arial" w:hAnsi="Arial" w:cs="Arial"/>
              </w:rPr>
            </w:pPr>
          </w:p>
        </w:tc>
      </w:tr>
      <w:tr w:rsidR="009F5558" w:rsidRPr="007F217F" w14:paraId="52C0AD49" w14:textId="77777777" w:rsidTr="00B06EAF">
        <w:tc>
          <w:tcPr>
            <w:tcW w:w="8494" w:type="dxa"/>
            <w:gridSpan w:val="2"/>
          </w:tcPr>
          <w:p w14:paraId="557DB61F" w14:textId="77777777" w:rsidR="009F5558" w:rsidRPr="00FA1E4C" w:rsidRDefault="009F5558" w:rsidP="00B06EAF">
            <w:pPr>
              <w:spacing w:after="160"/>
              <w:jc w:val="center"/>
              <w:rPr>
                <w:rFonts w:ascii="Arial" w:hAnsi="Arial" w:cs="Arial"/>
                <w:color w:val="000000" w:themeColor="text1"/>
              </w:rPr>
            </w:pPr>
            <w:r w:rsidRPr="00FA1E4C">
              <w:rPr>
                <w:rFonts w:ascii="Arial" w:hAnsi="Arial" w:cs="Arial"/>
                <w:color w:val="000000" w:themeColor="text1"/>
              </w:rPr>
              <w:t>Datos del entrevistado</w:t>
            </w:r>
          </w:p>
        </w:tc>
      </w:tr>
      <w:tr w:rsidR="009F5558" w:rsidRPr="007F217F" w14:paraId="6B7E48E7" w14:textId="77777777" w:rsidTr="00B06EAF">
        <w:tc>
          <w:tcPr>
            <w:tcW w:w="4270" w:type="dxa"/>
          </w:tcPr>
          <w:p w14:paraId="44C4A42F" w14:textId="77777777" w:rsidR="009F5558" w:rsidRPr="00FA1E4C" w:rsidRDefault="009F5558" w:rsidP="00B06EAF">
            <w:pPr>
              <w:spacing w:after="160"/>
              <w:rPr>
                <w:rFonts w:ascii="Arial" w:hAnsi="Arial" w:cs="Arial"/>
                <w:color w:val="000000" w:themeColor="text1"/>
              </w:rPr>
            </w:pPr>
            <w:r w:rsidRPr="00FA1E4C">
              <w:rPr>
                <w:rFonts w:ascii="Arial" w:hAnsi="Arial" w:cs="Arial"/>
                <w:color w:val="000000" w:themeColor="text1"/>
              </w:rPr>
              <w:t>Nombre y apellido:</w:t>
            </w:r>
          </w:p>
        </w:tc>
        <w:tc>
          <w:tcPr>
            <w:tcW w:w="4224" w:type="dxa"/>
          </w:tcPr>
          <w:p w14:paraId="46DB70AC" w14:textId="77777777" w:rsidR="009F5558" w:rsidRPr="00FA1E4C" w:rsidRDefault="009F5558" w:rsidP="00B06EAF">
            <w:pPr>
              <w:spacing w:after="160"/>
              <w:rPr>
                <w:rFonts w:ascii="Arial" w:hAnsi="Arial" w:cs="Arial"/>
              </w:rPr>
            </w:pPr>
          </w:p>
        </w:tc>
      </w:tr>
      <w:tr w:rsidR="009F5558" w:rsidRPr="007F217F" w14:paraId="704E8104" w14:textId="77777777" w:rsidTr="00B06EAF">
        <w:tc>
          <w:tcPr>
            <w:tcW w:w="4270" w:type="dxa"/>
          </w:tcPr>
          <w:p w14:paraId="66BFBEA0" w14:textId="77777777" w:rsidR="009F5558" w:rsidRPr="00FA1E4C" w:rsidRDefault="009F5558" w:rsidP="00B06EAF">
            <w:pPr>
              <w:spacing w:after="160"/>
              <w:rPr>
                <w:rFonts w:ascii="Arial" w:hAnsi="Arial" w:cs="Arial"/>
                <w:color w:val="000000" w:themeColor="text1"/>
              </w:rPr>
            </w:pPr>
            <w:r w:rsidRPr="00FA1E4C">
              <w:rPr>
                <w:rFonts w:ascii="Arial" w:hAnsi="Arial" w:cs="Arial"/>
                <w:color w:val="000000" w:themeColor="text1"/>
              </w:rPr>
              <w:t>Empresa u Organización:</w:t>
            </w:r>
          </w:p>
        </w:tc>
        <w:tc>
          <w:tcPr>
            <w:tcW w:w="4224" w:type="dxa"/>
          </w:tcPr>
          <w:p w14:paraId="6500F1F0" w14:textId="77777777" w:rsidR="009F5558" w:rsidRPr="00FA1E4C" w:rsidRDefault="009F5558" w:rsidP="00B06EAF">
            <w:pPr>
              <w:spacing w:after="160"/>
              <w:rPr>
                <w:rFonts w:ascii="Arial" w:hAnsi="Arial" w:cs="Arial"/>
              </w:rPr>
            </w:pPr>
          </w:p>
        </w:tc>
      </w:tr>
      <w:tr w:rsidR="009F5558" w:rsidRPr="007F217F" w14:paraId="1928B84D" w14:textId="77777777" w:rsidTr="00B06EAF">
        <w:tc>
          <w:tcPr>
            <w:tcW w:w="4270" w:type="dxa"/>
          </w:tcPr>
          <w:p w14:paraId="0EB867D3" w14:textId="77777777" w:rsidR="009F5558" w:rsidRPr="00FA1E4C" w:rsidRDefault="009F5558" w:rsidP="00B06EAF">
            <w:pPr>
              <w:spacing w:after="160"/>
              <w:rPr>
                <w:rFonts w:ascii="Arial" w:hAnsi="Arial" w:cs="Arial"/>
                <w:color w:val="000000" w:themeColor="text1"/>
              </w:rPr>
            </w:pPr>
            <w:r w:rsidRPr="00FA1E4C">
              <w:rPr>
                <w:rFonts w:ascii="Arial" w:hAnsi="Arial" w:cs="Arial"/>
                <w:color w:val="000000" w:themeColor="text1"/>
              </w:rPr>
              <w:t xml:space="preserve">Puesto o Cargo: </w:t>
            </w:r>
          </w:p>
        </w:tc>
        <w:tc>
          <w:tcPr>
            <w:tcW w:w="4224" w:type="dxa"/>
          </w:tcPr>
          <w:p w14:paraId="5373B662" w14:textId="77777777" w:rsidR="009F5558" w:rsidRPr="00FA1E4C" w:rsidRDefault="009F5558" w:rsidP="00B06EAF">
            <w:pPr>
              <w:spacing w:after="160"/>
              <w:rPr>
                <w:rFonts w:ascii="Arial" w:hAnsi="Arial" w:cs="Arial"/>
              </w:rPr>
            </w:pPr>
          </w:p>
        </w:tc>
      </w:tr>
      <w:tr w:rsidR="009F5558" w:rsidRPr="007F217F" w14:paraId="4AFE466E" w14:textId="77777777" w:rsidTr="00B06EAF">
        <w:tc>
          <w:tcPr>
            <w:tcW w:w="4270" w:type="dxa"/>
          </w:tcPr>
          <w:p w14:paraId="4A332EA0" w14:textId="77777777" w:rsidR="009F5558" w:rsidRPr="00FA1E4C" w:rsidRDefault="009F5558" w:rsidP="00B06EAF">
            <w:pPr>
              <w:spacing w:after="160"/>
              <w:rPr>
                <w:rFonts w:ascii="Arial" w:hAnsi="Arial" w:cs="Arial"/>
                <w:color w:val="000000" w:themeColor="text1"/>
              </w:rPr>
            </w:pPr>
            <w:r w:rsidRPr="00FA1E4C">
              <w:rPr>
                <w:rFonts w:ascii="Arial" w:hAnsi="Arial" w:cs="Arial"/>
                <w:color w:val="000000" w:themeColor="text1"/>
              </w:rPr>
              <w:t xml:space="preserve">Sector/Rubro: </w:t>
            </w:r>
          </w:p>
        </w:tc>
        <w:tc>
          <w:tcPr>
            <w:tcW w:w="4224" w:type="dxa"/>
          </w:tcPr>
          <w:p w14:paraId="289082FF" w14:textId="77777777" w:rsidR="009F5558" w:rsidRPr="00FA1E4C" w:rsidRDefault="009F5558" w:rsidP="00B06EAF">
            <w:pPr>
              <w:spacing w:after="160"/>
              <w:rPr>
                <w:rFonts w:ascii="Arial" w:hAnsi="Arial" w:cs="Arial"/>
              </w:rPr>
            </w:pPr>
          </w:p>
        </w:tc>
      </w:tr>
      <w:tr w:rsidR="009F5558" w:rsidRPr="007F217F" w14:paraId="4038C460" w14:textId="77777777" w:rsidTr="00B06EAF">
        <w:tc>
          <w:tcPr>
            <w:tcW w:w="8494" w:type="dxa"/>
            <w:gridSpan w:val="2"/>
          </w:tcPr>
          <w:p w14:paraId="17E0C2FB" w14:textId="77777777" w:rsidR="009F5558" w:rsidRPr="00FA1E4C" w:rsidRDefault="009F5558">
            <w:pPr>
              <w:pStyle w:val="Prrafodelista"/>
              <w:numPr>
                <w:ilvl w:val="0"/>
                <w:numId w:val="11"/>
              </w:numPr>
              <w:spacing w:before="240"/>
              <w:jc w:val="both"/>
              <w:rPr>
                <w:rFonts w:ascii="Arial" w:hAnsi="Arial" w:cs="Arial"/>
              </w:rPr>
            </w:pPr>
            <w:r w:rsidRPr="00FA1E4C">
              <w:rPr>
                <w:rFonts w:ascii="Arial" w:hAnsi="Arial" w:cs="Arial"/>
              </w:rPr>
              <w:t>¿Cuáles son las expectativas y prioridades de su asociación o gremio en relación con la negociación del TLC entre Honduras y China?</w:t>
            </w:r>
          </w:p>
          <w:p w14:paraId="24A4C292" w14:textId="77777777" w:rsidR="009F5558" w:rsidRPr="00FA1E4C" w:rsidRDefault="009F5558">
            <w:pPr>
              <w:pStyle w:val="Prrafodelista"/>
              <w:numPr>
                <w:ilvl w:val="0"/>
                <w:numId w:val="11"/>
              </w:numPr>
              <w:spacing w:before="240"/>
              <w:jc w:val="both"/>
              <w:rPr>
                <w:rFonts w:ascii="Arial" w:hAnsi="Arial" w:cs="Arial"/>
              </w:rPr>
            </w:pPr>
            <w:r w:rsidRPr="00FA1E4C">
              <w:rPr>
                <w:rFonts w:ascii="Arial" w:hAnsi="Arial" w:cs="Arial"/>
              </w:rPr>
              <w:t>¿Cómo anticipan que la firma del TLC podría impactar directamente en los productores y empresas dentro de su sector?</w:t>
            </w:r>
          </w:p>
          <w:p w14:paraId="5FC91508" w14:textId="77777777" w:rsidR="009F5558" w:rsidRPr="00FA1E4C" w:rsidRDefault="009F5558">
            <w:pPr>
              <w:pStyle w:val="Prrafodelista"/>
              <w:numPr>
                <w:ilvl w:val="0"/>
                <w:numId w:val="11"/>
              </w:numPr>
              <w:spacing w:before="240"/>
              <w:jc w:val="both"/>
              <w:rPr>
                <w:rFonts w:ascii="Arial" w:hAnsi="Arial" w:cs="Arial"/>
              </w:rPr>
            </w:pPr>
            <w:r w:rsidRPr="00FA1E4C">
              <w:rPr>
                <w:rFonts w:ascii="Arial" w:hAnsi="Arial" w:cs="Arial"/>
              </w:rPr>
              <w:t>¿Cuál es la perspectiva de su asociación/sector sobre la cooperación y competencia con otras naciones en el mercado chino después de la firma del TLC?</w:t>
            </w:r>
          </w:p>
        </w:tc>
      </w:tr>
    </w:tbl>
    <w:p w14:paraId="5CD26300" w14:textId="77777777" w:rsidR="009F5558" w:rsidRPr="00753429" w:rsidRDefault="009F5558" w:rsidP="009F5558">
      <w:pPr>
        <w:spacing w:before="240" w:line="360" w:lineRule="auto"/>
        <w:jc w:val="both"/>
        <w:rPr>
          <w:rFonts w:ascii="Arial" w:hAnsi="Arial" w:cs="Arial"/>
          <w:b/>
          <w:bCs/>
        </w:rPr>
      </w:pPr>
    </w:p>
    <w:p w14:paraId="0E2CE5D3" w14:textId="77777777" w:rsidR="009F5558" w:rsidRDefault="009F5558" w:rsidP="009F5558">
      <w:pPr>
        <w:spacing w:after="240" w:line="360" w:lineRule="auto"/>
        <w:jc w:val="both"/>
        <w:rPr>
          <w:rFonts w:ascii="Arial" w:hAnsi="Arial" w:cs="Arial"/>
          <w:lang w:val="es-HN"/>
        </w:rPr>
      </w:pPr>
    </w:p>
    <w:p w14:paraId="6B797590" w14:textId="77777777" w:rsidR="009F5558" w:rsidRDefault="009F5558" w:rsidP="009F5558">
      <w:pPr>
        <w:pStyle w:val="Ttulo2"/>
        <w:numPr>
          <w:ilvl w:val="0"/>
          <w:numId w:val="0"/>
        </w:numPr>
        <w:ind w:left="576"/>
        <w:rPr>
          <w:rFonts w:ascii="Arial" w:hAnsi="Arial" w:cs="Arial"/>
          <w:color w:val="000000" w:themeColor="text1"/>
          <w:sz w:val="24"/>
          <w:szCs w:val="24"/>
        </w:rPr>
        <w:sectPr w:rsidR="009F5558" w:rsidSect="001D3531">
          <w:pgSz w:w="11906" w:h="16838"/>
          <w:pgMar w:top="1417" w:right="1701" w:bottom="1417" w:left="1701" w:header="708" w:footer="708" w:gutter="0"/>
          <w:pgNumType w:start="1"/>
          <w:cols w:space="708"/>
          <w:docGrid w:linePitch="360"/>
        </w:sectPr>
      </w:pPr>
    </w:p>
    <w:p w14:paraId="2DA01212" w14:textId="77777777" w:rsidR="009F5558" w:rsidRPr="00822279" w:rsidRDefault="009F5558" w:rsidP="009F5558">
      <w:pPr>
        <w:pStyle w:val="Ttulo2"/>
        <w:numPr>
          <w:ilvl w:val="0"/>
          <w:numId w:val="0"/>
        </w:numPr>
        <w:ind w:left="576"/>
        <w:rPr>
          <w:rFonts w:ascii="Arial" w:hAnsi="Arial" w:cs="Arial"/>
          <w:color w:val="000000" w:themeColor="text1"/>
          <w:sz w:val="24"/>
          <w:szCs w:val="24"/>
        </w:rPr>
      </w:pPr>
      <w:bookmarkStart w:id="99" w:name="_Toc236232367"/>
      <w:r w:rsidRPr="00795AAA">
        <w:rPr>
          <w:rFonts w:ascii="Arial" w:hAnsi="Arial" w:cs="Arial"/>
          <w:b/>
          <w:bCs/>
          <w:color w:val="000000" w:themeColor="text1"/>
          <w:sz w:val="24"/>
          <w:szCs w:val="24"/>
        </w:rPr>
        <w:lastRenderedPageBreak/>
        <w:t>Anexo V:</w:t>
      </w:r>
      <w:r w:rsidRPr="00822279">
        <w:rPr>
          <w:rFonts w:ascii="Arial" w:hAnsi="Arial" w:cs="Arial"/>
          <w:color w:val="000000" w:themeColor="text1"/>
          <w:sz w:val="24"/>
          <w:szCs w:val="24"/>
        </w:rPr>
        <w:t xml:space="preserve"> </w:t>
      </w:r>
      <w:r w:rsidRPr="00795AAA">
        <w:rPr>
          <w:rFonts w:ascii="Arial" w:hAnsi="Arial" w:cs="Arial"/>
          <w:i/>
          <w:iCs/>
          <w:color w:val="000000" w:themeColor="text1"/>
          <w:sz w:val="24"/>
          <w:szCs w:val="24"/>
        </w:rPr>
        <w:t>Organización de la investigación</w:t>
      </w:r>
      <w:bookmarkEnd w:id="99"/>
    </w:p>
    <w:p w14:paraId="253C8A73" w14:textId="77777777" w:rsidR="00552171" w:rsidRPr="00552171" w:rsidRDefault="00552171" w:rsidP="00552171"/>
    <w:tbl>
      <w:tblPr>
        <w:tblStyle w:val="Tablaconcuadrcula"/>
        <w:tblW w:w="143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2"/>
        <w:gridCol w:w="3205"/>
        <w:gridCol w:w="2835"/>
        <w:gridCol w:w="2552"/>
        <w:gridCol w:w="3159"/>
      </w:tblGrid>
      <w:tr w:rsidR="009F5558" w:rsidRPr="00685F30" w14:paraId="3A301E03" w14:textId="77777777" w:rsidTr="003524B1">
        <w:trPr>
          <w:trHeight w:val="350"/>
        </w:trPr>
        <w:tc>
          <w:tcPr>
            <w:tcW w:w="2602" w:type="dxa"/>
            <w:vAlign w:val="center"/>
          </w:tcPr>
          <w:p w14:paraId="70E200A5" w14:textId="77777777" w:rsidR="009F5558" w:rsidRPr="00685F30" w:rsidRDefault="009F5558" w:rsidP="003524B1">
            <w:pPr>
              <w:spacing w:line="360" w:lineRule="auto"/>
              <w:rPr>
                <w:rFonts w:ascii="Arial" w:hAnsi="Arial" w:cs="Arial"/>
                <w:sz w:val="20"/>
                <w:szCs w:val="20"/>
                <w:lang w:val="es-HN"/>
              </w:rPr>
            </w:pPr>
            <w:r w:rsidRPr="00685F30">
              <w:rPr>
                <w:rFonts w:ascii="Arial" w:hAnsi="Arial" w:cs="Arial"/>
                <w:sz w:val="20"/>
                <w:szCs w:val="20"/>
              </w:rPr>
              <w:t>Objetivos específicos</w:t>
            </w:r>
          </w:p>
        </w:tc>
        <w:tc>
          <w:tcPr>
            <w:tcW w:w="3205" w:type="dxa"/>
            <w:vAlign w:val="center"/>
          </w:tcPr>
          <w:p w14:paraId="293FBE6B" w14:textId="77777777" w:rsidR="009F5558" w:rsidRPr="00685F30" w:rsidRDefault="009F5558" w:rsidP="003524B1">
            <w:pPr>
              <w:spacing w:line="360" w:lineRule="auto"/>
              <w:rPr>
                <w:rFonts w:ascii="Arial" w:hAnsi="Arial" w:cs="Arial"/>
                <w:sz w:val="20"/>
                <w:szCs w:val="20"/>
                <w:lang w:val="es-HN"/>
              </w:rPr>
            </w:pPr>
            <w:r w:rsidRPr="00685F30">
              <w:rPr>
                <w:rFonts w:ascii="Arial" w:hAnsi="Arial" w:cs="Arial"/>
                <w:sz w:val="20"/>
                <w:szCs w:val="20"/>
              </w:rPr>
              <w:t>Preguntas de investigación</w:t>
            </w:r>
          </w:p>
        </w:tc>
        <w:tc>
          <w:tcPr>
            <w:tcW w:w="2835" w:type="dxa"/>
            <w:vAlign w:val="center"/>
          </w:tcPr>
          <w:p w14:paraId="0D78C7BF" w14:textId="77777777" w:rsidR="009F5558" w:rsidRPr="00685F30" w:rsidRDefault="009F5558" w:rsidP="003524B1">
            <w:pPr>
              <w:spacing w:line="360" w:lineRule="auto"/>
              <w:rPr>
                <w:rFonts w:ascii="Arial" w:hAnsi="Arial" w:cs="Arial"/>
                <w:sz w:val="20"/>
                <w:szCs w:val="20"/>
                <w:lang w:val="es-HN"/>
              </w:rPr>
            </w:pPr>
            <w:r w:rsidRPr="00685F30">
              <w:rPr>
                <w:rFonts w:ascii="Arial" w:hAnsi="Arial" w:cs="Arial"/>
                <w:sz w:val="20"/>
                <w:szCs w:val="20"/>
              </w:rPr>
              <w:t>Variables</w:t>
            </w:r>
          </w:p>
        </w:tc>
        <w:tc>
          <w:tcPr>
            <w:tcW w:w="2552" w:type="dxa"/>
            <w:vAlign w:val="center"/>
          </w:tcPr>
          <w:p w14:paraId="6D9398B1" w14:textId="5893878C" w:rsidR="009F5558" w:rsidRPr="00685F30" w:rsidRDefault="009F5558" w:rsidP="003524B1">
            <w:pPr>
              <w:spacing w:line="360" w:lineRule="auto"/>
              <w:rPr>
                <w:rFonts w:ascii="Arial" w:hAnsi="Arial" w:cs="Arial"/>
                <w:sz w:val="20"/>
                <w:szCs w:val="20"/>
                <w:lang w:val="es-HN"/>
              </w:rPr>
            </w:pPr>
            <w:r w:rsidRPr="00685F30">
              <w:rPr>
                <w:rFonts w:ascii="Arial" w:hAnsi="Arial" w:cs="Arial"/>
                <w:sz w:val="20"/>
                <w:szCs w:val="20"/>
              </w:rPr>
              <w:t>Fuentes de</w:t>
            </w:r>
            <w:r w:rsidR="00552171">
              <w:rPr>
                <w:rFonts w:ascii="Arial" w:hAnsi="Arial" w:cs="Arial"/>
                <w:sz w:val="20"/>
                <w:szCs w:val="20"/>
              </w:rPr>
              <w:t xml:space="preserve"> I</w:t>
            </w:r>
            <w:r w:rsidRPr="00685F30">
              <w:rPr>
                <w:rFonts w:ascii="Arial" w:hAnsi="Arial" w:cs="Arial"/>
                <w:sz w:val="20"/>
                <w:szCs w:val="20"/>
              </w:rPr>
              <w:t>nformación</w:t>
            </w:r>
          </w:p>
        </w:tc>
        <w:tc>
          <w:tcPr>
            <w:tcW w:w="3159" w:type="dxa"/>
            <w:vAlign w:val="center"/>
          </w:tcPr>
          <w:p w14:paraId="5255A1E1" w14:textId="77777777" w:rsidR="009F5558" w:rsidRPr="00685F30" w:rsidRDefault="009F5558" w:rsidP="003524B1">
            <w:pPr>
              <w:spacing w:line="360" w:lineRule="auto"/>
              <w:rPr>
                <w:rFonts w:ascii="Arial" w:hAnsi="Arial" w:cs="Arial"/>
                <w:sz w:val="20"/>
                <w:szCs w:val="20"/>
                <w:lang w:val="es-HN"/>
              </w:rPr>
            </w:pPr>
            <w:r w:rsidRPr="00685F30">
              <w:rPr>
                <w:rFonts w:ascii="Arial" w:hAnsi="Arial" w:cs="Arial"/>
                <w:sz w:val="20"/>
                <w:szCs w:val="20"/>
                <w:lang w:val="es-HN"/>
              </w:rPr>
              <w:t>Métodología</w:t>
            </w:r>
          </w:p>
        </w:tc>
      </w:tr>
      <w:tr w:rsidR="009F5558" w:rsidRPr="00685F30" w14:paraId="19A0740B" w14:textId="77777777" w:rsidTr="003524B1">
        <w:trPr>
          <w:trHeight w:val="1801"/>
        </w:trPr>
        <w:tc>
          <w:tcPr>
            <w:tcW w:w="2602" w:type="dxa"/>
            <w:vAlign w:val="center"/>
          </w:tcPr>
          <w:p w14:paraId="62FC3ACB" w14:textId="77777777" w:rsidR="009F5558" w:rsidRPr="00685F30" w:rsidRDefault="009F5558" w:rsidP="003524B1">
            <w:pPr>
              <w:rPr>
                <w:rFonts w:ascii="Arial" w:hAnsi="Arial" w:cs="Arial"/>
                <w:sz w:val="20"/>
                <w:szCs w:val="20"/>
                <w:lang w:val="es-HN"/>
              </w:rPr>
            </w:pPr>
            <w:r w:rsidRPr="00685F30">
              <w:rPr>
                <w:rFonts w:ascii="Arial" w:hAnsi="Arial" w:cs="Arial"/>
                <w:sz w:val="20"/>
                <w:szCs w:val="20"/>
                <w:lang w:val="es-HN"/>
              </w:rPr>
              <w:t>Explicar la actual relación económica entre China y Honduras, analizando el alcance del vínculo comercial entre ambos países.</w:t>
            </w:r>
          </w:p>
        </w:tc>
        <w:tc>
          <w:tcPr>
            <w:tcW w:w="3205" w:type="dxa"/>
            <w:vAlign w:val="center"/>
          </w:tcPr>
          <w:p w14:paraId="0168788F" w14:textId="77777777" w:rsidR="009F5558" w:rsidRPr="00685F30" w:rsidRDefault="009F5558" w:rsidP="003524B1">
            <w:pPr>
              <w:rPr>
                <w:rFonts w:ascii="Arial" w:hAnsi="Arial" w:cs="Arial"/>
                <w:sz w:val="20"/>
                <w:szCs w:val="20"/>
              </w:rPr>
            </w:pPr>
            <w:r w:rsidRPr="00685F30">
              <w:rPr>
                <w:rFonts w:ascii="Arial" w:hAnsi="Arial" w:cs="Arial"/>
                <w:sz w:val="20"/>
                <w:szCs w:val="20"/>
              </w:rPr>
              <w:t xml:space="preserve">¿Cómo es la relación económica, y específicamente comercial, entre </w:t>
            </w:r>
            <w:r w:rsidRPr="00685F30">
              <w:rPr>
                <w:rFonts w:ascii="Arial" w:hAnsi="Arial" w:cs="Arial"/>
                <w:sz w:val="20"/>
                <w:szCs w:val="20"/>
                <w:lang w:val="es-MX"/>
              </w:rPr>
              <w:t xml:space="preserve">China y Honduras previo a la firma del Tratado de Libre Comercio? </w:t>
            </w:r>
          </w:p>
          <w:p w14:paraId="1FE5AE43" w14:textId="77777777" w:rsidR="009F5558" w:rsidRPr="00685F30" w:rsidRDefault="009F5558" w:rsidP="003524B1">
            <w:pPr>
              <w:spacing w:line="360" w:lineRule="auto"/>
              <w:rPr>
                <w:rFonts w:ascii="Arial" w:hAnsi="Arial" w:cs="Arial"/>
                <w:sz w:val="20"/>
                <w:szCs w:val="20"/>
                <w:lang w:val="es-HN"/>
              </w:rPr>
            </w:pPr>
          </w:p>
        </w:tc>
        <w:tc>
          <w:tcPr>
            <w:tcW w:w="2835" w:type="dxa"/>
            <w:vAlign w:val="center"/>
          </w:tcPr>
          <w:p w14:paraId="495B0F8A" w14:textId="77777777" w:rsidR="009F5558" w:rsidRPr="00685F30" w:rsidRDefault="009F5558" w:rsidP="002E11DC">
            <w:pPr>
              <w:ind w:left="360"/>
              <w:rPr>
                <w:rFonts w:ascii="Arial" w:hAnsi="Arial" w:cs="Arial"/>
                <w:sz w:val="20"/>
                <w:szCs w:val="20"/>
              </w:rPr>
            </w:pPr>
            <w:r w:rsidRPr="00685F30">
              <w:rPr>
                <w:rFonts w:ascii="Arial" w:hAnsi="Arial" w:cs="Arial"/>
                <w:sz w:val="20"/>
                <w:szCs w:val="20"/>
              </w:rPr>
              <w:t>Exportaciones e importaciones</w:t>
            </w:r>
          </w:p>
          <w:p w14:paraId="45700640" w14:textId="77777777" w:rsidR="009F5558" w:rsidRPr="00685F30" w:rsidRDefault="009F5558" w:rsidP="003524B1">
            <w:pPr>
              <w:numPr>
                <w:ilvl w:val="0"/>
                <w:numId w:val="3"/>
              </w:numPr>
              <w:rPr>
                <w:rFonts w:ascii="Arial" w:hAnsi="Arial" w:cs="Arial"/>
                <w:sz w:val="20"/>
                <w:szCs w:val="20"/>
              </w:rPr>
            </w:pPr>
            <w:r w:rsidRPr="00685F30">
              <w:rPr>
                <w:rFonts w:ascii="Arial" w:hAnsi="Arial" w:cs="Arial"/>
                <w:sz w:val="20"/>
                <w:szCs w:val="20"/>
                <w:lang w:val="es-MX"/>
              </w:rPr>
              <w:t xml:space="preserve">Balanza comercial entre China y Honduras </w:t>
            </w:r>
          </w:p>
          <w:p w14:paraId="75AC90B3" w14:textId="77777777" w:rsidR="009F5558" w:rsidRPr="00685F30" w:rsidRDefault="009F5558" w:rsidP="003524B1">
            <w:pPr>
              <w:numPr>
                <w:ilvl w:val="0"/>
                <w:numId w:val="3"/>
              </w:numPr>
              <w:rPr>
                <w:rFonts w:ascii="Arial" w:hAnsi="Arial" w:cs="Arial"/>
                <w:sz w:val="20"/>
                <w:szCs w:val="20"/>
              </w:rPr>
            </w:pPr>
            <w:r w:rsidRPr="00685F30">
              <w:rPr>
                <w:rFonts w:ascii="Arial" w:hAnsi="Arial" w:cs="Arial"/>
                <w:sz w:val="20"/>
                <w:szCs w:val="20"/>
                <w:lang w:val="es-MX"/>
              </w:rPr>
              <w:t>IED</w:t>
            </w:r>
          </w:p>
          <w:p w14:paraId="78381FDB" w14:textId="77777777" w:rsidR="009F5558" w:rsidRPr="00685F30" w:rsidRDefault="009F5558" w:rsidP="003524B1">
            <w:pPr>
              <w:ind w:left="360"/>
              <w:rPr>
                <w:rFonts w:ascii="Arial" w:hAnsi="Arial" w:cs="Arial"/>
                <w:sz w:val="20"/>
                <w:szCs w:val="20"/>
                <w:lang w:val="es-HN"/>
              </w:rPr>
            </w:pPr>
          </w:p>
        </w:tc>
        <w:tc>
          <w:tcPr>
            <w:tcW w:w="2552" w:type="dxa"/>
            <w:vAlign w:val="center"/>
          </w:tcPr>
          <w:p w14:paraId="1C2B05ED" w14:textId="77777777" w:rsidR="009F5558" w:rsidRPr="00685F30" w:rsidRDefault="009F5558" w:rsidP="003524B1">
            <w:pPr>
              <w:pStyle w:val="Prrafodelista"/>
              <w:numPr>
                <w:ilvl w:val="0"/>
                <w:numId w:val="8"/>
              </w:numPr>
              <w:rPr>
                <w:rFonts w:ascii="Arial" w:hAnsi="Arial" w:cs="Arial"/>
                <w:sz w:val="20"/>
                <w:szCs w:val="20"/>
              </w:rPr>
            </w:pPr>
            <w:r w:rsidRPr="00685F30">
              <w:rPr>
                <w:rFonts w:ascii="Arial" w:hAnsi="Arial" w:cs="Arial"/>
                <w:sz w:val="20"/>
                <w:szCs w:val="20"/>
              </w:rPr>
              <w:t xml:space="preserve">ITC </w:t>
            </w:r>
          </w:p>
          <w:p w14:paraId="398F2832" w14:textId="77777777" w:rsidR="009F5558" w:rsidRPr="00685F30" w:rsidRDefault="009F5558" w:rsidP="003524B1">
            <w:pPr>
              <w:pStyle w:val="Prrafodelista"/>
              <w:numPr>
                <w:ilvl w:val="0"/>
                <w:numId w:val="8"/>
              </w:numPr>
              <w:rPr>
                <w:rFonts w:ascii="Arial" w:hAnsi="Arial" w:cs="Arial"/>
                <w:sz w:val="20"/>
                <w:szCs w:val="20"/>
              </w:rPr>
            </w:pPr>
            <w:r w:rsidRPr="00685F30">
              <w:rPr>
                <w:rFonts w:ascii="Arial" w:hAnsi="Arial" w:cs="Arial"/>
                <w:sz w:val="20"/>
                <w:szCs w:val="20"/>
              </w:rPr>
              <w:t>OMC</w:t>
            </w:r>
          </w:p>
          <w:p w14:paraId="4405CA80" w14:textId="77777777" w:rsidR="009F5558" w:rsidRPr="00685F30" w:rsidRDefault="009F5558" w:rsidP="003524B1">
            <w:pPr>
              <w:pStyle w:val="Prrafodelista"/>
              <w:numPr>
                <w:ilvl w:val="0"/>
                <w:numId w:val="8"/>
              </w:numPr>
              <w:spacing w:line="360" w:lineRule="auto"/>
              <w:rPr>
                <w:rFonts w:ascii="Arial" w:hAnsi="Arial" w:cs="Arial"/>
                <w:sz w:val="20"/>
                <w:szCs w:val="20"/>
                <w:lang w:val="es-HN"/>
              </w:rPr>
            </w:pPr>
            <w:r w:rsidRPr="00685F30">
              <w:rPr>
                <w:rFonts w:ascii="Arial" w:hAnsi="Arial" w:cs="Arial"/>
                <w:sz w:val="20"/>
                <w:szCs w:val="20"/>
              </w:rPr>
              <w:t>SIECA</w:t>
            </w:r>
          </w:p>
        </w:tc>
        <w:tc>
          <w:tcPr>
            <w:tcW w:w="3159" w:type="dxa"/>
            <w:vAlign w:val="center"/>
          </w:tcPr>
          <w:p w14:paraId="2D365D27" w14:textId="77777777" w:rsidR="009F5558" w:rsidRPr="00685F30" w:rsidRDefault="009F5558" w:rsidP="003524B1">
            <w:pPr>
              <w:rPr>
                <w:rFonts w:ascii="Arial" w:hAnsi="Arial" w:cs="Arial"/>
                <w:sz w:val="20"/>
                <w:szCs w:val="20"/>
                <w:lang w:val="es-HN"/>
              </w:rPr>
            </w:pPr>
            <w:r w:rsidRPr="00685F30">
              <w:rPr>
                <w:rFonts w:ascii="Arial" w:hAnsi="Arial" w:cs="Arial"/>
                <w:sz w:val="20"/>
                <w:szCs w:val="20"/>
                <w:lang w:val="es-HN"/>
              </w:rPr>
              <w:t xml:space="preserve">Analizar a traves de los datos de exportaciones e importaciones el comportamiento comercial entre Honduras y China, así como el estudio de los datos de inversión extranjera directa recibida de China en los últimos años. </w:t>
            </w:r>
          </w:p>
        </w:tc>
      </w:tr>
      <w:tr w:rsidR="009F5558" w:rsidRPr="00685F30" w14:paraId="6DC14F15" w14:textId="77777777" w:rsidTr="003524B1">
        <w:trPr>
          <w:trHeight w:val="1913"/>
        </w:trPr>
        <w:tc>
          <w:tcPr>
            <w:tcW w:w="2602" w:type="dxa"/>
            <w:vAlign w:val="center"/>
          </w:tcPr>
          <w:p w14:paraId="3B90796D" w14:textId="77777777" w:rsidR="009F5558" w:rsidRPr="00685F30" w:rsidRDefault="009F5558" w:rsidP="003524B1">
            <w:pPr>
              <w:rPr>
                <w:rFonts w:ascii="Arial" w:hAnsi="Arial" w:cs="Arial"/>
                <w:sz w:val="20"/>
                <w:szCs w:val="20"/>
                <w:lang w:val="es-HN"/>
              </w:rPr>
            </w:pPr>
            <w:r w:rsidRPr="00685F30">
              <w:rPr>
                <w:rFonts w:ascii="Arial" w:hAnsi="Arial" w:cs="Arial"/>
                <w:sz w:val="20"/>
                <w:szCs w:val="20"/>
                <w:lang w:val="es-HN"/>
              </w:rPr>
              <w:t>Contrastar la experiencia de otros países de América Latina que han firmado un TLC con China como referencia para la identificación de posibles beneficios o desafíos por parte de Honduras.</w:t>
            </w:r>
          </w:p>
        </w:tc>
        <w:tc>
          <w:tcPr>
            <w:tcW w:w="3205" w:type="dxa"/>
            <w:vAlign w:val="center"/>
          </w:tcPr>
          <w:p w14:paraId="308F239D" w14:textId="77777777" w:rsidR="009F5558" w:rsidRPr="00685F30" w:rsidRDefault="009F5558" w:rsidP="003524B1">
            <w:pPr>
              <w:rPr>
                <w:rFonts w:ascii="Arial" w:hAnsi="Arial" w:cs="Arial"/>
                <w:sz w:val="20"/>
                <w:szCs w:val="20"/>
              </w:rPr>
            </w:pPr>
            <w:r w:rsidRPr="00685F30">
              <w:rPr>
                <w:rFonts w:ascii="Arial" w:hAnsi="Arial" w:cs="Arial"/>
                <w:sz w:val="20"/>
                <w:szCs w:val="20"/>
                <w:lang w:val="es-MX"/>
              </w:rPr>
              <w:t>¿Cómo se compara la experiencia de otros países de América Latina que han firmado un TLC con China, y qué lecciones pueden ser aplicadas por Honduras para identificar posibles oportunidades comerciales?</w:t>
            </w:r>
          </w:p>
          <w:p w14:paraId="7E560FC7" w14:textId="77777777" w:rsidR="009F5558" w:rsidRPr="00685F30" w:rsidRDefault="009F5558" w:rsidP="003524B1">
            <w:pPr>
              <w:spacing w:line="360" w:lineRule="auto"/>
              <w:rPr>
                <w:rFonts w:ascii="Arial" w:hAnsi="Arial" w:cs="Arial"/>
                <w:sz w:val="20"/>
                <w:szCs w:val="20"/>
                <w:lang w:val="es-HN"/>
              </w:rPr>
            </w:pPr>
          </w:p>
        </w:tc>
        <w:tc>
          <w:tcPr>
            <w:tcW w:w="2835" w:type="dxa"/>
            <w:vAlign w:val="center"/>
          </w:tcPr>
          <w:p w14:paraId="46A84C04" w14:textId="77777777" w:rsidR="009F5558" w:rsidRPr="00685F30" w:rsidRDefault="009F5558" w:rsidP="003524B1">
            <w:pPr>
              <w:numPr>
                <w:ilvl w:val="0"/>
                <w:numId w:val="4"/>
              </w:numPr>
              <w:rPr>
                <w:rFonts w:ascii="Arial" w:hAnsi="Arial" w:cs="Arial"/>
                <w:sz w:val="20"/>
                <w:szCs w:val="20"/>
              </w:rPr>
            </w:pPr>
            <w:r w:rsidRPr="00685F30">
              <w:rPr>
                <w:rFonts w:ascii="Arial" w:hAnsi="Arial" w:cs="Arial"/>
                <w:sz w:val="20"/>
                <w:szCs w:val="20"/>
              </w:rPr>
              <w:t>Comercio Bilateral (de los países con TLC vigente con China)</w:t>
            </w:r>
          </w:p>
          <w:p w14:paraId="4178FF8F" w14:textId="77777777" w:rsidR="009F5558" w:rsidRPr="00685F30" w:rsidRDefault="009F5558" w:rsidP="003524B1">
            <w:pPr>
              <w:numPr>
                <w:ilvl w:val="0"/>
                <w:numId w:val="4"/>
              </w:numPr>
              <w:rPr>
                <w:rFonts w:ascii="Arial" w:hAnsi="Arial" w:cs="Arial"/>
                <w:sz w:val="20"/>
                <w:szCs w:val="20"/>
              </w:rPr>
            </w:pPr>
            <w:r w:rsidRPr="00685F30">
              <w:rPr>
                <w:rFonts w:ascii="Arial" w:hAnsi="Arial" w:cs="Arial"/>
                <w:sz w:val="20"/>
                <w:szCs w:val="20"/>
              </w:rPr>
              <w:t>Producto Interno Bruto</w:t>
            </w:r>
          </w:p>
          <w:p w14:paraId="59F0DD13" w14:textId="77777777" w:rsidR="009F5558" w:rsidRPr="00685F30" w:rsidRDefault="009F5558" w:rsidP="003524B1">
            <w:pPr>
              <w:spacing w:line="360" w:lineRule="auto"/>
              <w:rPr>
                <w:rFonts w:ascii="Arial" w:hAnsi="Arial" w:cs="Arial"/>
                <w:sz w:val="20"/>
                <w:szCs w:val="20"/>
                <w:lang w:val="es-HN"/>
              </w:rPr>
            </w:pPr>
          </w:p>
        </w:tc>
        <w:tc>
          <w:tcPr>
            <w:tcW w:w="2552" w:type="dxa"/>
            <w:vAlign w:val="center"/>
          </w:tcPr>
          <w:p w14:paraId="085E10BA" w14:textId="77777777" w:rsidR="009F5558" w:rsidRPr="00685F30" w:rsidRDefault="009F5558" w:rsidP="003524B1">
            <w:pPr>
              <w:pStyle w:val="Prrafodelista"/>
              <w:numPr>
                <w:ilvl w:val="0"/>
                <w:numId w:val="9"/>
              </w:numPr>
              <w:rPr>
                <w:rFonts w:ascii="Arial" w:hAnsi="Arial" w:cs="Arial"/>
                <w:sz w:val="20"/>
                <w:szCs w:val="20"/>
              </w:rPr>
            </w:pPr>
            <w:r w:rsidRPr="00685F30">
              <w:rPr>
                <w:rFonts w:ascii="Arial" w:hAnsi="Arial" w:cs="Arial"/>
                <w:sz w:val="20"/>
                <w:szCs w:val="20"/>
              </w:rPr>
              <w:t>OMC</w:t>
            </w:r>
          </w:p>
          <w:p w14:paraId="1BB4557D" w14:textId="77777777" w:rsidR="009F5558" w:rsidRPr="00685F30" w:rsidRDefault="009F5558" w:rsidP="003524B1">
            <w:pPr>
              <w:pStyle w:val="Prrafodelista"/>
              <w:numPr>
                <w:ilvl w:val="0"/>
                <w:numId w:val="9"/>
              </w:numPr>
              <w:rPr>
                <w:rFonts w:ascii="Arial" w:hAnsi="Arial" w:cs="Arial"/>
                <w:sz w:val="20"/>
                <w:szCs w:val="20"/>
                <w:lang w:val="es-HN"/>
              </w:rPr>
            </w:pPr>
            <w:r w:rsidRPr="00685F30">
              <w:rPr>
                <w:rFonts w:ascii="Arial" w:hAnsi="Arial" w:cs="Arial"/>
                <w:sz w:val="20"/>
                <w:szCs w:val="20"/>
              </w:rPr>
              <w:t xml:space="preserve">Repositorios universitarios </w:t>
            </w:r>
          </w:p>
        </w:tc>
        <w:tc>
          <w:tcPr>
            <w:tcW w:w="3159" w:type="dxa"/>
            <w:vAlign w:val="center"/>
          </w:tcPr>
          <w:p w14:paraId="70404C70" w14:textId="77777777" w:rsidR="009F5558" w:rsidRPr="00685F30" w:rsidRDefault="009F5558" w:rsidP="003524B1">
            <w:pPr>
              <w:rPr>
                <w:rFonts w:ascii="Arial" w:hAnsi="Arial" w:cs="Arial"/>
                <w:sz w:val="20"/>
                <w:szCs w:val="20"/>
                <w:lang w:val="es-HN"/>
              </w:rPr>
            </w:pPr>
            <w:r w:rsidRPr="00685F30">
              <w:rPr>
                <w:rFonts w:ascii="Arial" w:hAnsi="Arial" w:cs="Arial"/>
                <w:sz w:val="20"/>
                <w:szCs w:val="20"/>
                <w:lang w:val="es-HN"/>
              </w:rPr>
              <w:t xml:space="preserve">Revisión de evaluaciones de TLCs entre China y otros países latinoamericanos para identificar patrones en el comercio bilateral de los países antes y después del TLC, asi como cambios en IED. </w:t>
            </w:r>
          </w:p>
        </w:tc>
      </w:tr>
      <w:tr w:rsidR="009F5558" w:rsidRPr="00685F30" w14:paraId="47825D69" w14:textId="77777777" w:rsidTr="003524B1">
        <w:trPr>
          <w:trHeight w:val="2670"/>
        </w:trPr>
        <w:tc>
          <w:tcPr>
            <w:tcW w:w="2602" w:type="dxa"/>
            <w:vAlign w:val="center"/>
          </w:tcPr>
          <w:p w14:paraId="2C03D623" w14:textId="77777777" w:rsidR="009F5558" w:rsidRPr="00685F30" w:rsidRDefault="009F5558" w:rsidP="003524B1">
            <w:pPr>
              <w:rPr>
                <w:rFonts w:ascii="Arial" w:hAnsi="Arial" w:cs="Arial"/>
                <w:sz w:val="20"/>
                <w:szCs w:val="20"/>
                <w:lang w:val="es-HN"/>
              </w:rPr>
            </w:pPr>
            <w:r w:rsidRPr="00685F30">
              <w:rPr>
                <w:rFonts w:ascii="Arial" w:hAnsi="Arial" w:cs="Arial"/>
                <w:sz w:val="20"/>
                <w:szCs w:val="20"/>
              </w:rPr>
              <w:t xml:space="preserve">Determinar las oportunidades y desafíos del TLC Honduras – China para el sector exportador hondureño y en inversión extranjera directa. </w:t>
            </w:r>
          </w:p>
        </w:tc>
        <w:tc>
          <w:tcPr>
            <w:tcW w:w="3205" w:type="dxa"/>
            <w:vAlign w:val="center"/>
          </w:tcPr>
          <w:p w14:paraId="2A3AB9C8" w14:textId="77777777" w:rsidR="009F5558" w:rsidRPr="00685F30" w:rsidRDefault="009F5558" w:rsidP="003524B1">
            <w:pPr>
              <w:rPr>
                <w:rFonts w:ascii="Arial" w:hAnsi="Arial" w:cs="Arial"/>
                <w:sz w:val="20"/>
                <w:szCs w:val="20"/>
                <w:lang w:val="es-HN"/>
              </w:rPr>
            </w:pPr>
            <w:r w:rsidRPr="00685F30">
              <w:rPr>
                <w:rFonts w:ascii="Arial" w:hAnsi="Arial" w:cs="Arial"/>
                <w:sz w:val="20"/>
                <w:szCs w:val="20"/>
                <w:lang w:val="es-MX"/>
              </w:rPr>
              <w:t>¿Cuáles son las oportunidades y desafíos del intercambio comercial entre China y Honduras en términos de inversión extranjera directa y el sector exportador de Honduras, y que recomendaciones de política se pueden proveer a partir de estos?</w:t>
            </w:r>
          </w:p>
        </w:tc>
        <w:tc>
          <w:tcPr>
            <w:tcW w:w="2835" w:type="dxa"/>
            <w:vAlign w:val="center"/>
          </w:tcPr>
          <w:p w14:paraId="29F608EC" w14:textId="77777777" w:rsidR="009F5558" w:rsidRPr="00685F30" w:rsidRDefault="009F5558" w:rsidP="003524B1">
            <w:pPr>
              <w:pStyle w:val="Prrafodelista"/>
              <w:numPr>
                <w:ilvl w:val="0"/>
                <w:numId w:val="13"/>
              </w:numPr>
              <w:rPr>
                <w:rFonts w:ascii="Arial" w:hAnsi="Arial" w:cs="Arial"/>
                <w:sz w:val="20"/>
                <w:szCs w:val="20"/>
              </w:rPr>
            </w:pPr>
            <w:r w:rsidRPr="00685F30">
              <w:rPr>
                <w:rFonts w:ascii="Arial" w:hAnsi="Arial" w:cs="Arial"/>
                <w:sz w:val="20"/>
                <w:szCs w:val="20"/>
              </w:rPr>
              <w:t>Perspectivas</w:t>
            </w:r>
          </w:p>
          <w:p w14:paraId="5EC1025A" w14:textId="77777777" w:rsidR="009F5558" w:rsidRPr="00685F30" w:rsidRDefault="009F5558" w:rsidP="003524B1">
            <w:pPr>
              <w:pStyle w:val="Prrafodelista"/>
              <w:numPr>
                <w:ilvl w:val="0"/>
                <w:numId w:val="13"/>
              </w:numPr>
              <w:rPr>
                <w:rFonts w:ascii="Arial" w:hAnsi="Arial" w:cs="Arial"/>
                <w:sz w:val="20"/>
                <w:szCs w:val="20"/>
              </w:rPr>
            </w:pPr>
            <w:r w:rsidRPr="00685F30">
              <w:rPr>
                <w:rFonts w:ascii="Arial" w:hAnsi="Arial" w:cs="Arial"/>
                <w:sz w:val="20"/>
                <w:szCs w:val="20"/>
              </w:rPr>
              <w:t>Oportunidades</w:t>
            </w:r>
          </w:p>
          <w:p w14:paraId="2D840E83" w14:textId="77777777" w:rsidR="009F5558" w:rsidRPr="00685F30" w:rsidRDefault="009F5558" w:rsidP="003524B1">
            <w:pPr>
              <w:pStyle w:val="Prrafodelista"/>
              <w:numPr>
                <w:ilvl w:val="0"/>
                <w:numId w:val="13"/>
              </w:numPr>
              <w:rPr>
                <w:rFonts w:ascii="Arial" w:hAnsi="Arial" w:cs="Arial"/>
                <w:sz w:val="20"/>
                <w:szCs w:val="20"/>
              </w:rPr>
            </w:pPr>
            <w:r w:rsidRPr="00685F30">
              <w:rPr>
                <w:rFonts w:ascii="Arial" w:hAnsi="Arial" w:cs="Arial"/>
                <w:sz w:val="20"/>
                <w:szCs w:val="20"/>
              </w:rPr>
              <w:t>Desafíos</w:t>
            </w:r>
          </w:p>
          <w:p w14:paraId="3E2D8CEF" w14:textId="77777777" w:rsidR="009F5558" w:rsidRPr="00685F30" w:rsidRDefault="009F5558" w:rsidP="003524B1">
            <w:pPr>
              <w:pStyle w:val="Prrafodelista"/>
              <w:numPr>
                <w:ilvl w:val="0"/>
                <w:numId w:val="13"/>
              </w:numPr>
              <w:rPr>
                <w:rFonts w:ascii="Arial" w:hAnsi="Arial" w:cs="Arial"/>
                <w:sz w:val="20"/>
                <w:szCs w:val="20"/>
              </w:rPr>
            </w:pPr>
            <w:r w:rsidRPr="00685F30">
              <w:rPr>
                <w:rFonts w:ascii="Arial" w:hAnsi="Arial" w:cs="Arial"/>
                <w:sz w:val="20"/>
                <w:szCs w:val="20"/>
              </w:rPr>
              <w:t>Ventajas</w:t>
            </w:r>
          </w:p>
          <w:p w14:paraId="74848264" w14:textId="77777777" w:rsidR="009F5558" w:rsidRPr="00685F30" w:rsidRDefault="009F5558" w:rsidP="003524B1">
            <w:pPr>
              <w:pStyle w:val="Prrafodelista"/>
              <w:rPr>
                <w:rFonts w:ascii="Arial" w:hAnsi="Arial" w:cs="Arial"/>
                <w:sz w:val="20"/>
                <w:szCs w:val="20"/>
              </w:rPr>
            </w:pPr>
          </w:p>
          <w:p w14:paraId="1A8B20CE" w14:textId="77777777" w:rsidR="009F5558" w:rsidRPr="00685F30" w:rsidRDefault="009F5558" w:rsidP="003524B1">
            <w:pPr>
              <w:rPr>
                <w:rFonts w:ascii="Arial" w:hAnsi="Arial" w:cs="Arial"/>
                <w:sz w:val="20"/>
                <w:szCs w:val="20"/>
              </w:rPr>
            </w:pPr>
          </w:p>
        </w:tc>
        <w:tc>
          <w:tcPr>
            <w:tcW w:w="2552" w:type="dxa"/>
            <w:vAlign w:val="center"/>
          </w:tcPr>
          <w:p w14:paraId="667636A8" w14:textId="77777777" w:rsidR="009F5558" w:rsidRPr="00685F30" w:rsidRDefault="009F5558" w:rsidP="003524B1">
            <w:pPr>
              <w:pStyle w:val="Prrafodelista"/>
              <w:numPr>
                <w:ilvl w:val="0"/>
                <w:numId w:val="10"/>
              </w:numPr>
              <w:ind w:left="360"/>
              <w:rPr>
                <w:rFonts w:ascii="Arial" w:hAnsi="Arial" w:cs="Arial"/>
                <w:sz w:val="20"/>
                <w:szCs w:val="20"/>
              </w:rPr>
            </w:pPr>
            <w:r w:rsidRPr="00685F30">
              <w:rPr>
                <w:rFonts w:ascii="Arial" w:hAnsi="Arial" w:cs="Arial"/>
                <w:sz w:val="20"/>
                <w:szCs w:val="20"/>
              </w:rPr>
              <w:t>Entrevistas semiestructuradas</w:t>
            </w:r>
          </w:p>
          <w:p w14:paraId="601BB13B" w14:textId="77777777" w:rsidR="009F5558" w:rsidRPr="00685F30" w:rsidRDefault="009F5558" w:rsidP="003524B1">
            <w:pPr>
              <w:pStyle w:val="Prrafodelista"/>
              <w:numPr>
                <w:ilvl w:val="0"/>
                <w:numId w:val="10"/>
              </w:numPr>
              <w:ind w:left="360"/>
              <w:rPr>
                <w:rFonts w:ascii="Arial" w:hAnsi="Arial" w:cs="Arial"/>
                <w:sz w:val="20"/>
                <w:szCs w:val="20"/>
              </w:rPr>
            </w:pPr>
            <w:r w:rsidRPr="00685F30">
              <w:rPr>
                <w:rFonts w:ascii="Arial" w:hAnsi="Arial" w:cs="Arial"/>
                <w:sz w:val="20"/>
                <w:szCs w:val="20"/>
              </w:rPr>
              <w:t>CEPAL</w:t>
            </w:r>
          </w:p>
          <w:p w14:paraId="216B1B59" w14:textId="77777777" w:rsidR="009F5558" w:rsidRPr="00685F30" w:rsidRDefault="009F5558" w:rsidP="003524B1">
            <w:pPr>
              <w:pStyle w:val="Prrafodelista"/>
              <w:numPr>
                <w:ilvl w:val="0"/>
                <w:numId w:val="10"/>
              </w:numPr>
              <w:ind w:left="360"/>
              <w:rPr>
                <w:rFonts w:ascii="Arial" w:hAnsi="Arial" w:cs="Arial"/>
                <w:sz w:val="20"/>
                <w:szCs w:val="20"/>
                <w:lang w:val="es-HN"/>
              </w:rPr>
            </w:pPr>
            <w:r w:rsidRPr="00685F30">
              <w:rPr>
                <w:rFonts w:ascii="Arial" w:hAnsi="Arial" w:cs="Arial"/>
                <w:sz w:val="20"/>
                <w:szCs w:val="20"/>
              </w:rPr>
              <w:t>Banco Central de cada país</w:t>
            </w:r>
          </w:p>
        </w:tc>
        <w:tc>
          <w:tcPr>
            <w:tcW w:w="3159" w:type="dxa"/>
            <w:vAlign w:val="center"/>
          </w:tcPr>
          <w:p w14:paraId="2504E2ED" w14:textId="77777777" w:rsidR="009F5558" w:rsidRPr="00685F30" w:rsidRDefault="009F5558" w:rsidP="003524B1">
            <w:pPr>
              <w:rPr>
                <w:rFonts w:ascii="Arial" w:hAnsi="Arial" w:cs="Arial"/>
                <w:sz w:val="20"/>
                <w:szCs w:val="20"/>
                <w:lang w:val="es-HN"/>
              </w:rPr>
            </w:pPr>
            <w:r w:rsidRPr="00685F30">
              <w:rPr>
                <w:rFonts w:ascii="Arial" w:hAnsi="Arial" w:cs="Arial"/>
                <w:sz w:val="20"/>
                <w:szCs w:val="20"/>
                <w:lang w:val="es-HN"/>
              </w:rPr>
              <w:t xml:space="preserve">A través de entrevistas, se estudiará las perepciones de productores, los negociantes del acuerdo comercial, acádemicos y profesionales, y representatnes de las asociaciones de los sectores prirotiarios del TLC para determinar a que desafíos u oportunidades se enfrenta el país con su firma. Las respuestas se procesarán y analizarán con el software Atlas.ti mediante codificación. </w:t>
            </w:r>
          </w:p>
        </w:tc>
      </w:tr>
    </w:tbl>
    <w:p w14:paraId="6F4671A3" w14:textId="77777777" w:rsidR="009F5558" w:rsidRDefault="009F5558" w:rsidP="009F5558">
      <w:pPr>
        <w:spacing w:line="360" w:lineRule="auto"/>
        <w:rPr>
          <w:rFonts w:ascii="Arial" w:hAnsi="Arial" w:cs="Arial"/>
        </w:rPr>
      </w:pPr>
      <w:r w:rsidRPr="00685F30">
        <w:rPr>
          <w:rFonts w:ascii="Arial" w:hAnsi="Arial" w:cs="Arial"/>
        </w:rPr>
        <w:t>Fuente: Elaboración Propia</w:t>
      </w:r>
    </w:p>
    <w:p w14:paraId="2F9EE816" w14:textId="77777777" w:rsidR="003524B1" w:rsidRDefault="003524B1" w:rsidP="009F5558">
      <w:pPr>
        <w:spacing w:line="360" w:lineRule="auto"/>
        <w:rPr>
          <w:rFonts w:ascii="Arial" w:hAnsi="Arial" w:cs="Arial"/>
        </w:rPr>
      </w:pPr>
    </w:p>
    <w:p w14:paraId="7C827B03" w14:textId="77777777" w:rsidR="009F5558" w:rsidRPr="00822279" w:rsidRDefault="009F5558" w:rsidP="009F5558">
      <w:pPr>
        <w:spacing w:line="360" w:lineRule="auto"/>
        <w:rPr>
          <w:rFonts w:ascii="Arial" w:hAnsi="Arial" w:cs="Arial"/>
        </w:rPr>
      </w:pPr>
      <w:r w:rsidRPr="00795AAA">
        <w:rPr>
          <w:rFonts w:ascii="Arial" w:hAnsi="Arial" w:cs="Arial"/>
          <w:b/>
          <w:bCs/>
        </w:rPr>
        <w:lastRenderedPageBreak/>
        <w:t>Anexo VI:</w:t>
      </w:r>
      <w:r w:rsidRPr="00822279">
        <w:rPr>
          <w:rFonts w:ascii="Arial" w:hAnsi="Arial" w:cs="Arial"/>
        </w:rPr>
        <w:t xml:space="preserve"> </w:t>
      </w:r>
      <w:r w:rsidRPr="00795AAA">
        <w:rPr>
          <w:rFonts w:ascii="Arial" w:hAnsi="Arial" w:cs="Arial"/>
          <w:i/>
          <w:iCs/>
        </w:rPr>
        <w:t>Convenios firmados con China previo al TLC</w:t>
      </w:r>
    </w:p>
    <w:tbl>
      <w:tblPr>
        <w:tblStyle w:val="Tablaconcuadrcula"/>
        <w:tblpPr w:leftFromText="141" w:rightFromText="141" w:vertAnchor="text" w:horzAnchor="page" w:tblpX="985" w:tblpY="220"/>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7087"/>
        <w:gridCol w:w="993"/>
      </w:tblGrid>
      <w:tr w:rsidR="009F5558" w:rsidRPr="00865043" w14:paraId="7794C218" w14:textId="77777777" w:rsidTr="003524B1">
        <w:trPr>
          <w:trHeight w:val="529"/>
        </w:trPr>
        <w:tc>
          <w:tcPr>
            <w:tcW w:w="5949" w:type="dxa"/>
          </w:tcPr>
          <w:p w14:paraId="34B62B96" w14:textId="77777777" w:rsidR="009F5558" w:rsidRPr="00865043" w:rsidRDefault="009F5558" w:rsidP="00B06EAF">
            <w:pPr>
              <w:rPr>
                <w:rFonts w:ascii="Arial" w:hAnsi="Arial" w:cs="Arial"/>
                <w:sz w:val="22"/>
                <w:szCs w:val="22"/>
              </w:rPr>
            </w:pPr>
            <w:r w:rsidRPr="00865043">
              <w:rPr>
                <w:rFonts w:ascii="Arial" w:hAnsi="Arial" w:cs="Arial"/>
                <w:sz w:val="22"/>
                <w:szCs w:val="22"/>
              </w:rPr>
              <w:t>Convenio</w:t>
            </w:r>
          </w:p>
        </w:tc>
        <w:tc>
          <w:tcPr>
            <w:tcW w:w="7087" w:type="dxa"/>
          </w:tcPr>
          <w:p w14:paraId="4BB2D8F5" w14:textId="77777777" w:rsidR="009F5558" w:rsidRPr="00865043" w:rsidRDefault="009F5558" w:rsidP="00B06EAF">
            <w:pPr>
              <w:rPr>
                <w:rFonts w:ascii="Arial" w:hAnsi="Arial" w:cs="Arial"/>
                <w:sz w:val="22"/>
                <w:szCs w:val="22"/>
              </w:rPr>
            </w:pPr>
            <w:r w:rsidRPr="00865043">
              <w:rPr>
                <w:rFonts w:ascii="Arial" w:hAnsi="Arial" w:cs="Arial"/>
                <w:sz w:val="22"/>
                <w:szCs w:val="22"/>
              </w:rPr>
              <w:t xml:space="preserve">Objetivo del Convenio </w:t>
            </w:r>
          </w:p>
        </w:tc>
        <w:tc>
          <w:tcPr>
            <w:tcW w:w="993" w:type="dxa"/>
          </w:tcPr>
          <w:p w14:paraId="273A0313" w14:textId="77777777" w:rsidR="009F5558" w:rsidRPr="00865043" w:rsidRDefault="009F5558" w:rsidP="00B06EAF">
            <w:pPr>
              <w:rPr>
                <w:rFonts w:ascii="Arial" w:hAnsi="Arial" w:cs="Arial"/>
                <w:sz w:val="22"/>
                <w:szCs w:val="22"/>
              </w:rPr>
            </w:pPr>
            <w:r w:rsidRPr="00865043">
              <w:rPr>
                <w:rFonts w:ascii="Arial" w:hAnsi="Arial" w:cs="Arial"/>
                <w:sz w:val="22"/>
                <w:szCs w:val="22"/>
              </w:rPr>
              <w:t>Fecha</w:t>
            </w:r>
          </w:p>
        </w:tc>
      </w:tr>
      <w:tr w:rsidR="009F5558" w:rsidRPr="00865043" w14:paraId="60A2A52D" w14:textId="77777777" w:rsidTr="003524B1">
        <w:trPr>
          <w:trHeight w:val="1313"/>
        </w:trPr>
        <w:tc>
          <w:tcPr>
            <w:tcW w:w="5949" w:type="dxa"/>
          </w:tcPr>
          <w:p w14:paraId="20E71CE4" w14:textId="77777777" w:rsidR="009F5558" w:rsidRPr="00865043" w:rsidRDefault="009F5558" w:rsidP="00B06EAF">
            <w:pPr>
              <w:rPr>
                <w:rFonts w:ascii="Arial" w:hAnsi="Arial" w:cs="Arial"/>
                <w:sz w:val="22"/>
                <w:szCs w:val="22"/>
              </w:rPr>
            </w:pPr>
            <w:r w:rsidRPr="00865043">
              <w:rPr>
                <w:rFonts w:ascii="Arial" w:hAnsi="Arial" w:cs="Arial"/>
                <w:sz w:val="22"/>
                <w:szCs w:val="22"/>
              </w:rPr>
              <w:t>Memorándum de Cooperación sobre Inspección y Cuarentena entre la Secretaría de Agricultura y Ganadería (SAG) de la República de Honduras y la Administración General de Aduanas de la República Popular China en Importación y Exportación de Alimentos</w:t>
            </w:r>
          </w:p>
        </w:tc>
        <w:tc>
          <w:tcPr>
            <w:tcW w:w="7087" w:type="dxa"/>
          </w:tcPr>
          <w:p w14:paraId="5D4C0834" w14:textId="77777777" w:rsidR="009F5558" w:rsidRPr="00865043" w:rsidRDefault="009F5558" w:rsidP="00B06EAF">
            <w:pPr>
              <w:rPr>
                <w:rFonts w:ascii="Arial" w:hAnsi="Arial" w:cs="Arial"/>
                <w:sz w:val="22"/>
                <w:szCs w:val="22"/>
              </w:rPr>
            </w:pPr>
            <w:r w:rsidRPr="00865043">
              <w:rPr>
                <w:rFonts w:ascii="Arial" w:hAnsi="Arial" w:cs="Arial"/>
                <w:sz w:val="22"/>
                <w:szCs w:val="22"/>
              </w:rPr>
              <w:t xml:space="preserve">Establecer un mecanismo de comunicación y coordinación entre China y Honduras respecto a la inspección y cuarentena de alimentos y productos agrícolas y se designan los órganos de coordinación. </w:t>
            </w:r>
          </w:p>
        </w:tc>
        <w:tc>
          <w:tcPr>
            <w:tcW w:w="993" w:type="dxa"/>
          </w:tcPr>
          <w:p w14:paraId="48E3A7A1" w14:textId="77777777" w:rsidR="009F5558" w:rsidRPr="00865043" w:rsidRDefault="009F5558" w:rsidP="00B06EAF">
            <w:pPr>
              <w:rPr>
                <w:rFonts w:ascii="Arial" w:hAnsi="Arial" w:cs="Arial"/>
                <w:sz w:val="22"/>
                <w:szCs w:val="22"/>
              </w:rPr>
            </w:pPr>
            <w:r w:rsidRPr="00865043">
              <w:rPr>
                <w:rFonts w:ascii="Arial" w:hAnsi="Arial" w:cs="Arial"/>
                <w:sz w:val="22"/>
                <w:szCs w:val="22"/>
              </w:rPr>
              <w:t>12/6/23</w:t>
            </w:r>
          </w:p>
        </w:tc>
      </w:tr>
      <w:tr w:rsidR="009F5558" w:rsidRPr="00865043" w14:paraId="1CE0658A" w14:textId="77777777" w:rsidTr="003524B1">
        <w:trPr>
          <w:trHeight w:val="1313"/>
        </w:trPr>
        <w:tc>
          <w:tcPr>
            <w:tcW w:w="5949" w:type="dxa"/>
          </w:tcPr>
          <w:p w14:paraId="5AA79972" w14:textId="77777777" w:rsidR="009F5558" w:rsidRPr="00865043" w:rsidRDefault="009F5558" w:rsidP="00B06EAF">
            <w:pPr>
              <w:rPr>
                <w:rFonts w:ascii="Arial" w:hAnsi="Arial" w:cs="Arial"/>
                <w:sz w:val="22"/>
                <w:szCs w:val="22"/>
              </w:rPr>
            </w:pPr>
            <w:r w:rsidRPr="00865043">
              <w:rPr>
                <w:rFonts w:ascii="Arial" w:hAnsi="Arial" w:cs="Arial"/>
                <w:sz w:val="22"/>
                <w:szCs w:val="22"/>
              </w:rPr>
              <w:t>Memorándum de Entendimiento entre la Secretaría de Agricultura y Ganadería de la República de Honduras y el Ministerio de Agricultura y Asuntos Rurales de la República Popular China Sobre Cooperación Agrícola</w:t>
            </w:r>
          </w:p>
        </w:tc>
        <w:tc>
          <w:tcPr>
            <w:tcW w:w="7087" w:type="dxa"/>
          </w:tcPr>
          <w:p w14:paraId="6AB68C0B" w14:textId="77777777" w:rsidR="009F5558" w:rsidRPr="00865043" w:rsidRDefault="009F5558" w:rsidP="00B06EAF">
            <w:pPr>
              <w:rPr>
                <w:rFonts w:ascii="Arial" w:hAnsi="Arial" w:cs="Arial"/>
                <w:sz w:val="22"/>
                <w:szCs w:val="22"/>
              </w:rPr>
            </w:pPr>
            <w:r w:rsidRPr="00865043">
              <w:rPr>
                <w:rFonts w:ascii="Arial" w:hAnsi="Arial" w:cs="Arial"/>
                <w:sz w:val="22"/>
                <w:szCs w:val="22"/>
              </w:rPr>
              <w:t xml:space="preserve">Impulsar el crecimiento de los sectores agrícola, ganadero y pesquero en Honduras y China a través de la cooperación en áreas de interés mutuo de acuerdo con las necesidades de desarrollo social y económico en los dos países. </w:t>
            </w:r>
          </w:p>
        </w:tc>
        <w:tc>
          <w:tcPr>
            <w:tcW w:w="993" w:type="dxa"/>
          </w:tcPr>
          <w:p w14:paraId="782775D5" w14:textId="77777777" w:rsidR="009F5558" w:rsidRPr="00865043" w:rsidRDefault="009F5558" w:rsidP="00B06EAF">
            <w:pPr>
              <w:rPr>
                <w:rFonts w:ascii="Arial" w:hAnsi="Arial" w:cs="Arial"/>
                <w:sz w:val="22"/>
                <w:szCs w:val="22"/>
              </w:rPr>
            </w:pPr>
            <w:r w:rsidRPr="00865043">
              <w:rPr>
                <w:rFonts w:ascii="Arial" w:hAnsi="Arial" w:cs="Arial"/>
                <w:sz w:val="22"/>
                <w:szCs w:val="22"/>
              </w:rPr>
              <w:t>12/6/23</w:t>
            </w:r>
          </w:p>
        </w:tc>
      </w:tr>
      <w:tr w:rsidR="009F5558" w:rsidRPr="00865043" w14:paraId="689A22DB" w14:textId="77777777" w:rsidTr="003524B1">
        <w:trPr>
          <w:trHeight w:val="1566"/>
        </w:trPr>
        <w:tc>
          <w:tcPr>
            <w:tcW w:w="5949" w:type="dxa"/>
          </w:tcPr>
          <w:p w14:paraId="67A42E08" w14:textId="77777777" w:rsidR="009F5558" w:rsidRPr="00865043" w:rsidRDefault="009F5558" w:rsidP="00B06EAF">
            <w:pPr>
              <w:rPr>
                <w:rFonts w:ascii="Arial" w:hAnsi="Arial" w:cs="Arial"/>
                <w:sz w:val="22"/>
                <w:szCs w:val="22"/>
              </w:rPr>
            </w:pPr>
            <w:r w:rsidRPr="00865043">
              <w:rPr>
                <w:rStyle w:val="Fuerte"/>
                <w:rFonts w:ascii="Arial" w:hAnsi="Arial" w:cs="Arial"/>
                <w:b w:val="0"/>
                <w:bCs w:val="0"/>
                <w:color w:val="060606"/>
                <w:sz w:val="22"/>
                <w:szCs w:val="22"/>
                <w:shd w:val="clear" w:color="auto" w:fill="FFFFFF"/>
              </w:rPr>
              <w:t>Protocolo De Requisitos Fitosanitarios Para La Exportación De Banana Fresca De Honduras A China Entre La Secretaría De Agricultura y Ganadería De</w:t>
            </w:r>
            <w:r w:rsidRPr="00865043">
              <w:rPr>
                <w:rFonts w:ascii="Arial" w:hAnsi="Arial" w:cs="Arial"/>
                <w:color w:val="060606"/>
                <w:sz w:val="22"/>
                <w:szCs w:val="22"/>
                <w:shd w:val="clear" w:color="auto" w:fill="FFFFFF"/>
              </w:rPr>
              <w:br/>
            </w:r>
            <w:r w:rsidRPr="00865043">
              <w:rPr>
                <w:rStyle w:val="Fuerte"/>
                <w:rFonts w:ascii="Arial" w:hAnsi="Arial" w:cs="Arial"/>
                <w:b w:val="0"/>
                <w:bCs w:val="0"/>
                <w:color w:val="060606"/>
                <w:sz w:val="22"/>
                <w:szCs w:val="22"/>
                <w:shd w:val="clear" w:color="auto" w:fill="FFFFFF"/>
              </w:rPr>
              <w:t>La República De Honduras Y La Administración General De Aduanas De La República Popular China</w:t>
            </w:r>
          </w:p>
        </w:tc>
        <w:tc>
          <w:tcPr>
            <w:tcW w:w="7087" w:type="dxa"/>
          </w:tcPr>
          <w:p w14:paraId="2086CD03" w14:textId="77777777" w:rsidR="009F5558" w:rsidRPr="00865043" w:rsidRDefault="009F5558" w:rsidP="00B06EAF">
            <w:pPr>
              <w:rPr>
                <w:rFonts w:ascii="Arial" w:hAnsi="Arial" w:cs="Arial"/>
                <w:sz w:val="22"/>
                <w:szCs w:val="22"/>
              </w:rPr>
            </w:pPr>
            <w:r w:rsidRPr="00865043">
              <w:rPr>
                <w:rFonts w:ascii="Arial" w:hAnsi="Arial" w:cs="Arial"/>
                <w:sz w:val="22"/>
                <w:szCs w:val="22"/>
              </w:rPr>
              <w:t xml:space="preserve">Exportar bananos frescos de Honduras a China de manera segura, acordando una serie de normas para su exportación. </w:t>
            </w:r>
          </w:p>
        </w:tc>
        <w:tc>
          <w:tcPr>
            <w:tcW w:w="993" w:type="dxa"/>
          </w:tcPr>
          <w:p w14:paraId="6E73B957" w14:textId="77777777" w:rsidR="009F5558" w:rsidRPr="00865043" w:rsidRDefault="009F5558" w:rsidP="00B06EAF">
            <w:pPr>
              <w:rPr>
                <w:rFonts w:ascii="Arial" w:hAnsi="Arial" w:cs="Arial"/>
                <w:sz w:val="22"/>
                <w:szCs w:val="22"/>
              </w:rPr>
            </w:pPr>
            <w:r w:rsidRPr="00865043">
              <w:rPr>
                <w:rFonts w:ascii="Arial" w:hAnsi="Arial" w:cs="Arial"/>
                <w:sz w:val="22"/>
                <w:szCs w:val="22"/>
              </w:rPr>
              <w:t>12/6/23</w:t>
            </w:r>
          </w:p>
        </w:tc>
      </w:tr>
      <w:tr w:rsidR="009F5558" w:rsidRPr="00865043" w14:paraId="168D1210" w14:textId="77777777" w:rsidTr="003524B1">
        <w:trPr>
          <w:trHeight w:val="1313"/>
        </w:trPr>
        <w:tc>
          <w:tcPr>
            <w:tcW w:w="5949" w:type="dxa"/>
          </w:tcPr>
          <w:p w14:paraId="7C382D1B" w14:textId="77777777" w:rsidR="009F5558" w:rsidRPr="00865043" w:rsidRDefault="009F5558" w:rsidP="00B06EAF">
            <w:pPr>
              <w:rPr>
                <w:rFonts w:ascii="Arial" w:hAnsi="Arial" w:cs="Arial"/>
                <w:sz w:val="22"/>
                <w:szCs w:val="22"/>
              </w:rPr>
            </w:pPr>
            <w:r w:rsidRPr="00865043">
              <w:rPr>
                <w:rStyle w:val="Fuerte"/>
                <w:rFonts w:ascii="Arial" w:hAnsi="Arial" w:cs="Arial"/>
                <w:b w:val="0"/>
                <w:bCs w:val="0"/>
                <w:color w:val="060606"/>
                <w:sz w:val="22"/>
                <w:szCs w:val="22"/>
                <w:shd w:val="clear" w:color="auto" w:fill="FFFFFF"/>
              </w:rPr>
              <w:t>Memorándum De Entendimiento Entre El Gobierno De La República De Honduras El Gobierno De La República Popular China Sobre El Establecimiento De La Comisión Mixta De Las Cooperaciones Económicas, Comerciales Y De Inversión</w:t>
            </w:r>
          </w:p>
        </w:tc>
        <w:tc>
          <w:tcPr>
            <w:tcW w:w="7087" w:type="dxa"/>
          </w:tcPr>
          <w:p w14:paraId="12276730" w14:textId="77777777" w:rsidR="009F5558" w:rsidRPr="00865043" w:rsidRDefault="009F5558" w:rsidP="00B06EAF">
            <w:pPr>
              <w:rPr>
                <w:rFonts w:ascii="Arial" w:hAnsi="Arial" w:cs="Arial"/>
                <w:sz w:val="22"/>
                <w:szCs w:val="22"/>
              </w:rPr>
            </w:pPr>
            <w:r w:rsidRPr="00865043">
              <w:rPr>
                <w:rFonts w:ascii="Arial" w:hAnsi="Arial" w:cs="Arial"/>
                <w:sz w:val="22"/>
                <w:szCs w:val="22"/>
              </w:rPr>
              <w:t xml:space="preserve">Fortalecer y promover la cooperación bilateral en materia de economía, comercio e inversión, conforme a los principios de igualdad y beneficio mutuo a través de una Comisión Mixta para las cooperaciones Económicas, Comerciales y de Inversión. </w:t>
            </w:r>
          </w:p>
        </w:tc>
        <w:tc>
          <w:tcPr>
            <w:tcW w:w="993" w:type="dxa"/>
          </w:tcPr>
          <w:p w14:paraId="0CAE5204" w14:textId="77777777" w:rsidR="009F5558" w:rsidRPr="00865043" w:rsidRDefault="009F5558" w:rsidP="00B06EAF">
            <w:pPr>
              <w:rPr>
                <w:rFonts w:ascii="Arial" w:hAnsi="Arial" w:cs="Arial"/>
                <w:sz w:val="22"/>
                <w:szCs w:val="22"/>
              </w:rPr>
            </w:pPr>
            <w:r w:rsidRPr="00865043">
              <w:rPr>
                <w:rFonts w:ascii="Arial" w:hAnsi="Arial" w:cs="Arial"/>
                <w:sz w:val="22"/>
                <w:szCs w:val="22"/>
              </w:rPr>
              <w:t>12/6/23</w:t>
            </w:r>
          </w:p>
        </w:tc>
      </w:tr>
      <w:tr w:rsidR="009F5558" w:rsidRPr="00865043" w14:paraId="43A71A18" w14:textId="77777777" w:rsidTr="003524B1">
        <w:trPr>
          <w:trHeight w:val="1818"/>
        </w:trPr>
        <w:tc>
          <w:tcPr>
            <w:tcW w:w="5949" w:type="dxa"/>
          </w:tcPr>
          <w:p w14:paraId="3CFAA28A" w14:textId="77777777" w:rsidR="009F5558" w:rsidRPr="00865043" w:rsidRDefault="009F5558" w:rsidP="00B06EAF">
            <w:pPr>
              <w:rPr>
                <w:rFonts w:ascii="Arial" w:hAnsi="Arial" w:cs="Arial"/>
                <w:sz w:val="22"/>
                <w:szCs w:val="22"/>
              </w:rPr>
            </w:pPr>
            <w:r w:rsidRPr="00865043">
              <w:rPr>
                <w:rStyle w:val="Fuerte"/>
                <w:rFonts w:ascii="Arial" w:hAnsi="Arial" w:cs="Arial"/>
                <w:b w:val="0"/>
                <w:bCs w:val="0"/>
                <w:color w:val="060606"/>
                <w:sz w:val="22"/>
                <w:szCs w:val="22"/>
                <w:shd w:val="clear" w:color="auto" w:fill="FFFFFF"/>
              </w:rPr>
              <w:lastRenderedPageBreak/>
              <w:t>Memorándum De Entendimiento (Mou) Entre La Secretaría De Estado En El Despacho De Desarrollo Económico De Honduras Y El Consejo Chino Para El Fomento Del Comercio Internacional</w:t>
            </w:r>
          </w:p>
        </w:tc>
        <w:tc>
          <w:tcPr>
            <w:tcW w:w="7087" w:type="dxa"/>
          </w:tcPr>
          <w:p w14:paraId="763A60D8" w14:textId="77777777" w:rsidR="009F5558" w:rsidRPr="00865043" w:rsidRDefault="009F5558" w:rsidP="00B06EAF">
            <w:pPr>
              <w:rPr>
                <w:rFonts w:ascii="Arial" w:hAnsi="Arial" w:cs="Arial"/>
                <w:sz w:val="22"/>
                <w:szCs w:val="22"/>
              </w:rPr>
            </w:pPr>
            <w:r w:rsidRPr="00865043">
              <w:rPr>
                <w:rFonts w:ascii="Arial" w:hAnsi="Arial" w:cs="Arial"/>
                <w:color w:val="0D0D0D"/>
                <w:sz w:val="22"/>
                <w:szCs w:val="22"/>
                <w:shd w:val="clear" w:color="auto" w:fill="FFFFFF"/>
              </w:rPr>
              <w:t>Profundizar y fortalecer las relaciones económicas y comerciales entre ambas naciones, creando más oportunidades de comercio e inversión. Además, se busca establecer un mecanismo de intercambio de información, promover la participación de las comunidades empresariales en proyectos conjuntos y coordinar visitas de delegaciones comerciales para fortalecer la cooperación bilateral en diversos sectores como comercio, agricultura, infraestructura, inversión y finanzas.</w:t>
            </w:r>
          </w:p>
        </w:tc>
        <w:tc>
          <w:tcPr>
            <w:tcW w:w="993" w:type="dxa"/>
          </w:tcPr>
          <w:p w14:paraId="38A24112" w14:textId="77777777" w:rsidR="009F5558" w:rsidRPr="00865043" w:rsidRDefault="009F5558" w:rsidP="00B06EAF">
            <w:pPr>
              <w:rPr>
                <w:rFonts w:ascii="Arial" w:hAnsi="Arial" w:cs="Arial"/>
                <w:sz w:val="22"/>
                <w:szCs w:val="22"/>
              </w:rPr>
            </w:pPr>
            <w:r w:rsidRPr="00865043">
              <w:rPr>
                <w:rFonts w:ascii="Arial" w:hAnsi="Arial" w:cs="Arial"/>
                <w:sz w:val="22"/>
                <w:szCs w:val="22"/>
              </w:rPr>
              <w:t>12/6/23</w:t>
            </w:r>
          </w:p>
        </w:tc>
      </w:tr>
      <w:tr w:rsidR="009F5558" w:rsidRPr="00865043" w14:paraId="49EA5E7C" w14:textId="77777777" w:rsidTr="003524B1">
        <w:trPr>
          <w:trHeight w:val="1313"/>
        </w:trPr>
        <w:tc>
          <w:tcPr>
            <w:tcW w:w="5949" w:type="dxa"/>
          </w:tcPr>
          <w:p w14:paraId="7CA0DA4A" w14:textId="77777777" w:rsidR="009F5558" w:rsidRPr="00865043" w:rsidRDefault="009F5558" w:rsidP="00B06EAF">
            <w:pPr>
              <w:rPr>
                <w:rFonts w:ascii="Arial" w:hAnsi="Arial" w:cs="Arial"/>
                <w:sz w:val="22"/>
                <w:szCs w:val="22"/>
              </w:rPr>
            </w:pPr>
            <w:r w:rsidRPr="00865043">
              <w:rPr>
                <w:rFonts w:ascii="Arial" w:hAnsi="Arial" w:cs="Arial"/>
                <w:sz w:val="22"/>
                <w:szCs w:val="22"/>
              </w:rPr>
              <w:t>Memorando De Entendimiento Sobre Cooperación Técnica De Entrada Y Salida De Productos Animal Y Vegetal Cuarentenarios Entre La Secretaría De Agricultura Y Ganadería De La República De Honduras Y La Administración General De Aduanas De La República Popular China</w:t>
            </w:r>
          </w:p>
        </w:tc>
        <w:tc>
          <w:tcPr>
            <w:tcW w:w="7087" w:type="dxa"/>
          </w:tcPr>
          <w:p w14:paraId="41E34557" w14:textId="77777777" w:rsidR="009F5558" w:rsidRPr="00865043" w:rsidRDefault="009F5558" w:rsidP="00B06EAF">
            <w:pPr>
              <w:rPr>
                <w:rFonts w:ascii="Arial" w:hAnsi="Arial" w:cs="Arial"/>
                <w:sz w:val="22"/>
                <w:szCs w:val="22"/>
              </w:rPr>
            </w:pPr>
            <w:r w:rsidRPr="00865043">
              <w:rPr>
                <w:rFonts w:ascii="Arial" w:hAnsi="Arial" w:cs="Arial"/>
                <w:sz w:val="22"/>
                <w:szCs w:val="22"/>
              </w:rPr>
              <w:t>Promover la cooperación bilateral, fortalecer los intercambios y la colaboración en la prevención y control de plagas y enfermedades epidémicas transfronterizas, con el fin de salvaguardar la producción agrícola y forestal, así como acelerar el comercio, desarrollo y facilitación entre ambas naciones</w:t>
            </w:r>
          </w:p>
        </w:tc>
        <w:tc>
          <w:tcPr>
            <w:tcW w:w="993" w:type="dxa"/>
          </w:tcPr>
          <w:p w14:paraId="46E7E935" w14:textId="77777777" w:rsidR="009F5558" w:rsidRPr="00865043" w:rsidRDefault="009F5558" w:rsidP="00B06EAF">
            <w:pPr>
              <w:rPr>
                <w:rFonts w:ascii="Arial" w:hAnsi="Arial" w:cs="Arial"/>
                <w:sz w:val="22"/>
                <w:szCs w:val="22"/>
              </w:rPr>
            </w:pPr>
            <w:bookmarkStart w:id="100" w:name="OLE_LINK1"/>
            <w:r w:rsidRPr="00865043">
              <w:rPr>
                <w:rFonts w:ascii="Arial" w:hAnsi="Arial" w:cs="Arial"/>
                <w:sz w:val="22"/>
                <w:szCs w:val="22"/>
              </w:rPr>
              <w:t>12/6/23</w:t>
            </w:r>
            <w:bookmarkEnd w:id="100"/>
          </w:p>
        </w:tc>
      </w:tr>
      <w:tr w:rsidR="009F5558" w:rsidRPr="00865043" w14:paraId="052DC695" w14:textId="77777777" w:rsidTr="003524B1">
        <w:trPr>
          <w:trHeight w:val="1313"/>
        </w:trPr>
        <w:tc>
          <w:tcPr>
            <w:tcW w:w="5949" w:type="dxa"/>
          </w:tcPr>
          <w:p w14:paraId="3F3798C8" w14:textId="77777777" w:rsidR="009F5558" w:rsidRPr="00865043" w:rsidRDefault="009F5558" w:rsidP="00B06EAF">
            <w:pPr>
              <w:rPr>
                <w:rFonts w:ascii="Arial" w:hAnsi="Arial" w:cs="Arial"/>
                <w:sz w:val="22"/>
                <w:szCs w:val="22"/>
              </w:rPr>
            </w:pPr>
            <w:r w:rsidRPr="00865043">
              <w:rPr>
                <w:rFonts w:ascii="Arial" w:hAnsi="Arial" w:cs="Arial"/>
                <w:sz w:val="22"/>
                <w:szCs w:val="22"/>
              </w:rPr>
              <w:t>Memorándum De Entendimiento Entre El Gobierno De La República De Honduras V El Gobierno De La República Popular China Sobre La Cooperación En El Marco De La Franja Económica De La Ruta De La Seda Y La Ruta Marítima De La Seda Del Siglo XXI</w:t>
            </w:r>
          </w:p>
        </w:tc>
        <w:tc>
          <w:tcPr>
            <w:tcW w:w="7087" w:type="dxa"/>
          </w:tcPr>
          <w:p w14:paraId="52ED1369" w14:textId="77777777" w:rsidR="009F5558" w:rsidRPr="00865043" w:rsidRDefault="009F5558" w:rsidP="00B06EAF">
            <w:pPr>
              <w:rPr>
                <w:rFonts w:ascii="Arial" w:hAnsi="Arial" w:cs="Arial"/>
                <w:sz w:val="22"/>
                <w:szCs w:val="22"/>
              </w:rPr>
            </w:pPr>
            <w:r w:rsidRPr="00865043">
              <w:rPr>
                <w:rFonts w:ascii="Arial" w:hAnsi="Arial" w:cs="Arial"/>
                <w:sz w:val="22"/>
                <w:szCs w:val="22"/>
              </w:rPr>
              <w:t xml:space="preserve">Promover conjuntamente la Franja Económica de la Ruta de la Seda y la Ruta Marítima con el objetivo de promover intercambios de bienes, tecnología, capital y personal a través de la conectividad reciproca y el aprendizaje mutuo. </w:t>
            </w:r>
          </w:p>
        </w:tc>
        <w:tc>
          <w:tcPr>
            <w:tcW w:w="993" w:type="dxa"/>
          </w:tcPr>
          <w:p w14:paraId="6C0E8C6B" w14:textId="77777777" w:rsidR="009F5558" w:rsidRPr="00865043" w:rsidRDefault="009F5558" w:rsidP="00B06EAF">
            <w:pPr>
              <w:rPr>
                <w:rFonts w:ascii="Arial" w:hAnsi="Arial" w:cs="Arial"/>
                <w:sz w:val="22"/>
                <w:szCs w:val="22"/>
              </w:rPr>
            </w:pPr>
            <w:r w:rsidRPr="00865043">
              <w:rPr>
                <w:rFonts w:ascii="Arial" w:hAnsi="Arial" w:cs="Arial"/>
                <w:sz w:val="22"/>
                <w:szCs w:val="22"/>
              </w:rPr>
              <w:t>12/6/23</w:t>
            </w:r>
          </w:p>
        </w:tc>
      </w:tr>
      <w:tr w:rsidR="009F5558" w:rsidRPr="00865043" w14:paraId="3C209107" w14:textId="77777777" w:rsidTr="003524B1">
        <w:trPr>
          <w:trHeight w:val="1313"/>
        </w:trPr>
        <w:tc>
          <w:tcPr>
            <w:tcW w:w="5949" w:type="dxa"/>
          </w:tcPr>
          <w:p w14:paraId="4827F036" w14:textId="77777777" w:rsidR="009F5558" w:rsidRPr="00865043" w:rsidRDefault="009F5558" w:rsidP="00B06EAF">
            <w:pPr>
              <w:rPr>
                <w:rFonts w:ascii="Arial" w:hAnsi="Arial" w:cs="Arial"/>
                <w:sz w:val="22"/>
                <w:szCs w:val="22"/>
              </w:rPr>
            </w:pPr>
            <w:r w:rsidRPr="00865043">
              <w:rPr>
                <w:rFonts w:ascii="Arial" w:hAnsi="Arial" w:cs="Arial"/>
                <w:sz w:val="22"/>
                <w:szCs w:val="22"/>
              </w:rPr>
              <w:t>Memorándum de Cooperación sobre Inspección y Cuarentena entre la Secretaría de Agricultura y Ganadería (SAG) de la República de Honduras y la Administración General de Aduanas de la República Popular China en Importación y Exportación de Alimentos</w:t>
            </w:r>
          </w:p>
        </w:tc>
        <w:tc>
          <w:tcPr>
            <w:tcW w:w="7087" w:type="dxa"/>
          </w:tcPr>
          <w:p w14:paraId="3F37164B" w14:textId="77777777" w:rsidR="009F5558" w:rsidRPr="00865043" w:rsidRDefault="009F5558" w:rsidP="00B06EAF">
            <w:pPr>
              <w:rPr>
                <w:rFonts w:ascii="Arial" w:hAnsi="Arial" w:cs="Arial"/>
                <w:sz w:val="22"/>
                <w:szCs w:val="22"/>
              </w:rPr>
            </w:pPr>
            <w:r w:rsidRPr="00865043">
              <w:rPr>
                <w:rFonts w:ascii="Arial" w:hAnsi="Arial" w:cs="Arial"/>
                <w:sz w:val="22"/>
                <w:szCs w:val="22"/>
              </w:rPr>
              <w:t>Establecer los requisitos de inspección, cuarentena y sanidad veterinaria para los productos acuáticos cultivados que serán exportados desde la República de Honduras hacia la República Popular China</w:t>
            </w:r>
          </w:p>
        </w:tc>
        <w:tc>
          <w:tcPr>
            <w:tcW w:w="993" w:type="dxa"/>
          </w:tcPr>
          <w:p w14:paraId="3F5F0A72" w14:textId="77777777" w:rsidR="009F5558" w:rsidRPr="00865043" w:rsidRDefault="009F5558" w:rsidP="00B06EAF">
            <w:pPr>
              <w:rPr>
                <w:rFonts w:ascii="Arial" w:hAnsi="Arial" w:cs="Arial"/>
                <w:sz w:val="22"/>
                <w:szCs w:val="22"/>
              </w:rPr>
            </w:pPr>
            <w:r w:rsidRPr="00865043">
              <w:rPr>
                <w:rFonts w:ascii="Arial" w:hAnsi="Arial" w:cs="Arial"/>
                <w:sz w:val="22"/>
                <w:szCs w:val="22"/>
              </w:rPr>
              <w:t>12/6/23</w:t>
            </w:r>
          </w:p>
        </w:tc>
      </w:tr>
    </w:tbl>
    <w:p w14:paraId="23326EF1" w14:textId="38CD8CD2" w:rsidR="003524B1" w:rsidRPr="00865043" w:rsidRDefault="003524B1" w:rsidP="009F5558">
      <w:pPr>
        <w:spacing w:line="360" w:lineRule="auto"/>
        <w:rPr>
          <w:rFonts w:ascii="Arial" w:hAnsi="Arial" w:cs="Arial"/>
          <w:sz w:val="22"/>
          <w:szCs w:val="22"/>
        </w:rPr>
      </w:pPr>
      <w:r>
        <w:rPr>
          <w:rFonts w:ascii="Arial" w:hAnsi="Arial" w:cs="Arial"/>
          <w:sz w:val="22"/>
          <w:szCs w:val="22"/>
        </w:rPr>
        <w:t xml:space="preserve">Fuente: SDE de Honduras </w:t>
      </w:r>
    </w:p>
    <w:p w14:paraId="704F583C" w14:textId="77777777" w:rsidR="009F5558" w:rsidRPr="00865043" w:rsidRDefault="009F5558" w:rsidP="009F5558">
      <w:pPr>
        <w:spacing w:line="360" w:lineRule="auto"/>
        <w:rPr>
          <w:rFonts w:ascii="Arial" w:hAnsi="Arial" w:cs="Arial"/>
          <w:sz w:val="22"/>
          <w:szCs w:val="22"/>
        </w:rPr>
      </w:pPr>
    </w:p>
    <w:p w14:paraId="1D7F0238" w14:textId="77777777" w:rsidR="006D25CF" w:rsidRPr="00DE4FCB" w:rsidRDefault="006D25CF" w:rsidP="00DE4FCB">
      <w:pPr>
        <w:spacing w:before="240" w:line="276" w:lineRule="auto"/>
        <w:jc w:val="both"/>
        <w:rPr>
          <w:rFonts w:ascii="Arial" w:hAnsi="Arial" w:cs="Arial"/>
        </w:rPr>
      </w:pPr>
    </w:p>
    <w:p w14:paraId="6B2ACC5D" w14:textId="77777777" w:rsidR="000560C7" w:rsidRDefault="000560C7" w:rsidP="000560C7">
      <w:pPr>
        <w:spacing w:line="360" w:lineRule="auto"/>
        <w:jc w:val="both"/>
        <w:rPr>
          <w:rFonts w:ascii="Arial" w:hAnsi="Arial" w:cs="Arial"/>
        </w:rPr>
      </w:pPr>
    </w:p>
    <w:p w14:paraId="1218BB53" w14:textId="31270005" w:rsidR="006D25CF" w:rsidRPr="00ED618E" w:rsidRDefault="006D25CF" w:rsidP="00ED618E">
      <w:pPr>
        <w:spacing w:after="240" w:line="360" w:lineRule="auto"/>
        <w:jc w:val="both"/>
        <w:rPr>
          <w:rFonts w:ascii="Arial" w:hAnsi="Arial" w:cs="Arial"/>
          <w:b/>
          <w:bCs/>
          <w:color w:val="000000" w:themeColor="text1"/>
          <w:sz w:val="22"/>
          <w:szCs w:val="22"/>
          <w:highlight w:val="yellow"/>
        </w:rPr>
      </w:pPr>
    </w:p>
    <w:sectPr w:rsidR="006D25CF" w:rsidRPr="00ED618E" w:rsidSect="009F5558">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F6D0FB" w14:textId="77777777" w:rsidR="000B1378" w:rsidRDefault="000B1378" w:rsidP="002168C8">
      <w:r>
        <w:separator/>
      </w:r>
    </w:p>
  </w:endnote>
  <w:endnote w:type="continuationSeparator" w:id="0">
    <w:p w14:paraId="71A2491D" w14:textId="77777777" w:rsidR="000B1378" w:rsidRDefault="000B1378" w:rsidP="002168C8">
      <w:r>
        <w:continuationSeparator/>
      </w:r>
    </w:p>
  </w:endnote>
  <w:endnote w:type="continuationNotice" w:id="1">
    <w:p w14:paraId="009A6712" w14:textId="77777777" w:rsidR="000B1378" w:rsidRDefault="000B13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048C4A" w14:textId="77777777" w:rsidR="001D3531" w:rsidRDefault="001D353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99088818"/>
      <w:docPartObj>
        <w:docPartGallery w:val="Page Numbers (Bottom of Page)"/>
        <w:docPartUnique/>
      </w:docPartObj>
    </w:sdtPr>
    <w:sdtContent>
      <w:p w14:paraId="48888545" w14:textId="672604F5" w:rsidR="001D3531" w:rsidRDefault="001D3531">
        <w:pPr>
          <w:pStyle w:val="Piedepgina"/>
          <w:jc w:val="center"/>
        </w:pPr>
        <w:r>
          <w:fldChar w:fldCharType="begin"/>
        </w:r>
        <w:r>
          <w:instrText>PAGE   \* MERGEFORMAT</w:instrText>
        </w:r>
        <w:r>
          <w:fldChar w:fldCharType="separate"/>
        </w:r>
        <w:r>
          <w:rPr>
            <w:lang w:val="es-ES"/>
          </w:rPr>
          <w:t>2</w:t>
        </w:r>
        <w:r>
          <w:fldChar w:fldCharType="end"/>
        </w:r>
      </w:p>
    </w:sdtContent>
  </w:sdt>
  <w:p w14:paraId="003B8923" w14:textId="5B7A61E3" w:rsidR="001D3531" w:rsidRDefault="001D3531" w:rsidP="001D3531">
    <w:pPr>
      <w:pStyle w:val="Piedepgina"/>
      <w:tabs>
        <w:tab w:val="clear" w:pos="4252"/>
        <w:tab w:val="clear" w:pos="8504"/>
        <w:tab w:val="left" w:pos="585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E1FD89" w14:textId="77777777" w:rsidR="001D3531" w:rsidRDefault="001D353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BFFC06" w14:textId="77777777" w:rsidR="000B1378" w:rsidRDefault="000B1378" w:rsidP="002168C8">
      <w:r>
        <w:separator/>
      </w:r>
    </w:p>
  </w:footnote>
  <w:footnote w:type="continuationSeparator" w:id="0">
    <w:p w14:paraId="25EE34AD" w14:textId="77777777" w:rsidR="000B1378" w:rsidRDefault="000B1378" w:rsidP="002168C8">
      <w:r>
        <w:continuationSeparator/>
      </w:r>
    </w:p>
  </w:footnote>
  <w:footnote w:type="continuationNotice" w:id="1">
    <w:p w14:paraId="2762B243" w14:textId="77777777" w:rsidR="000B1378" w:rsidRDefault="000B1378"/>
  </w:footnote>
  <w:footnote w:id="2">
    <w:p w14:paraId="6FE06BE0" w14:textId="7E96DA49" w:rsidR="00DF1C05" w:rsidRDefault="00DF1C05">
      <w:pPr>
        <w:pStyle w:val="Textonotapie"/>
      </w:pPr>
      <w:r w:rsidRPr="003D4289">
        <w:rPr>
          <w:rStyle w:val="Refdenotaalpie"/>
          <w:color w:val="0D0D0D" w:themeColor="text1" w:themeTint="F2"/>
        </w:rPr>
        <w:footnoteRef/>
      </w:r>
      <w:r w:rsidRPr="003D4289">
        <w:rPr>
          <w:color w:val="0D0D0D" w:themeColor="text1" w:themeTint="F2"/>
        </w:rPr>
        <w:t xml:space="preserve"> Para efectos de esta investigación será solamente llamada China</w:t>
      </w:r>
      <w:r w:rsidR="006034E4">
        <w:rPr>
          <w:color w:val="0D0D0D" w:themeColor="text1" w:themeTint="F2"/>
        </w:rPr>
        <w:t>.</w:t>
      </w:r>
    </w:p>
  </w:footnote>
  <w:footnote w:id="3">
    <w:p w14:paraId="413DBD22" w14:textId="6D8A3830" w:rsidR="00CA61A6" w:rsidRPr="00CA61A6" w:rsidRDefault="00CA61A6">
      <w:pPr>
        <w:pStyle w:val="Textonotapie"/>
        <w:rPr>
          <w:lang w:val="es-ES_tradnl"/>
        </w:rPr>
      </w:pPr>
      <w:r w:rsidRPr="00754B8E">
        <w:rPr>
          <w:rStyle w:val="Refdenotaalpie"/>
        </w:rPr>
        <w:footnoteRef/>
      </w:r>
      <w:r w:rsidRPr="009D5E94">
        <w:t xml:space="preserve"> </w:t>
      </w:r>
      <w:r w:rsidR="001241C5" w:rsidRPr="009D5E94">
        <w:t>Massaguer, J. (</w:t>
      </w:r>
      <w:r w:rsidR="009D5E94">
        <w:fldChar w:fldCharType="begin"/>
      </w:r>
      <w:r w:rsidR="00FA3C64">
        <w:instrText xml:space="preserve"> ADDIN ZOTERO_ITEM CSL_CITATION {"citationID":"klKBkgYZ","properties":{"formattedCitation":"(Jose Massaguer, 1989)","plainCitation":"(Jose Massaguer, 1989)","dontUpdate":true,"noteIndex":2},"citationItems":[{"id":1969,"uris":["http://zotero.org/users/10063313/items/236W59HU"],"itemData":{"id":1969,"type":"book","publisher":"Editorial Librería Bosch,","publisher-place":"Barcelona, España","title":"El Contrato de Licencia de Know How","author":[{"literal":"Jose Massaguer"}],"issued":{"date-parts":[["1989"]]}}}],"schema":"https://github.com/citation-style-language/schema/raw/master/csl-citation.json"} </w:instrText>
      </w:r>
      <w:r w:rsidR="009D5E94">
        <w:fldChar w:fldCharType="separate"/>
      </w:r>
      <w:r w:rsidR="009D5E94">
        <w:rPr>
          <w:noProof/>
        </w:rPr>
        <w:t>1989)</w:t>
      </w:r>
      <w:r w:rsidR="009D5E94">
        <w:fldChar w:fldCharType="end"/>
      </w:r>
      <w:r w:rsidR="001241C5" w:rsidRPr="009D5E94">
        <w:t>. El autor define el know-how como “la información que, sin reunir los requisitos necesarios para acceder al sistema de patentes, sirve para la fabricación de un determinado producto [...] o, en general, para solucionar determinados problemas técnico-empresariales [...]”.</w:t>
      </w:r>
    </w:p>
  </w:footnote>
  <w:footnote w:id="4">
    <w:p w14:paraId="6C5743A4" w14:textId="37D6E304" w:rsidR="000B3614" w:rsidRPr="00C52658" w:rsidRDefault="000B3614" w:rsidP="000B3614">
      <w:pPr>
        <w:shd w:val="clear" w:color="auto" w:fill="FFFFFF"/>
        <w:spacing w:line="240" w:lineRule="atLeast"/>
        <w:rPr>
          <w:rFonts w:ascii="Arial" w:eastAsiaTheme="majorEastAsia" w:hAnsi="Arial" w:cs="Arial"/>
          <w:color w:val="0D0D0D" w:themeColor="text1" w:themeTint="F2"/>
          <w:sz w:val="22"/>
          <w:szCs w:val="22"/>
        </w:rPr>
      </w:pPr>
      <w:r w:rsidRPr="00C52658">
        <w:rPr>
          <w:rStyle w:val="Refdenotaalpie"/>
          <w:rFonts w:ascii="Arial" w:hAnsi="Arial" w:cs="Arial"/>
          <w:color w:val="0D0D0D" w:themeColor="text1" w:themeTint="F2"/>
          <w:sz w:val="22"/>
          <w:szCs w:val="22"/>
        </w:rPr>
        <w:footnoteRef/>
      </w:r>
      <w:r w:rsidRPr="00C52658">
        <w:rPr>
          <w:rFonts w:ascii="Arial" w:hAnsi="Arial" w:cs="Arial"/>
          <w:color w:val="0D0D0D" w:themeColor="text1" w:themeTint="F2"/>
          <w:sz w:val="22"/>
          <w:szCs w:val="22"/>
        </w:rPr>
        <w:t xml:space="preserve"> 1.41</w:t>
      </w:r>
      <w:r w:rsidR="0075494B" w:rsidRPr="00C52658">
        <w:rPr>
          <w:rFonts w:ascii="Arial" w:hAnsi="Arial" w:cs="Arial"/>
          <w:color w:val="0D0D0D" w:themeColor="text1" w:themeTint="F2"/>
          <w:sz w:val="22"/>
          <w:szCs w:val="22"/>
        </w:rPr>
        <w:t>6</w:t>
      </w:r>
      <w:r w:rsidRPr="00C52658">
        <w:rPr>
          <w:rFonts w:ascii="Arial" w:hAnsi="Arial" w:cs="Arial"/>
          <w:color w:val="0D0D0D" w:themeColor="text1" w:themeTint="F2"/>
          <w:sz w:val="22"/>
          <w:szCs w:val="22"/>
        </w:rPr>
        <w:t> miles de millones para el año 202</w:t>
      </w:r>
      <w:r w:rsidR="00C52658" w:rsidRPr="00C52658">
        <w:rPr>
          <w:rFonts w:ascii="Arial" w:hAnsi="Arial" w:cs="Arial"/>
          <w:color w:val="0D0D0D" w:themeColor="text1" w:themeTint="F2"/>
          <w:sz w:val="22"/>
          <w:szCs w:val="22"/>
        </w:rPr>
        <w:t>5</w:t>
      </w:r>
      <w:r w:rsidRPr="00C52658">
        <w:rPr>
          <w:rFonts w:ascii="Arial" w:hAnsi="Arial" w:cs="Arial"/>
          <w:color w:val="0D0D0D" w:themeColor="text1" w:themeTint="F2"/>
          <w:sz w:val="22"/>
          <w:szCs w:val="22"/>
        </w:rPr>
        <w:t xml:space="preserve"> según datos </w:t>
      </w:r>
      <w:r w:rsidR="0075494B" w:rsidRPr="00C52658">
        <w:rPr>
          <w:rFonts w:ascii="Arial" w:hAnsi="Arial" w:cs="Arial"/>
          <w:color w:val="0D0D0D" w:themeColor="text1" w:themeTint="F2"/>
          <w:sz w:val="22"/>
          <w:szCs w:val="22"/>
        </w:rPr>
        <w:t>de las Naciones Unidas</w:t>
      </w:r>
    </w:p>
    <w:p w14:paraId="6BDE2416" w14:textId="5E86E50C" w:rsidR="000B3614" w:rsidRPr="000B3614" w:rsidRDefault="000B3614" w:rsidP="000B3614">
      <w:pPr>
        <w:shd w:val="clear" w:color="auto" w:fill="FFFFFF"/>
        <w:spacing w:line="240" w:lineRule="atLeast"/>
        <w:rPr>
          <w:rFonts w:ascii="Arial" w:hAnsi="Arial" w:cs="Arial"/>
          <w:color w:val="202124"/>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3BA5CB" w14:textId="77777777" w:rsidR="001D3531" w:rsidRDefault="001D353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00B02B" w14:textId="77777777" w:rsidR="001D3531" w:rsidRDefault="001D353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182A81" w14:textId="77777777" w:rsidR="001D3531" w:rsidRDefault="001D353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001EA8"/>
    <w:multiLevelType w:val="multilevel"/>
    <w:tmpl w:val="3D009BD4"/>
    <w:lvl w:ilvl="0">
      <w:start w:val="2"/>
      <w:numFmt w:val="decimal"/>
      <w:lvlText w:val="%1"/>
      <w:lvlJc w:val="left"/>
      <w:pPr>
        <w:ind w:left="380" w:hanging="38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 w15:restartNumberingAfterBreak="0">
    <w:nsid w:val="17514352"/>
    <w:multiLevelType w:val="hybridMultilevel"/>
    <w:tmpl w:val="C8EEE758"/>
    <w:lvl w:ilvl="0" w:tplc="27F43A6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8E0516"/>
    <w:multiLevelType w:val="hybridMultilevel"/>
    <w:tmpl w:val="B0A2C7C6"/>
    <w:lvl w:ilvl="0" w:tplc="84FA05B8">
      <w:start w:val="1"/>
      <w:numFmt w:val="bullet"/>
      <w:lvlText w:val="•"/>
      <w:lvlJc w:val="left"/>
      <w:pPr>
        <w:tabs>
          <w:tab w:val="num" w:pos="360"/>
        </w:tabs>
        <w:ind w:left="360" w:hanging="360"/>
      </w:pPr>
      <w:rPr>
        <w:rFonts w:ascii="Arial" w:hAnsi="Arial" w:hint="default"/>
      </w:rPr>
    </w:lvl>
    <w:lvl w:ilvl="1" w:tplc="B2307D02" w:tentative="1">
      <w:start w:val="1"/>
      <w:numFmt w:val="bullet"/>
      <w:lvlText w:val="•"/>
      <w:lvlJc w:val="left"/>
      <w:pPr>
        <w:tabs>
          <w:tab w:val="num" w:pos="1080"/>
        </w:tabs>
        <w:ind w:left="1080" w:hanging="360"/>
      </w:pPr>
      <w:rPr>
        <w:rFonts w:ascii="Arial" w:hAnsi="Arial" w:hint="default"/>
      </w:rPr>
    </w:lvl>
    <w:lvl w:ilvl="2" w:tplc="20221D36" w:tentative="1">
      <w:start w:val="1"/>
      <w:numFmt w:val="bullet"/>
      <w:lvlText w:val="•"/>
      <w:lvlJc w:val="left"/>
      <w:pPr>
        <w:tabs>
          <w:tab w:val="num" w:pos="1800"/>
        </w:tabs>
        <w:ind w:left="1800" w:hanging="360"/>
      </w:pPr>
      <w:rPr>
        <w:rFonts w:ascii="Arial" w:hAnsi="Arial" w:hint="default"/>
      </w:rPr>
    </w:lvl>
    <w:lvl w:ilvl="3" w:tplc="0862DA40" w:tentative="1">
      <w:start w:val="1"/>
      <w:numFmt w:val="bullet"/>
      <w:lvlText w:val="•"/>
      <w:lvlJc w:val="left"/>
      <w:pPr>
        <w:tabs>
          <w:tab w:val="num" w:pos="2520"/>
        </w:tabs>
        <w:ind w:left="2520" w:hanging="360"/>
      </w:pPr>
      <w:rPr>
        <w:rFonts w:ascii="Arial" w:hAnsi="Arial" w:hint="default"/>
      </w:rPr>
    </w:lvl>
    <w:lvl w:ilvl="4" w:tplc="7684012A" w:tentative="1">
      <w:start w:val="1"/>
      <w:numFmt w:val="bullet"/>
      <w:lvlText w:val="•"/>
      <w:lvlJc w:val="left"/>
      <w:pPr>
        <w:tabs>
          <w:tab w:val="num" w:pos="3240"/>
        </w:tabs>
        <w:ind w:left="3240" w:hanging="360"/>
      </w:pPr>
      <w:rPr>
        <w:rFonts w:ascii="Arial" w:hAnsi="Arial" w:hint="default"/>
      </w:rPr>
    </w:lvl>
    <w:lvl w:ilvl="5" w:tplc="F52418A8" w:tentative="1">
      <w:start w:val="1"/>
      <w:numFmt w:val="bullet"/>
      <w:lvlText w:val="•"/>
      <w:lvlJc w:val="left"/>
      <w:pPr>
        <w:tabs>
          <w:tab w:val="num" w:pos="3960"/>
        </w:tabs>
        <w:ind w:left="3960" w:hanging="360"/>
      </w:pPr>
      <w:rPr>
        <w:rFonts w:ascii="Arial" w:hAnsi="Arial" w:hint="default"/>
      </w:rPr>
    </w:lvl>
    <w:lvl w:ilvl="6" w:tplc="3C888028" w:tentative="1">
      <w:start w:val="1"/>
      <w:numFmt w:val="bullet"/>
      <w:lvlText w:val="•"/>
      <w:lvlJc w:val="left"/>
      <w:pPr>
        <w:tabs>
          <w:tab w:val="num" w:pos="4680"/>
        </w:tabs>
        <w:ind w:left="4680" w:hanging="360"/>
      </w:pPr>
      <w:rPr>
        <w:rFonts w:ascii="Arial" w:hAnsi="Arial" w:hint="default"/>
      </w:rPr>
    </w:lvl>
    <w:lvl w:ilvl="7" w:tplc="1B4EEB64" w:tentative="1">
      <w:start w:val="1"/>
      <w:numFmt w:val="bullet"/>
      <w:lvlText w:val="•"/>
      <w:lvlJc w:val="left"/>
      <w:pPr>
        <w:tabs>
          <w:tab w:val="num" w:pos="5400"/>
        </w:tabs>
        <w:ind w:left="5400" w:hanging="360"/>
      </w:pPr>
      <w:rPr>
        <w:rFonts w:ascii="Arial" w:hAnsi="Arial" w:hint="default"/>
      </w:rPr>
    </w:lvl>
    <w:lvl w:ilvl="8" w:tplc="E73ED1F0"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1E8D4F14"/>
    <w:multiLevelType w:val="hybridMultilevel"/>
    <w:tmpl w:val="E3E44E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386047E"/>
    <w:multiLevelType w:val="multilevel"/>
    <w:tmpl w:val="D188E0BA"/>
    <w:lvl w:ilvl="0">
      <w:start w:val="2"/>
      <w:numFmt w:val="decimal"/>
      <w:lvlText w:val="%1."/>
      <w:lvlJc w:val="left"/>
      <w:pPr>
        <w:ind w:left="720" w:hanging="360"/>
      </w:pPr>
      <w:rPr>
        <w:rFonts w:hint="default"/>
        <w:color w:val="auto"/>
      </w:rPr>
    </w:lvl>
    <w:lvl w:ilvl="1">
      <w:start w:val="1"/>
      <w:numFmt w:val="decimal"/>
      <w:isLgl/>
      <w:lvlText w:val="%1.%2"/>
      <w:lvlJc w:val="left"/>
      <w:pPr>
        <w:ind w:left="107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4960" w:hanging="1800"/>
      </w:pPr>
      <w:rPr>
        <w:rFonts w:hint="default"/>
      </w:rPr>
    </w:lvl>
  </w:abstractNum>
  <w:abstractNum w:abstractNumId="5" w15:restartNumberingAfterBreak="0">
    <w:nsid w:val="27DF47B4"/>
    <w:multiLevelType w:val="hybridMultilevel"/>
    <w:tmpl w:val="318637A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B970B12"/>
    <w:multiLevelType w:val="hybridMultilevel"/>
    <w:tmpl w:val="E264DA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B9825A7"/>
    <w:multiLevelType w:val="multilevel"/>
    <w:tmpl w:val="64B83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057ED0"/>
    <w:multiLevelType w:val="multilevel"/>
    <w:tmpl w:val="654C792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862" w:hanging="720"/>
      </w:pPr>
      <w:rPr>
        <w:rFonts w:ascii="Arial" w:hAnsi="Arial" w:cs="Arial" w:hint="default"/>
        <w:color w:val="000000" w:themeColor="text1"/>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31B120A7"/>
    <w:multiLevelType w:val="hybridMultilevel"/>
    <w:tmpl w:val="D25CD53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3D0C4767"/>
    <w:multiLevelType w:val="hybridMultilevel"/>
    <w:tmpl w:val="1020F05E"/>
    <w:lvl w:ilvl="0" w:tplc="F59E7690">
      <w:start w:val="1"/>
      <w:numFmt w:val="bullet"/>
      <w:lvlText w:val="•"/>
      <w:lvlJc w:val="left"/>
      <w:pPr>
        <w:tabs>
          <w:tab w:val="num" w:pos="360"/>
        </w:tabs>
        <w:ind w:left="360" w:hanging="360"/>
      </w:pPr>
      <w:rPr>
        <w:rFonts w:ascii="Arial" w:hAnsi="Arial" w:hint="default"/>
      </w:rPr>
    </w:lvl>
    <w:lvl w:ilvl="1" w:tplc="CE02D06C" w:tentative="1">
      <w:start w:val="1"/>
      <w:numFmt w:val="bullet"/>
      <w:lvlText w:val="•"/>
      <w:lvlJc w:val="left"/>
      <w:pPr>
        <w:tabs>
          <w:tab w:val="num" w:pos="1080"/>
        </w:tabs>
        <w:ind w:left="1080" w:hanging="360"/>
      </w:pPr>
      <w:rPr>
        <w:rFonts w:ascii="Arial" w:hAnsi="Arial" w:hint="default"/>
      </w:rPr>
    </w:lvl>
    <w:lvl w:ilvl="2" w:tplc="3CEA407A" w:tentative="1">
      <w:start w:val="1"/>
      <w:numFmt w:val="bullet"/>
      <w:lvlText w:val="•"/>
      <w:lvlJc w:val="left"/>
      <w:pPr>
        <w:tabs>
          <w:tab w:val="num" w:pos="1800"/>
        </w:tabs>
        <w:ind w:left="1800" w:hanging="360"/>
      </w:pPr>
      <w:rPr>
        <w:rFonts w:ascii="Arial" w:hAnsi="Arial" w:hint="default"/>
      </w:rPr>
    </w:lvl>
    <w:lvl w:ilvl="3" w:tplc="D3609916" w:tentative="1">
      <w:start w:val="1"/>
      <w:numFmt w:val="bullet"/>
      <w:lvlText w:val="•"/>
      <w:lvlJc w:val="left"/>
      <w:pPr>
        <w:tabs>
          <w:tab w:val="num" w:pos="2520"/>
        </w:tabs>
        <w:ind w:left="2520" w:hanging="360"/>
      </w:pPr>
      <w:rPr>
        <w:rFonts w:ascii="Arial" w:hAnsi="Arial" w:hint="default"/>
      </w:rPr>
    </w:lvl>
    <w:lvl w:ilvl="4" w:tplc="894EF58A" w:tentative="1">
      <w:start w:val="1"/>
      <w:numFmt w:val="bullet"/>
      <w:lvlText w:val="•"/>
      <w:lvlJc w:val="left"/>
      <w:pPr>
        <w:tabs>
          <w:tab w:val="num" w:pos="3240"/>
        </w:tabs>
        <w:ind w:left="3240" w:hanging="360"/>
      </w:pPr>
      <w:rPr>
        <w:rFonts w:ascii="Arial" w:hAnsi="Arial" w:hint="default"/>
      </w:rPr>
    </w:lvl>
    <w:lvl w:ilvl="5" w:tplc="4E5C8048" w:tentative="1">
      <w:start w:val="1"/>
      <w:numFmt w:val="bullet"/>
      <w:lvlText w:val="•"/>
      <w:lvlJc w:val="left"/>
      <w:pPr>
        <w:tabs>
          <w:tab w:val="num" w:pos="3960"/>
        </w:tabs>
        <w:ind w:left="3960" w:hanging="360"/>
      </w:pPr>
      <w:rPr>
        <w:rFonts w:ascii="Arial" w:hAnsi="Arial" w:hint="default"/>
      </w:rPr>
    </w:lvl>
    <w:lvl w:ilvl="6" w:tplc="D91C9C86" w:tentative="1">
      <w:start w:val="1"/>
      <w:numFmt w:val="bullet"/>
      <w:lvlText w:val="•"/>
      <w:lvlJc w:val="left"/>
      <w:pPr>
        <w:tabs>
          <w:tab w:val="num" w:pos="4680"/>
        </w:tabs>
        <w:ind w:left="4680" w:hanging="360"/>
      </w:pPr>
      <w:rPr>
        <w:rFonts w:ascii="Arial" w:hAnsi="Arial" w:hint="default"/>
      </w:rPr>
    </w:lvl>
    <w:lvl w:ilvl="7" w:tplc="5E60F482" w:tentative="1">
      <w:start w:val="1"/>
      <w:numFmt w:val="bullet"/>
      <w:lvlText w:val="•"/>
      <w:lvlJc w:val="left"/>
      <w:pPr>
        <w:tabs>
          <w:tab w:val="num" w:pos="5400"/>
        </w:tabs>
        <w:ind w:left="5400" w:hanging="360"/>
      </w:pPr>
      <w:rPr>
        <w:rFonts w:ascii="Arial" w:hAnsi="Arial" w:hint="default"/>
      </w:rPr>
    </w:lvl>
    <w:lvl w:ilvl="8" w:tplc="9F0643C8" w:tentative="1">
      <w:start w:val="1"/>
      <w:numFmt w:val="bullet"/>
      <w:lvlText w:val="•"/>
      <w:lvlJc w:val="left"/>
      <w:pPr>
        <w:tabs>
          <w:tab w:val="num" w:pos="6120"/>
        </w:tabs>
        <w:ind w:left="6120" w:hanging="360"/>
      </w:pPr>
      <w:rPr>
        <w:rFonts w:ascii="Arial" w:hAnsi="Arial" w:hint="default"/>
      </w:rPr>
    </w:lvl>
  </w:abstractNum>
  <w:abstractNum w:abstractNumId="11" w15:restartNumberingAfterBreak="0">
    <w:nsid w:val="40D445A0"/>
    <w:multiLevelType w:val="multilevel"/>
    <w:tmpl w:val="A434DD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0D5648B"/>
    <w:multiLevelType w:val="multilevel"/>
    <w:tmpl w:val="5A281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023CA4"/>
    <w:multiLevelType w:val="multilevel"/>
    <w:tmpl w:val="D188E0BA"/>
    <w:styleLink w:val="Listaactual2"/>
    <w:lvl w:ilvl="0">
      <w:start w:val="2"/>
      <w:numFmt w:val="decimal"/>
      <w:lvlText w:val="%1."/>
      <w:lvlJc w:val="left"/>
      <w:pPr>
        <w:ind w:left="720" w:hanging="360"/>
      </w:pPr>
      <w:rPr>
        <w:rFonts w:hint="default"/>
        <w:color w:val="auto"/>
      </w:rPr>
    </w:lvl>
    <w:lvl w:ilvl="1">
      <w:start w:val="1"/>
      <w:numFmt w:val="decimal"/>
      <w:isLgl/>
      <w:lvlText w:val="%1.%2"/>
      <w:lvlJc w:val="left"/>
      <w:pPr>
        <w:ind w:left="107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4960" w:hanging="1800"/>
      </w:pPr>
      <w:rPr>
        <w:rFonts w:hint="default"/>
      </w:rPr>
    </w:lvl>
  </w:abstractNum>
  <w:abstractNum w:abstractNumId="14" w15:restartNumberingAfterBreak="0">
    <w:nsid w:val="4387469D"/>
    <w:multiLevelType w:val="hybridMultilevel"/>
    <w:tmpl w:val="335A8A86"/>
    <w:lvl w:ilvl="0" w:tplc="08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487A3933"/>
    <w:multiLevelType w:val="hybridMultilevel"/>
    <w:tmpl w:val="E51C086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FDA1241"/>
    <w:multiLevelType w:val="hybridMultilevel"/>
    <w:tmpl w:val="A8649FB0"/>
    <w:lvl w:ilvl="0" w:tplc="2BD03DD6">
      <w:numFmt w:val="bullet"/>
      <w:lvlText w:val="-"/>
      <w:lvlJc w:val="left"/>
      <w:pPr>
        <w:ind w:left="720" w:hanging="360"/>
      </w:pPr>
      <w:rPr>
        <w:rFonts w:ascii="Arial" w:eastAsia="Times New Roman"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2055586"/>
    <w:multiLevelType w:val="hybridMultilevel"/>
    <w:tmpl w:val="04DEFDD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598334B7"/>
    <w:multiLevelType w:val="hybridMultilevel"/>
    <w:tmpl w:val="E264DA78"/>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C7368AA"/>
    <w:multiLevelType w:val="multilevel"/>
    <w:tmpl w:val="9FA64A9C"/>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DA41A93"/>
    <w:multiLevelType w:val="multilevel"/>
    <w:tmpl w:val="480A0025"/>
    <w:styleLink w:val="Listaactual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F243138"/>
    <w:multiLevelType w:val="multilevel"/>
    <w:tmpl w:val="A846FEEA"/>
    <w:lvl w:ilvl="0">
      <w:start w:val="1"/>
      <w:numFmt w:val="decimal"/>
      <w:pStyle w:val="Ttulo1"/>
      <w:lvlText w:val="%1"/>
      <w:lvlJc w:val="left"/>
      <w:pPr>
        <w:ind w:left="432" w:hanging="432"/>
      </w:pPr>
    </w:lvl>
    <w:lvl w:ilvl="1">
      <w:start w:val="1"/>
      <w:numFmt w:val="decimal"/>
      <w:pStyle w:val="Ttulo2"/>
      <w:lvlText w:val="%1.%2"/>
      <w:lvlJc w:val="left"/>
      <w:pPr>
        <w:ind w:left="576" w:hanging="576"/>
      </w:pPr>
      <w:rPr>
        <w:rFonts w:ascii="Arial" w:hAnsi="Arial" w:cs="Arial" w:hint="default"/>
        <w:b w:val="0"/>
        <w:bCs w:val="0"/>
        <w:color w:val="000000" w:themeColor="text1"/>
        <w:sz w:val="24"/>
        <w:szCs w:val="24"/>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2" w15:restartNumberingAfterBreak="0">
    <w:nsid w:val="6221658B"/>
    <w:multiLevelType w:val="hybridMultilevel"/>
    <w:tmpl w:val="2D6E485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5966BC3"/>
    <w:multiLevelType w:val="hybridMultilevel"/>
    <w:tmpl w:val="ED16075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4" w15:restartNumberingAfterBreak="0">
    <w:nsid w:val="667859BC"/>
    <w:multiLevelType w:val="multilevel"/>
    <w:tmpl w:val="7C2C2A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E36699F"/>
    <w:multiLevelType w:val="hybridMultilevel"/>
    <w:tmpl w:val="BC9AF7A8"/>
    <w:lvl w:ilvl="0" w:tplc="480A0003">
      <w:start w:val="1"/>
      <w:numFmt w:val="bullet"/>
      <w:lvlText w:val="o"/>
      <w:lvlJc w:val="left"/>
      <w:pPr>
        <w:ind w:left="644" w:hanging="360"/>
      </w:pPr>
      <w:rPr>
        <w:rFonts w:ascii="Courier New" w:hAnsi="Courier New" w:cs="Courier New"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6" w15:restartNumberingAfterBreak="0">
    <w:nsid w:val="73514648"/>
    <w:multiLevelType w:val="hybridMultilevel"/>
    <w:tmpl w:val="0B446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57A0D0A"/>
    <w:multiLevelType w:val="hybridMultilevel"/>
    <w:tmpl w:val="77FA3138"/>
    <w:lvl w:ilvl="0" w:tplc="9902460A">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57E3ED1"/>
    <w:multiLevelType w:val="hybridMultilevel"/>
    <w:tmpl w:val="55F653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D6C726E"/>
    <w:multiLevelType w:val="hybridMultilevel"/>
    <w:tmpl w:val="4D064F78"/>
    <w:lvl w:ilvl="0" w:tplc="5172E792">
      <w:start w:val="1"/>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D79689D"/>
    <w:multiLevelType w:val="hybridMultilevel"/>
    <w:tmpl w:val="D16241DA"/>
    <w:lvl w:ilvl="0" w:tplc="F0B27C7A">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669481800">
    <w:abstractNumId w:val="21"/>
  </w:num>
  <w:num w:numId="2" w16cid:durableId="1659381469">
    <w:abstractNumId w:val="25"/>
  </w:num>
  <w:num w:numId="3" w16cid:durableId="885138007">
    <w:abstractNumId w:val="10"/>
  </w:num>
  <w:num w:numId="4" w16cid:durableId="709644932">
    <w:abstractNumId w:val="2"/>
  </w:num>
  <w:num w:numId="5" w16cid:durableId="32729917">
    <w:abstractNumId w:val="12"/>
  </w:num>
  <w:num w:numId="6" w16cid:durableId="812915576">
    <w:abstractNumId w:val="18"/>
  </w:num>
  <w:num w:numId="7" w16cid:durableId="1627269694">
    <w:abstractNumId w:val="8"/>
  </w:num>
  <w:num w:numId="8" w16cid:durableId="1792749011">
    <w:abstractNumId w:val="9"/>
  </w:num>
  <w:num w:numId="9" w16cid:durableId="886188997">
    <w:abstractNumId w:val="23"/>
  </w:num>
  <w:num w:numId="10" w16cid:durableId="801341167">
    <w:abstractNumId w:val="28"/>
  </w:num>
  <w:num w:numId="11" w16cid:durableId="1563981591">
    <w:abstractNumId w:val="6"/>
  </w:num>
  <w:num w:numId="12" w16cid:durableId="929118986">
    <w:abstractNumId w:val="3"/>
  </w:num>
  <w:num w:numId="13" w16cid:durableId="726030232">
    <w:abstractNumId w:val="14"/>
  </w:num>
  <w:num w:numId="14" w16cid:durableId="1469009313">
    <w:abstractNumId w:val="22"/>
  </w:num>
  <w:num w:numId="15" w16cid:durableId="350684302">
    <w:abstractNumId w:val="26"/>
  </w:num>
  <w:num w:numId="16" w16cid:durableId="447165690">
    <w:abstractNumId w:val="16"/>
  </w:num>
  <w:num w:numId="17" w16cid:durableId="946693386">
    <w:abstractNumId w:val="20"/>
  </w:num>
  <w:num w:numId="18" w16cid:durableId="2128427341">
    <w:abstractNumId w:val="4"/>
  </w:num>
  <w:num w:numId="19" w16cid:durableId="1544244670">
    <w:abstractNumId w:val="19"/>
  </w:num>
  <w:num w:numId="20" w16cid:durableId="1235815603">
    <w:abstractNumId w:val="0"/>
  </w:num>
  <w:num w:numId="21" w16cid:durableId="755203806">
    <w:abstractNumId w:val="11"/>
  </w:num>
  <w:num w:numId="22" w16cid:durableId="1045183618">
    <w:abstractNumId w:val="1"/>
  </w:num>
  <w:num w:numId="23" w16cid:durableId="7044504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91917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34333813">
    <w:abstractNumId w:val="27"/>
  </w:num>
  <w:num w:numId="26" w16cid:durableId="1894809262">
    <w:abstractNumId w:val="5"/>
  </w:num>
  <w:num w:numId="27" w16cid:durableId="1758792658">
    <w:abstractNumId w:val="29"/>
  </w:num>
  <w:num w:numId="28" w16cid:durableId="2012756314">
    <w:abstractNumId w:val="30"/>
  </w:num>
  <w:num w:numId="29" w16cid:durableId="1228416558">
    <w:abstractNumId w:val="15"/>
  </w:num>
  <w:num w:numId="30" w16cid:durableId="268465475">
    <w:abstractNumId w:val="7"/>
  </w:num>
  <w:num w:numId="31" w16cid:durableId="768892537">
    <w:abstractNumId w:val="13"/>
  </w:num>
  <w:num w:numId="32" w16cid:durableId="1271427426">
    <w:abstractNumId w:val="17"/>
  </w:num>
  <w:num w:numId="33" w16cid:durableId="753625305">
    <w:abstractNumId w:val="24"/>
  </w:num>
  <w:numIdMacAtCleanup w:val="2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8B8"/>
    <w:rsid w:val="000013A5"/>
    <w:rsid w:val="00001A82"/>
    <w:rsid w:val="00003305"/>
    <w:rsid w:val="000035E1"/>
    <w:rsid w:val="00003ED0"/>
    <w:rsid w:val="000063EE"/>
    <w:rsid w:val="000064FD"/>
    <w:rsid w:val="00007ED0"/>
    <w:rsid w:val="00010115"/>
    <w:rsid w:val="0001159B"/>
    <w:rsid w:val="000117E0"/>
    <w:rsid w:val="00013146"/>
    <w:rsid w:val="000144A0"/>
    <w:rsid w:val="00015050"/>
    <w:rsid w:val="00015469"/>
    <w:rsid w:val="00015717"/>
    <w:rsid w:val="000172E9"/>
    <w:rsid w:val="000176CA"/>
    <w:rsid w:val="000176E2"/>
    <w:rsid w:val="000202DB"/>
    <w:rsid w:val="000221D3"/>
    <w:rsid w:val="000229D9"/>
    <w:rsid w:val="00024A1E"/>
    <w:rsid w:val="000271A6"/>
    <w:rsid w:val="00027D09"/>
    <w:rsid w:val="00031B05"/>
    <w:rsid w:val="00035668"/>
    <w:rsid w:val="00035E4C"/>
    <w:rsid w:val="00037432"/>
    <w:rsid w:val="00042756"/>
    <w:rsid w:val="00044A23"/>
    <w:rsid w:val="00044CC2"/>
    <w:rsid w:val="00045292"/>
    <w:rsid w:val="0004779D"/>
    <w:rsid w:val="00051066"/>
    <w:rsid w:val="0005171C"/>
    <w:rsid w:val="00054351"/>
    <w:rsid w:val="000543E1"/>
    <w:rsid w:val="000560C7"/>
    <w:rsid w:val="000601E2"/>
    <w:rsid w:val="0006034D"/>
    <w:rsid w:val="00060BB3"/>
    <w:rsid w:val="00065675"/>
    <w:rsid w:val="00067295"/>
    <w:rsid w:val="000704AD"/>
    <w:rsid w:val="00070F27"/>
    <w:rsid w:val="00071E93"/>
    <w:rsid w:val="00072553"/>
    <w:rsid w:val="0007272F"/>
    <w:rsid w:val="00073B3E"/>
    <w:rsid w:val="00075379"/>
    <w:rsid w:val="00077508"/>
    <w:rsid w:val="00084189"/>
    <w:rsid w:val="00084875"/>
    <w:rsid w:val="00085FA7"/>
    <w:rsid w:val="00087366"/>
    <w:rsid w:val="0009231A"/>
    <w:rsid w:val="00095DF1"/>
    <w:rsid w:val="00096D70"/>
    <w:rsid w:val="000A06C7"/>
    <w:rsid w:val="000A0809"/>
    <w:rsid w:val="000A13F2"/>
    <w:rsid w:val="000A3305"/>
    <w:rsid w:val="000A5E30"/>
    <w:rsid w:val="000B030E"/>
    <w:rsid w:val="000B0F62"/>
    <w:rsid w:val="000B1378"/>
    <w:rsid w:val="000B1B2B"/>
    <w:rsid w:val="000B21E9"/>
    <w:rsid w:val="000B2DAD"/>
    <w:rsid w:val="000B3614"/>
    <w:rsid w:val="000B3A93"/>
    <w:rsid w:val="000C18EE"/>
    <w:rsid w:val="000C1CAA"/>
    <w:rsid w:val="000C2534"/>
    <w:rsid w:val="000C4836"/>
    <w:rsid w:val="000C6937"/>
    <w:rsid w:val="000D076D"/>
    <w:rsid w:val="000D10BB"/>
    <w:rsid w:val="000D1204"/>
    <w:rsid w:val="000D4E20"/>
    <w:rsid w:val="000D4FC5"/>
    <w:rsid w:val="000E053D"/>
    <w:rsid w:val="000E18C4"/>
    <w:rsid w:val="000E3714"/>
    <w:rsid w:val="000E4722"/>
    <w:rsid w:val="000E7BE7"/>
    <w:rsid w:val="000F06FC"/>
    <w:rsid w:val="000F1A60"/>
    <w:rsid w:val="000F1C7F"/>
    <w:rsid w:val="000F20D3"/>
    <w:rsid w:val="000F33E4"/>
    <w:rsid w:val="000F42B6"/>
    <w:rsid w:val="000F5F74"/>
    <w:rsid w:val="000F7715"/>
    <w:rsid w:val="000F7834"/>
    <w:rsid w:val="00100B8A"/>
    <w:rsid w:val="001012CF"/>
    <w:rsid w:val="001017A2"/>
    <w:rsid w:val="001033C0"/>
    <w:rsid w:val="00106FC5"/>
    <w:rsid w:val="00107CC9"/>
    <w:rsid w:val="00113BC1"/>
    <w:rsid w:val="001213F7"/>
    <w:rsid w:val="00121ACD"/>
    <w:rsid w:val="00122235"/>
    <w:rsid w:val="00122E9D"/>
    <w:rsid w:val="00123143"/>
    <w:rsid w:val="001232BA"/>
    <w:rsid w:val="00123764"/>
    <w:rsid w:val="001241C5"/>
    <w:rsid w:val="001252F3"/>
    <w:rsid w:val="00125D08"/>
    <w:rsid w:val="00130F73"/>
    <w:rsid w:val="00131D87"/>
    <w:rsid w:val="00131F1E"/>
    <w:rsid w:val="00132BC2"/>
    <w:rsid w:val="001361A8"/>
    <w:rsid w:val="00136C0E"/>
    <w:rsid w:val="00137EA8"/>
    <w:rsid w:val="001419A0"/>
    <w:rsid w:val="00142A1F"/>
    <w:rsid w:val="00142C39"/>
    <w:rsid w:val="001436AB"/>
    <w:rsid w:val="00143BF2"/>
    <w:rsid w:val="00144C6D"/>
    <w:rsid w:val="00145D7E"/>
    <w:rsid w:val="00146879"/>
    <w:rsid w:val="001473AA"/>
    <w:rsid w:val="00147B52"/>
    <w:rsid w:val="00150E3A"/>
    <w:rsid w:val="001511B8"/>
    <w:rsid w:val="001526F9"/>
    <w:rsid w:val="00153910"/>
    <w:rsid w:val="00153A52"/>
    <w:rsid w:val="00154F9A"/>
    <w:rsid w:val="00155371"/>
    <w:rsid w:val="00156DEA"/>
    <w:rsid w:val="00157E5E"/>
    <w:rsid w:val="00160129"/>
    <w:rsid w:val="001705E9"/>
    <w:rsid w:val="00174EAB"/>
    <w:rsid w:val="001753DC"/>
    <w:rsid w:val="00175C46"/>
    <w:rsid w:val="00176E79"/>
    <w:rsid w:val="0017781A"/>
    <w:rsid w:val="0018134B"/>
    <w:rsid w:val="00184360"/>
    <w:rsid w:val="0018509F"/>
    <w:rsid w:val="001952E4"/>
    <w:rsid w:val="00195368"/>
    <w:rsid w:val="00197695"/>
    <w:rsid w:val="00197A99"/>
    <w:rsid w:val="001A028E"/>
    <w:rsid w:val="001A048D"/>
    <w:rsid w:val="001A1053"/>
    <w:rsid w:val="001A1F49"/>
    <w:rsid w:val="001A393E"/>
    <w:rsid w:val="001A4063"/>
    <w:rsid w:val="001A488B"/>
    <w:rsid w:val="001A61D5"/>
    <w:rsid w:val="001A69CA"/>
    <w:rsid w:val="001A6B7B"/>
    <w:rsid w:val="001A7AD5"/>
    <w:rsid w:val="001B1432"/>
    <w:rsid w:val="001B1D57"/>
    <w:rsid w:val="001B2B26"/>
    <w:rsid w:val="001B3C2D"/>
    <w:rsid w:val="001B4967"/>
    <w:rsid w:val="001B49C8"/>
    <w:rsid w:val="001C006B"/>
    <w:rsid w:val="001C08DA"/>
    <w:rsid w:val="001C0B21"/>
    <w:rsid w:val="001C3275"/>
    <w:rsid w:val="001C3859"/>
    <w:rsid w:val="001C6D2B"/>
    <w:rsid w:val="001C7ED4"/>
    <w:rsid w:val="001D1C83"/>
    <w:rsid w:val="001D284B"/>
    <w:rsid w:val="001D3531"/>
    <w:rsid w:val="001D3BBB"/>
    <w:rsid w:val="001E16B9"/>
    <w:rsid w:val="001E5AB6"/>
    <w:rsid w:val="001F04F6"/>
    <w:rsid w:val="001F15F3"/>
    <w:rsid w:val="001F307B"/>
    <w:rsid w:val="001F30F2"/>
    <w:rsid w:val="001F3776"/>
    <w:rsid w:val="001F56D9"/>
    <w:rsid w:val="001F650B"/>
    <w:rsid w:val="00200B96"/>
    <w:rsid w:val="00201149"/>
    <w:rsid w:val="00202B45"/>
    <w:rsid w:val="00205FF6"/>
    <w:rsid w:val="00212BCC"/>
    <w:rsid w:val="00214A38"/>
    <w:rsid w:val="00215C17"/>
    <w:rsid w:val="00215DF3"/>
    <w:rsid w:val="002168C8"/>
    <w:rsid w:val="00216CAC"/>
    <w:rsid w:val="00224EC0"/>
    <w:rsid w:val="0022519B"/>
    <w:rsid w:val="00230797"/>
    <w:rsid w:val="00232D71"/>
    <w:rsid w:val="00233EF0"/>
    <w:rsid w:val="00234AD9"/>
    <w:rsid w:val="00236A10"/>
    <w:rsid w:val="0024042A"/>
    <w:rsid w:val="002413A2"/>
    <w:rsid w:val="0024414A"/>
    <w:rsid w:val="00250181"/>
    <w:rsid w:val="00251989"/>
    <w:rsid w:val="00254690"/>
    <w:rsid w:val="00255426"/>
    <w:rsid w:val="00256451"/>
    <w:rsid w:val="00256F5D"/>
    <w:rsid w:val="002570FC"/>
    <w:rsid w:val="00257A24"/>
    <w:rsid w:val="00257A7B"/>
    <w:rsid w:val="00264546"/>
    <w:rsid w:val="002660FF"/>
    <w:rsid w:val="00266BFD"/>
    <w:rsid w:val="00272BC9"/>
    <w:rsid w:val="00273F2F"/>
    <w:rsid w:val="002769CE"/>
    <w:rsid w:val="002802AA"/>
    <w:rsid w:val="002919EB"/>
    <w:rsid w:val="00293646"/>
    <w:rsid w:val="00293A31"/>
    <w:rsid w:val="00293AD1"/>
    <w:rsid w:val="00296470"/>
    <w:rsid w:val="002966DA"/>
    <w:rsid w:val="002978CA"/>
    <w:rsid w:val="00297A1E"/>
    <w:rsid w:val="002A0E70"/>
    <w:rsid w:val="002A25C6"/>
    <w:rsid w:val="002A779D"/>
    <w:rsid w:val="002B1163"/>
    <w:rsid w:val="002B2CA2"/>
    <w:rsid w:val="002B47A9"/>
    <w:rsid w:val="002B6340"/>
    <w:rsid w:val="002B71E8"/>
    <w:rsid w:val="002C1A4E"/>
    <w:rsid w:val="002C4061"/>
    <w:rsid w:val="002C47B9"/>
    <w:rsid w:val="002D02C0"/>
    <w:rsid w:val="002D3719"/>
    <w:rsid w:val="002D52A0"/>
    <w:rsid w:val="002D780B"/>
    <w:rsid w:val="002D793F"/>
    <w:rsid w:val="002E0101"/>
    <w:rsid w:val="002E0A49"/>
    <w:rsid w:val="002E11DC"/>
    <w:rsid w:val="002E1EEA"/>
    <w:rsid w:val="002E1F8F"/>
    <w:rsid w:val="002E216D"/>
    <w:rsid w:val="002E3C23"/>
    <w:rsid w:val="002E43B8"/>
    <w:rsid w:val="002E6933"/>
    <w:rsid w:val="002E70C0"/>
    <w:rsid w:val="002F1604"/>
    <w:rsid w:val="002F167C"/>
    <w:rsid w:val="002F2E58"/>
    <w:rsid w:val="002F6C68"/>
    <w:rsid w:val="002F778A"/>
    <w:rsid w:val="00300EE4"/>
    <w:rsid w:val="00301C14"/>
    <w:rsid w:val="003021D0"/>
    <w:rsid w:val="003023FB"/>
    <w:rsid w:val="00302C44"/>
    <w:rsid w:val="003052AB"/>
    <w:rsid w:val="003072F9"/>
    <w:rsid w:val="00310559"/>
    <w:rsid w:val="003106E0"/>
    <w:rsid w:val="003108F3"/>
    <w:rsid w:val="00320994"/>
    <w:rsid w:val="0032202C"/>
    <w:rsid w:val="0032702F"/>
    <w:rsid w:val="00331BB8"/>
    <w:rsid w:val="00332776"/>
    <w:rsid w:val="00333A6F"/>
    <w:rsid w:val="00334645"/>
    <w:rsid w:val="003349DC"/>
    <w:rsid w:val="00340DD5"/>
    <w:rsid w:val="00341A93"/>
    <w:rsid w:val="00343905"/>
    <w:rsid w:val="00346D70"/>
    <w:rsid w:val="003505D6"/>
    <w:rsid w:val="00351605"/>
    <w:rsid w:val="003524B1"/>
    <w:rsid w:val="003526DA"/>
    <w:rsid w:val="00355532"/>
    <w:rsid w:val="00355CDF"/>
    <w:rsid w:val="00356D03"/>
    <w:rsid w:val="003578F5"/>
    <w:rsid w:val="00366857"/>
    <w:rsid w:val="00366D07"/>
    <w:rsid w:val="0036756D"/>
    <w:rsid w:val="0036759C"/>
    <w:rsid w:val="00371429"/>
    <w:rsid w:val="0038250A"/>
    <w:rsid w:val="0038383D"/>
    <w:rsid w:val="003839C6"/>
    <w:rsid w:val="00383ED6"/>
    <w:rsid w:val="00385CE2"/>
    <w:rsid w:val="00386C68"/>
    <w:rsid w:val="00392697"/>
    <w:rsid w:val="003927B6"/>
    <w:rsid w:val="00392B3E"/>
    <w:rsid w:val="0039393A"/>
    <w:rsid w:val="00393A47"/>
    <w:rsid w:val="003973B6"/>
    <w:rsid w:val="003A0523"/>
    <w:rsid w:val="003A0730"/>
    <w:rsid w:val="003A0FAA"/>
    <w:rsid w:val="003A2E61"/>
    <w:rsid w:val="003B0F56"/>
    <w:rsid w:val="003B3C43"/>
    <w:rsid w:val="003B3FCA"/>
    <w:rsid w:val="003B4043"/>
    <w:rsid w:val="003B5084"/>
    <w:rsid w:val="003B6234"/>
    <w:rsid w:val="003C11F7"/>
    <w:rsid w:val="003C2478"/>
    <w:rsid w:val="003C4B59"/>
    <w:rsid w:val="003C68B9"/>
    <w:rsid w:val="003D0AC5"/>
    <w:rsid w:val="003D0D69"/>
    <w:rsid w:val="003D1CA9"/>
    <w:rsid w:val="003D4289"/>
    <w:rsid w:val="003D538C"/>
    <w:rsid w:val="003D71D6"/>
    <w:rsid w:val="003E0592"/>
    <w:rsid w:val="003E2C3F"/>
    <w:rsid w:val="003E2C8D"/>
    <w:rsid w:val="003E37CD"/>
    <w:rsid w:val="003E4C0D"/>
    <w:rsid w:val="003E61DA"/>
    <w:rsid w:val="003E74AF"/>
    <w:rsid w:val="003E7A35"/>
    <w:rsid w:val="003F0E86"/>
    <w:rsid w:val="003F0FE0"/>
    <w:rsid w:val="003F24D7"/>
    <w:rsid w:val="003F46CB"/>
    <w:rsid w:val="004008E0"/>
    <w:rsid w:val="00401C79"/>
    <w:rsid w:val="00401EB5"/>
    <w:rsid w:val="0040252A"/>
    <w:rsid w:val="00403C37"/>
    <w:rsid w:val="004052AE"/>
    <w:rsid w:val="0040556F"/>
    <w:rsid w:val="00407E80"/>
    <w:rsid w:val="0041189E"/>
    <w:rsid w:val="00411DCE"/>
    <w:rsid w:val="0041289B"/>
    <w:rsid w:val="0041530D"/>
    <w:rsid w:val="00421354"/>
    <w:rsid w:val="00421BFD"/>
    <w:rsid w:val="00421D05"/>
    <w:rsid w:val="00422208"/>
    <w:rsid w:val="0042249C"/>
    <w:rsid w:val="004241CA"/>
    <w:rsid w:val="00426091"/>
    <w:rsid w:val="004263B6"/>
    <w:rsid w:val="004271D4"/>
    <w:rsid w:val="00430280"/>
    <w:rsid w:val="00430E50"/>
    <w:rsid w:val="00433CD7"/>
    <w:rsid w:val="004352C3"/>
    <w:rsid w:val="00445210"/>
    <w:rsid w:val="00450004"/>
    <w:rsid w:val="004503D7"/>
    <w:rsid w:val="004510B4"/>
    <w:rsid w:val="0045377A"/>
    <w:rsid w:val="004549FC"/>
    <w:rsid w:val="004559B1"/>
    <w:rsid w:val="004607D1"/>
    <w:rsid w:val="0046257C"/>
    <w:rsid w:val="00462962"/>
    <w:rsid w:val="00462A54"/>
    <w:rsid w:val="004643AD"/>
    <w:rsid w:val="004672DB"/>
    <w:rsid w:val="00467B77"/>
    <w:rsid w:val="0047048D"/>
    <w:rsid w:val="0047050B"/>
    <w:rsid w:val="00470588"/>
    <w:rsid w:val="0047539B"/>
    <w:rsid w:val="00475914"/>
    <w:rsid w:val="004801C9"/>
    <w:rsid w:val="0048148B"/>
    <w:rsid w:val="004820A6"/>
    <w:rsid w:val="00482497"/>
    <w:rsid w:val="00482877"/>
    <w:rsid w:val="00482AC3"/>
    <w:rsid w:val="00484483"/>
    <w:rsid w:val="0048454E"/>
    <w:rsid w:val="00485BA2"/>
    <w:rsid w:val="00485EEE"/>
    <w:rsid w:val="00486200"/>
    <w:rsid w:val="00487413"/>
    <w:rsid w:val="00487851"/>
    <w:rsid w:val="00493357"/>
    <w:rsid w:val="00493725"/>
    <w:rsid w:val="00495A7E"/>
    <w:rsid w:val="004A0B86"/>
    <w:rsid w:val="004A0EA6"/>
    <w:rsid w:val="004A1074"/>
    <w:rsid w:val="004A14BA"/>
    <w:rsid w:val="004A2268"/>
    <w:rsid w:val="004A2495"/>
    <w:rsid w:val="004A60D5"/>
    <w:rsid w:val="004B152A"/>
    <w:rsid w:val="004B213C"/>
    <w:rsid w:val="004B3FD5"/>
    <w:rsid w:val="004B5631"/>
    <w:rsid w:val="004B6450"/>
    <w:rsid w:val="004B7CE9"/>
    <w:rsid w:val="004C0463"/>
    <w:rsid w:val="004C5E0E"/>
    <w:rsid w:val="004C6F83"/>
    <w:rsid w:val="004D104A"/>
    <w:rsid w:val="004D2690"/>
    <w:rsid w:val="004D46C5"/>
    <w:rsid w:val="004D4D37"/>
    <w:rsid w:val="004D5429"/>
    <w:rsid w:val="004D70C3"/>
    <w:rsid w:val="004D792B"/>
    <w:rsid w:val="004E28A6"/>
    <w:rsid w:val="004E3B2B"/>
    <w:rsid w:val="004E622B"/>
    <w:rsid w:val="004E72FC"/>
    <w:rsid w:val="004E7A38"/>
    <w:rsid w:val="004E7B06"/>
    <w:rsid w:val="004F0EB7"/>
    <w:rsid w:val="004F3C9E"/>
    <w:rsid w:val="004F6857"/>
    <w:rsid w:val="004F6C57"/>
    <w:rsid w:val="00501158"/>
    <w:rsid w:val="00501CE3"/>
    <w:rsid w:val="00502CB9"/>
    <w:rsid w:val="005043EA"/>
    <w:rsid w:val="00505695"/>
    <w:rsid w:val="00507E3F"/>
    <w:rsid w:val="005112B5"/>
    <w:rsid w:val="0051664E"/>
    <w:rsid w:val="0052219A"/>
    <w:rsid w:val="00522440"/>
    <w:rsid w:val="00523E08"/>
    <w:rsid w:val="005252E4"/>
    <w:rsid w:val="00526D65"/>
    <w:rsid w:val="0052715C"/>
    <w:rsid w:val="00531AEA"/>
    <w:rsid w:val="005325E6"/>
    <w:rsid w:val="0053614D"/>
    <w:rsid w:val="00540945"/>
    <w:rsid w:val="00541B0D"/>
    <w:rsid w:val="005439D8"/>
    <w:rsid w:val="0054571B"/>
    <w:rsid w:val="00546D44"/>
    <w:rsid w:val="00550E0A"/>
    <w:rsid w:val="00552171"/>
    <w:rsid w:val="0055626C"/>
    <w:rsid w:val="00556599"/>
    <w:rsid w:val="00557004"/>
    <w:rsid w:val="005574CF"/>
    <w:rsid w:val="00557BF8"/>
    <w:rsid w:val="00560B5F"/>
    <w:rsid w:val="00564077"/>
    <w:rsid w:val="00565D66"/>
    <w:rsid w:val="00566B98"/>
    <w:rsid w:val="00571514"/>
    <w:rsid w:val="00571688"/>
    <w:rsid w:val="00572027"/>
    <w:rsid w:val="0057458D"/>
    <w:rsid w:val="0058086F"/>
    <w:rsid w:val="00580BA9"/>
    <w:rsid w:val="00584EDA"/>
    <w:rsid w:val="005855DC"/>
    <w:rsid w:val="00585B70"/>
    <w:rsid w:val="00587519"/>
    <w:rsid w:val="005877A3"/>
    <w:rsid w:val="00587914"/>
    <w:rsid w:val="00592CC9"/>
    <w:rsid w:val="00592F80"/>
    <w:rsid w:val="00593C75"/>
    <w:rsid w:val="00595A20"/>
    <w:rsid w:val="00596B51"/>
    <w:rsid w:val="005A062F"/>
    <w:rsid w:val="005A0BC4"/>
    <w:rsid w:val="005A14CB"/>
    <w:rsid w:val="005A3441"/>
    <w:rsid w:val="005A5C73"/>
    <w:rsid w:val="005A5F07"/>
    <w:rsid w:val="005B03B4"/>
    <w:rsid w:val="005B331F"/>
    <w:rsid w:val="005C2482"/>
    <w:rsid w:val="005C2B3D"/>
    <w:rsid w:val="005D043C"/>
    <w:rsid w:val="005D1281"/>
    <w:rsid w:val="005D45C6"/>
    <w:rsid w:val="005D5B99"/>
    <w:rsid w:val="005E2791"/>
    <w:rsid w:val="005E27F6"/>
    <w:rsid w:val="005E696D"/>
    <w:rsid w:val="005E7CA1"/>
    <w:rsid w:val="005F13CB"/>
    <w:rsid w:val="005F21D1"/>
    <w:rsid w:val="005F4021"/>
    <w:rsid w:val="005F4710"/>
    <w:rsid w:val="005F4DF1"/>
    <w:rsid w:val="005F5273"/>
    <w:rsid w:val="005F730A"/>
    <w:rsid w:val="005F7ADA"/>
    <w:rsid w:val="00601509"/>
    <w:rsid w:val="0060233E"/>
    <w:rsid w:val="006034E4"/>
    <w:rsid w:val="00604281"/>
    <w:rsid w:val="006046F6"/>
    <w:rsid w:val="006054D3"/>
    <w:rsid w:val="00607D22"/>
    <w:rsid w:val="0061071A"/>
    <w:rsid w:val="00612066"/>
    <w:rsid w:val="00612285"/>
    <w:rsid w:val="006125B3"/>
    <w:rsid w:val="006133EB"/>
    <w:rsid w:val="00613E52"/>
    <w:rsid w:val="006145A8"/>
    <w:rsid w:val="00620984"/>
    <w:rsid w:val="0062124E"/>
    <w:rsid w:val="00622939"/>
    <w:rsid w:val="006262C0"/>
    <w:rsid w:val="00626EF2"/>
    <w:rsid w:val="00627329"/>
    <w:rsid w:val="00633A02"/>
    <w:rsid w:val="0063595B"/>
    <w:rsid w:val="00637C07"/>
    <w:rsid w:val="00641306"/>
    <w:rsid w:val="0064223C"/>
    <w:rsid w:val="0064385C"/>
    <w:rsid w:val="00643BC2"/>
    <w:rsid w:val="00644117"/>
    <w:rsid w:val="006449CE"/>
    <w:rsid w:val="00644DBE"/>
    <w:rsid w:val="00647DD0"/>
    <w:rsid w:val="00652DF2"/>
    <w:rsid w:val="00653596"/>
    <w:rsid w:val="006548EB"/>
    <w:rsid w:val="00656DAD"/>
    <w:rsid w:val="006603C2"/>
    <w:rsid w:val="00660686"/>
    <w:rsid w:val="00661C31"/>
    <w:rsid w:val="00661D92"/>
    <w:rsid w:val="0067023E"/>
    <w:rsid w:val="00670299"/>
    <w:rsid w:val="00673EB4"/>
    <w:rsid w:val="00675C2C"/>
    <w:rsid w:val="0067662D"/>
    <w:rsid w:val="00676748"/>
    <w:rsid w:val="00682F58"/>
    <w:rsid w:val="00682FA1"/>
    <w:rsid w:val="00684CBC"/>
    <w:rsid w:val="0068599B"/>
    <w:rsid w:val="00685F30"/>
    <w:rsid w:val="00694168"/>
    <w:rsid w:val="00695E0C"/>
    <w:rsid w:val="00695FB1"/>
    <w:rsid w:val="006A1E3E"/>
    <w:rsid w:val="006A2B18"/>
    <w:rsid w:val="006B4679"/>
    <w:rsid w:val="006B6346"/>
    <w:rsid w:val="006C328E"/>
    <w:rsid w:val="006C3457"/>
    <w:rsid w:val="006C5154"/>
    <w:rsid w:val="006C5D97"/>
    <w:rsid w:val="006C7899"/>
    <w:rsid w:val="006D06C5"/>
    <w:rsid w:val="006D0C7D"/>
    <w:rsid w:val="006D12A3"/>
    <w:rsid w:val="006D1A79"/>
    <w:rsid w:val="006D25CF"/>
    <w:rsid w:val="006D3E6E"/>
    <w:rsid w:val="006D3FFE"/>
    <w:rsid w:val="006D4FAF"/>
    <w:rsid w:val="006D5DC7"/>
    <w:rsid w:val="006D6BF1"/>
    <w:rsid w:val="006E069B"/>
    <w:rsid w:val="006E1012"/>
    <w:rsid w:val="006E1F69"/>
    <w:rsid w:val="006E2DBF"/>
    <w:rsid w:val="006E7328"/>
    <w:rsid w:val="006E7C18"/>
    <w:rsid w:val="006F11E0"/>
    <w:rsid w:val="006F2556"/>
    <w:rsid w:val="006F30EE"/>
    <w:rsid w:val="006F4035"/>
    <w:rsid w:val="006F6629"/>
    <w:rsid w:val="007009B0"/>
    <w:rsid w:val="00701F03"/>
    <w:rsid w:val="00702963"/>
    <w:rsid w:val="007077CB"/>
    <w:rsid w:val="007129C7"/>
    <w:rsid w:val="00713E73"/>
    <w:rsid w:val="00715C83"/>
    <w:rsid w:val="00716F70"/>
    <w:rsid w:val="00722A9F"/>
    <w:rsid w:val="0072686E"/>
    <w:rsid w:val="007302F7"/>
    <w:rsid w:val="00731CE2"/>
    <w:rsid w:val="00731D96"/>
    <w:rsid w:val="00731E67"/>
    <w:rsid w:val="00732BDB"/>
    <w:rsid w:val="00734E82"/>
    <w:rsid w:val="00734FE2"/>
    <w:rsid w:val="007379DE"/>
    <w:rsid w:val="007412B4"/>
    <w:rsid w:val="0074283C"/>
    <w:rsid w:val="00744784"/>
    <w:rsid w:val="00744F22"/>
    <w:rsid w:val="00745ECB"/>
    <w:rsid w:val="00750B16"/>
    <w:rsid w:val="00752601"/>
    <w:rsid w:val="00753429"/>
    <w:rsid w:val="0075494B"/>
    <w:rsid w:val="00754B8E"/>
    <w:rsid w:val="00760B1C"/>
    <w:rsid w:val="007610BE"/>
    <w:rsid w:val="007617C2"/>
    <w:rsid w:val="007622D3"/>
    <w:rsid w:val="00764482"/>
    <w:rsid w:val="007646BC"/>
    <w:rsid w:val="00764F56"/>
    <w:rsid w:val="0076557F"/>
    <w:rsid w:val="00765D18"/>
    <w:rsid w:val="00766C33"/>
    <w:rsid w:val="0076700E"/>
    <w:rsid w:val="00767AFF"/>
    <w:rsid w:val="007709CF"/>
    <w:rsid w:val="00771653"/>
    <w:rsid w:val="00773CA5"/>
    <w:rsid w:val="00773DC3"/>
    <w:rsid w:val="007803C8"/>
    <w:rsid w:val="00780753"/>
    <w:rsid w:val="00780D93"/>
    <w:rsid w:val="00780ECC"/>
    <w:rsid w:val="007835D5"/>
    <w:rsid w:val="00784415"/>
    <w:rsid w:val="007848A6"/>
    <w:rsid w:val="0078661E"/>
    <w:rsid w:val="00787431"/>
    <w:rsid w:val="0079033F"/>
    <w:rsid w:val="00791084"/>
    <w:rsid w:val="00791F78"/>
    <w:rsid w:val="0079456B"/>
    <w:rsid w:val="007945E3"/>
    <w:rsid w:val="00795AAA"/>
    <w:rsid w:val="0079729C"/>
    <w:rsid w:val="007A0E86"/>
    <w:rsid w:val="007A102B"/>
    <w:rsid w:val="007A4DC6"/>
    <w:rsid w:val="007A552C"/>
    <w:rsid w:val="007A641E"/>
    <w:rsid w:val="007A6451"/>
    <w:rsid w:val="007A6CEB"/>
    <w:rsid w:val="007B0BE7"/>
    <w:rsid w:val="007B3FB1"/>
    <w:rsid w:val="007B43C7"/>
    <w:rsid w:val="007B57E6"/>
    <w:rsid w:val="007B59D3"/>
    <w:rsid w:val="007C012B"/>
    <w:rsid w:val="007C1B51"/>
    <w:rsid w:val="007C2AB6"/>
    <w:rsid w:val="007C3457"/>
    <w:rsid w:val="007C4D57"/>
    <w:rsid w:val="007C61A3"/>
    <w:rsid w:val="007C6FD1"/>
    <w:rsid w:val="007D060C"/>
    <w:rsid w:val="007D0B71"/>
    <w:rsid w:val="007D4410"/>
    <w:rsid w:val="007D516A"/>
    <w:rsid w:val="007E0009"/>
    <w:rsid w:val="007E4646"/>
    <w:rsid w:val="007E4999"/>
    <w:rsid w:val="007E5C4F"/>
    <w:rsid w:val="007E6916"/>
    <w:rsid w:val="007E79AB"/>
    <w:rsid w:val="007E7D7C"/>
    <w:rsid w:val="007E7E9F"/>
    <w:rsid w:val="007F0BD7"/>
    <w:rsid w:val="007F15F1"/>
    <w:rsid w:val="007F217F"/>
    <w:rsid w:val="007F31AD"/>
    <w:rsid w:val="007F374C"/>
    <w:rsid w:val="007F38BA"/>
    <w:rsid w:val="007F500C"/>
    <w:rsid w:val="007F51DD"/>
    <w:rsid w:val="007F574E"/>
    <w:rsid w:val="00800E24"/>
    <w:rsid w:val="00803067"/>
    <w:rsid w:val="008044ED"/>
    <w:rsid w:val="00805F70"/>
    <w:rsid w:val="00806ED9"/>
    <w:rsid w:val="008072CB"/>
    <w:rsid w:val="008076F1"/>
    <w:rsid w:val="00807801"/>
    <w:rsid w:val="008079DF"/>
    <w:rsid w:val="00810373"/>
    <w:rsid w:val="00812017"/>
    <w:rsid w:val="00814266"/>
    <w:rsid w:val="00815FCD"/>
    <w:rsid w:val="0082086D"/>
    <w:rsid w:val="00821B44"/>
    <w:rsid w:val="00822279"/>
    <w:rsid w:val="00822BBD"/>
    <w:rsid w:val="0082417D"/>
    <w:rsid w:val="00827C6B"/>
    <w:rsid w:val="00830B5A"/>
    <w:rsid w:val="008311F3"/>
    <w:rsid w:val="00834AC7"/>
    <w:rsid w:val="00834C99"/>
    <w:rsid w:val="0083526B"/>
    <w:rsid w:val="008368AD"/>
    <w:rsid w:val="00837A21"/>
    <w:rsid w:val="00837FB4"/>
    <w:rsid w:val="00843ABB"/>
    <w:rsid w:val="008443C3"/>
    <w:rsid w:val="00845C46"/>
    <w:rsid w:val="0084748E"/>
    <w:rsid w:val="00852840"/>
    <w:rsid w:val="0085304D"/>
    <w:rsid w:val="0085324C"/>
    <w:rsid w:val="008555C0"/>
    <w:rsid w:val="0085570F"/>
    <w:rsid w:val="00855963"/>
    <w:rsid w:val="00862736"/>
    <w:rsid w:val="00865043"/>
    <w:rsid w:val="008663BA"/>
    <w:rsid w:val="0086724A"/>
    <w:rsid w:val="00874365"/>
    <w:rsid w:val="00876F93"/>
    <w:rsid w:val="00881BC6"/>
    <w:rsid w:val="00885265"/>
    <w:rsid w:val="00885FF0"/>
    <w:rsid w:val="00887366"/>
    <w:rsid w:val="0089019E"/>
    <w:rsid w:val="008908E6"/>
    <w:rsid w:val="008918B8"/>
    <w:rsid w:val="008919A4"/>
    <w:rsid w:val="008937BF"/>
    <w:rsid w:val="00894563"/>
    <w:rsid w:val="00895D82"/>
    <w:rsid w:val="00897B39"/>
    <w:rsid w:val="008A2103"/>
    <w:rsid w:val="008A2B5B"/>
    <w:rsid w:val="008A6373"/>
    <w:rsid w:val="008A7C75"/>
    <w:rsid w:val="008B01BB"/>
    <w:rsid w:val="008B3955"/>
    <w:rsid w:val="008B4A9C"/>
    <w:rsid w:val="008B5C11"/>
    <w:rsid w:val="008B7998"/>
    <w:rsid w:val="008C0CF3"/>
    <w:rsid w:val="008C0F0A"/>
    <w:rsid w:val="008C0F8C"/>
    <w:rsid w:val="008C1158"/>
    <w:rsid w:val="008C128A"/>
    <w:rsid w:val="008C1E8A"/>
    <w:rsid w:val="008C261D"/>
    <w:rsid w:val="008C4194"/>
    <w:rsid w:val="008C430B"/>
    <w:rsid w:val="008C4A98"/>
    <w:rsid w:val="008D030F"/>
    <w:rsid w:val="008D140A"/>
    <w:rsid w:val="008E126E"/>
    <w:rsid w:val="008E1FA0"/>
    <w:rsid w:val="008E28D7"/>
    <w:rsid w:val="008E2943"/>
    <w:rsid w:val="008E3C79"/>
    <w:rsid w:val="008F35AA"/>
    <w:rsid w:val="008F5D49"/>
    <w:rsid w:val="00901A80"/>
    <w:rsid w:val="0090371F"/>
    <w:rsid w:val="0090530E"/>
    <w:rsid w:val="00906115"/>
    <w:rsid w:val="009064E3"/>
    <w:rsid w:val="00906E5E"/>
    <w:rsid w:val="0091244D"/>
    <w:rsid w:val="0091298D"/>
    <w:rsid w:val="0091585D"/>
    <w:rsid w:val="00915E6B"/>
    <w:rsid w:val="00916137"/>
    <w:rsid w:val="009212D1"/>
    <w:rsid w:val="009303ED"/>
    <w:rsid w:val="00931B1B"/>
    <w:rsid w:val="009344BA"/>
    <w:rsid w:val="00940074"/>
    <w:rsid w:val="00940A6A"/>
    <w:rsid w:val="00941644"/>
    <w:rsid w:val="00950687"/>
    <w:rsid w:val="00952455"/>
    <w:rsid w:val="00955B5C"/>
    <w:rsid w:val="009568A0"/>
    <w:rsid w:val="00957FF4"/>
    <w:rsid w:val="009604EF"/>
    <w:rsid w:val="009605D9"/>
    <w:rsid w:val="0096165A"/>
    <w:rsid w:val="00964658"/>
    <w:rsid w:val="00965A22"/>
    <w:rsid w:val="00965D01"/>
    <w:rsid w:val="00967B04"/>
    <w:rsid w:val="0097174B"/>
    <w:rsid w:val="00971B51"/>
    <w:rsid w:val="0097230D"/>
    <w:rsid w:val="00973D6D"/>
    <w:rsid w:val="009753A8"/>
    <w:rsid w:val="0097700E"/>
    <w:rsid w:val="00977EB2"/>
    <w:rsid w:val="00981548"/>
    <w:rsid w:val="00981DD6"/>
    <w:rsid w:val="0098364E"/>
    <w:rsid w:val="00984796"/>
    <w:rsid w:val="00993959"/>
    <w:rsid w:val="00993CDA"/>
    <w:rsid w:val="009962A2"/>
    <w:rsid w:val="00996691"/>
    <w:rsid w:val="009A0293"/>
    <w:rsid w:val="009A0B28"/>
    <w:rsid w:val="009A1095"/>
    <w:rsid w:val="009A33AD"/>
    <w:rsid w:val="009B1E08"/>
    <w:rsid w:val="009B3DC9"/>
    <w:rsid w:val="009C0C13"/>
    <w:rsid w:val="009C22BA"/>
    <w:rsid w:val="009C7FA2"/>
    <w:rsid w:val="009D291F"/>
    <w:rsid w:val="009D4321"/>
    <w:rsid w:val="009D5E94"/>
    <w:rsid w:val="009E2646"/>
    <w:rsid w:val="009F09E7"/>
    <w:rsid w:val="009F19D2"/>
    <w:rsid w:val="009F235B"/>
    <w:rsid w:val="009F35F7"/>
    <w:rsid w:val="009F5558"/>
    <w:rsid w:val="009F71B0"/>
    <w:rsid w:val="00A013E9"/>
    <w:rsid w:val="00A04E61"/>
    <w:rsid w:val="00A0537D"/>
    <w:rsid w:val="00A12D04"/>
    <w:rsid w:val="00A25712"/>
    <w:rsid w:val="00A27AB3"/>
    <w:rsid w:val="00A27C8B"/>
    <w:rsid w:val="00A30484"/>
    <w:rsid w:val="00A31E41"/>
    <w:rsid w:val="00A32050"/>
    <w:rsid w:val="00A322F9"/>
    <w:rsid w:val="00A34250"/>
    <w:rsid w:val="00A40645"/>
    <w:rsid w:val="00A42206"/>
    <w:rsid w:val="00A436B9"/>
    <w:rsid w:val="00A47DC7"/>
    <w:rsid w:val="00A50A66"/>
    <w:rsid w:val="00A53F87"/>
    <w:rsid w:val="00A54AFC"/>
    <w:rsid w:val="00A54C9A"/>
    <w:rsid w:val="00A556CA"/>
    <w:rsid w:val="00A55A85"/>
    <w:rsid w:val="00A5602E"/>
    <w:rsid w:val="00A57244"/>
    <w:rsid w:val="00A612B6"/>
    <w:rsid w:val="00A6228F"/>
    <w:rsid w:val="00A65F56"/>
    <w:rsid w:val="00A81FEA"/>
    <w:rsid w:val="00A829D3"/>
    <w:rsid w:val="00A84A9E"/>
    <w:rsid w:val="00A84C7D"/>
    <w:rsid w:val="00A85578"/>
    <w:rsid w:val="00A85B8E"/>
    <w:rsid w:val="00A87AE2"/>
    <w:rsid w:val="00A87B41"/>
    <w:rsid w:val="00A90098"/>
    <w:rsid w:val="00A913F3"/>
    <w:rsid w:val="00A91C46"/>
    <w:rsid w:val="00A9220C"/>
    <w:rsid w:val="00A92E34"/>
    <w:rsid w:val="00A9537C"/>
    <w:rsid w:val="00A95522"/>
    <w:rsid w:val="00A97064"/>
    <w:rsid w:val="00AA4ACE"/>
    <w:rsid w:val="00AA74B3"/>
    <w:rsid w:val="00AB00C0"/>
    <w:rsid w:val="00AB16FC"/>
    <w:rsid w:val="00AB230E"/>
    <w:rsid w:val="00AB3BE8"/>
    <w:rsid w:val="00AB41E1"/>
    <w:rsid w:val="00AB528A"/>
    <w:rsid w:val="00AB75D7"/>
    <w:rsid w:val="00AC2A9B"/>
    <w:rsid w:val="00AC332F"/>
    <w:rsid w:val="00AC38C0"/>
    <w:rsid w:val="00AC4C41"/>
    <w:rsid w:val="00AC656A"/>
    <w:rsid w:val="00AC6A13"/>
    <w:rsid w:val="00AC7166"/>
    <w:rsid w:val="00AD5786"/>
    <w:rsid w:val="00AD72C7"/>
    <w:rsid w:val="00AD7BDC"/>
    <w:rsid w:val="00AD7BDF"/>
    <w:rsid w:val="00AE05A3"/>
    <w:rsid w:val="00AE07AC"/>
    <w:rsid w:val="00AE1EA2"/>
    <w:rsid w:val="00AE2D0F"/>
    <w:rsid w:val="00AE3E86"/>
    <w:rsid w:val="00AE4508"/>
    <w:rsid w:val="00AE53EB"/>
    <w:rsid w:val="00AE68CA"/>
    <w:rsid w:val="00AF20A9"/>
    <w:rsid w:val="00AF497A"/>
    <w:rsid w:val="00B003E8"/>
    <w:rsid w:val="00B0161E"/>
    <w:rsid w:val="00B01D10"/>
    <w:rsid w:val="00B06E77"/>
    <w:rsid w:val="00B06EAF"/>
    <w:rsid w:val="00B11697"/>
    <w:rsid w:val="00B14CF3"/>
    <w:rsid w:val="00B210B7"/>
    <w:rsid w:val="00B24500"/>
    <w:rsid w:val="00B25D4C"/>
    <w:rsid w:val="00B260BF"/>
    <w:rsid w:val="00B27020"/>
    <w:rsid w:val="00B320B6"/>
    <w:rsid w:val="00B340E8"/>
    <w:rsid w:val="00B359FA"/>
    <w:rsid w:val="00B36023"/>
    <w:rsid w:val="00B370AE"/>
    <w:rsid w:val="00B37E5D"/>
    <w:rsid w:val="00B43898"/>
    <w:rsid w:val="00B46484"/>
    <w:rsid w:val="00B46825"/>
    <w:rsid w:val="00B46955"/>
    <w:rsid w:val="00B4739F"/>
    <w:rsid w:val="00B55971"/>
    <w:rsid w:val="00B55A4D"/>
    <w:rsid w:val="00B569F5"/>
    <w:rsid w:val="00B5739C"/>
    <w:rsid w:val="00B6194B"/>
    <w:rsid w:val="00B63473"/>
    <w:rsid w:val="00B64046"/>
    <w:rsid w:val="00B64ED5"/>
    <w:rsid w:val="00B71673"/>
    <w:rsid w:val="00B72B0A"/>
    <w:rsid w:val="00B73362"/>
    <w:rsid w:val="00B741E2"/>
    <w:rsid w:val="00B74850"/>
    <w:rsid w:val="00B76A75"/>
    <w:rsid w:val="00B81E57"/>
    <w:rsid w:val="00B82871"/>
    <w:rsid w:val="00B82A93"/>
    <w:rsid w:val="00B837D5"/>
    <w:rsid w:val="00B92B56"/>
    <w:rsid w:val="00B94106"/>
    <w:rsid w:val="00B963C5"/>
    <w:rsid w:val="00B96EDD"/>
    <w:rsid w:val="00B97969"/>
    <w:rsid w:val="00BA020F"/>
    <w:rsid w:val="00BA4854"/>
    <w:rsid w:val="00BA5377"/>
    <w:rsid w:val="00BA6EBF"/>
    <w:rsid w:val="00BB1A00"/>
    <w:rsid w:val="00BB2C0A"/>
    <w:rsid w:val="00BB36C3"/>
    <w:rsid w:val="00BB3FFD"/>
    <w:rsid w:val="00BB4492"/>
    <w:rsid w:val="00BB7471"/>
    <w:rsid w:val="00BC1B3A"/>
    <w:rsid w:val="00BC1F68"/>
    <w:rsid w:val="00BC1FB3"/>
    <w:rsid w:val="00BC23DB"/>
    <w:rsid w:val="00BC2864"/>
    <w:rsid w:val="00BC2D2B"/>
    <w:rsid w:val="00BC3787"/>
    <w:rsid w:val="00BC5FCC"/>
    <w:rsid w:val="00BD2C53"/>
    <w:rsid w:val="00BD3A4E"/>
    <w:rsid w:val="00BD4301"/>
    <w:rsid w:val="00BD63CF"/>
    <w:rsid w:val="00BD6AB8"/>
    <w:rsid w:val="00BE0F7E"/>
    <w:rsid w:val="00BE2E40"/>
    <w:rsid w:val="00BE4822"/>
    <w:rsid w:val="00BE5467"/>
    <w:rsid w:val="00BE55AC"/>
    <w:rsid w:val="00BE5906"/>
    <w:rsid w:val="00BE5A9C"/>
    <w:rsid w:val="00BE7063"/>
    <w:rsid w:val="00BE7699"/>
    <w:rsid w:val="00BF38CE"/>
    <w:rsid w:val="00BF4446"/>
    <w:rsid w:val="00BF4CB5"/>
    <w:rsid w:val="00BF50F9"/>
    <w:rsid w:val="00BF5AF1"/>
    <w:rsid w:val="00BF6A0F"/>
    <w:rsid w:val="00BF7511"/>
    <w:rsid w:val="00C013F9"/>
    <w:rsid w:val="00C01B78"/>
    <w:rsid w:val="00C01BB1"/>
    <w:rsid w:val="00C07409"/>
    <w:rsid w:val="00C127AA"/>
    <w:rsid w:val="00C20513"/>
    <w:rsid w:val="00C20F51"/>
    <w:rsid w:val="00C2102F"/>
    <w:rsid w:val="00C22540"/>
    <w:rsid w:val="00C2559A"/>
    <w:rsid w:val="00C25F73"/>
    <w:rsid w:val="00C306B0"/>
    <w:rsid w:val="00C3070F"/>
    <w:rsid w:val="00C35268"/>
    <w:rsid w:val="00C35391"/>
    <w:rsid w:val="00C36793"/>
    <w:rsid w:val="00C37085"/>
    <w:rsid w:val="00C37366"/>
    <w:rsid w:val="00C37C85"/>
    <w:rsid w:val="00C41F6F"/>
    <w:rsid w:val="00C44419"/>
    <w:rsid w:val="00C45386"/>
    <w:rsid w:val="00C457C8"/>
    <w:rsid w:val="00C46740"/>
    <w:rsid w:val="00C50CF2"/>
    <w:rsid w:val="00C51461"/>
    <w:rsid w:val="00C5160B"/>
    <w:rsid w:val="00C516FB"/>
    <w:rsid w:val="00C51869"/>
    <w:rsid w:val="00C52658"/>
    <w:rsid w:val="00C53D48"/>
    <w:rsid w:val="00C544CF"/>
    <w:rsid w:val="00C54563"/>
    <w:rsid w:val="00C5473E"/>
    <w:rsid w:val="00C54E0A"/>
    <w:rsid w:val="00C613D3"/>
    <w:rsid w:val="00C66801"/>
    <w:rsid w:val="00C67B3B"/>
    <w:rsid w:val="00C720E0"/>
    <w:rsid w:val="00C74298"/>
    <w:rsid w:val="00C7649B"/>
    <w:rsid w:val="00C81351"/>
    <w:rsid w:val="00C83348"/>
    <w:rsid w:val="00C8399E"/>
    <w:rsid w:val="00C83B51"/>
    <w:rsid w:val="00C83B93"/>
    <w:rsid w:val="00C83F5F"/>
    <w:rsid w:val="00C8745A"/>
    <w:rsid w:val="00C91819"/>
    <w:rsid w:val="00C91EE8"/>
    <w:rsid w:val="00C95DAE"/>
    <w:rsid w:val="00C97442"/>
    <w:rsid w:val="00CA3BCC"/>
    <w:rsid w:val="00CA43BB"/>
    <w:rsid w:val="00CA5C73"/>
    <w:rsid w:val="00CA6099"/>
    <w:rsid w:val="00CA61A6"/>
    <w:rsid w:val="00CB5647"/>
    <w:rsid w:val="00CB6472"/>
    <w:rsid w:val="00CB6ADD"/>
    <w:rsid w:val="00CB70AB"/>
    <w:rsid w:val="00CC01BE"/>
    <w:rsid w:val="00CC1146"/>
    <w:rsid w:val="00CC1359"/>
    <w:rsid w:val="00CC2945"/>
    <w:rsid w:val="00CC2F7F"/>
    <w:rsid w:val="00CC33FF"/>
    <w:rsid w:val="00CC411A"/>
    <w:rsid w:val="00CC4A45"/>
    <w:rsid w:val="00CC7E76"/>
    <w:rsid w:val="00CD0F4E"/>
    <w:rsid w:val="00CD122C"/>
    <w:rsid w:val="00CD1F95"/>
    <w:rsid w:val="00CD43B3"/>
    <w:rsid w:val="00CD5D18"/>
    <w:rsid w:val="00CD67BF"/>
    <w:rsid w:val="00CD7A69"/>
    <w:rsid w:val="00CE15C2"/>
    <w:rsid w:val="00CE267E"/>
    <w:rsid w:val="00CE516D"/>
    <w:rsid w:val="00CE5A8C"/>
    <w:rsid w:val="00CE7889"/>
    <w:rsid w:val="00CE7C7C"/>
    <w:rsid w:val="00CF0B4C"/>
    <w:rsid w:val="00CF27E3"/>
    <w:rsid w:val="00CF405C"/>
    <w:rsid w:val="00CF4214"/>
    <w:rsid w:val="00CF4B87"/>
    <w:rsid w:val="00CF6873"/>
    <w:rsid w:val="00CF7EEA"/>
    <w:rsid w:val="00D022D4"/>
    <w:rsid w:val="00D03851"/>
    <w:rsid w:val="00D043CC"/>
    <w:rsid w:val="00D046FF"/>
    <w:rsid w:val="00D04AC2"/>
    <w:rsid w:val="00D04D82"/>
    <w:rsid w:val="00D06098"/>
    <w:rsid w:val="00D10F7C"/>
    <w:rsid w:val="00D14823"/>
    <w:rsid w:val="00D20C56"/>
    <w:rsid w:val="00D21DF1"/>
    <w:rsid w:val="00D23251"/>
    <w:rsid w:val="00D235C2"/>
    <w:rsid w:val="00D23ABD"/>
    <w:rsid w:val="00D33AB6"/>
    <w:rsid w:val="00D345EC"/>
    <w:rsid w:val="00D34A8C"/>
    <w:rsid w:val="00D35514"/>
    <w:rsid w:val="00D37DA7"/>
    <w:rsid w:val="00D408B0"/>
    <w:rsid w:val="00D42513"/>
    <w:rsid w:val="00D42BB0"/>
    <w:rsid w:val="00D43927"/>
    <w:rsid w:val="00D44D3C"/>
    <w:rsid w:val="00D504E0"/>
    <w:rsid w:val="00D5415B"/>
    <w:rsid w:val="00D543EB"/>
    <w:rsid w:val="00D54C86"/>
    <w:rsid w:val="00D555A4"/>
    <w:rsid w:val="00D56497"/>
    <w:rsid w:val="00D57977"/>
    <w:rsid w:val="00D57F1B"/>
    <w:rsid w:val="00D65E4E"/>
    <w:rsid w:val="00D665F9"/>
    <w:rsid w:val="00D70946"/>
    <w:rsid w:val="00D71E15"/>
    <w:rsid w:val="00D73D77"/>
    <w:rsid w:val="00D7699F"/>
    <w:rsid w:val="00D80456"/>
    <w:rsid w:val="00D80815"/>
    <w:rsid w:val="00D87500"/>
    <w:rsid w:val="00D87C14"/>
    <w:rsid w:val="00D90D97"/>
    <w:rsid w:val="00D90FB9"/>
    <w:rsid w:val="00D91455"/>
    <w:rsid w:val="00D93347"/>
    <w:rsid w:val="00D963E1"/>
    <w:rsid w:val="00D9689E"/>
    <w:rsid w:val="00D97404"/>
    <w:rsid w:val="00DA2EB3"/>
    <w:rsid w:val="00DA3034"/>
    <w:rsid w:val="00DA5180"/>
    <w:rsid w:val="00DA5B26"/>
    <w:rsid w:val="00DB0BEE"/>
    <w:rsid w:val="00DB1646"/>
    <w:rsid w:val="00DB1DEC"/>
    <w:rsid w:val="00DB3159"/>
    <w:rsid w:val="00DB32E2"/>
    <w:rsid w:val="00DB51CC"/>
    <w:rsid w:val="00DC1C93"/>
    <w:rsid w:val="00DC1DD5"/>
    <w:rsid w:val="00DC2E0F"/>
    <w:rsid w:val="00DC4F7B"/>
    <w:rsid w:val="00DD05FF"/>
    <w:rsid w:val="00DD32E3"/>
    <w:rsid w:val="00DD4283"/>
    <w:rsid w:val="00DD5666"/>
    <w:rsid w:val="00DD68A2"/>
    <w:rsid w:val="00DD6B91"/>
    <w:rsid w:val="00DE16F8"/>
    <w:rsid w:val="00DE2445"/>
    <w:rsid w:val="00DE25FA"/>
    <w:rsid w:val="00DE4430"/>
    <w:rsid w:val="00DE4FCB"/>
    <w:rsid w:val="00DF0738"/>
    <w:rsid w:val="00DF0D4F"/>
    <w:rsid w:val="00DF1C05"/>
    <w:rsid w:val="00DF2979"/>
    <w:rsid w:val="00DF4902"/>
    <w:rsid w:val="00DF4A37"/>
    <w:rsid w:val="00E02B41"/>
    <w:rsid w:val="00E0301A"/>
    <w:rsid w:val="00E05B36"/>
    <w:rsid w:val="00E12E2A"/>
    <w:rsid w:val="00E14E3B"/>
    <w:rsid w:val="00E220EB"/>
    <w:rsid w:val="00E2301A"/>
    <w:rsid w:val="00E2331F"/>
    <w:rsid w:val="00E23A6B"/>
    <w:rsid w:val="00E24DCE"/>
    <w:rsid w:val="00E30CE7"/>
    <w:rsid w:val="00E31BAF"/>
    <w:rsid w:val="00E33E40"/>
    <w:rsid w:val="00E3660A"/>
    <w:rsid w:val="00E40425"/>
    <w:rsid w:val="00E406D8"/>
    <w:rsid w:val="00E40D73"/>
    <w:rsid w:val="00E4595A"/>
    <w:rsid w:val="00E46029"/>
    <w:rsid w:val="00E50395"/>
    <w:rsid w:val="00E506BF"/>
    <w:rsid w:val="00E50C4A"/>
    <w:rsid w:val="00E5256C"/>
    <w:rsid w:val="00E5260D"/>
    <w:rsid w:val="00E53AAB"/>
    <w:rsid w:val="00E6152D"/>
    <w:rsid w:val="00E615EC"/>
    <w:rsid w:val="00E64BA9"/>
    <w:rsid w:val="00E6569E"/>
    <w:rsid w:val="00E66F6A"/>
    <w:rsid w:val="00E67095"/>
    <w:rsid w:val="00E67B18"/>
    <w:rsid w:val="00E703D3"/>
    <w:rsid w:val="00E70674"/>
    <w:rsid w:val="00E727CB"/>
    <w:rsid w:val="00E728E5"/>
    <w:rsid w:val="00E76D2C"/>
    <w:rsid w:val="00E77787"/>
    <w:rsid w:val="00E80E63"/>
    <w:rsid w:val="00E80F12"/>
    <w:rsid w:val="00E8340C"/>
    <w:rsid w:val="00E85E78"/>
    <w:rsid w:val="00E8695C"/>
    <w:rsid w:val="00E873AD"/>
    <w:rsid w:val="00E87A82"/>
    <w:rsid w:val="00E92D27"/>
    <w:rsid w:val="00E97D63"/>
    <w:rsid w:val="00EA4F2D"/>
    <w:rsid w:val="00EA5B93"/>
    <w:rsid w:val="00EA668F"/>
    <w:rsid w:val="00EB2D0A"/>
    <w:rsid w:val="00EB341D"/>
    <w:rsid w:val="00EB67BC"/>
    <w:rsid w:val="00EB6FCD"/>
    <w:rsid w:val="00EC04F9"/>
    <w:rsid w:val="00EC338F"/>
    <w:rsid w:val="00EC3424"/>
    <w:rsid w:val="00EC5924"/>
    <w:rsid w:val="00EC5D86"/>
    <w:rsid w:val="00EC70B9"/>
    <w:rsid w:val="00ED0682"/>
    <w:rsid w:val="00ED2499"/>
    <w:rsid w:val="00ED50DC"/>
    <w:rsid w:val="00ED5114"/>
    <w:rsid w:val="00ED618E"/>
    <w:rsid w:val="00EE1219"/>
    <w:rsid w:val="00EE1F57"/>
    <w:rsid w:val="00EE29D2"/>
    <w:rsid w:val="00EE67C7"/>
    <w:rsid w:val="00EE7A66"/>
    <w:rsid w:val="00EF3AAA"/>
    <w:rsid w:val="00EF5192"/>
    <w:rsid w:val="00EF633A"/>
    <w:rsid w:val="00EF74ED"/>
    <w:rsid w:val="00EF7DFC"/>
    <w:rsid w:val="00F025E6"/>
    <w:rsid w:val="00F0272A"/>
    <w:rsid w:val="00F04148"/>
    <w:rsid w:val="00F04BE6"/>
    <w:rsid w:val="00F04CEA"/>
    <w:rsid w:val="00F0715C"/>
    <w:rsid w:val="00F07C4B"/>
    <w:rsid w:val="00F10716"/>
    <w:rsid w:val="00F149D3"/>
    <w:rsid w:val="00F2189A"/>
    <w:rsid w:val="00F21B5B"/>
    <w:rsid w:val="00F229A4"/>
    <w:rsid w:val="00F2695C"/>
    <w:rsid w:val="00F2751C"/>
    <w:rsid w:val="00F33E73"/>
    <w:rsid w:val="00F33E75"/>
    <w:rsid w:val="00F347A6"/>
    <w:rsid w:val="00F349D5"/>
    <w:rsid w:val="00F34A04"/>
    <w:rsid w:val="00F41F02"/>
    <w:rsid w:val="00F447D6"/>
    <w:rsid w:val="00F464A7"/>
    <w:rsid w:val="00F470A9"/>
    <w:rsid w:val="00F50A7D"/>
    <w:rsid w:val="00F50ABC"/>
    <w:rsid w:val="00F50AD1"/>
    <w:rsid w:val="00F51AD2"/>
    <w:rsid w:val="00F53D86"/>
    <w:rsid w:val="00F54022"/>
    <w:rsid w:val="00F6201F"/>
    <w:rsid w:val="00F6461C"/>
    <w:rsid w:val="00F64A4E"/>
    <w:rsid w:val="00F66043"/>
    <w:rsid w:val="00F670C2"/>
    <w:rsid w:val="00F70EAA"/>
    <w:rsid w:val="00F717FC"/>
    <w:rsid w:val="00F71A41"/>
    <w:rsid w:val="00F71D30"/>
    <w:rsid w:val="00F72493"/>
    <w:rsid w:val="00F72804"/>
    <w:rsid w:val="00F73FAA"/>
    <w:rsid w:val="00F74A40"/>
    <w:rsid w:val="00F753DE"/>
    <w:rsid w:val="00F80107"/>
    <w:rsid w:val="00F830C6"/>
    <w:rsid w:val="00F84953"/>
    <w:rsid w:val="00F85A9F"/>
    <w:rsid w:val="00F8763B"/>
    <w:rsid w:val="00F87A1B"/>
    <w:rsid w:val="00F87A98"/>
    <w:rsid w:val="00F87E19"/>
    <w:rsid w:val="00F90210"/>
    <w:rsid w:val="00F90E4E"/>
    <w:rsid w:val="00F9104B"/>
    <w:rsid w:val="00F916B2"/>
    <w:rsid w:val="00F922CD"/>
    <w:rsid w:val="00F954BF"/>
    <w:rsid w:val="00F97327"/>
    <w:rsid w:val="00F974A1"/>
    <w:rsid w:val="00F978EC"/>
    <w:rsid w:val="00F97E5B"/>
    <w:rsid w:val="00FA1E4C"/>
    <w:rsid w:val="00FA2B35"/>
    <w:rsid w:val="00FA3A9C"/>
    <w:rsid w:val="00FA3C64"/>
    <w:rsid w:val="00FA45D7"/>
    <w:rsid w:val="00FA621A"/>
    <w:rsid w:val="00FA76BA"/>
    <w:rsid w:val="00FA7B9A"/>
    <w:rsid w:val="00FB21CF"/>
    <w:rsid w:val="00FB46EA"/>
    <w:rsid w:val="00FB68CF"/>
    <w:rsid w:val="00FB79B9"/>
    <w:rsid w:val="00FB7ACF"/>
    <w:rsid w:val="00FC0078"/>
    <w:rsid w:val="00FC0ECB"/>
    <w:rsid w:val="00FC2992"/>
    <w:rsid w:val="00FC2C7F"/>
    <w:rsid w:val="00FC7779"/>
    <w:rsid w:val="00FC7B5C"/>
    <w:rsid w:val="00FD36D5"/>
    <w:rsid w:val="00FD712C"/>
    <w:rsid w:val="00FE0986"/>
    <w:rsid w:val="00FE19E4"/>
    <w:rsid w:val="00FE4CFC"/>
    <w:rsid w:val="00FF0B7A"/>
    <w:rsid w:val="00FF2B52"/>
    <w:rsid w:val="00FF31A2"/>
    <w:rsid w:val="00FF3DDC"/>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1C797"/>
  <w15:docId w15:val="{B5E357A3-B31B-2840-854D-64DF64949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s-H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26B"/>
    <w:pPr>
      <w:spacing w:after="0" w:line="240" w:lineRule="auto"/>
    </w:pPr>
    <w:rPr>
      <w:rFonts w:ascii="Times New Roman" w:eastAsia="Times New Roman" w:hAnsi="Times New Roman" w:cs="Times New Roman"/>
      <w:kern w:val="0"/>
      <w:sz w:val="24"/>
      <w:szCs w:val="24"/>
      <w:lang w:val="es-CR" w:eastAsia="es-MX"/>
      <w14:ligatures w14:val="none"/>
    </w:rPr>
  </w:style>
  <w:style w:type="paragraph" w:styleId="Ttulo1">
    <w:name w:val="heading 1"/>
    <w:basedOn w:val="Normal"/>
    <w:next w:val="Normal"/>
    <w:link w:val="Ttulo1Car"/>
    <w:uiPriority w:val="9"/>
    <w:qFormat/>
    <w:rsid w:val="00A57244"/>
    <w:pPr>
      <w:keepNext/>
      <w:keepLines/>
      <w:numPr>
        <w:numId w:val="1"/>
      </w:numPr>
      <w:spacing w:before="240"/>
      <w:outlineLvl w:val="0"/>
    </w:pPr>
    <w:rPr>
      <w:rFonts w:asciiTheme="majorHAnsi" w:eastAsiaTheme="majorEastAsia" w:hAnsiTheme="majorHAnsi" w:cstheme="majorBidi"/>
      <w:color w:val="31479E" w:themeColor="accent1" w:themeShade="BF"/>
      <w:sz w:val="32"/>
      <w:szCs w:val="32"/>
    </w:rPr>
  </w:style>
  <w:style w:type="paragraph" w:styleId="Ttulo2">
    <w:name w:val="heading 2"/>
    <w:basedOn w:val="Normal"/>
    <w:next w:val="Normal"/>
    <w:link w:val="Ttulo2Car"/>
    <w:uiPriority w:val="9"/>
    <w:unhideWhenUsed/>
    <w:qFormat/>
    <w:rsid w:val="002168C8"/>
    <w:pPr>
      <w:keepNext/>
      <w:keepLines/>
      <w:numPr>
        <w:ilvl w:val="1"/>
        <w:numId w:val="1"/>
      </w:numPr>
      <w:spacing w:before="40"/>
      <w:outlineLvl w:val="1"/>
    </w:pPr>
    <w:rPr>
      <w:rFonts w:asciiTheme="majorHAnsi" w:eastAsiaTheme="majorEastAsia" w:hAnsiTheme="majorHAnsi" w:cstheme="majorBidi"/>
      <w:color w:val="31479E" w:themeColor="accent1" w:themeShade="BF"/>
      <w:sz w:val="26"/>
      <w:szCs w:val="26"/>
    </w:rPr>
  </w:style>
  <w:style w:type="paragraph" w:styleId="Ttulo3">
    <w:name w:val="heading 3"/>
    <w:basedOn w:val="Normal"/>
    <w:next w:val="Normal"/>
    <w:link w:val="Ttulo3Car"/>
    <w:uiPriority w:val="9"/>
    <w:unhideWhenUsed/>
    <w:qFormat/>
    <w:rsid w:val="003E0592"/>
    <w:pPr>
      <w:keepNext/>
      <w:keepLines/>
      <w:numPr>
        <w:ilvl w:val="2"/>
        <w:numId w:val="1"/>
      </w:numPr>
      <w:spacing w:before="40"/>
      <w:outlineLvl w:val="2"/>
    </w:pPr>
    <w:rPr>
      <w:rFonts w:ascii="Arial" w:eastAsiaTheme="majorEastAsia" w:hAnsi="Arial" w:cstheme="majorBidi"/>
    </w:rPr>
  </w:style>
  <w:style w:type="paragraph" w:styleId="Ttulo4">
    <w:name w:val="heading 4"/>
    <w:basedOn w:val="Normal"/>
    <w:next w:val="Normal"/>
    <w:link w:val="Ttulo4Car"/>
    <w:uiPriority w:val="9"/>
    <w:unhideWhenUsed/>
    <w:qFormat/>
    <w:rsid w:val="002168C8"/>
    <w:pPr>
      <w:keepNext/>
      <w:keepLines/>
      <w:numPr>
        <w:ilvl w:val="3"/>
        <w:numId w:val="1"/>
      </w:numPr>
      <w:spacing w:before="40"/>
      <w:outlineLvl w:val="3"/>
    </w:pPr>
    <w:rPr>
      <w:rFonts w:asciiTheme="majorHAnsi" w:eastAsiaTheme="majorEastAsia" w:hAnsiTheme="majorHAnsi" w:cstheme="majorBidi"/>
      <w:i/>
      <w:iCs/>
      <w:color w:val="31479E" w:themeColor="accent1" w:themeShade="BF"/>
    </w:rPr>
  </w:style>
  <w:style w:type="paragraph" w:styleId="Ttulo5">
    <w:name w:val="heading 5"/>
    <w:basedOn w:val="Normal"/>
    <w:next w:val="Normal"/>
    <w:link w:val="Ttulo5Car"/>
    <w:uiPriority w:val="9"/>
    <w:unhideWhenUsed/>
    <w:qFormat/>
    <w:rsid w:val="002168C8"/>
    <w:pPr>
      <w:keepNext/>
      <w:keepLines/>
      <w:numPr>
        <w:ilvl w:val="4"/>
        <w:numId w:val="1"/>
      </w:numPr>
      <w:spacing w:before="40"/>
      <w:outlineLvl w:val="4"/>
    </w:pPr>
    <w:rPr>
      <w:rFonts w:asciiTheme="majorHAnsi" w:eastAsiaTheme="majorEastAsia" w:hAnsiTheme="majorHAnsi" w:cstheme="majorBidi"/>
      <w:color w:val="31479E" w:themeColor="accent1" w:themeShade="BF"/>
    </w:rPr>
  </w:style>
  <w:style w:type="paragraph" w:styleId="Ttulo6">
    <w:name w:val="heading 6"/>
    <w:basedOn w:val="Normal"/>
    <w:next w:val="Normal"/>
    <w:link w:val="Ttulo6Car"/>
    <w:uiPriority w:val="9"/>
    <w:unhideWhenUsed/>
    <w:qFormat/>
    <w:rsid w:val="002168C8"/>
    <w:pPr>
      <w:keepNext/>
      <w:keepLines/>
      <w:numPr>
        <w:ilvl w:val="5"/>
        <w:numId w:val="1"/>
      </w:numPr>
      <w:spacing w:before="40"/>
      <w:outlineLvl w:val="5"/>
    </w:pPr>
    <w:rPr>
      <w:rFonts w:asciiTheme="majorHAnsi" w:eastAsiaTheme="majorEastAsia" w:hAnsiTheme="majorHAnsi" w:cstheme="majorBidi"/>
      <w:color w:val="202F69" w:themeColor="accent1" w:themeShade="7F"/>
    </w:rPr>
  </w:style>
  <w:style w:type="paragraph" w:styleId="Ttulo7">
    <w:name w:val="heading 7"/>
    <w:basedOn w:val="Normal"/>
    <w:next w:val="Normal"/>
    <w:link w:val="Ttulo7Car"/>
    <w:uiPriority w:val="9"/>
    <w:unhideWhenUsed/>
    <w:qFormat/>
    <w:rsid w:val="002168C8"/>
    <w:pPr>
      <w:keepNext/>
      <w:keepLines/>
      <w:numPr>
        <w:ilvl w:val="6"/>
        <w:numId w:val="1"/>
      </w:numPr>
      <w:spacing w:before="40"/>
      <w:outlineLvl w:val="6"/>
    </w:pPr>
    <w:rPr>
      <w:rFonts w:asciiTheme="majorHAnsi" w:eastAsiaTheme="majorEastAsia" w:hAnsiTheme="majorHAnsi" w:cstheme="majorBidi"/>
      <w:i/>
      <w:iCs/>
      <w:color w:val="202F69" w:themeColor="accent1" w:themeShade="7F"/>
    </w:rPr>
  </w:style>
  <w:style w:type="paragraph" w:styleId="Ttulo8">
    <w:name w:val="heading 8"/>
    <w:basedOn w:val="Normal"/>
    <w:next w:val="Normal"/>
    <w:link w:val="Ttulo8Car"/>
    <w:uiPriority w:val="9"/>
    <w:unhideWhenUsed/>
    <w:qFormat/>
    <w:rsid w:val="002168C8"/>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168C8"/>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918B8"/>
    <w:pPr>
      <w:ind w:left="720"/>
      <w:contextualSpacing/>
    </w:pPr>
  </w:style>
  <w:style w:type="character" w:customStyle="1" w:styleId="Ttulo2Car">
    <w:name w:val="Título 2 Car"/>
    <w:basedOn w:val="Fuentedeprrafopredeter"/>
    <w:link w:val="Ttulo2"/>
    <w:uiPriority w:val="9"/>
    <w:rsid w:val="002168C8"/>
    <w:rPr>
      <w:rFonts w:asciiTheme="majorHAnsi" w:eastAsiaTheme="majorEastAsia" w:hAnsiTheme="majorHAnsi" w:cstheme="majorBidi"/>
      <w:color w:val="31479E" w:themeColor="accent1" w:themeShade="BF"/>
      <w:kern w:val="0"/>
      <w:sz w:val="26"/>
      <w:szCs w:val="26"/>
      <w:lang w:val="es-CR" w:eastAsia="es-MX"/>
      <w14:ligatures w14:val="none"/>
    </w:rPr>
  </w:style>
  <w:style w:type="character" w:customStyle="1" w:styleId="Ttulo3Car">
    <w:name w:val="Título 3 Car"/>
    <w:basedOn w:val="Fuentedeprrafopredeter"/>
    <w:link w:val="Ttulo3"/>
    <w:uiPriority w:val="9"/>
    <w:rsid w:val="003E0592"/>
    <w:rPr>
      <w:rFonts w:ascii="Arial" w:eastAsiaTheme="majorEastAsia" w:hAnsi="Arial" w:cstheme="majorBidi"/>
      <w:kern w:val="0"/>
      <w:sz w:val="24"/>
      <w:szCs w:val="24"/>
      <w:lang w:val="es-CR" w:eastAsia="es-MX"/>
      <w14:ligatures w14:val="none"/>
    </w:rPr>
  </w:style>
  <w:style w:type="character" w:customStyle="1" w:styleId="Ttulo4Car">
    <w:name w:val="Título 4 Car"/>
    <w:basedOn w:val="Fuentedeprrafopredeter"/>
    <w:link w:val="Ttulo4"/>
    <w:uiPriority w:val="9"/>
    <w:rsid w:val="002168C8"/>
    <w:rPr>
      <w:rFonts w:asciiTheme="majorHAnsi" w:eastAsiaTheme="majorEastAsia" w:hAnsiTheme="majorHAnsi" w:cstheme="majorBidi"/>
      <w:i/>
      <w:iCs/>
      <w:color w:val="31479E" w:themeColor="accent1" w:themeShade="BF"/>
      <w:kern w:val="0"/>
      <w:sz w:val="24"/>
      <w:szCs w:val="24"/>
      <w:lang w:val="es-CR" w:eastAsia="es-MX"/>
      <w14:ligatures w14:val="none"/>
    </w:rPr>
  </w:style>
  <w:style w:type="character" w:customStyle="1" w:styleId="Ttulo5Car">
    <w:name w:val="Título 5 Car"/>
    <w:basedOn w:val="Fuentedeprrafopredeter"/>
    <w:link w:val="Ttulo5"/>
    <w:uiPriority w:val="9"/>
    <w:rsid w:val="002168C8"/>
    <w:rPr>
      <w:rFonts w:asciiTheme="majorHAnsi" w:eastAsiaTheme="majorEastAsia" w:hAnsiTheme="majorHAnsi" w:cstheme="majorBidi"/>
      <w:color w:val="31479E" w:themeColor="accent1" w:themeShade="BF"/>
      <w:kern w:val="0"/>
      <w:sz w:val="24"/>
      <w:szCs w:val="24"/>
      <w:lang w:val="es-CR" w:eastAsia="es-MX"/>
      <w14:ligatures w14:val="none"/>
    </w:rPr>
  </w:style>
  <w:style w:type="character" w:customStyle="1" w:styleId="Ttulo6Car">
    <w:name w:val="Título 6 Car"/>
    <w:basedOn w:val="Fuentedeprrafopredeter"/>
    <w:link w:val="Ttulo6"/>
    <w:uiPriority w:val="9"/>
    <w:rsid w:val="002168C8"/>
    <w:rPr>
      <w:rFonts w:asciiTheme="majorHAnsi" w:eastAsiaTheme="majorEastAsia" w:hAnsiTheme="majorHAnsi" w:cstheme="majorBidi"/>
      <w:color w:val="202F69" w:themeColor="accent1" w:themeShade="7F"/>
      <w:kern w:val="0"/>
      <w:sz w:val="24"/>
      <w:szCs w:val="24"/>
      <w:lang w:val="es-CR" w:eastAsia="es-MX"/>
      <w14:ligatures w14:val="none"/>
    </w:rPr>
  </w:style>
  <w:style w:type="character" w:customStyle="1" w:styleId="Ttulo7Car">
    <w:name w:val="Título 7 Car"/>
    <w:basedOn w:val="Fuentedeprrafopredeter"/>
    <w:link w:val="Ttulo7"/>
    <w:uiPriority w:val="9"/>
    <w:rsid w:val="002168C8"/>
    <w:rPr>
      <w:rFonts w:asciiTheme="majorHAnsi" w:eastAsiaTheme="majorEastAsia" w:hAnsiTheme="majorHAnsi" w:cstheme="majorBidi"/>
      <w:i/>
      <w:iCs/>
      <w:color w:val="202F69" w:themeColor="accent1" w:themeShade="7F"/>
      <w:kern w:val="0"/>
      <w:sz w:val="24"/>
      <w:szCs w:val="24"/>
      <w:lang w:val="es-CR" w:eastAsia="es-MX"/>
      <w14:ligatures w14:val="none"/>
    </w:rPr>
  </w:style>
  <w:style w:type="character" w:customStyle="1" w:styleId="Ttulo8Car">
    <w:name w:val="Título 8 Car"/>
    <w:basedOn w:val="Fuentedeprrafopredeter"/>
    <w:link w:val="Ttulo8"/>
    <w:uiPriority w:val="9"/>
    <w:rsid w:val="002168C8"/>
    <w:rPr>
      <w:rFonts w:asciiTheme="majorHAnsi" w:eastAsiaTheme="majorEastAsia" w:hAnsiTheme="majorHAnsi" w:cstheme="majorBidi"/>
      <w:color w:val="272727" w:themeColor="text1" w:themeTint="D8"/>
      <w:kern w:val="0"/>
      <w:sz w:val="21"/>
      <w:szCs w:val="21"/>
      <w:lang w:val="es-CR" w:eastAsia="es-MX"/>
      <w14:ligatures w14:val="none"/>
    </w:rPr>
  </w:style>
  <w:style w:type="character" w:customStyle="1" w:styleId="Ttulo9Car">
    <w:name w:val="Título 9 Car"/>
    <w:basedOn w:val="Fuentedeprrafopredeter"/>
    <w:link w:val="Ttulo9"/>
    <w:uiPriority w:val="9"/>
    <w:rsid w:val="002168C8"/>
    <w:rPr>
      <w:rFonts w:asciiTheme="majorHAnsi" w:eastAsiaTheme="majorEastAsia" w:hAnsiTheme="majorHAnsi" w:cstheme="majorBidi"/>
      <w:i/>
      <w:iCs/>
      <w:color w:val="272727" w:themeColor="text1" w:themeTint="D8"/>
      <w:kern w:val="0"/>
      <w:sz w:val="21"/>
      <w:szCs w:val="21"/>
      <w:lang w:val="es-CR" w:eastAsia="es-MX"/>
      <w14:ligatures w14:val="none"/>
    </w:rPr>
  </w:style>
  <w:style w:type="paragraph" w:styleId="Textonotapie">
    <w:name w:val="footnote text"/>
    <w:basedOn w:val="Normal"/>
    <w:link w:val="TextonotapieCar"/>
    <w:uiPriority w:val="99"/>
    <w:semiHidden/>
    <w:unhideWhenUsed/>
    <w:rsid w:val="002168C8"/>
    <w:rPr>
      <w:sz w:val="20"/>
      <w:szCs w:val="20"/>
    </w:rPr>
  </w:style>
  <w:style w:type="character" w:customStyle="1" w:styleId="TextonotapieCar">
    <w:name w:val="Texto nota pie Car"/>
    <w:basedOn w:val="Fuentedeprrafopredeter"/>
    <w:link w:val="Textonotapie"/>
    <w:uiPriority w:val="99"/>
    <w:semiHidden/>
    <w:rsid w:val="002168C8"/>
    <w:rPr>
      <w:rFonts w:ascii="Times New Roman" w:eastAsia="Times New Roman" w:hAnsi="Times New Roman" w:cs="Times New Roman"/>
      <w:kern w:val="0"/>
      <w:sz w:val="20"/>
      <w:szCs w:val="20"/>
      <w:lang w:val="es-ES" w:eastAsia="es-ES"/>
    </w:rPr>
  </w:style>
  <w:style w:type="character" w:styleId="Refdenotaalpie">
    <w:name w:val="footnote reference"/>
    <w:basedOn w:val="Fuentedeprrafopredeter"/>
    <w:uiPriority w:val="99"/>
    <w:semiHidden/>
    <w:unhideWhenUsed/>
    <w:rsid w:val="002168C8"/>
    <w:rPr>
      <w:vertAlign w:val="superscript"/>
    </w:rPr>
  </w:style>
  <w:style w:type="paragraph" w:styleId="Descripcin">
    <w:name w:val="caption"/>
    <w:basedOn w:val="Normal"/>
    <w:next w:val="Normal"/>
    <w:uiPriority w:val="35"/>
    <w:unhideWhenUsed/>
    <w:qFormat/>
    <w:rsid w:val="002168C8"/>
    <w:pPr>
      <w:spacing w:after="200"/>
    </w:pPr>
    <w:rPr>
      <w:i/>
      <w:iCs/>
      <w:color w:val="212745" w:themeColor="text2"/>
      <w:sz w:val="18"/>
      <w:szCs w:val="18"/>
    </w:rPr>
  </w:style>
  <w:style w:type="character" w:customStyle="1" w:styleId="Ttulo1Car">
    <w:name w:val="Título 1 Car"/>
    <w:basedOn w:val="Fuentedeprrafopredeter"/>
    <w:link w:val="Ttulo1"/>
    <w:uiPriority w:val="9"/>
    <w:rsid w:val="00A57244"/>
    <w:rPr>
      <w:rFonts w:asciiTheme="majorHAnsi" w:eastAsiaTheme="majorEastAsia" w:hAnsiTheme="majorHAnsi" w:cstheme="majorBidi"/>
      <w:color w:val="31479E" w:themeColor="accent1" w:themeShade="BF"/>
      <w:kern w:val="0"/>
      <w:sz w:val="32"/>
      <w:szCs w:val="32"/>
      <w:lang w:val="es-CR" w:eastAsia="es-MX"/>
      <w14:ligatures w14:val="none"/>
    </w:rPr>
  </w:style>
  <w:style w:type="paragraph" w:styleId="Bibliografa">
    <w:name w:val="Bibliography"/>
    <w:basedOn w:val="Normal"/>
    <w:next w:val="Normal"/>
    <w:uiPriority w:val="37"/>
    <w:unhideWhenUsed/>
    <w:rsid w:val="00256451"/>
  </w:style>
  <w:style w:type="character" w:styleId="Textodelmarcadordeposicin">
    <w:name w:val="Placeholder Text"/>
    <w:basedOn w:val="Fuentedeprrafopredeter"/>
    <w:uiPriority w:val="99"/>
    <w:semiHidden/>
    <w:rsid w:val="00B81E57"/>
    <w:rPr>
      <w:color w:val="808080"/>
    </w:rPr>
  </w:style>
  <w:style w:type="table" w:styleId="Tablaconcuadrcula">
    <w:name w:val="Table Grid"/>
    <w:basedOn w:val="Tablanormal"/>
    <w:uiPriority w:val="39"/>
    <w:rsid w:val="00505695"/>
    <w:pPr>
      <w:spacing w:after="0" w:line="240" w:lineRule="auto"/>
    </w:pPr>
    <w:tblPr>
      <w:tblCellMar>
        <w:left w:w="0" w:type="dxa"/>
        <w:right w:w="0" w:type="dxa"/>
      </w:tblCellMar>
    </w:tblPr>
  </w:style>
  <w:style w:type="paragraph" w:styleId="TtuloTDC">
    <w:name w:val="TOC Heading"/>
    <w:basedOn w:val="Ttulo1"/>
    <w:next w:val="Normal"/>
    <w:uiPriority w:val="39"/>
    <w:unhideWhenUsed/>
    <w:qFormat/>
    <w:rsid w:val="00031B05"/>
    <w:pPr>
      <w:spacing w:line="259" w:lineRule="auto"/>
      <w:outlineLvl w:val="9"/>
    </w:pPr>
    <w:rPr>
      <w:lang w:val="es-HN" w:eastAsia="es-HN"/>
    </w:rPr>
  </w:style>
  <w:style w:type="paragraph" w:styleId="TDC2">
    <w:name w:val="toc 2"/>
    <w:basedOn w:val="Normal"/>
    <w:next w:val="Normal"/>
    <w:autoRedefine/>
    <w:uiPriority w:val="39"/>
    <w:unhideWhenUsed/>
    <w:rsid w:val="00031B05"/>
    <w:pPr>
      <w:spacing w:after="100"/>
      <w:ind w:left="240"/>
    </w:pPr>
  </w:style>
  <w:style w:type="paragraph" w:styleId="TDC1">
    <w:name w:val="toc 1"/>
    <w:basedOn w:val="Normal"/>
    <w:next w:val="Normal"/>
    <w:autoRedefine/>
    <w:uiPriority w:val="39"/>
    <w:unhideWhenUsed/>
    <w:rsid w:val="00031B05"/>
    <w:pPr>
      <w:spacing w:after="100"/>
    </w:pPr>
  </w:style>
  <w:style w:type="paragraph" w:styleId="TDC3">
    <w:name w:val="toc 3"/>
    <w:basedOn w:val="Normal"/>
    <w:next w:val="Normal"/>
    <w:autoRedefine/>
    <w:uiPriority w:val="39"/>
    <w:unhideWhenUsed/>
    <w:rsid w:val="00031B05"/>
    <w:pPr>
      <w:spacing w:after="100"/>
      <w:ind w:left="480"/>
    </w:pPr>
  </w:style>
  <w:style w:type="character" w:styleId="Hipervnculo">
    <w:name w:val="Hyperlink"/>
    <w:basedOn w:val="Fuentedeprrafopredeter"/>
    <w:uiPriority w:val="99"/>
    <w:unhideWhenUsed/>
    <w:rsid w:val="00031B05"/>
    <w:rPr>
      <w:color w:val="56C7AA" w:themeColor="hyperlink"/>
      <w:u w:val="single"/>
    </w:rPr>
  </w:style>
  <w:style w:type="character" w:styleId="Refdenotaalfinal">
    <w:name w:val="endnote reference"/>
    <w:basedOn w:val="Fuentedeprrafopredeter"/>
    <w:uiPriority w:val="99"/>
    <w:semiHidden/>
    <w:unhideWhenUsed/>
    <w:rsid w:val="00592CC9"/>
    <w:rPr>
      <w:vertAlign w:val="superscript"/>
    </w:rPr>
  </w:style>
  <w:style w:type="paragraph" w:styleId="Encabezado">
    <w:name w:val="header"/>
    <w:basedOn w:val="Normal"/>
    <w:link w:val="EncabezadoCar"/>
    <w:uiPriority w:val="99"/>
    <w:unhideWhenUsed/>
    <w:rsid w:val="000B3614"/>
    <w:pPr>
      <w:tabs>
        <w:tab w:val="center" w:pos="4252"/>
        <w:tab w:val="right" w:pos="8504"/>
      </w:tabs>
    </w:pPr>
  </w:style>
  <w:style w:type="character" w:customStyle="1" w:styleId="EncabezadoCar">
    <w:name w:val="Encabezado Car"/>
    <w:basedOn w:val="Fuentedeprrafopredeter"/>
    <w:link w:val="Encabezado"/>
    <w:uiPriority w:val="99"/>
    <w:rsid w:val="000B3614"/>
    <w:rPr>
      <w:rFonts w:ascii="Times New Roman" w:eastAsia="Times New Roman" w:hAnsi="Times New Roman" w:cs="Times New Roman"/>
      <w:kern w:val="0"/>
      <w:sz w:val="24"/>
      <w:szCs w:val="24"/>
      <w:lang w:val="es-ES" w:eastAsia="es-ES"/>
    </w:rPr>
  </w:style>
  <w:style w:type="paragraph" w:styleId="Piedepgina">
    <w:name w:val="footer"/>
    <w:basedOn w:val="Normal"/>
    <w:link w:val="PiedepginaCar"/>
    <w:uiPriority w:val="99"/>
    <w:unhideWhenUsed/>
    <w:rsid w:val="000B3614"/>
    <w:pPr>
      <w:tabs>
        <w:tab w:val="center" w:pos="4252"/>
        <w:tab w:val="right" w:pos="8504"/>
      </w:tabs>
    </w:pPr>
  </w:style>
  <w:style w:type="character" w:customStyle="1" w:styleId="PiedepginaCar">
    <w:name w:val="Pie de página Car"/>
    <w:basedOn w:val="Fuentedeprrafopredeter"/>
    <w:link w:val="Piedepgina"/>
    <w:uiPriority w:val="99"/>
    <w:rsid w:val="000B3614"/>
    <w:rPr>
      <w:rFonts w:ascii="Times New Roman" w:eastAsia="Times New Roman" w:hAnsi="Times New Roman" w:cs="Times New Roman"/>
      <w:kern w:val="0"/>
      <w:sz w:val="24"/>
      <w:szCs w:val="24"/>
      <w:lang w:val="es-ES" w:eastAsia="es-ES"/>
    </w:rPr>
  </w:style>
  <w:style w:type="character" w:styleId="Refdecomentario">
    <w:name w:val="annotation reference"/>
    <w:basedOn w:val="Fuentedeprrafopredeter"/>
    <w:uiPriority w:val="99"/>
    <w:semiHidden/>
    <w:unhideWhenUsed/>
    <w:rsid w:val="00332776"/>
    <w:rPr>
      <w:sz w:val="16"/>
      <w:szCs w:val="16"/>
    </w:rPr>
  </w:style>
  <w:style w:type="paragraph" w:styleId="Textocomentario">
    <w:name w:val="annotation text"/>
    <w:basedOn w:val="Normal"/>
    <w:link w:val="TextocomentarioCar"/>
    <w:uiPriority w:val="99"/>
    <w:unhideWhenUsed/>
    <w:rsid w:val="00332776"/>
    <w:rPr>
      <w:sz w:val="20"/>
      <w:szCs w:val="20"/>
    </w:rPr>
  </w:style>
  <w:style w:type="character" w:customStyle="1" w:styleId="TextocomentarioCar">
    <w:name w:val="Texto comentario Car"/>
    <w:basedOn w:val="Fuentedeprrafopredeter"/>
    <w:link w:val="Textocomentario"/>
    <w:uiPriority w:val="99"/>
    <w:rsid w:val="00332776"/>
    <w:rPr>
      <w:rFonts w:ascii="Times New Roman" w:eastAsia="Times New Roman" w:hAnsi="Times New Roman" w:cs="Times New Roman"/>
      <w:kern w:val="0"/>
      <w:sz w:val="20"/>
      <w:szCs w:val="20"/>
      <w:lang w:val="es-ES" w:eastAsia="es-ES"/>
    </w:rPr>
  </w:style>
  <w:style w:type="paragraph" w:styleId="Sinespaciado">
    <w:name w:val="No Spacing"/>
    <w:uiPriority w:val="1"/>
    <w:qFormat/>
    <w:rsid w:val="007E0009"/>
    <w:pPr>
      <w:spacing w:after="0" w:line="240" w:lineRule="auto"/>
    </w:pPr>
    <w:rPr>
      <w:rFonts w:ascii="Times New Roman" w:eastAsia="Times New Roman" w:hAnsi="Times New Roman" w:cs="Times New Roman"/>
      <w:kern w:val="0"/>
      <w:sz w:val="24"/>
      <w:szCs w:val="24"/>
      <w:lang w:val="es-ES" w:eastAsia="es-ES"/>
    </w:rPr>
  </w:style>
  <w:style w:type="character" w:styleId="Mencinsinresolver">
    <w:name w:val="Unresolved Mention"/>
    <w:basedOn w:val="Fuentedeprrafopredeter"/>
    <w:uiPriority w:val="99"/>
    <w:semiHidden/>
    <w:unhideWhenUsed/>
    <w:rsid w:val="00660686"/>
    <w:rPr>
      <w:color w:val="605E5C"/>
      <w:shd w:val="clear" w:color="auto" w:fill="E1DFDD"/>
    </w:rPr>
  </w:style>
  <w:style w:type="paragraph" w:customStyle="1" w:styleId="Default">
    <w:name w:val="Default"/>
    <w:uiPriority w:val="99"/>
    <w:qFormat/>
    <w:rsid w:val="00A27C8B"/>
    <w:pPr>
      <w:suppressAutoHyphens/>
      <w:spacing w:after="0" w:line="240" w:lineRule="auto"/>
    </w:pPr>
    <w:rPr>
      <w:rFonts w:ascii="Arial" w:eastAsia="Calibri" w:hAnsi="Arial" w:cs="Arial"/>
      <w:color w:val="000000"/>
      <w:kern w:val="0"/>
      <w:sz w:val="24"/>
      <w:szCs w:val="24"/>
      <w:lang w:val="en-US"/>
    </w:rPr>
  </w:style>
  <w:style w:type="table" w:styleId="Tablaconcuadrculaclara">
    <w:name w:val="Grid Table Light"/>
    <w:basedOn w:val="Tablanormal"/>
    <w:uiPriority w:val="40"/>
    <w:rsid w:val="00A27C8B"/>
    <w:pPr>
      <w:spacing w:after="0" w:line="240" w:lineRule="auto"/>
    </w:pPr>
    <w:rPr>
      <w:lang w:val="es-C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0" w:type="dxa"/>
        <w:right w:w="0" w:type="dxa"/>
      </w:tblCellMar>
    </w:tblPr>
  </w:style>
  <w:style w:type="character" w:styleId="Fuerte">
    <w:name w:val="Strong"/>
    <w:basedOn w:val="Fuentedeprrafopredeter"/>
    <w:uiPriority w:val="22"/>
    <w:qFormat/>
    <w:rsid w:val="007F0BD7"/>
    <w:rPr>
      <w:b/>
      <w:bCs/>
    </w:rPr>
  </w:style>
  <w:style w:type="character" w:styleId="Hipervnculovisitado">
    <w:name w:val="FollowedHyperlink"/>
    <w:basedOn w:val="Fuentedeprrafopredeter"/>
    <w:uiPriority w:val="99"/>
    <w:semiHidden/>
    <w:unhideWhenUsed/>
    <w:rsid w:val="00493725"/>
    <w:rPr>
      <w:color w:val="59A8D1" w:themeColor="followedHyperlink"/>
      <w:u w:val="single"/>
    </w:rPr>
  </w:style>
  <w:style w:type="paragraph" w:styleId="NormalWeb">
    <w:name w:val="Normal (Web)"/>
    <w:basedOn w:val="Normal"/>
    <w:uiPriority w:val="99"/>
    <w:unhideWhenUsed/>
    <w:rsid w:val="001A6B7B"/>
    <w:pPr>
      <w:spacing w:before="100" w:beforeAutospacing="1" w:after="100" w:afterAutospacing="1"/>
    </w:pPr>
  </w:style>
  <w:style w:type="paragraph" w:styleId="Asuntodelcomentario">
    <w:name w:val="annotation subject"/>
    <w:basedOn w:val="Textocomentario"/>
    <w:next w:val="Textocomentario"/>
    <w:link w:val="AsuntodelcomentarioCar"/>
    <w:uiPriority w:val="99"/>
    <w:semiHidden/>
    <w:unhideWhenUsed/>
    <w:rsid w:val="006D25CF"/>
    <w:rPr>
      <w:b/>
      <w:bCs/>
    </w:rPr>
  </w:style>
  <w:style w:type="character" w:customStyle="1" w:styleId="AsuntodelcomentarioCar">
    <w:name w:val="Asunto del comentario Car"/>
    <w:basedOn w:val="TextocomentarioCar"/>
    <w:link w:val="Asuntodelcomentario"/>
    <w:uiPriority w:val="99"/>
    <w:semiHidden/>
    <w:rsid w:val="006D25CF"/>
    <w:rPr>
      <w:rFonts w:ascii="Times New Roman" w:eastAsia="Times New Roman" w:hAnsi="Times New Roman" w:cs="Times New Roman"/>
      <w:b/>
      <w:bCs/>
      <w:kern w:val="0"/>
      <w:sz w:val="20"/>
      <w:szCs w:val="20"/>
      <w:lang w:val="es-ES" w:eastAsia="es-ES"/>
    </w:rPr>
  </w:style>
  <w:style w:type="character" w:styleId="nfasis">
    <w:name w:val="Emphasis"/>
    <w:basedOn w:val="Fuentedeprrafopredeter"/>
    <w:uiPriority w:val="20"/>
    <w:qFormat/>
    <w:rsid w:val="0024414A"/>
    <w:rPr>
      <w:i/>
      <w:iCs/>
    </w:rPr>
  </w:style>
  <w:style w:type="numbering" w:customStyle="1" w:styleId="Listaactual1">
    <w:name w:val="Lista actual1"/>
    <w:uiPriority w:val="99"/>
    <w:rsid w:val="00DA2EB3"/>
    <w:pPr>
      <w:numPr>
        <w:numId w:val="17"/>
      </w:numPr>
    </w:pPr>
  </w:style>
  <w:style w:type="paragraph" w:styleId="Revisin">
    <w:name w:val="Revision"/>
    <w:hidden/>
    <w:uiPriority w:val="99"/>
    <w:semiHidden/>
    <w:rsid w:val="00DE25FA"/>
    <w:pPr>
      <w:spacing w:after="0" w:line="240" w:lineRule="auto"/>
    </w:pPr>
    <w:rPr>
      <w:rFonts w:ascii="Times New Roman" w:eastAsia="Times New Roman" w:hAnsi="Times New Roman" w:cs="Times New Roman"/>
      <w:kern w:val="0"/>
      <w:sz w:val="24"/>
      <w:szCs w:val="24"/>
      <w:lang w:val="es-CR" w:eastAsia="es-MX"/>
      <w14:ligatures w14:val="none"/>
    </w:rPr>
  </w:style>
  <w:style w:type="character" w:customStyle="1" w:styleId="mord">
    <w:name w:val="mord"/>
    <w:basedOn w:val="Fuentedeprrafopredeter"/>
    <w:rsid w:val="00393A47"/>
  </w:style>
  <w:style w:type="character" w:customStyle="1" w:styleId="vlist-s">
    <w:name w:val="vlist-s"/>
    <w:basedOn w:val="Fuentedeprrafopredeter"/>
    <w:rsid w:val="00393A47"/>
  </w:style>
  <w:style w:type="character" w:customStyle="1" w:styleId="mrel">
    <w:name w:val="mrel"/>
    <w:basedOn w:val="Fuentedeprrafopredeter"/>
    <w:rsid w:val="00393A47"/>
  </w:style>
  <w:style w:type="character" w:customStyle="1" w:styleId="mbin">
    <w:name w:val="mbin"/>
    <w:basedOn w:val="Fuentedeprrafopredeter"/>
    <w:rsid w:val="00393A47"/>
  </w:style>
  <w:style w:type="paragraph" w:styleId="Tabladeilustraciones">
    <w:name w:val="table of figures"/>
    <w:basedOn w:val="Normal"/>
    <w:next w:val="Normal"/>
    <w:uiPriority w:val="99"/>
    <w:unhideWhenUsed/>
    <w:rsid w:val="00ED618E"/>
  </w:style>
  <w:style w:type="table" w:styleId="Tablanormal5">
    <w:name w:val="Plain Table 5"/>
    <w:basedOn w:val="Tablanormal"/>
    <w:uiPriority w:val="45"/>
    <w:rsid w:val="00BE769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4">
    <w:name w:val="Plain Table 4"/>
    <w:basedOn w:val="Tablanormal"/>
    <w:uiPriority w:val="44"/>
    <w:rsid w:val="00BE769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1clara">
    <w:name w:val="Grid Table 1 Light"/>
    <w:basedOn w:val="Tablanormal"/>
    <w:uiPriority w:val="46"/>
    <w:rsid w:val="00BE769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Listaactual2">
    <w:name w:val="Lista actual2"/>
    <w:uiPriority w:val="99"/>
    <w:rsid w:val="00BE5906"/>
    <w:pPr>
      <w:numPr>
        <w:numId w:val="31"/>
      </w:numPr>
    </w:pPr>
  </w:style>
  <w:style w:type="paragraph" w:customStyle="1" w:styleId="font-claude-response-body">
    <w:name w:val="font-claude-response-body"/>
    <w:basedOn w:val="Normal"/>
    <w:rsid w:val="00885265"/>
    <w:pPr>
      <w:spacing w:before="100" w:beforeAutospacing="1" w:after="100" w:afterAutospacing="1"/>
    </w:pPr>
  </w:style>
  <w:style w:type="paragraph" w:customStyle="1" w:styleId="Descripcin1">
    <w:name w:val="Descripción1"/>
    <w:basedOn w:val="Normal"/>
    <w:pPr>
      <w:spacing w:after="200"/>
    </w:pPr>
    <w:rPr>
      <w:rFonts w:eastAsiaTheme="minorHAnsi"/>
      <w:i/>
      <w:iCs/>
      <w:color w:val="212745"/>
      <w:kern w:val="2"/>
      <w:sz w:val="18"/>
      <w:szCs w:val="18"/>
      <w:lang w:eastAsia="es-CR"/>
      <w14:ligatures w14:val="standardContextual"/>
    </w:rPr>
  </w:style>
  <w:style w:type="character" w:customStyle="1" w:styleId="Hyperlink1">
    <w:name w:val="Hyperlink1"/>
    <w:basedOn w:val="Fuentedeprrafopredeter"/>
    <w:rsid w:val="00467B77"/>
    <w:rPr>
      <w:color w:val="56C7AA"/>
      <w:u w:val="single"/>
    </w:rPr>
  </w:style>
  <w:style w:type="character" w:customStyle="1" w:styleId="Hyperlink2">
    <w:name w:val="Hyperlink2"/>
    <w:basedOn w:val="Fuentedeprrafopredeter"/>
    <w:rPr>
      <w:color w:val="56C7AA"/>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126854">
      <w:bodyDiv w:val="1"/>
      <w:marLeft w:val="0"/>
      <w:marRight w:val="0"/>
      <w:marTop w:val="0"/>
      <w:marBottom w:val="0"/>
      <w:divBdr>
        <w:top w:val="none" w:sz="0" w:space="0" w:color="auto"/>
        <w:left w:val="none" w:sz="0" w:space="0" w:color="auto"/>
        <w:bottom w:val="none" w:sz="0" w:space="0" w:color="auto"/>
        <w:right w:val="none" w:sz="0" w:space="0" w:color="auto"/>
      </w:divBdr>
    </w:div>
    <w:div w:id="85006064">
      <w:bodyDiv w:val="1"/>
      <w:marLeft w:val="0"/>
      <w:marRight w:val="0"/>
      <w:marTop w:val="0"/>
      <w:marBottom w:val="0"/>
      <w:divBdr>
        <w:top w:val="none" w:sz="0" w:space="0" w:color="auto"/>
        <w:left w:val="none" w:sz="0" w:space="0" w:color="auto"/>
        <w:bottom w:val="none" w:sz="0" w:space="0" w:color="auto"/>
        <w:right w:val="none" w:sz="0" w:space="0" w:color="auto"/>
      </w:divBdr>
    </w:div>
    <w:div w:id="113603604">
      <w:bodyDiv w:val="1"/>
      <w:marLeft w:val="0"/>
      <w:marRight w:val="0"/>
      <w:marTop w:val="0"/>
      <w:marBottom w:val="0"/>
      <w:divBdr>
        <w:top w:val="none" w:sz="0" w:space="0" w:color="auto"/>
        <w:left w:val="none" w:sz="0" w:space="0" w:color="auto"/>
        <w:bottom w:val="none" w:sz="0" w:space="0" w:color="auto"/>
        <w:right w:val="none" w:sz="0" w:space="0" w:color="auto"/>
      </w:divBdr>
    </w:div>
    <w:div w:id="214007575">
      <w:bodyDiv w:val="1"/>
      <w:marLeft w:val="0"/>
      <w:marRight w:val="0"/>
      <w:marTop w:val="0"/>
      <w:marBottom w:val="0"/>
      <w:divBdr>
        <w:top w:val="none" w:sz="0" w:space="0" w:color="auto"/>
        <w:left w:val="none" w:sz="0" w:space="0" w:color="auto"/>
        <w:bottom w:val="none" w:sz="0" w:space="0" w:color="auto"/>
        <w:right w:val="none" w:sz="0" w:space="0" w:color="auto"/>
      </w:divBdr>
    </w:div>
    <w:div w:id="271010446">
      <w:bodyDiv w:val="1"/>
      <w:marLeft w:val="0"/>
      <w:marRight w:val="0"/>
      <w:marTop w:val="0"/>
      <w:marBottom w:val="0"/>
      <w:divBdr>
        <w:top w:val="none" w:sz="0" w:space="0" w:color="auto"/>
        <w:left w:val="none" w:sz="0" w:space="0" w:color="auto"/>
        <w:bottom w:val="none" w:sz="0" w:space="0" w:color="auto"/>
        <w:right w:val="none" w:sz="0" w:space="0" w:color="auto"/>
      </w:divBdr>
    </w:div>
    <w:div w:id="309790631">
      <w:bodyDiv w:val="1"/>
      <w:marLeft w:val="0"/>
      <w:marRight w:val="0"/>
      <w:marTop w:val="0"/>
      <w:marBottom w:val="0"/>
      <w:divBdr>
        <w:top w:val="none" w:sz="0" w:space="0" w:color="auto"/>
        <w:left w:val="none" w:sz="0" w:space="0" w:color="auto"/>
        <w:bottom w:val="none" w:sz="0" w:space="0" w:color="auto"/>
        <w:right w:val="none" w:sz="0" w:space="0" w:color="auto"/>
      </w:divBdr>
    </w:div>
    <w:div w:id="349524731">
      <w:bodyDiv w:val="1"/>
      <w:marLeft w:val="0"/>
      <w:marRight w:val="0"/>
      <w:marTop w:val="0"/>
      <w:marBottom w:val="0"/>
      <w:divBdr>
        <w:top w:val="none" w:sz="0" w:space="0" w:color="auto"/>
        <w:left w:val="none" w:sz="0" w:space="0" w:color="auto"/>
        <w:bottom w:val="none" w:sz="0" w:space="0" w:color="auto"/>
        <w:right w:val="none" w:sz="0" w:space="0" w:color="auto"/>
      </w:divBdr>
    </w:div>
    <w:div w:id="364058988">
      <w:bodyDiv w:val="1"/>
      <w:marLeft w:val="0"/>
      <w:marRight w:val="0"/>
      <w:marTop w:val="0"/>
      <w:marBottom w:val="0"/>
      <w:divBdr>
        <w:top w:val="none" w:sz="0" w:space="0" w:color="auto"/>
        <w:left w:val="none" w:sz="0" w:space="0" w:color="auto"/>
        <w:bottom w:val="none" w:sz="0" w:space="0" w:color="auto"/>
        <w:right w:val="none" w:sz="0" w:space="0" w:color="auto"/>
      </w:divBdr>
    </w:div>
    <w:div w:id="403573929">
      <w:bodyDiv w:val="1"/>
      <w:marLeft w:val="0"/>
      <w:marRight w:val="0"/>
      <w:marTop w:val="0"/>
      <w:marBottom w:val="0"/>
      <w:divBdr>
        <w:top w:val="none" w:sz="0" w:space="0" w:color="auto"/>
        <w:left w:val="none" w:sz="0" w:space="0" w:color="auto"/>
        <w:bottom w:val="none" w:sz="0" w:space="0" w:color="auto"/>
        <w:right w:val="none" w:sz="0" w:space="0" w:color="auto"/>
      </w:divBdr>
      <w:divsChild>
        <w:div w:id="1781729121">
          <w:marLeft w:val="0"/>
          <w:marRight w:val="0"/>
          <w:marTop w:val="0"/>
          <w:marBottom w:val="0"/>
          <w:divBdr>
            <w:top w:val="none" w:sz="0" w:space="0" w:color="auto"/>
            <w:left w:val="none" w:sz="0" w:space="0" w:color="auto"/>
            <w:bottom w:val="none" w:sz="0" w:space="0" w:color="auto"/>
            <w:right w:val="none" w:sz="0" w:space="0" w:color="auto"/>
          </w:divBdr>
          <w:divsChild>
            <w:div w:id="1729649423">
              <w:marLeft w:val="0"/>
              <w:marRight w:val="0"/>
              <w:marTop w:val="0"/>
              <w:marBottom w:val="0"/>
              <w:divBdr>
                <w:top w:val="none" w:sz="0" w:space="0" w:color="auto"/>
                <w:left w:val="none" w:sz="0" w:space="0" w:color="auto"/>
                <w:bottom w:val="none" w:sz="0" w:space="0" w:color="auto"/>
                <w:right w:val="none" w:sz="0" w:space="0" w:color="auto"/>
              </w:divBdr>
              <w:divsChild>
                <w:div w:id="90880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509907">
      <w:bodyDiv w:val="1"/>
      <w:marLeft w:val="0"/>
      <w:marRight w:val="0"/>
      <w:marTop w:val="0"/>
      <w:marBottom w:val="0"/>
      <w:divBdr>
        <w:top w:val="none" w:sz="0" w:space="0" w:color="auto"/>
        <w:left w:val="none" w:sz="0" w:space="0" w:color="auto"/>
        <w:bottom w:val="none" w:sz="0" w:space="0" w:color="auto"/>
        <w:right w:val="none" w:sz="0" w:space="0" w:color="auto"/>
      </w:divBdr>
    </w:div>
    <w:div w:id="427427601">
      <w:bodyDiv w:val="1"/>
      <w:marLeft w:val="0"/>
      <w:marRight w:val="0"/>
      <w:marTop w:val="0"/>
      <w:marBottom w:val="0"/>
      <w:divBdr>
        <w:top w:val="none" w:sz="0" w:space="0" w:color="auto"/>
        <w:left w:val="none" w:sz="0" w:space="0" w:color="auto"/>
        <w:bottom w:val="none" w:sz="0" w:space="0" w:color="auto"/>
        <w:right w:val="none" w:sz="0" w:space="0" w:color="auto"/>
      </w:divBdr>
    </w:div>
    <w:div w:id="440951236">
      <w:bodyDiv w:val="1"/>
      <w:marLeft w:val="0"/>
      <w:marRight w:val="0"/>
      <w:marTop w:val="0"/>
      <w:marBottom w:val="0"/>
      <w:divBdr>
        <w:top w:val="none" w:sz="0" w:space="0" w:color="auto"/>
        <w:left w:val="none" w:sz="0" w:space="0" w:color="auto"/>
        <w:bottom w:val="none" w:sz="0" w:space="0" w:color="auto"/>
        <w:right w:val="none" w:sz="0" w:space="0" w:color="auto"/>
      </w:divBdr>
    </w:div>
    <w:div w:id="453255487">
      <w:bodyDiv w:val="1"/>
      <w:marLeft w:val="0"/>
      <w:marRight w:val="0"/>
      <w:marTop w:val="0"/>
      <w:marBottom w:val="0"/>
      <w:divBdr>
        <w:top w:val="none" w:sz="0" w:space="0" w:color="auto"/>
        <w:left w:val="none" w:sz="0" w:space="0" w:color="auto"/>
        <w:bottom w:val="none" w:sz="0" w:space="0" w:color="auto"/>
        <w:right w:val="none" w:sz="0" w:space="0" w:color="auto"/>
      </w:divBdr>
    </w:div>
    <w:div w:id="480191922">
      <w:bodyDiv w:val="1"/>
      <w:marLeft w:val="0"/>
      <w:marRight w:val="0"/>
      <w:marTop w:val="0"/>
      <w:marBottom w:val="0"/>
      <w:divBdr>
        <w:top w:val="none" w:sz="0" w:space="0" w:color="auto"/>
        <w:left w:val="none" w:sz="0" w:space="0" w:color="auto"/>
        <w:bottom w:val="none" w:sz="0" w:space="0" w:color="auto"/>
        <w:right w:val="none" w:sz="0" w:space="0" w:color="auto"/>
      </w:divBdr>
    </w:div>
    <w:div w:id="555118396">
      <w:bodyDiv w:val="1"/>
      <w:marLeft w:val="0"/>
      <w:marRight w:val="0"/>
      <w:marTop w:val="0"/>
      <w:marBottom w:val="0"/>
      <w:divBdr>
        <w:top w:val="none" w:sz="0" w:space="0" w:color="auto"/>
        <w:left w:val="none" w:sz="0" w:space="0" w:color="auto"/>
        <w:bottom w:val="none" w:sz="0" w:space="0" w:color="auto"/>
        <w:right w:val="none" w:sz="0" w:space="0" w:color="auto"/>
      </w:divBdr>
      <w:divsChild>
        <w:div w:id="2090301269">
          <w:marLeft w:val="0"/>
          <w:marRight w:val="0"/>
          <w:marTop w:val="0"/>
          <w:marBottom w:val="0"/>
          <w:divBdr>
            <w:top w:val="none" w:sz="0" w:space="0" w:color="auto"/>
            <w:left w:val="none" w:sz="0" w:space="0" w:color="auto"/>
            <w:bottom w:val="none" w:sz="0" w:space="0" w:color="auto"/>
            <w:right w:val="none" w:sz="0" w:space="0" w:color="auto"/>
          </w:divBdr>
          <w:divsChild>
            <w:div w:id="1463228481">
              <w:marLeft w:val="0"/>
              <w:marRight w:val="0"/>
              <w:marTop w:val="0"/>
              <w:marBottom w:val="0"/>
              <w:divBdr>
                <w:top w:val="none" w:sz="0" w:space="0" w:color="auto"/>
                <w:left w:val="none" w:sz="0" w:space="0" w:color="auto"/>
                <w:bottom w:val="none" w:sz="0" w:space="0" w:color="auto"/>
                <w:right w:val="none" w:sz="0" w:space="0" w:color="auto"/>
              </w:divBdr>
              <w:divsChild>
                <w:div w:id="196118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924862">
      <w:bodyDiv w:val="1"/>
      <w:marLeft w:val="0"/>
      <w:marRight w:val="0"/>
      <w:marTop w:val="0"/>
      <w:marBottom w:val="0"/>
      <w:divBdr>
        <w:top w:val="none" w:sz="0" w:space="0" w:color="auto"/>
        <w:left w:val="none" w:sz="0" w:space="0" w:color="auto"/>
        <w:bottom w:val="none" w:sz="0" w:space="0" w:color="auto"/>
        <w:right w:val="none" w:sz="0" w:space="0" w:color="auto"/>
      </w:divBdr>
    </w:div>
    <w:div w:id="627515259">
      <w:bodyDiv w:val="1"/>
      <w:marLeft w:val="0"/>
      <w:marRight w:val="0"/>
      <w:marTop w:val="0"/>
      <w:marBottom w:val="0"/>
      <w:divBdr>
        <w:top w:val="none" w:sz="0" w:space="0" w:color="auto"/>
        <w:left w:val="none" w:sz="0" w:space="0" w:color="auto"/>
        <w:bottom w:val="none" w:sz="0" w:space="0" w:color="auto"/>
        <w:right w:val="none" w:sz="0" w:space="0" w:color="auto"/>
      </w:divBdr>
    </w:div>
    <w:div w:id="662322026">
      <w:bodyDiv w:val="1"/>
      <w:marLeft w:val="0"/>
      <w:marRight w:val="0"/>
      <w:marTop w:val="0"/>
      <w:marBottom w:val="0"/>
      <w:divBdr>
        <w:top w:val="none" w:sz="0" w:space="0" w:color="auto"/>
        <w:left w:val="none" w:sz="0" w:space="0" w:color="auto"/>
        <w:bottom w:val="none" w:sz="0" w:space="0" w:color="auto"/>
        <w:right w:val="none" w:sz="0" w:space="0" w:color="auto"/>
      </w:divBdr>
    </w:div>
    <w:div w:id="674306093">
      <w:bodyDiv w:val="1"/>
      <w:marLeft w:val="0"/>
      <w:marRight w:val="0"/>
      <w:marTop w:val="0"/>
      <w:marBottom w:val="0"/>
      <w:divBdr>
        <w:top w:val="none" w:sz="0" w:space="0" w:color="auto"/>
        <w:left w:val="none" w:sz="0" w:space="0" w:color="auto"/>
        <w:bottom w:val="none" w:sz="0" w:space="0" w:color="auto"/>
        <w:right w:val="none" w:sz="0" w:space="0" w:color="auto"/>
      </w:divBdr>
    </w:div>
    <w:div w:id="678966284">
      <w:bodyDiv w:val="1"/>
      <w:marLeft w:val="0"/>
      <w:marRight w:val="0"/>
      <w:marTop w:val="0"/>
      <w:marBottom w:val="0"/>
      <w:divBdr>
        <w:top w:val="none" w:sz="0" w:space="0" w:color="auto"/>
        <w:left w:val="none" w:sz="0" w:space="0" w:color="auto"/>
        <w:bottom w:val="none" w:sz="0" w:space="0" w:color="auto"/>
        <w:right w:val="none" w:sz="0" w:space="0" w:color="auto"/>
      </w:divBdr>
      <w:divsChild>
        <w:div w:id="1183713835">
          <w:marLeft w:val="0"/>
          <w:marRight w:val="0"/>
          <w:marTop w:val="0"/>
          <w:marBottom w:val="0"/>
          <w:divBdr>
            <w:top w:val="none" w:sz="0" w:space="0" w:color="auto"/>
            <w:left w:val="none" w:sz="0" w:space="0" w:color="auto"/>
            <w:bottom w:val="none" w:sz="0" w:space="0" w:color="auto"/>
            <w:right w:val="none" w:sz="0" w:space="0" w:color="auto"/>
          </w:divBdr>
          <w:divsChild>
            <w:div w:id="2146388535">
              <w:marLeft w:val="0"/>
              <w:marRight w:val="0"/>
              <w:marTop w:val="0"/>
              <w:marBottom w:val="0"/>
              <w:divBdr>
                <w:top w:val="single" w:sz="2" w:space="0" w:color="E3E3E3"/>
                <w:left w:val="single" w:sz="2" w:space="0" w:color="E3E3E3"/>
                <w:bottom w:val="single" w:sz="2" w:space="0" w:color="E3E3E3"/>
                <w:right w:val="single" w:sz="2" w:space="0" w:color="E3E3E3"/>
              </w:divBdr>
              <w:divsChild>
                <w:div w:id="1669671742">
                  <w:marLeft w:val="0"/>
                  <w:marRight w:val="0"/>
                  <w:marTop w:val="0"/>
                  <w:marBottom w:val="0"/>
                  <w:divBdr>
                    <w:top w:val="single" w:sz="2" w:space="0" w:color="E3E3E3"/>
                    <w:left w:val="single" w:sz="2" w:space="0" w:color="E3E3E3"/>
                    <w:bottom w:val="single" w:sz="2" w:space="0" w:color="E3E3E3"/>
                    <w:right w:val="single" w:sz="2" w:space="0" w:color="E3E3E3"/>
                  </w:divBdr>
                  <w:divsChild>
                    <w:div w:id="1263294840">
                      <w:marLeft w:val="0"/>
                      <w:marRight w:val="0"/>
                      <w:marTop w:val="0"/>
                      <w:marBottom w:val="0"/>
                      <w:divBdr>
                        <w:top w:val="single" w:sz="6" w:space="0" w:color="auto"/>
                        <w:left w:val="single" w:sz="6" w:space="0" w:color="auto"/>
                        <w:bottom w:val="single" w:sz="6" w:space="0" w:color="auto"/>
                        <w:right w:val="single" w:sz="6" w:space="0" w:color="auto"/>
                      </w:divBdr>
                      <w:divsChild>
                        <w:div w:id="365840194">
                          <w:marLeft w:val="0"/>
                          <w:marRight w:val="0"/>
                          <w:marTop w:val="0"/>
                          <w:marBottom w:val="0"/>
                          <w:divBdr>
                            <w:top w:val="none" w:sz="0" w:space="0" w:color="auto"/>
                            <w:left w:val="none" w:sz="0" w:space="0" w:color="auto"/>
                            <w:bottom w:val="none" w:sz="0" w:space="0" w:color="auto"/>
                            <w:right w:val="none" w:sz="0" w:space="0" w:color="auto"/>
                          </w:divBdr>
                          <w:divsChild>
                            <w:div w:id="1953592782">
                              <w:marLeft w:val="0"/>
                              <w:marRight w:val="0"/>
                              <w:marTop w:val="0"/>
                              <w:marBottom w:val="0"/>
                              <w:divBdr>
                                <w:top w:val="none" w:sz="0" w:space="0" w:color="auto"/>
                                <w:left w:val="none" w:sz="0" w:space="0" w:color="auto"/>
                                <w:bottom w:val="none" w:sz="0" w:space="0" w:color="auto"/>
                                <w:right w:val="none" w:sz="0" w:space="0" w:color="auto"/>
                              </w:divBdr>
                              <w:divsChild>
                                <w:div w:id="2064399791">
                                  <w:marLeft w:val="0"/>
                                  <w:marRight w:val="0"/>
                                  <w:marTop w:val="0"/>
                                  <w:marBottom w:val="0"/>
                                  <w:divBdr>
                                    <w:top w:val="none" w:sz="0" w:space="0" w:color="auto"/>
                                    <w:left w:val="none" w:sz="0" w:space="0" w:color="auto"/>
                                    <w:bottom w:val="none" w:sz="0" w:space="0" w:color="auto"/>
                                    <w:right w:val="none" w:sz="0" w:space="0" w:color="auto"/>
                                  </w:divBdr>
                                  <w:divsChild>
                                    <w:div w:id="1146315369">
                                      <w:marLeft w:val="0"/>
                                      <w:marRight w:val="0"/>
                                      <w:marTop w:val="0"/>
                                      <w:marBottom w:val="0"/>
                                      <w:divBdr>
                                        <w:top w:val="none" w:sz="0" w:space="0" w:color="auto"/>
                                        <w:left w:val="none" w:sz="0" w:space="0" w:color="auto"/>
                                        <w:bottom w:val="none" w:sz="0" w:space="0" w:color="auto"/>
                                        <w:right w:val="none" w:sz="0" w:space="0" w:color="auto"/>
                                      </w:divBdr>
                                      <w:divsChild>
                                        <w:div w:id="898857407">
                                          <w:marLeft w:val="0"/>
                                          <w:marRight w:val="0"/>
                                          <w:marTop w:val="0"/>
                                          <w:marBottom w:val="0"/>
                                          <w:divBdr>
                                            <w:top w:val="none" w:sz="0" w:space="0" w:color="auto"/>
                                            <w:left w:val="none" w:sz="0" w:space="0" w:color="auto"/>
                                            <w:bottom w:val="none" w:sz="0" w:space="0" w:color="auto"/>
                                            <w:right w:val="none" w:sz="0" w:space="0" w:color="auto"/>
                                          </w:divBdr>
                                          <w:divsChild>
                                            <w:div w:id="75269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8253941">
          <w:marLeft w:val="0"/>
          <w:marRight w:val="0"/>
          <w:marTop w:val="0"/>
          <w:marBottom w:val="0"/>
          <w:divBdr>
            <w:top w:val="single" w:sz="2" w:space="0" w:color="E3E3E3"/>
            <w:left w:val="single" w:sz="2" w:space="0" w:color="E3E3E3"/>
            <w:bottom w:val="single" w:sz="2" w:space="0" w:color="E3E3E3"/>
            <w:right w:val="single" w:sz="2" w:space="0" w:color="E3E3E3"/>
          </w:divBdr>
          <w:divsChild>
            <w:div w:id="1236089319">
              <w:marLeft w:val="0"/>
              <w:marRight w:val="0"/>
              <w:marTop w:val="0"/>
              <w:marBottom w:val="0"/>
              <w:divBdr>
                <w:top w:val="single" w:sz="2" w:space="0" w:color="E3E3E3"/>
                <w:left w:val="single" w:sz="2" w:space="0" w:color="E3E3E3"/>
                <w:bottom w:val="single" w:sz="2" w:space="0" w:color="E3E3E3"/>
                <w:right w:val="single" w:sz="2" w:space="0" w:color="E3E3E3"/>
              </w:divBdr>
              <w:divsChild>
                <w:div w:id="705256730">
                  <w:marLeft w:val="0"/>
                  <w:marRight w:val="0"/>
                  <w:marTop w:val="0"/>
                  <w:marBottom w:val="0"/>
                  <w:divBdr>
                    <w:top w:val="single" w:sz="2" w:space="0" w:color="E3E3E3"/>
                    <w:left w:val="single" w:sz="2" w:space="0" w:color="E3E3E3"/>
                    <w:bottom w:val="single" w:sz="2" w:space="0" w:color="E3E3E3"/>
                    <w:right w:val="single" w:sz="2" w:space="0" w:color="E3E3E3"/>
                  </w:divBdr>
                  <w:divsChild>
                    <w:div w:id="430669197">
                      <w:marLeft w:val="0"/>
                      <w:marRight w:val="0"/>
                      <w:marTop w:val="0"/>
                      <w:marBottom w:val="0"/>
                      <w:divBdr>
                        <w:top w:val="single" w:sz="2" w:space="0" w:color="E3E3E3"/>
                        <w:left w:val="single" w:sz="2" w:space="0" w:color="E3E3E3"/>
                        <w:bottom w:val="single" w:sz="2" w:space="0" w:color="E3E3E3"/>
                        <w:right w:val="single" w:sz="2" w:space="0" w:color="E3E3E3"/>
                      </w:divBdr>
                      <w:divsChild>
                        <w:div w:id="1240673557">
                          <w:marLeft w:val="0"/>
                          <w:marRight w:val="0"/>
                          <w:marTop w:val="0"/>
                          <w:marBottom w:val="0"/>
                          <w:divBdr>
                            <w:top w:val="single" w:sz="2" w:space="0" w:color="E3E3E3"/>
                            <w:left w:val="single" w:sz="2" w:space="0" w:color="E3E3E3"/>
                            <w:bottom w:val="single" w:sz="2" w:space="0" w:color="E3E3E3"/>
                            <w:right w:val="single" w:sz="2" w:space="0" w:color="E3E3E3"/>
                          </w:divBdr>
                          <w:divsChild>
                            <w:div w:id="513150185">
                              <w:marLeft w:val="0"/>
                              <w:marRight w:val="0"/>
                              <w:marTop w:val="100"/>
                              <w:marBottom w:val="100"/>
                              <w:divBdr>
                                <w:top w:val="single" w:sz="2" w:space="0" w:color="E3E3E3"/>
                                <w:left w:val="single" w:sz="2" w:space="0" w:color="E3E3E3"/>
                                <w:bottom w:val="single" w:sz="2" w:space="0" w:color="E3E3E3"/>
                                <w:right w:val="single" w:sz="2" w:space="0" w:color="E3E3E3"/>
                              </w:divBdr>
                              <w:divsChild>
                                <w:div w:id="19283433">
                                  <w:marLeft w:val="0"/>
                                  <w:marRight w:val="0"/>
                                  <w:marTop w:val="0"/>
                                  <w:marBottom w:val="0"/>
                                  <w:divBdr>
                                    <w:top w:val="single" w:sz="2" w:space="0" w:color="E3E3E3"/>
                                    <w:left w:val="single" w:sz="2" w:space="0" w:color="E3E3E3"/>
                                    <w:bottom w:val="single" w:sz="2" w:space="0" w:color="E3E3E3"/>
                                    <w:right w:val="single" w:sz="2" w:space="0" w:color="E3E3E3"/>
                                  </w:divBdr>
                                  <w:divsChild>
                                    <w:div w:id="574822542">
                                      <w:marLeft w:val="0"/>
                                      <w:marRight w:val="0"/>
                                      <w:marTop w:val="0"/>
                                      <w:marBottom w:val="0"/>
                                      <w:divBdr>
                                        <w:top w:val="single" w:sz="2" w:space="0" w:color="E3E3E3"/>
                                        <w:left w:val="single" w:sz="2" w:space="0" w:color="E3E3E3"/>
                                        <w:bottom w:val="single" w:sz="2" w:space="0" w:color="E3E3E3"/>
                                        <w:right w:val="single" w:sz="2" w:space="0" w:color="E3E3E3"/>
                                      </w:divBdr>
                                      <w:divsChild>
                                        <w:div w:id="1876577576">
                                          <w:marLeft w:val="0"/>
                                          <w:marRight w:val="0"/>
                                          <w:marTop w:val="0"/>
                                          <w:marBottom w:val="0"/>
                                          <w:divBdr>
                                            <w:top w:val="single" w:sz="2" w:space="0" w:color="E3E3E3"/>
                                            <w:left w:val="single" w:sz="2" w:space="0" w:color="E3E3E3"/>
                                            <w:bottom w:val="single" w:sz="2" w:space="0" w:color="E3E3E3"/>
                                            <w:right w:val="single" w:sz="2" w:space="0" w:color="E3E3E3"/>
                                          </w:divBdr>
                                          <w:divsChild>
                                            <w:div w:id="655064593">
                                              <w:marLeft w:val="0"/>
                                              <w:marRight w:val="0"/>
                                              <w:marTop w:val="0"/>
                                              <w:marBottom w:val="0"/>
                                              <w:divBdr>
                                                <w:top w:val="single" w:sz="2" w:space="0" w:color="E3E3E3"/>
                                                <w:left w:val="single" w:sz="2" w:space="0" w:color="E3E3E3"/>
                                                <w:bottom w:val="single" w:sz="2" w:space="0" w:color="E3E3E3"/>
                                                <w:right w:val="single" w:sz="2" w:space="0" w:color="E3E3E3"/>
                                              </w:divBdr>
                                              <w:divsChild>
                                                <w:div w:id="1891568919">
                                                  <w:marLeft w:val="0"/>
                                                  <w:marRight w:val="0"/>
                                                  <w:marTop w:val="0"/>
                                                  <w:marBottom w:val="0"/>
                                                  <w:divBdr>
                                                    <w:top w:val="single" w:sz="2" w:space="0" w:color="E3E3E3"/>
                                                    <w:left w:val="single" w:sz="2" w:space="0" w:color="E3E3E3"/>
                                                    <w:bottom w:val="single" w:sz="2" w:space="0" w:color="E3E3E3"/>
                                                    <w:right w:val="single" w:sz="2" w:space="0" w:color="E3E3E3"/>
                                                  </w:divBdr>
                                                  <w:divsChild>
                                                    <w:div w:id="3777779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693114289">
      <w:bodyDiv w:val="1"/>
      <w:marLeft w:val="0"/>
      <w:marRight w:val="0"/>
      <w:marTop w:val="0"/>
      <w:marBottom w:val="0"/>
      <w:divBdr>
        <w:top w:val="none" w:sz="0" w:space="0" w:color="auto"/>
        <w:left w:val="none" w:sz="0" w:space="0" w:color="auto"/>
        <w:bottom w:val="none" w:sz="0" w:space="0" w:color="auto"/>
        <w:right w:val="none" w:sz="0" w:space="0" w:color="auto"/>
      </w:divBdr>
    </w:div>
    <w:div w:id="705642363">
      <w:bodyDiv w:val="1"/>
      <w:marLeft w:val="0"/>
      <w:marRight w:val="0"/>
      <w:marTop w:val="0"/>
      <w:marBottom w:val="0"/>
      <w:divBdr>
        <w:top w:val="none" w:sz="0" w:space="0" w:color="auto"/>
        <w:left w:val="none" w:sz="0" w:space="0" w:color="auto"/>
        <w:bottom w:val="none" w:sz="0" w:space="0" w:color="auto"/>
        <w:right w:val="none" w:sz="0" w:space="0" w:color="auto"/>
      </w:divBdr>
    </w:div>
    <w:div w:id="731974611">
      <w:bodyDiv w:val="1"/>
      <w:marLeft w:val="0"/>
      <w:marRight w:val="0"/>
      <w:marTop w:val="0"/>
      <w:marBottom w:val="0"/>
      <w:divBdr>
        <w:top w:val="none" w:sz="0" w:space="0" w:color="auto"/>
        <w:left w:val="none" w:sz="0" w:space="0" w:color="auto"/>
        <w:bottom w:val="none" w:sz="0" w:space="0" w:color="auto"/>
        <w:right w:val="none" w:sz="0" w:space="0" w:color="auto"/>
      </w:divBdr>
    </w:div>
    <w:div w:id="732462479">
      <w:bodyDiv w:val="1"/>
      <w:marLeft w:val="0"/>
      <w:marRight w:val="0"/>
      <w:marTop w:val="0"/>
      <w:marBottom w:val="0"/>
      <w:divBdr>
        <w:top w:val="none" w:sz="0" w:space="0" w:color="auto"/>
        <w:left w:val="none" w:sz="0" w:space="0" w:color="auto"/>
        <w:bottom w:val="none" w:sz="0" w:space="0" w:color="auto"/>
        <w:right w:val="none" w:sz="0" w:space="0" w:color="auto"/>
      </w:divBdr>
    </w:div>
    <w:div w:id="758213165">
      <w:bodyDiv w:val="1"/>
      <w:marLeft w:val="0"/>
      <w:marRight w:val="0"/>
      <w:marTop w:val="0"/>
      <w:marBottom w:val="0"/>
      <w:divBdr>
        <w:top w:val="none" w:sz="0" w:space="0" w:color="auto"/>
        <w:left w:val="none" w:sz="0" w:space="0" w:color="auto"/>
        <w:bottom w:val="none" w:sz="0" w:space="0" w:color="auto"/>
        <w:right w:val="none" w:sz="0" w:space="0" w:color="auto"/>
      </w:divBdr>
    </w:div>
    <w:div w:id="769591419">
      <w:bodyDiv w:val="1"/>
      <w:marLeft w:val="0"/>
      <w:marRight w:val="0"/>
      <w:marTop w:val="0"/>
      <w:marBottom w:val="0"/>
      <w:divBdr>
        <w:top w:val="none" w:sz="0" w:space="0" w:color="auto"/>
        <w:left w:val="none" w:sz="0" w:space="0" w:color="auto"/>
        <w:bottom w:val="none" w:sz="0" w:space="0" w:color="auto"/>
        <w:right w:val="none" w:sz="0" w:space="0" w:color="auto"/>
      </w:divBdr>
    </w:div>
    <w:div w:id="778917286">
      <w:bodyDiv w:val="1"/>
      <w:marLeft w:val="0"/>
      <w:marRight w:val="0"/>
      <w:marTop w:val="0"/>
      <w:marBottom w:val="0"/>
      <w:divBdr>
        <w:top w:val="none" w:sz="0" w:space="0" w:color="auto"/>
        <w:left w:val="none" w:sz="0" w:space="0" w:color="auto"/>
        <w:bottom w:val="none" w:sz="0" w:space="0" w:color="auto"/>
        <w:right w:val="none" w:sz="0" w:space="0" w:color="auto"/>
      </w:divBdr>
    </w:div>
    <w:div w:id="791559893">
      <w:bodyDiv w:val="1"/>
      <w:marLeft w:val="0"/>
      <w:marRight w:val="0"/>
      <w:marTop w:val="0"/>
      <w:marBottom w:val="0"/>
      <w:divBdr>
        <w:top w:val="none" w:sz="0" w:space="0" w:color="auto"/>
        <w:left w:val="none" w:sz="0" w:space="0" w:color="auto"/>
        <w:bottom w:val="none" w:sz="0" w:space="0" w:color="auto"/>
        <w:right w:val="none" w:sz="0" w:space="0" w:color="auto"/>
      </w:divBdr>
    </w:div>
    <w:div w:id="805590171">
      <w:bodyDiv w:val="1"/>
      <w:marLeft w:val="0"/>
      <w:marRight w:val="0"/>
      <w:marTop w:val="0"/>
      <w:marBottom w:val="0"/>
      <w:divBdr>
        <w:top w:val="none" w:sz="0" w:space="0" w:color="auto"/>
        <w:left w:val="none" w:sz="0" w:space="0" w:color="auto"/>
        <w:bottom w:val="none" w:sz="0" w:space="0" w:color="auto"/>
        <w:right w:val="none" w:sz="0" w:space="0" w:color="auto"/>
      </w:divBdr>
      <w:divsChild>
        <w:div w:id="1362517369">
          <w:marLeft w:val="0"/>
          <w:marRight w:val="0"/>
          <w:marTop w:val="0"/>
          <w:marBottom w:val="60"/>
          <w:divBdr>
            <w:top w:val="none" w:sz="0" w:space="0" w:color="auto"/>
            <w:left w:val="none" w:sz="0" w:space="0" w:color="auto"/>
            <w:bottom w:val="none" w:sz="0" w:space="0" w:color="auto"/>
            <w:right w:val="none" w:sz="0" w:space="0" w:color="auto"/>
          </w:divBdr>
          <w:divsChild>
            <w:div w:id="236064134">
              <w:marLeft w:val="0"/>
              <w:marRight w:val="0"/>
              <w:marTop w:val="0"/>
              <w:marBottom w:val="0"/>
              <w:divBdr>
                <w:top w:val="none" w:sz="0" w:space="0" w:color="auto"/>
                <w:left w:val="none" w:sz="0" w:space="0" w:color="auto"/>
                <w:bottom w:val="none" w:sz="0" w:space="0" w:color="auto"/>
                <w:right w:val="none" w:sz="0" w:space="0" w:color="auto"/>
              </w:divBdr>
              <w:divsChild>
                <w:div w:id="6549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491917">
      <w:bodyDiv w:val="1"/>
      <w:marLeft w:val="0"/>
      <w:marRight w:val="0"/>
      <w:marTop w:val="0"/>
      <w:marBottom w:val="0"/>
      <w:divBdr>
        <w:top w:val="none" w:sz="0" w:space="0" w:color="auto"/>
        <w:left w:val="none" w:sz="0" w:space="0" w:color="auto"/>
        <w:bottom w:val="none" w:sz="0" w:space="0" w:color="auto"/>
        <w:right w:val="none" w:sz="0" w:space="0" w:color="auto"/>
      </w:divBdr>
    </w:div>
    <w:div w:id="824122723">
      <w:bodyDiv w:val="1"/>
      <w:marLeft w:val="0"/>
      <w:marRight w:val="0"/>
      <w:marTop w:val="0"/>
      <w:marBottom w:val="0"/>
      <w:divBdr>
        <w:top w:val="none" w:sz="0" w:space="0" w:color="auto"/>
        <w:left w:val="none" w:sz="0" w:space="0" w:color="auto"/>
        <w:bottom w:val="none" w:sz="0" w:space="0" w:color="auto"/>
        <w:right w:val="none" w:sz="0" w:space="0" w:color="auto"/>
      </w:divBdr>
    </w:div>
    <w:div w:id="836460233">
      <w:bodyDiv w:val="1"/>
      <w:marLeft w:val="0"/>
      <w:marRight w:val="0"/>
      <w:marTop w:val="0"/>
      <w:marBottom w:val="0"/>
      <w:divBdr>
        <w:top w:val="none" w:sz="0" w:space="0" w:color="auto"/>
        <w:left w:val="none" w:sz="0" w:space="0" w:color="auto"/>
        <w:bottom w:val="none" w:sz="0" w:space="0" w:color="auto"/>
        <w:right w:val="none" w:sz="0" w:space="0" w:color="auto"/>
      </w:divBdr>
    </w:div>
    <w:div w:id="846560482">
      <w:bodyDiv w:val="1"/>
      <w:marLeft w:val="0"/>
      <w:marRight w:val="0"/>
      <w:marTop w:val="0"/>
      <w:marBottom w:val="0"/>
      <w:divBdr>
        <w:top w:val="none" w:sz="0" w:space="0" w:color="auto"/>
        <w:left w:val="none" w:sz="0" w:space="0" w:color="auto"/>
        <w:bottom w:val="none" w:sz="0" w:space="0" w:color="auto"/>
        <w:right w:val="none" w:sz="0" w:space="0" w:color="auto"/>
      </w:divBdr>
    </w:div>
    <w:div w:id="876045378">
      <w:bodyDiv w:val="1"/>
      <w:marLeft w:val="0"/>
      <w:marRight w:val="0"/>
      <w:marTop w:val="0"/>
      <w:marBottom w:val="0"/>
      <w:divBdr>
        <w:top w:val="none" w:sz="0" w:space="0" w:color="auto"/>
        <w:left w:val="none" w:sz="0" w:space="0" w:color="auto"/>
        <w:bottom w:val="none" w:sz="0" w:space="0" w:color="auto"/>
        <w:right w:val="none" w:sz="0" w:space="0" w:color="auto"/>
      </w:divBdr>
    </w:div>
    <w:div w:id="908078952">
      <w:bodyDiv w:val="1"/>
      <w:marLeft w:val="0"/>
      <w:marRight w:val="0"/>
      <w:marTop w:val="0"/>
      <w:marBottom w:val="0"/>
      <w:divBdr>
        <w:top w:val="none" w:sz="0" w:space="0" w:color="auto"/>
        <w:left w:val="none" w:sz="0" w:space="0" w:color="auto"/>
        <w:bottom w:val="none" w:sz="0" w:space="0" w:color="auto"/>
        <w:right w:val="none" w:sz="0" w:space="0" w:color="auto"/>
      </w:divBdr>
      <w:divsChild>
        <w:div w:id="878274342">
          <w:marLeft w:val="0"/>
          <w:marRight w:val="0"/>
          <w:marTop w:val="0"/>
          <w:marBottom w:val="0"/>
          <w:divBdr>
            <w:top w:val="none" w:sz="0" w:space="0" w:color="auto"/>
            <w:left w:val="none" w:sz="0" w:space="0" w:color="auto"/>
            <w:bottom w:val="none" w:sz="0" w:space="0" w:color="auto"/>
            <w:right w:val="none" w:sz="0" w:space="0" w:color="auto"/>
          </w:divBdr>
          <w:divsChild>
            <w:div w:id="225072739">
              <w:marLeft w:val="0"/>
              <w:marRight w:val="0"/>
              <w:marTop w:val="0"/>
              <w:marBottom w:val="0"/>
              <w:divBdr>
                <w:top w:val="none" w:sz="0" w:space="0" w:color="auto"/>
                <w:left w:val="none" w:sz="0" w:space="0" w:color="auto"/>
                <w:bottom w:val="none" w:sz="0" w:space="0" w:color="auto"/>
                <w:right w:val="none" w:sz="0" w:space="0" w:color="auto"/>
              </w:divBdr>
              <w:divsChild>
                <w:div w:id="135456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181631">
      <w:bodyDiv w:val="1"/>
      <w:marLeft w:val="0"/>
      <w:marRight w:val="0"/>
      <w:marTop w:val="0"/>
      <w:marBottom w:val="0"/>
      <w:divBdr>
        <w:top w:val="none" w:sz="0" w:space="0" w:color="auto"/>
        <w:left w:val="none" w:sz="0" w:space="0" w:color="auto"/>
        <w:bottom w:val="none" w:sz="0" w:space="0" w:color="auto"/>
        <w:right w:val="none" w:sz="0" w:space="0" w:color="auto"/>
      </w:divBdr>
    </w:div>
    <w:div w:id="941299454">
      <w:bodyDiv w:val="1"/>
      <w:marLeft w:val="0"/>
      <w:marRight w:val="0"/>
      <w:marTop w:val="0"/>
      <w:marBottom w:val="0"/>
      <w:divBdr>
        <w:top w:val="none" w:sz="0" w:space="0" w:color="auto"/>
        <w:left w:val="none" w:sz="0" w:space="0" w:color="auto"/>
        <w:bottom w:val="none" w:sz="0" w:space="0" w:color="auto"/>
        <w:right w:val="none" w:sz="0" w:space="0" w:color="auto"/>
      </w:divBdr>
    </w:div>
    <w:div w:id="944653932">
      <w:bodyDiv w:val="1"/>
      <w:marLeft w:val="0"/>
      <w:marRight w:val="0"/>
      <w:marTop w:val="0"/>
      <w:marBottom w:val="0"/>
      <w:divBdr>
        <w:top w:val="none" w:sz="0" w:space="0" w:color="auto"/>
        <w:left w:val="none" w:sz="0" w:space="0" w:color="auto"/>
        <w:bottom w:val="none" w:sz="0" w:space="0" w:color="auto"/>
        <w:right w:val="none" w:sz="0" w:space="0" w:color="auto"/>
      </w:divBdr>
    </w:div>
    <w:div w:id="970482776">
      <w:bodyDiv w:val="1"/>
      <w:marLeft w:val="0"/>
      <w:marRight w:val="0"/>
      <w:marTop w:val="0"/>
      <w:marBottom w:val="0"/>
      <w:divBdr>
        <w:top w:val="none" w:sz="0" w:space="0" w:color="auto"/>
        <w:left w:val="none" w:sz="0" w:space="0" w:color="auto"/>
        <w:bottom w:val="none" w:sz="0" w:space="0" w:color="auto"/>
        <w:right w:val="none" w:sz="0" w:space="0" w:color="auto"/>
      </w:divBdr>
    </w:div>
    <w:div w:id="980615919">
      <w:bodyDiv w:val="1"/>
      <w:marLeft w:val="0"/>
      <w:marRight w:val="0"/>
      <w:marTop w:val="0"/>
      <w:marBottom w:val="0"/>
      <w:divBdr>
        <w:top w:val="none" w:sz="0" w:space="0" w:color="auto"/>
        <w:left w:val="none" w:sz="0" w:space="0" w:color="auto"/>
        <w:bottom w:val="none" w:sz="0" w:space="0" w:color="auto"/>
        <w:right w:val="none" w:sz="0" w:space="0" w:color="auto"/>
      </w:divBdr>
    </w:div>
    <w:div w:id="1020351536">
      <w:bodyDiv w:val="1"/>
      <w:marLeft w:val="0"/>
      <w:marRight w:val="0"/>
      <w:marTop w:val="0"/>
      <w:marBottom w:val="0"/>
      <w:divBdr>
        <w:top w:val="none" w:sz="0" w:space="0" w:color="auto"/>
        <w:left w:val="none" w:sz="0" w:space="0" w:color="auto"/>
        <w:bottom w:val="none" w:sz="0" w:space="0" w:color="auto"/>
        <w:right w:val="none" w:sz="0" w:space="0" w:color="auto"/>
      </w:divBdr>
    </w:div>
    <w:div w:id="1054549514">
      <w:bodyDiv w:val="1"/>
      <w:marLeft w:val="0"/>
      <w:marRight w:val="0"/>
      <w:marTop w:val="0"/>
      <w:marBottom w:val="0"/>
      <w:divBdr>
        <w:top w:val="none" w:sz="0" w:space="0" w:color="auto"/>
        <w:left w:val="none" w:sz="0" w:space="0" w:color="auto"/>
        <w:bottom w:val="none" w:sz="0" w:space="0" w:color="auto"/>
        <w:right w:val="none" w:sz="0" w:space="0" w:color="auto"/>
      </w:divBdr>
    </w:div>
    <w:div w:id="1091974258">
      <w:bodyDiv w:val="1"/>
      <w:marLeft w:val="0"/>
      <w:marRight w:val="0"/>
      <w:marTop w:val="0"/>
      <w:marBottom w:val="0"/>
      <w:divBdr>
        <w:top w:val="none" w:sz="0" w:space="0" w:color="auto"/>
        <w:left w:val="none" w:sz="0" w:space="0" w:color="auto"/>
        <w:bottom w:val="none" w:sz="0" w:space="0" w:color="auto"/>
        <w:right w:val="none" w:sz="0" w:space="0" w:color="auto"/>
      </w:divBdr>
    </w:div>
    <w:div w:id="1098603390">
      <w:bodyDiv w:val="1"/>
      <w:marLeft w:val="0"/>
      <w:marRight w:val="0"/>
      <w:marTop w:val="0"/>
      <w:marBottom w:val="0"/>
      <w:divBdr>
        <w:top w:val="none" w:sz="0" w:space="0" w:color="auto"/>
        <w:left w:val="none" w:sz="0" w:space="0" w:color="auto"/>
        <w:bottom w:val="none" w:sz="0" w:space="0" w:color="auto"/>
        <w:right w:val="none" w:sz="0" w:space="0" w:color="auto"/>
      </w:divBdr>
    </w:div>
    <w:div w:id="1112895855">
      <w:bodyDiv w:val="1"/>
      <w:marLeft w:val="0"/>
      <w:marRight w:val="0"/>
      <w:marTop w:val="0"/>
      <w:marBottom w:val="0"/>
      <w:divBdr>
        <w:top w:val="none" w:sz="0" w:space="0" w:color="auto"/>
        <w:left w:val="none" w:sz="0" w:space="0" w:color="auto"/>
        <w:bottom w:val="none" w:sz="0" w:space="0" w:color="auto"/>
        <w:right w:val="none" w:sz="0" w:space="0" w:color="auto"/>
      </w:divBdr>
      <w:divsChild>
        <w:div w:id="887227471">
          <w:marLeft w:val="0"/>
          <w:marRight w:val="0"/>
          <w:marTop w:val="0"/>
          <w:marBottom w:val="60"/>
          <w:divBdr>
            <w:top w:val="none" w:sz="0" w:space="0" w:color="auto"/>
            <w:left w:val="none" w:sz="0" w:space="0" w:color="auto"/>
            <w:bottom w:val="none" w:sz="0" w:space="0" w:color="auto"/>
            <w:right w:val="none" w:sz="0" w:space="0" w:color="auto"/>
          </w:divBdr>
          <w:divsChild>
            <w:div w:id="1797336085">
              <w:marLeft w:val="0"/>
              <w:marRight w:val="0"/>
              <w:marTop w:val="0"/>
              <w:marBottom w:val="0"/>
              <w:divBdr>
                <w:top w:val="none" w:sz="0" w:space="0" w:color="auto"/>
                <w:left w:val="none" w:sz="0" w:space="0" w:color="auto"/>
                <w:bottom w:val="none" w:sz="0" w:space="0" w:color="auto"/>
                <w:right w:val="none" w:sz="0" w:space="0" w:color="auto"/>
              </w:divBdr>
              <w:divsChild>
                <w:div w:id="96377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551751">
      <w:bodyDiv w:val="1"/>
      <w:marLeft w:val="0"/>
      <w:marRight w:val="0"/>
      <w:marTop w:val="0"/>
      <w:marBottom w:val="0"/>
      <w:divBdr>
        <w:top w:val="none" w:sz="0" w:space="0" w:color="auto"/>
        <w:left w:val="none" w:sz="0" w:space="0" w:color="auto"/>
        <w:bottom w:val="none" w:sz="0" w:space="0" w:color="auto"/>
        <w:right w:val="none" w:sz="0" w:space="0" w:color="auto"/>
      </w:divBdr>
    </w:div>
    <w:div w:id="1143737103">
      <w:bodyDiv w:val="1"/>
      <w:marLeft w:val="0"/>
      <w:marRight w:val="0"/>
      <w:marTop w:val="0"/>
      <w:marBottom w:val="0"/>
      <w:divBdr>
        <w:top w:val="none" w:sz="0" w:space="0" w:color="auto"/>
        <w:left w:val="none" w:sz="0" w:space="0" w:color="auto"/>
        <w:bottom w:val="none" w:sz="0" w:space="0" w:color="auto"/>
        <w:right w:val="none" w:sz="0" w:space="0" w:color="auto"/>
      </w:divBdr>
    </w:div>
    <w:div w:id="1220436594">
      <w:bodyDiv w:val="1"/>
      <w:marLeft w:val="0"/>
      <w:marRight w:val="0"/>
      <w:marTop w:val="0"/>
      <w:marBottom w:val="0"/>
      <w:divBdr>
        <w:top w:val="none" w:sz="0" w:space="0" w:color="auto"/>
        <w:left w:val="none" w:sz="0" w:space="0" w:color="auto"/>
        <w:bottom w:val="none" w:sz="0" w:space="0" w:color="auto"/>
        <w:right w:val="none" w:sz="0" w:space="0" w:color="auto"/>
      </w:divBdr>
    </w:div>
    <w:div w:id="1263147336">
      <w:bodyDiv w:val="1"/>
      <w:marLeft w:val="0"/>
      <w:marRight w:val="0"/>
      <w:marTop w:val="0"/>
      <w:marBottom w:val="0"/>
      <w:divBdr>
        <w:top w:val="none" w:sz="0" w:space="0" w:color="auto"/>
        <w:left w:val="none" w:sz="0" w:space="0" w:color="auto"/>
        <w:bottom w:val="none" w:sz="0" w:space="0" w:color="auto"/>
        <w:right w:val="none" w:sz="0" w:space="0" w:color="auto"/>
      </w:divBdr>
    </w:div>
    <w:div w:id="1324509043">
      <w:bodyDiv w:val="1"/>
      <w:marLeft w:val="0"/>
      <w:marRight w:val="0"/>
      <w:marTop w:val="0"/>
      <w:marBottom w:val="0"/>
      <w:divBdr>
        <w:top w:val="none" w:sz="0" w:space="0" w:color="auto"/>
        <w:left w:val="none" w:sz="0" w:space="0" w:color="auto"/>
        <w:bottom w:val="none" w:sz="0" w:space="0" w:color="auto"/>
        <w:right w:val="none" w:sz="0" w:space="0" w:color="auto"/>
      </w:divBdr>
    </w:div>
    <w:div w:id="1330644683">
      <w:bodyDiv w:val="1"/>
      <w:marLeft w:val="0"/>
      <w:marRight w:val="0"/>
      <w:marTop w:val="0"/>
      <w:marBottom w:val="0"/>
      <w:divBdr>
        <w:top w:val="none" w:sz="0" w:space="0" w:color="auto"/>
        <w:left w:val="none" w:sz="0" w:space="0" w:color="auto"/>
        <w:bottom w:val="none" w:sz="0" w:space="0" w:color="auto"/>
        <w:right w:val="none" w:sz="0" w:space="0" w:color="auto"/>
      </w:divBdr>
    </w:div>
    <w:div w:id="1341738006">
      <w:bodyDiv w:val="1"/>
      <w:marLeft w:val="0"/>
      <w:marRight w:val="0"/>
      <w:marTop w:val="0"/>
      <w:marBottom w:val="0"/>
      <w:divBdr>
        <w:top w:val="none" w:sz="0" w:space="0" w:color="auto"/>
        <w:left w:val="none" w:sz="0" w:space="0" w:color="auto"/>
        <w:bottom w:val="none" w:sz="0" w:space="0" w:color="auto"/>
        <w:right w:val="none" w:sz="0" w:space="0" w:color="auto"/>
      </w:divBdr>
    </w:div>
    <w:div w:id="1352028898">
      <w:bodyDiv w:val="1"/>
      <w:marLeft w:val="0"/>
      <w:marRight w:val="0"/>
      <w:marTop w:val="0"/>
      <w:marBottom w:val="0"/>
      <w:divBdr>
        <w:top w:val="none" w:sz="0" w:space="0" w:color="auto"/>
        <w:left w:val="none" w:sz="0" w:space="0" w:color="auto"/>
        <w:bottom w:val="none" w:sz="0" w:space="0" w:color="auto"/>
        <w:right w:val="none" w:sz="0" w:space="0" w:color="auto"/>
      </w:divBdr>
    </w:div>
    <w:div w:id="1362125589">
      <w:bodyDiv w:val="1"/>
      <w:marLeft w:val="0"/>
      <w:marRight w:val="0"/>
      <w:marTop w:val="0"/>
      <w:marBottom w:val="0"/>
      <w:divBdr>
        <w:top w:val="none" w:sz="0" w:space="0" w:color="auto"/>
        <w:left w:val="none" w:sz="0" w:space="0" w:color="auto"/>
        <w:bottom w:val="none" w:sz="0" w:space="0" w:color="auto"/>
        <w:right w:val="none" w:sz="0" w:space="0" w:color="auto"/>
      </w:divBdr>
    </w:div>
    <w:div w:id="1387339899">
      <w:bodyDiv w:val="1"/>
      <w:marLeft w:val="0"/>
      <w:marRight w:val="0"/>
      <w:marTop w:val="0"/>
      <w:marBottom w:val="0"/>
      <w:divBdr>
        <w:top w:val="none" w:sz="0" w:space="0" w:color="auto"/>
        <w:left w:val="none" w:sz="0" w:space="0" w:color="auto"/>
        <w:bottom w:val="none" w:sz="0" w:space="0" w:color="auto"/>
        <w:right w:val="none" w:sz="0" w:space="0" w:color="auto"/>
      </w:divBdr>
    </w:div>
    <w:div w:id="1390570662">
      <w:bodyDiv w:val="1"/>
      <w:marLeft w:val="0"/>
      <w:marRight w:val="0"/>
      <w:marTop w:val="0"/>
      <w:marBottom w:val="0"/>
      <w:divBdr>
        <w:top w:val="none" w:sz="0" w:space="0" w:color="auto"/>
        <w:left w:val="none" w:sz="0" w:space="0" w:color="auto"/>
        <w:bottom w:val="none" w:sz="0" w:space="0" w:color="auto"/>
        <w:right w:val="none" w:sz="0" w:space="0" w:color="auto"/>
      </w:divBdr>
    </w:div>
    <w:div w:id="1444423376">
      <w:bodyDiv w:val="1"/>
      <w:marLeft w:val="0"/>
      <w:marRight w:val="0"/>
      <w:marTop w:val="0"/>
      <w:marBottom w:val="0"/>
      <w:divBdr>
        <w:top w:val="none" w:sz="0" w:space="0" w:color="auto"/>
        <w:left w:val="none" w:sz="0" w:space="0" w:color="auto"/>
        <w:bottom w:val="none" w:sz="0" w:space="0" w:color="auto"/>
        <w:right w:val="none" w:sz="0" w:space="0" w:color="auto"/>
      </w:divBdr>
    </w:div>
    <w:div w:id="1456409962">
      <w:bodyDiv w:val="1"/>
      <w:marLeft w:val="0"/>
      <w:marRight w:val="0"/>
      <w:marTop w:val="0"/>
      <w:marBottom w:val="0"/>
      <w:divBdr>
        <w:top w:val="none" w:sz="0" w:space="0" w:color="auto"/>
        <w:left w:val="none" w:sz="0" w:space="0" w:color="auto"/>
        <w:bottom w:val="none" w:sz="0" w:space="0" w:color="auto"/>
        <w:right w:val="none" w:sz="0" w:space="0" w:color="auto"/>
      </w:divBdr>
    </w:div>
    <w:div w:id="1460295484">
      <w:bodyDiv w:val="1"/>
      <w:marLeft w:val="0"/>
      <w:marRight w:val="0"/>
      <w:marTop w:val="0"/>
      <w:marBottom w:val="0"/>
      <w:divBdr>
        <w:top w:val="none" w:sz="0" w:space="0" w:color="auto"/>
        <w:left w:val="none" w:sz="0" w:space="0" w:color="auto"/>
        <w:bottom w:val="none" w:sz="0" w:space="0" w:color="auto"/>
        <w:right w:val="none" w:sz="0" w:space="0" w:color="auto"/>
      </w:divBdr>
    </w:div>
    <w:div w:id="1475027860">
      <w:bodyDiv w:val="1"/>
      <w:marLeft w:val="0"/>
      <w:marRight w:val="0"/>
      <w:marTop w:val="0"/>
      <w:marBottom w:val="0"/>
      <w:divBdr>
        <w:top w:val="none" w:sz="0" w:space="0" w:color="auto"/>
        <w:left w:val="none" w:sz="0" w:space="0" w:color="auto"/>
        <w:bottom w:val="none" w:sz="0" w:space="0" w:color="auto"/>
        <w:right w:val="none" w:sz="0" w:space="0" w:color="auto"/>
      </w:divBdr>
    </w:div>
    <w:div w:id="1515804971">
      <w:bodyDiv w:val="1"/>
      <w:marLeft w:val="0"/>
      <w:marRight w:val="0"/>
      <w:marTop w:val="0"/>
      <w:marBottom w:val="0"/>
      <w:divBdr>
        <w:top w:val="none" w:sz="0" w:space="0" w:color="auto"/>
        <w:left w:val="none" w:sz="0" w:space="0" w:color="auto"/>
        <w:bottom w:val="none" w:sz="0" w:space="0" w:color="auto"/>
        <w:right w:val="none" w:sz="0" w:space="0" w:color="auto"/>
      </w:divBdr>
    </w:div>
    <w:div w:id="1524858260">
      <w:bodyDiv w:val="1"/>
      <w:marLeft w:val="0"/>
      <w:marRight w:val="0"/>
      <w:marTop w:val="0"/>
      <w:marBottom w:val="0"/>
      <w:divBdr>
        <w:top w:val="none" w:sz="0" w:space="0" w:color="auto"/>
        <w:left w:val="none" w:sz="0" w:space="0" w:color="auto"/>
        <w:bottom w:val="none" w:sz="0" w:space="0" w:color="auto"/>
        <w:right w:val="none" w:sz="0" w:space="0" w:color="auto"/>
      </w:divBdr>
    </w:div>
    <w:div w:id="1621961241">
      <w:bodyDiv w:val="1"/>
      <w:marLeft w:val="0"/>
      <w:marRight w:val="0"/>
      <w:marTop w:val="0"/>
      <w:marBottom w:val="0"/>
      <w:divBdr>
        <w:top w:val="none" w:sz="0" w:space="0" w:color="auto"/>
        <w:left w:val="none" w:sz="0" w:space="0" w:color="auto"/>
        <w:bottom w:val="none" w:sz="0" w:space="0" w:color="auto"/>
        <w:right w:val="none" w:sz="0" w:space="0" w:color="auto"/>
      </w:divBdr>
    </w:div>
    <w:div w:id="1636830323">
      <w:bodyDiv w:val="1"/>
      <w:marLeft w:val="0"/>
      <w:marRight w:val="0"/>
      <w:marTop w:val="0"/>
      <w:marBottom w:val="0"/>
      <w:divBdr>
        <w:top w:val="none" w:sz="0" w:space="0" w:color="auto"/>
        <w:left w:val="none" w:sz="0" w:space="0" w:color="auto"/>
        <w:bottom w:val="none" w:sz="0" w:space="0" w:color="auto"/>
        <w:right w:val="none" w:sz="0" w:space="0" w:color="auto"/>
      </w:divBdr>
    </w:div>
    <w:div w:id="1637877988">
      <w:bodyDiv w:val="1"/>
      <w:marLeft w:val="0"/>
      <w:marRight w:val="0"/>
      <w:marTop w:val="0"/>
      <w:marBottom w:val="0"/>
      <w:divBdr>
        <w:top w:val="none" w:sz="0" w:space="0" w:color="auto"/>
        <w:left w:val="none" w:sz="0" w:space="0" w:color="auto"/>
        <w:bottom w:val="none" w:sz="0" w:space="0" w:color="auto"/>
        <w:right w:val="none" w:sz="0" w:space="0" w:color="auto"/>
      </w:divBdr>
    </w:div>
    <w:div w:id="1720280266">
      <w:bodyDiv w:val="1"/>
      <w:marLeft w:val="0"/>
      <w:marRight w:val="0"/>
      <w:marTop w:val="0"/>
      <w:marBottom w:val="0"/>
      <w:divBdr>
        <w:top w:val="none" w:sz="0" w:space="0" w:color="auto"/>
        <w:left w:val="none" w:sz="0" w:space="0" w:color="auto"/>
        <w:bottom w:val="none" w:sz="0" w:space="0" w:color="auto"/>
        <w:right w:val="none" w:sz="0" w:space="0" w:color="auto"/>
      </w:divBdr>
    </w:div>
    <w:div w:id="1765569817">
      <w:bodyDiv w:val="1"/>
      <w:marLeft w:val="0"/>
      <w:marRight w:val="0"/>
      <w:marTop w:val="0"/>
      <w:marBottom w:val="0"/>
      <w:divBdr>
        <w:top w:val="none" w:sz="0" w:space="0" w:color="auto"/>
        <w:left w:val="none" w:sz="0" w:space="0" w:color="auto"/>
        <w:bottom w:val="none" w:sz="0" w:space="0" w:color="auto"/>
        <w:right w:val="none" w:sz="0" w:space="0" w:color="auto"/>
      </w:divBdr>
    </w:div>
    <w:div w:id="1792826006">
      <w:bodyDiv w:val="1"/>
      <w:marLeft w:val="0"/>
      <w:marRight w:val="0"/>
      <w:marTop w:val="0"/>
      <w:marBottom w:val="0"/>
      <w:divBdr>
        <w:top w:val="none" w:sz="0" w:space="0" w:color="auto"/>
        <w:left w:val="none" w:sz="0" w:space="0" w:color="auto"/>
        <w:bottom w:val="none" w:sz="0" w:space="0" w:color="auto"/>
        <w:right w:val="none" w:sz="0" w:space="0" w:color="auto"/>
      </w:divBdr>
    </w:div>
    <w:div w:id="1803959672">
      <w:bodyDiv w:val="1"/>
      <w:marLeft w:val="0"/>
      <w:marRight w:val="0"/>
      <w:marTop w:val="0"/>
      <w:marBottom w:val="0"/>
      <w:divBdr>
        <w:top w:val="none" w:sz="0" w:space="0" w:color="auto"/>
        <w:left w:val="none" w:sz="0" w:space="0" w:color="auto"/>
        <w:bottom w:val="none" w:sz="0" w:space="0" w:color="auto"/>
        <w:right w:val="none" w:sz="0" w:space="0" w:color="auto"/>
      </w:divBdr>
    </w:div>
    <w:div w:id="1828476367">
      <w:bodyDiv w:val="1"/>
      <w:marLeft w:val="0"/>
      <w:marRight w:val="0"/>
      <w:marTop w:val="0"/>
      <w:marBottom w:val="0"/>
      <w:divBdr>
        <w:top w:val="none" w:sz="0" w:space="0" w:color="auto"/>
        <w:left w:val="none" w:sz="0" w:space="0" w:color="auto"/>
        <w:bottom w:val="none" w:sz="0" w:space="0" w:color="auto"/>
        <w:right w:val="none" w:sz="0" w:space="0" w:color="auto"/>
      </w:divBdr>
    </w:div>
    <w:div w:id="1836917223">
      <w:bodyDiv w:val="1"/>
      <w:marLeft w:val="0"/>
      <w:marRight w:val="0"/>
      <w:marTop w:val="0"/>
      <w:marBottom w:val="0"/>
      <w:divBdr>
        <w:top w:val="none" w:sz="0" w:space="0" w:color="auto"/>
        <w:left w:val="none" w:sz="0" w:space="0" w:color="auto"/>
        <w:bottom w:val="none" w:sz="0" w:space="0" w:color="auto"/>
        <w:right w:val="none" w:sz="0" w:space="0" w:color="auto"/>
      </w:divBdr>
    </w:div>
    <w:div w:id="1869248705">
      <w:bodyDiv w:val="1"/>
      <w:marLeft w:val="0"/>
      <w:marRight w:val="0"/>
      <w:marTop w:val="0"/>
      <w:marBottom w:val="0"/>
      <w:divBdr>
        <w:top w:val="none" w:sz="0" w:space="0" w:color="auto"/>
        <w:left w:val="none" w:sz="0" w:space="0" w:color="auto"/>
        <w:bottom w:val="none" w:sz="0" w:space="0" w:color="auto"/>
        <w:right w:val="none" w:sz="0" w:space="0" w:color="auto"/>
      </w:divBdr>
    </w:div>
    <w:div w:id="1882016829">
      <w:bodyDiv w:val="1"/>
      <w:marLeft w:val="0"/>
      <w:marRight w:val="0"/>
      <w:marTop w:val="0"/>
      <w:marBottom w:val="0"/>
      <w:divBdr>
        <w:top w:val="none" w:sz="0" w:space="0" w:color="auto"/>
        <w:left w:val="none" w:sz="0" w:space="0" w:color="auto"/>
        <w:bottom w:val="none" w:sz="0" w:space="0" w:color="auto"/>
        <w:right w:val="none" w:sz="0" w:space="0" w:color="auto"/>
      </w:divBdr>
    </w:div>
    <w:div w:id="1896350856">
      <w:bodyDiv w:val="1"/>
      <w:marLeft w:val="0"/>
      <w:marRight w:val="0"/>
      <w:marTop w:val="0"/>
      <w:marBottom w:val="0"/>
      <w:divBdr>
        <w:top w:val="none" w:sz="0" w:space="0" w:color="auto"/>
        <w:left w:val="none" w:sz="0" w:space="0" w:color="auto"/>
        <w:bottom w:val="none" w:sz="0" w:space="0" w:color="auto"/>
        <w:right w:val="none" w:sz="0" w:space="0" w:color="auto"/>
      </w:divBdr>
    </w:div>
    <w:div w:id="1906135987">
      <w:bodyDiv w:val="1"/>
      <w:marLeft w:val="0"/>
      <w:marRight w:val="0"/>
      <w:marTop w:val="0"/>
      <w:marBottom w:val="0"/>
      <w:divBdr>
        <w:top w:val="none" w:sz="0" w:space="0" w:color="auto"/>
        <w:left w:val="none" w:sz="0" w:space="0" w:color="auto"/>
        <w:bottom w:val="none" w:sz="0" w:space="0" w:color="auto"/>
        <w:right w:val="none" w:sz="0" w:space="0" w:color="auto"/>
      </w:divBdr>
    </w:div>
    <w:div w:id="1933397478">
      <w:bodyDiv w:val="1"/>
      <w:marLeft w:val="0"/>
      <w:marRight w:val="0"/>
      <w:marTop w:val="0"/>
      <w:marBottom w:val="0"/>
      <w:divBdr>
        <w:top w:val="none" w:sz="0" w:space="0" w:color="auto"/>
        <w:left w:val="none" w:sz="0" w:space="0" w:color="auto"/>
        <w:bottom w:val="none" w:sz="0" w:space="0" w:color="auto"/>
        <w:right w:val="none" w:sz="0" w:space="0" w:color="auto"/>
      </w:divBdr>
    </w:div>
    <w:div w:id="1964341298">
      <w:bodyDiv w:val="1"/>
      <w:marLeft w:val="0"/>
      <w:marRight w:val="0"/>
      <w:marTop w:val="0"/>
      <w:marBottom w:val="0"/>
      <w:divBdr>
        <w:top w:val="none" w:sz="0" w:space="0" w:color="auto"/>
        <w:left w:val="none" w:sz="0" w:space="0" w:color="auto"/>
        <w:bottom w:val="none" w:sz="0" w:space="0" w:color="auto"/>
        <w:right w:val="none" w:sz="0" w:space="0" w:color="auto"/>
      </w:divBdr>
    </w:div>
    <w:div w:id="2048144203">
      <w:bodyDiv w:val="1"/>
      <w:marLeft w:val="0"/>
      <w:marRight w:val="0"/>
      <w:marTop w:val="0"/>
      <w:marBottom w:val="0"/>
      <w:divBdr>
        <w:top w:val="none" w:sz="0" w:space="0" w:color="auto"/>
        <w:left w:val="none" w:sz="0" w:space="0" w:color="auto"/>
        <w:bottom w:val="none" w:sz="0" w:space="0" w:color="auto"/>
        <w:right w:val="none" w:sz="0" w:space="0" w:color="auto"/>
      </w:divBdr>
    </w:div>
    <w:div w:id="2052803330">
      <w:bodyDiv w:val="1"/>
      <w:marLeft w:val="0"/>
      <w:marRight w:val="0"/>
      <w:marTop w:val="0"/>
      <w:marBottom w:val="0"/>
      <w:divBdr>
        <w:top w:val="none" w:sz="0" w:space="0" w:color="auto"/>
        <w:left w:val="none" w:sz="0" w:space="0" w:color="auto"/>
        <w:bottom w:val="none" w:sz="0" w:space="0" w:color="auto"/>
        <w:right w:val="none" w:sz="0" w:space="0" w:color="auto"/>
      </w:divBdr>
    </w:div>
    <w:div w:id="2058889375">
      <w:bodyDiv w:val="1"/>
      <w:marLeft w:val="0"/>
      <w:marRight w:val="0"/>
      <w:marTop w:val="0"/>
      <w:marBottom w:val="0"/>
      <w:divBdr>
        <w:top w:val="none" w:sz="0" w:space="0" w:color="auto"/>
        <w:left w:val="none" w:sz="0" w:space="0" w:color="auto"/>
        <w:bottom w:val="none" w:sz="0" w:space="0" w:color="auto"/>
        <w:right w:val="none" w:sz="0" w:space="0" w:color="auto"/>
      </w:divBdr>
    </w:div>
    <w:div w:id="2059159687">
      <w:bodyDiv w:val="1"/>
      <w:marLeft w:val="0"/>
      <w:marRight w:val="0"/>
      <w:marTop w:val="0"/>
      <w:marBottom w:val="0"/>
      <w:divBdr>
        <w:top w:val="none" w:sz="0" w:space="0" w:color="auto"/>
        <w:left w:val="none" w:sz="0" w:space="0" w:color="auto"/>
        <w:bottom w:val="none" w:sz="0" w:space="0" w:color="auto"/>
        <w:right w:val="none" w:sz="0" w:space="0" w:color="auto"/>
      </w:divBdr>
    </w:div>
    <w:div w:id="2092726863">
      <w:bodyDiv w:val="1"/>
      <w:marLeft w:val="0"/>
      <w:marRight w:val="0"/>
      <w:marTop w:val="0"/>
      <w:marBottom w:val="0"/>
      <w:divBdr>
        <w:top w:val="none" w:sz="0" w:space="0" w:color="auto"/>
        <w:left w:val="none" w:sz="0" w:space="0" w:color="auto"/>
        <w:bottom w:val="none" w:sz="0" w:space="0" w:color="auto"/>
        <w:right w:val="none" w:sz="0" w:space="0" w:color="auto"/>
      </w:divBdr>
      <w:divsChild>
        <w:div w:id="999849822">
          <w:marLeft w:val="0"/>
          <w:marRight w:val="0"/>
          <w:marTop w:val="0"/>
          <w:marBottom w:val="60"/>
          <w:divBdr>
            <w:top w:val="none" w:sz="0" w:space="0" w:color="auto"/>
            <w:left w:val="none" w:sz="0" w:space="0" w:color="auto"/>
            <w:bottom w:val="none" w:sz="0" w:space="0" w:color="auto"/>
            <w:right w:val="none" w:sz="0" w:space="0" w:color="auto"/>
          </w:divBdr>
          <w:divsChild>
            <w:div w:id="731391977">
              <w:marLeft w:val="0"/>
              <w:marRight w:val="0"/>
              <w:marTop w:val="0"/>
              <w:marBottom w:val="0"/>
              <w:divBdr>
                <w:top w:val="none" w:sz="0" w:space="0" w:color="auto"/>
                <w:left w:val="none" w:sz="0" w:space="0" w:color="auto"/>
                <w:bottom w:val="none" w:sz="0" w:space="0" w:color="auto"/>
                <w:right w:val="none" w:sz="0" w:space="0" w:color="auto"/>
              </w:divBdr>
              <w:divsChild>
                <w:div w:id="104872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6427">
      <w:bodyDiv w:val="1"/>
      <w:marLeft w:val="0"/>
      <w:marRight w:val="0"/>
      <w:marTop w:val="0"/>
      <w:marBottom w:val="0"/>
      <w:divBdr>
        <w:top w:val="none" w:sz="0" w:space="0" w:color="auto"/>
        <w:left w:val="none" w:sz="0" w:space="0" w:color="auto"/>
        <w:bottom w:val="none" w:sz="0" w:space="0" w:color="auto"/>
        <w:right w:val="none" w:sz="0" w:space="0" w:color="auto"/>
      </w:divBdr>
    </w:div>
    <w:div w:id="2132824492">
      <w:bodyDiv w:val="1"/>
      <w:marLeft w:val="0"/>
      <w:marRight w:val="0"/>
      <w:marTop w:val="0"/>
      <w:marBottom w:val="0"/>
      <w:divBdr>
        <w:top w:val="none" w:sz="0" w:space="0" w:color="auto"/>
        <w:left w:val="none" w:sz="0" w:space="0" w:color="auto"/>
        <w:bottom w:val="none" w:sz="0" w:space="0" w:color="auto"/>
        <w:right w:val="none" w:sz="0" w:space="0" w:color="auto"/>
      </w:divBdr>
    </w:div>
    <w:div w:id="2135711702">
      <w:bodyDiv w:val="1"/>
      <w:marLeft w:val="0"/>
      <w:marRight w:val="0"/>
      <w:marTop w:val="0"/>
      <w:marBottom w:val="0"/>
      <w:divBdr>
        <w:top w:val="none" w:sz="0" w:space="0" w:color="auto"/>
        <w:left w:val="none" w:sz="0" w:space="0" w:color="auto"/>
        <w:bottom w:val="none" w:sz="0" w:space="0" w:color="auto"/>
        <w:right w:val="none" w:sz="0" w:space="0" w:color="auto"/>
      </w:divBdr>
      <w:divsChild>
        <w:div w:id="496305524">
          <w:marLeft w:val="1800"/>
          <w:marRight w:val="0"/>
          <w:marTop w:val="100"/>
          <w:marBottom w:val="0"/>
          <w:divBdr>
            <w:top w:val="none" w:sz="0" w:space="0" w:color="auto"/>
            <w:left w:val="none" w:sz="0" w:space="0" w:color="auto"/>
            <w:bottom w:val="none" w:sz="0" w:space="0" w:color="auto"/>
            <w:right w:val="none" w:sz="0" w:space="0" w:color="auto"/>
          </w:divBdr>
        </w:div>
        <w:div w:id="1210606279">
          <w:marLeft w:val="1080"/>
          <w:marRight w:val="0"/>
          <w:marTop w:val="100"/>
          <w:marBottom w:val="0"/>
          <w:divBdr>
            <w:top w:val="none" w:sz="0" w:space="0" w:color="auto"/>
            <w:left w:val="none" w:sz="0" w:space="0" w:color="auto"/>
            <w:bottom w:val="none" w:sz="0" w:space="0" w:color="auto"/>
            <w:right w:val="none" w:sz="0" w:space="0" w:color="auto"/>
          </w:divBdr>
        </w:div>
        <w:div w:id="1276865583">
          <w:marLeft w:val="1800"/>
          <w:marRight w:val="0"/>
          <w:marTop w:val="1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theme" Target="theme/theme1.xml"/><Relationship Id="rId21" Type="http://schemas.openxmlformats.org/officeDocument/2006/relationships/chart" Target="charts/chart8.xml"/><Relationship Id="rId34" Type="http://schemas.openxmlformats.org/officeDocument/2006/relationships/chart" Target="charts/chart2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11.xml"/><Relationship Id="rId32" Type="http://schemas.openxmlformats.org/officeDocument/2006/relationships/chart" Target="charts/chart19.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chart" Target="charts/chart6.xml"/><Relationship Id="rId31" Type="http://schemas.openxmlformats.org/officeDocument/2006/relationships/chart" Target="charts/chart1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image" Target="media/image1.jpeg"/><Relationship Id="rId8" Type="http://schemas.openxmlformats.org/officeDocument/2006/relationships/header" Target="header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Users\nellymorales\Desktop\University\Taller%20de%20Tesis%203\Gra&#769;ficos%20balanza%20comercial%20y%20flujo%20comercial%20china%20y%20Honduras.xls"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Users\nellymorales\Desktop\Taller%20de%20Tesis%203\Gra&#769;ficos%20balanza%20comercial%20y%20flujo%20comercial%20china%20y%20Honduras.xls"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3.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nellymorales\Desktop\University\Taller%20de%20Tesis%203\Gra&#769;ficos%20balanza%20comercial%20y%20flujo%20comercial%20china%20y%20Honduras.xls" TargetMode="External"/><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3" Type="http://schemas.openxmlformats.org/officeDocument/2006/relationships/oleObject" Target="file:////Users\nellymorales\Desktop\Taller%20de%20Tesis%203\Gra&#769;ficos%20balanza%20comercial%20y%20flujo%20comercial%20china%20y%20Honduras.xls" TargetMode="External"/><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3" Type="http://schemas.openxmlformats.org/officeDocument/2006/relationships/oleObject" Target="file:////Users\nellymorales\Desktop\University\Taller%20de%20Tesis%203\Gra&#769;ficos%20balanza%20comercial%20y%20flujo%20comercial%20china%20y%20Honduras.xls" TargetMode="External"/><Relationship Id="rId2" Type="http://schemas.microsoft.com/office/2011/relationships/chartColorStyle" Target="colors11.xml"/><Relationship Id="rId1" Type="http://schemas.microsoft.com/office/2011/relationships/chartStyle" Target="style11.xml"/></Relationships>
</file>

<file path=word/charts/_rels/chart14.xml.rels><?xml version="1.0" encoding="UTF-8" standalone="yes"?>
<Relationships xmlns="http://schemas.openxmlformats.org/package/2006/relationships"><Relationship Id="rId3" Type="http://schemas.openxmlformats.org/officeDocument/2006/relationships/oleObject" Target="file:////Users\nellymorales\Desktop\Taller%20de%20Tesis%203\Gra&#769;ficos%20balanza%20comercial%20y%20flujo%20comercial%20china%20y%20Honduras.xls" TargetMode="External"/><Relationship Id="rId2" Type="http://schemas.microsoft.com/office/2011/relationships/chartColorStyle" Target="colors12.xml"/><Relationship Id="rId1" Type="http://schemas.microsoft.com/office/2011/relationships/chartStyle" Target="style12.xml"/></Relationships>
</file>

<file path=word/charts/_rels/chart15.xml.rels><?xml version="1.0" encoding="UTF-8" standalone="yes"?>
<Relationships xmlns="http://schemas.openxmlformats.org/package/2006/relationships"><Relationship Id="rId3" Type="http://schemas.openxmlformats.org/officeDocument/2006/relationships/oleObject" Target="file:////Users\nellymorales\Desktop\New%20Thesis%202.0%20final%20plan\Indices_2025.xlsx" TargetMode="External"/><Relationship Id="rId2" Type="http://schemas.microsoft.com/office/2011/relationships/chartColorStyle" Target="colors13.xml"/><Relationship Id="rId1" Type="http://schemas.microsoft.com/office/2011/relationships/chartStyle" Target="style13.xml"/></Relationships>
</file>

<file path=word/charts/_rels/chart16.xml.rels><?xml version="1.0" encoding="UTF-8" standalone="yes"?>
<Relationships xmlns="http://schemas.openxmlformats.org/package/2006/relationships"><Relationship Id="rId3" Type="http://schemas.openxmlformats.org/officeDocument/2006/relationships/oleObject" Target="file:////Users\nellymorales\Desktop\New%20Thesis%202.0%20final%20plan\Indices_2025.xlsx" TargetMode="External"/><Relationship Id="rId2" Type="http://schemas.microsoft.com/office/2011/relationships/chartColorStyle" Target="colors14.xml"/><Relationship Id="rId1" Type="http://schemas.microsoft.com/office/2011/relationships/chartStyle" Target="style14.xml"/></Relationships>
</file>

<file path=word/charts/_rels/chart17.xml.rels><?xml version="1.0" encoding="UTF-8" standalone="yes"?>
<Relationships xmlns="http://schemas.openxmlformats.org/package/2006/relationships"><Relationship Id="rId3" Type="http://schemas.openxmlformats.org/officeDocument/2006/relationships/oleObject" Target="file:////Users\nellymorales\Desktop\New%20Thesis%202.0%20final%20plan\Indices_2025.xlsx" TargetMode="External"/><Relationship Id="rId2" Type="http://schemas.microsoft.com/office/2011/relationships/chartColorStyle" Target="colors15.xml"/><Relationship Id="rId1" Type="http://schemas.microsoft.com/office/2011/relationships/chartStyle" Target="style15.xml"/></Relationships>
</file>

<file path=word/charts/_rels/chart18.xml.rels><?xml version="1.0" encoding="UTF-8" standalone="yes"?>
<Relationships xmlns="http://schemas.openxmlformats.org/package/2006/relationships"><Relationship Id="rId3" Type="http://schemas.openxmlformats.org/officeDocument/2006/relationships/oleObject" Target="file:////Users\nellymorales\Desktop\New%20Thesis%202.0%20final%20plan\Indices_2025.xlsx" TargetMode="External"/><Relationship Id="rId2" Type="http://schemas.microsoft.com/office/2011/relationships/chartColorStyle" Target="colors16.xml"/><Relationship Id="rId1" Type="http://schemas.microsoft.com/office/2011/relationships/chartStyle" Target="style16.xml"/></Relationships>
</file>

<file path=word/charts/_rels/chart19.xml.rels><?xml version="1.0" encoding="UTF-8" standalone="yes"?>
<Relationships xmlns="http://schemas.openxmlformats.org/package/2006/relationships"><Relationship Id="rId3" Type="http://schemas.openxmlformats.org/officeDocument/2006/relationships/oleObject" Target="file:////Users\nellymorales\Desktop\New%20Thesis%202.0%20final%20plan\Indices_2025.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Users\nellymorales\Desktop\University\Taller%20de%20Tesis%203\Gra&#769;ficos%20balanza%20comercial%20y%20flujo%20comercial%20china%20y%20Honduras.xls" TargetMode="External"/><Relationship Id="rId2" Type="http://schemas.microsoft.com/office/2011/relationships/chartColorStyle" Target="colors1.xml"/><Relationship Id="rId1" Type="http://schemas.microsoft.com/office/2011/relationships/chartStyle" Target="style1.xml"/></Relationships>
</file>

<file path=word/charts/_rels/chart20.xml.rels><?xml version="1.0" encoding="UTF-8" standalone="yes"?>
<Relationships xmlns="http://schemas.openxmlformats.org/package/2006/relationships"><Relationship Id="rId3" Type="http://schemas.openxmlformats.org/officeDocument/2006/relationships/oleObject" Target="file:////Users\nellymorales\Desktop\New%20Thesis%202.0%20final%20plan\Indices_2025.xlsx" TargetMode="External"/><Relationship Id="rId2" Type="http://schemas.microsoft.com/office/2011/relationships/chartColorStyle" Target="colors18.xml"/><Relationship Id="rId1" Type="http://schemas.microsoft.com/office/2011/relationships/chartStyle" Target="style18.xml"/></Relationships>
</file>

<file path=word/charts/_rels/chart21.xml.rels><?xml version="1.0" encoding="UTF-8" standalone="yes"?>
<Relationships xmlns="http://schemas.openxmlformats.org/package/2006/relationships"><Relationship Id="rId3" Type="http://schemas.openxmlformats.org/officeDocument/2006/relationships/oleObject" Target="file:////Users\nellymorales\Desktop\New%20Thesis%202.0%20final%20plan\Indices_2025.xlsx" TargetMode="External"/><Relationship Id="rId2" Type="http://schemas.microsoft.com/office/2011/relationships/chartColorStyle" Target="colors19.xml"/><Relationship Id="rId1" Type="http://schemas.microsoft.com/office/2011/relationships/chartStyle" Target="style19.xml"/></Relationships>
</file>

<file path=word/charts/_rels/chart3.xml.rels><?xml version="1.0" encoding="UTF-8" standalone="yes"?>
<Relationships xmlns="http://schemas.openxmlformats.org/package/2006/relationships"><Relationship Id="rId3" Type="http://schemas.openxmlformats.org/officeDocument/2006/relationships/oleObject" Target="file:////Users\nellymorales\Desktop\University\Taller%20de%20Tesis%203\Gra&#769;ficos%20balanza%20comercial%20y%20flujo%20comercial%20china%20y%20Honduras.xls"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Users\nellymorales\Desktop\University\Taller%20de%20Tesis%203\Gra&#769;ficos%20balanza%20comercial%20y%20flujo%20comercial%20china%20y%20Honduras.xls"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Users\nellymorales\Desktop\University\Taller%20de%20Tesis%203\Gra&#769;ficos%20balanza%20comercial%20y%20flujo%20comercial%20china%20y%20Honduras.xls"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Users\nellymorales\Desktop\Taller%20de%20Tesis%203\Inversio&#769;n%20Extranjera%20Directa%20por%20Pai&#769;s%20de%20Origen.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Users\nellymorales\Desktop\Taller%20de%20Tesis%203\Gra&#769;ficos%20balanza%20comercial%20y%20flujo%20comercial%20china%20y%20Honduras.xls"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1.xml"/></Relationships>
</file>

<file path=word/charts/_rels/chart8.xml.rels><?xml version="1.0" encoding="UTF-8" standalone="yes"?>
<Relationships xmlns="http://schemas.openxmlformats.org/package/2006/relationships"><Relationship Id="rId3" Type="http://schemas.openxmlformats.org/officeDocument/2006/relationships/oleObject" Target="file:////Users\nellymorales\Desktop\Taller%20de%20Tesis%203\Gra&#769;ficos%20balanza%20comercial%20y%20flujo%20comercial%20china%20y%20Honduras.xls"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2.xml"/></Relationships>
</file>

<file path=word/charts/_rels/chart9.xml.rels><?xml version="1.0" encoding="UTF-8" standalone="yes"?>
<Relationships xmlns="http://schemas.openxmlformats.org/package/2006/relationships"><Relationship Id="rId1" Type="http://schemas.openxmlformats.org/officeDocument/2006/relationships/oleObject" Target="file:////Users\nellymorales\Desktop\University\Taller%20de%20Tesis%203\IEDPERUCHINA.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'Balance Comercial'!$B$2</c:f>
              <c:strCache>
                <c:ptCount val="1"/>
                <c:pt idx="0">
                  <c:v>Exportaciones</c:v>
                </c:pt>
              </c:strCache>
            </c:strRef>
          </c:tx>
          <c:spPr>
            <a:ln w="28575" cap="rnd">
              <a:solidFill>
                <a:schemeClr val="accent1"/>
              </a:solidFill>
              <a:round/>
            </a:ln>
            <a:effectLst/>
          </c:spPr>
          <c:marker>
            <c:symbol val="none"/>
          </c:marker>
          <c:dLbls>
            <c:dLbl>
              <c:idx val="0"/>
              <c:dLblPos val="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4EC4-924F-A0DD-69BA8C162C8A}"/>
                </c:ext>
              </c:extLst>
            </c:dLbl>
            <c:dLbl>
              <c:idx val="1"/>
              <c:delete val="1"/>
              <c:extLst>
                <c:ext xmlns:c15="http://schemas.microsoft.com/office/drawing/2012/chart" uri="{CE6537A1-D6FC-4f65-9D91-7224C49458BB}"/>
                <c:ext xmlns:c16="http://schemas.microsoft.com/office/drawing/2014/chart" uri="{C3380CC4-5D6E-409C-BE32-E72D297353CC}">
                  <c16:uniqueId val="{00000001-4EC4-924F-A0DD-69BA8C162C8A}"/>
                </c:ext>
              </c:extLst>
            </c:dLbl>
            <c:dLbl>
              <c:idx val="2"/>
              <c:delete val="1"/>
              <c:extLst>
                <c:ext xmlns:c15="http://schemas.microsoft.com/office/drawing/2012/chart" uri="{CE6537A1-D6FC-4f65-9D91-7224C49458BB}"/>
                <c:ext xmlns:c16="http://schemas.microsoft.com/office/drawing/2014/chart" uri="{C3380CC4-5D6E-409C-BE32-E72D297353CC}">
                  <c16:uniqueId val="{00000002-4EC4-924F-A0DD-69BA8C162C8A}"/>
                </c:ext>
              </c:extLst>
            </c:dLbl>
            <c:dLbl>
              <c:idx val="3"/>
              <c:delete val="1"/>
              <c:extLst>
                <c:ext xmlns:c15="http://schemas.microsoft.com/office/drawing/2012/chart" uri="{CE6537A1-D6FC-4f65-9D91-7224C49458BB}"/>
                <c:ext xmlns:c16="http://schemas.microsoft.com/office/drawing/2014/chart" uri="{C3380CC4-5D6E-409C-BE32-E72D297353CC}">
                  <c16:uniqueId val="{00000003-4EC4-924F-A0DD-69BA8C162C8A}"/>
                </c:ext>
              </c:extLst>
            </c:dLbl>
            <c:dLbl>
              <c:idx val="4"/>
              <c:dLblPos val="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4EC4-924F-A0DD-69BA8C162C8A}"/>
                </c:ext>
              </c:extLst>
            </c:dLbl>
            <c:dLbl>
              <c:idx val="5"/>
              <c:delete val="1"/>
              <c:extLst>
                <c:ext xmlns:c15="http://schemas.microsoft.com/office/drawing/2012/chart" uri="{CE6537A1-D6FC-4f65-9D91-7224C49458BB}"/>
                <c:ext xmlns:c16="http://schemas.microsoft.com/office/drawing/2014/chart" uri="{C3380CC4-5D6E-409C-BE32-E72D297353CC}">
                  <c16:uniqueId val="{00000005-4EC4-924F-A0DD-69BA8C162C8A}"/>
                </c:ext>
              </c:extLst>
            </c:dLbl>
            <c:dLbl>
              <c:idx val="6"/>
              <c:delete val="1"/>
              <c:extLst>
                <c:ext xmlns:c15="http://schemas.microsoft.com/office/drawing/2012/chart" uri="{CE6537A1-D6FC-4f65-9D91-7224C49458BB}"/>
                <c:ext xmlns:c16="http://schemas.microsoft.com/office/drawing/2014/chart" uri="{C3380CC4-5D6E-409C-BE32-E72D297353CC}">
                  <c16:uniqueId val="{00000006-4EC4-924F-A0DD-69BA8C162C8A}"/>
                </c:ext>
              </c:extLst>
            </c:dLbl>
            <c:dLbl>
              <c:idx val="7"/>
              <c:delete val="1"/>
              <c:extLst>
                <c:ext xmlns:c15="http://schemas.microsoft.com/office/drawing/2012/chart" uri="{CE6537A1-D6FC-4f65-9D91-7224C49458BB}"/>
                <c:ext xmlns:c16="http://schemas.microsoft.com/office/drawing/2014/chart" uri="{C3380CC4-5D6E-409C-BE32-E72D297353CC}">
                  <c16:uniqueId val="{00000007-4EC4-924F-A0DD-69BA8C162C8A}"/>
                </c:ext>
              </c:extLst>
            </c:dLbl>
            <c:dLbl>
              <c:idx val="8"/>
              <c:delete val="1"/>
              <c:extLst>
                <c:ext xmlns:c15="http://schemas.microsoft.com/office/drawing/2012/chart" uri="{CE6537A1-D6FC-4f65-9D91-7224C49458BB}"/>
                <c:ext xmlns:c16="http://schemas.microsoft.com/office/drawing/2014/chart" uri="{C3380CC4-5D6E-409C-BE32-E72D297353CC}">
                  <c16:uniqueId val="{00000008-4EC4-924F-A0DD-69BA8C162C8A}"/>
                </c:ext>
              </c:extLst>
            </c:dLbl>
            <c:dLbl>
              <c:idx val="9"/>
              <c:dLblPos val="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9-4EC4-924F-A0DD-69BA8C162C8A}"/>
                </c:ext>
              </c:extLst>
            </c:dLbl>
            <c:spPr>
              <a:noFill/>
              <a:ln>
                <a:noFill/>
              </a:ln>
              <a:effectLst/>
            </c:spPr>
            <c:txPr>
              <a:bodyPr/>
              <a:lstStyle/>
              <a:p>
                <a:pPr>
                  <a:defRPr b="1" i="1"/>
                </a:pPr>
                <a:endParaRPr lang="es-CR"/>
              </a:p>
            </c:tx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ext>
            </c:extLst>
          </c:dLbls>
          <c:cat>
            <c:numRef>
              <c:f>'Balance Comercial'!$A$3:$A$12</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'Balance Comercial'!$B$3:$B$12</c:f>
              <c:numCache>
                <c:formatCode>#,##0.0</c:formatCode>
                <c:ptCount val="10"/>
                <c:pt idx="0">
                  <c:v>20757.88926</c:v>
                </c:pt>
                <c:pt idx="1">
                  <c:v>12113.490180000001</c:v>
                </c:pt>
                <c:pt idx="2">
                  <c:v>17293.572199999999</c:v>
                </c:pt>
                <c:pt idx="3">
                  <c:v>29999.38521</c:v>
                </c:pt>
                <c:pt idx="4">
                  <c:v>12136.828810000001</c:v>
                </c:pt>
                <c:pt idx="5">
                  <c:v>24734.292290000001</c:v>
                </c:pt>
                <c:pt idx="6">
                  <c:v>13973.66395</c:v>
                </c:pt>
                <c:pt idx="7">
                  <c:v>11377.60089</c:v>
                </c:pt>
                <c:pt idx="8">
                  <c:v>13926.00171</c:v>
                </c:pt>
                <c:pt idx="9">
                  <c:v>35874.681470000003</c:v>
                </c:pt>
              </c:numCache>
            </c:numRef>
          </c:val>
          <c:smooth val="0"/>
          <c:extLst>
            <c:ext xmlns:c16="http://schemas.microsoft.com/office/drawing/2014/chart" uri="{C3380CC4-5D6E-409C-BE32-E72D297353CC}">
              <c16:uniqueId val="{0000000A-4EC4-924F-A0DD-69BA8C162C8A}"/>
            </c:ext>
          </c:extLst>
        </c:ser>
        <c:ser>
          <c:idx val="1"/>
          <c:order val="1"/>
          <c:tx>
            <c:strRef>
              <c:f>'Balance Comercial'!$C$2</c:f>
              <c:strCache>
                <c:ptCount val="1"/>
                <c:pt idx="0">
                  <c:v>Importaciones</c:v>
                </c:pt>
              </c:strCache>
            </c:strRef>
          </c:tx>
          <c:spPr>
            <a:ln w="28575" cap="rnd">
              <a:solidFill>
                <a:schemeClr val="accent2"/>
              </a:solidFill>
              <a:round/>
            </a:ln>
            <a:effectLst/>
          </c:spPr>
          <c:marker>
            <c:symbol val="none"/>
          </c:marker>
          <c:cat>
            <c:numRef>
              <c:f>'Balance Comercial'!$A$3:$A$12</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'Balance Comercial'!$C$3:$C$12</c:f>
              <c:numCache>
                <c:formatCode>#,##0.0</c:formatCode>
                <c:ptCount val="10"/>
                <c:pt idx="0">
                  <c:v>1280776.7069000001</c:v>
                </c:pt>
                <c:pt idx="1">
                  <c:v>1091050.7461099999</c:v>
                </c:pt>
                <c:pt idx="2">
                  <c:v>1072569.6052600001</c:v>
                </c:pt>
                <c:pt idx="3">
                  <c:v>1537893.8048700001</c:v>
                </c:pt>
                <c:pt idx="4">
                  <c:v>1505530.8958399999</c:v>
                </c:pt>
                <c:pt idx="5">
                  <c:v>1316996.9407299999</c:v>
                </c:pt>
                <c:pt idx="6">
                  <c:v>2121968.96049</c:v>
                </c:pt>
                <c:pt idx="7">
                  <c:v>2367453.96893</c:v>
                </c:pt>
                <c:pt idx="8">
                  <c:v>2332294.4310300001</c:v>
                </c:pt>
                <c:pt idx="9">
                  <c:v>2552085.7344999998</c:v>
                </c:pt>
              </c:numCache>
            </c:numRef>
          </c:val>
          <c:smooth val="0"/>
          <c:extLst>
            <c:ext xmlns:c16="http://schemas.microsoft.com/office/drawing/2014/chart" uri="{C3380CC4-5D6E-409C-BE32-E72D297353CC}">
              <c16:uniqueId val="{0000000B-4EC4-924F-A0DD-69BA8C162C8A}"/>
            </c:ext>
          </c:extLst>
        </c:ser>
        <c:ser>
          <c:idx val="2"/>
          <c:order val="2"/>
          <c:tx>
            <c:strRef>
              <c:f>'Balance Comercial'!$D$2</c:f>
              <c:strCache>
                <c:ptCount val="1"/>
                <c:pt idx="0">
                  <c:v>Balance</c:v>
                </c:pt>
              </c:strCache>
            </c:strRef>
          </c:tx>
          <c:spPr>
            <a:ln w="28575" cap="rnd">
              <a:solidFill>
                <a:schemeClr val="accent3"/>
              </a:solidFill>
              <a:round/>
            </a:ln>
            <a:effectLst/>
          </c:spPr>
          <c:marker>
            <c:symbol val="none"/>
          </c:marker>
          <c:cat>
            <c:numRef>
              <c:f>'Balance Comercial'!$A$3:$A$12</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'Balance Comercial'!$D$3:$D$12</c:f>
              <c:numCache>
                <c:formatCode>#,##0.0</c:formatCode>
                <c:ptCount val="10"/>
                <c:pt idx="0">
                  <c:v>-1260018.81764</c:v>
                </c:pt>
                <c:pt idx="1">
                  <c:v>-1078937.25593</c:v>
                </c:pt>
                <c:pt idx="2">
                  <c:v>-1055276.03306</c:v>
                </c:pt>
                <c:pt idx="3">
                  <c:v>-1507894.4196600001</c:v>
                </c:pt>
                <c:pt idx="4">
                  <c:v>-1493394.0670299998</c:v>
                </c:pt>
                <c:pt idx="5">
                  <c:v>-1292262.6484399999</c:v>
                </c:pt>
                <c:pt idx="6">
                  <c:v>-2107995.29654</c:v>
                </c:pt>
                <c:pt idx="7">
                  <c:v>-2356076.3680400001</c:v>
                </c:pt>
                <c:pt idx="8">
                  <c:v>-2318368.4293200001</c:v>
                </c:pt>
                <c:pt idx="9">
                  <c:v>-2516211.0530299996</c:v>
                </c:pt>
              </c:numCache>
            </c:numRef>
          </c:val>
          <c:smooth val="0"/>
          <c:extLst>
            <c:ext xmlns:c16="http://schemas.microsoft.com/office/drawing/2014/chart" uri="{C3380CC4-5D6E-409C-BE32-E72D297353CC}">
              <c16:uniqueId val="{0000000C-4EC4-924F-A0DD-69BA8C162C8A}"/>
            </c:ext>
          </c:extLst>
        </c:ser>
        <c:dLbls>
          <c:showLegendKey val="0"/>
          <c:showVal val="0"/>
          <c:showCatName val="0"/>
          <c:showSerName val="0"/>
          <c:showPercent val="0"/>
          <c:showBubbleSize val="0"/>
        </c:dLbls>
        <c:smooth val="0"/>
        <c:axId val="239020096"/>
        <c:axId val="1"/>
      </c:lineChart>
      <c:catAx>
        <c:axId val="239020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s-CR"/>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vert="horz"/>
          <a:lstStyle/>
          <a:p>
            <a:pPr>
              <a:defRPr/>
            </a:pPr>
            <a:endParaRPr lang="es-CR"/>
          </a:p>
        </c:txPr>
        <c:crossAx val="239020096"/>
        <c:crosses val="autoZero"/>
        <c:crossBetween val="between"/>
      </c:valAx>
      <c:spPr>
        <a:noFill/>
        <a:ln w="25400">
          <a:noFill/>
        </a:ln>
      </c:spPr>
    </c:plotArea>
    <c:legend>
      <c:legendPos val="b"/>
      <c:overlay val="0"/>
      <c:spPr>
        <a:noFill/>
        <a:ln>
          <a:noFill/>
        </a:ln>
        <a:effectLst/>
      </c:spPr>
      <c:txPr>
        <a:bodyPr rot="0" vert="horz"/>
        <a:lstStyle/>
        <a:p>
          <a:pPr>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es-C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'Costa Rica'!$B$1</c:f>
              <c:strCache>
                <c:ptCount val="1"/>
                <c:pt idx="0">
                  <c:v>Exportaciones </c:v>
                </c:pt>
              </c:strCache>
            </c:strRef>
          </c:tx>
          <c:spPr>
            <a:solidFill>
              <a:schemeClr val="accent1"/>
            </a:solidFill>
            <a:ln>
              <a:noFill/>
            </a:ln>
            <a:effectLst/>
          </c:spPr>
          <c:invertIfNegative val="0"/>
          <c:cat>
            <c:numRef>
              <c:f>'Costa Rica'!$A$2:$A$25</c:f>
              <c:numCache>
                <c:formatCode>General</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formatCode="mmm\-yy">
                  <c:v>45170</c:v>
                </c:pt>
              </c:numCache>
            </c:numRef>
          </c:cat>
          <c:val>
            <c:numRef>
              <c:f>'Costa Rica'!$B$2:$B$25</c:f>
              <c:numCache>
                <c:formatCode>#,##0.0</c:formatCode>
                <c:ptCount val="24"/>
                <c:pt idx="0">
                  <c:v>12643.583000000001</c:v>
                </c:pt>
                <c:pt idx="1">
                  <c:v>13826.272999999999</c:v>
                </c:pt>
                <c:pt idx="2">
                  <c:v>33360.716</c:v>
                </c:pt>
                <c:pt idx="3">
                  <c:v>88565.173999999999</c:v>
                </c:pt>
                <c:pt idx="4">
                  <c:v>162659.64199999999</c:v>
                </c:pt>
                <c:pt idx="5">
                  <c:v>244825.429</c:v>
                </c:pt>
                <c:pt idx="6">
                  <c:v>556923.60600000003</c:v>
                </c:pt>
                <c:pt idx="7">
                  <c:v>835077.81062</c:v>
                </c:pt>
                <c:pt idx="8">
                  <c:v>680472.51048000006</c:v>
                </c:pt>
                <c:pt idx="9">
                  <c:v>771302.73470999999</c:v>
                </c:pt>
                <c:pt idx="10">
                  <c:v>286571.54794999998</c:v>
                </c:pt>
                <c:pt idx="11">
                  <c:v>199542.89337000001</c:v>
                </c:pt>
                <c:pt idx="12">
                  <c:v>330462.30433000001</c:v>
                </c:pt>
                <c:pt idx="13">
                  <c:v>372365.04556</c:v>
                </c:pt>
                <c:pt idx="14">
                  <c:v>339032.19799000002</c:v>
                </c:pt>
                <c:pt idx="15">
                  <c:v>80174.768599999996</c:v>
                </c:pt>
                <c:pt idx="16">
                  <c:v>45501.508589999998</c:v>
                </c:pt>
                <c:pt idx="17">
                  <c:v>111780.51895</c:v>
                </c:pt>
                <c:pt idx="18">
                  <c:v>198687.83674</c:v>
                </c:pt>
                <c:pt idx="19">
                  <c:v>122060.08676000001</c:v>
                </c:pt>
                <c:pt idx="20">
                  <c:v>182530.57516000001</c:v>
                </c:pt>
                <c:pt idx="21">
                  <c:v>308217.21883000003</c:v>
                </c:pt>
                <c:pt idx="22">
                  <c:v>349891.99604</c:v>
                </c:pt>
                <c:pt idx="23">
                  <c:v>306141.06180000002</c:v>
                </c:pt>
              </c:numCache>
            </c:numRef>
          </c:val>
          <c:extLst>
            <c:ext xmlns:c16="http://schemas.microsoft.com/office/drawing/2014/chart" uri="{C3380CC4-5D6E-409C-BE32-E72D297353CC}">
              <c16:uniqueId val="{00000000-BB67-5D42-897F-0411FA5358AC}"/>
            </c:ext>
          </c:extLst>
        </c:ser>
        <c:ser>
          <c:idx val="1"/>
          <c:order val="1"/>
          <c:tx>
            <c:strRef>
              <c:f>'Costa Rica'!$C$1</c:f>
              <c:strCache>
                <c:ptCount val="1"/>
                <c:pt idx="0">
                  <c:v>Importaciones </c:v>
                </c:pt>
              </c:strCache>
            </c:strRef>
          </c:tx>
          <c:spPr>
            <a:solidFill>
              <a:schemeClr val="accent2"/>
            </a:solidFill>
            <a:ln>
              <a:noFill/>
            </a:ln>
            <a:effectLst/>
          </c:spPr>
          <c:invertIfNegative val="0"/>
          <c:cat>
            <c:numRef>
              <c:f>'Costa Rica'!$A$2:$A$25</c:f>
              <c:numCache>
                <c:formatCode>General</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formatCode="mmm\-yy">
                  <c:v>45170</c:v>
                </c:pt>
              </c:numCache>
            </c:numRef>
          </c:cat>
          <c:val>
            <c:numRef>
              <c:f>'Costa Rica'!$C$2:$C$25</c:f>
              <c:numCache>
                <c:formatCode>#,##0.0</c:formatCode>
                <c:ptCount val="24"/>
                <c:pt idx="0">
                  <c:v>75823.186000000002</c:v>
                </c:pt>
                <c:pt idx="1">
                  <c:v>100176.56600000001</c:v>
                </c:pt>
                <c:pt idx="2">
                  <c:v>121178.36199999999</c:v>
                </c:pt>
                <c:pt idx="3">
                  <c:v>159163.484</c:v>
                </c:pt>
                <c:pt idx="4">
                  <c:v>270006.027</c:v>
                </c:pt>
                <c:pt idx="5">
                  <c:v>405014.47291999997</c:v>
                </c:pt>
                <c:pt idx="6">
                  <c:v>551025.12120000005</c:v>
                </c:pt>
                <c:pt idx="7">
                  <c:v>739081.18738000002</c:v>
                </c:pt>
                <c:pt idx="8">
                  <c:v>884892.77781</c:v>
                </c:pt>
                <c:pt idx="9">
                  <c:v>708417.11476999999</c:v>
                </c:pt>
                <c:pt idx="10">
                  <c:v>984269.28593999997</c:v>
                </c:pt>
                <c:pt idx="11">
                  <c:v>1282905.69618</c:v>
                </c:pt>
                <c:pt idx="12">
                  <c:v>1424368.7483000001</c:v>
                </c:pt>
                <c:pt idx="13">
                  <c:v>1591165.3351799999</c:v>
                </c:pt>
                <c:pt idx="14">
                  <c:v>1710236.0710499999</c:v>
                </c:pt>
                <c:pt idx="15">
                  <c:v>1943431.8644600001</c:v>
                </c:pt>
                <c:pt idx="16">
                  <c:v>2075795.26034</c:v>
                </c:pt>
                <c:pt idx="17">
                  <c:v>2080481.8467600001</c:v>
                </c:pt>
                <c:pt idx="18">
                  <c:v>2270043.9006699999</c:v>
                </c:pt>
                <c:pt idx="19">
                  <c:v>2120524.34504</c:v>
                </c:pt>
                <c:pt idx="20">
                  <c:v>2087202.9786100001</c:v>
                </c:pt>
                <c:pt idx="21">
                  <c:v>2926022.3996299999</c:v>
                </c:pt>
                <c:pt idx="22">
                  <c:v>3185288.8435499999</c:v>
                </c:pt>
                <c:pt idx="23">
                  <c:v>2396503.9630700001</c:v>
                </c:pt>
              </c:numCache>
            </c:numRef>
          </c:val>
          <c:extLst>
            <c:ext xmlns:c16="http://schemas.microsoft.com/office/drawing/2014/chart" uri="{C3380CC4-5D6E-409C-BE32-E72D297353CC}">
              <c16:uniqueId val="{00000001-BB67-5D42-897F-0411FA5358AC}"/>
            </c:ext>
          </c:extLst>
        </c:ser>
        <c:ser>
          <c:idx val="2"/>
          <c:order val="2"/>
          <c:tx>
            <c:strRef>
              <c:f>'Costa Rica'!$D$1</c:f>
              <c:strCache>
                <c:ptCount val="1"/>
                <c:pt idx="0">
                  <c:v>Balanza Comercial</c:v>
                </c:pt>
              </c:strCache>
            </c:strRef>
          </c:tx>
          <c:spPr>
            <a:solidFill>
              <a:schemeClr val="accent3"/>
            </a:solidFill>
            <a:ln>
              <a:noFill/>
            </a:ln>
            <a:effectLst/>
          </c:spPr>
          <c:invertIfNegative val="0"/>
          <c:cat>
            <c:numRef>
              <c:f>'Costa Rica'!$A$2:$A$25</c:f>
              <c:numCache>
                <c:formatCode>General</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formatCode="mmm\-yy">
                  <c:v>45170</c:v>
                </c:pt>
              </c:numCache>
            </c:numRef>
          </c:cat>
          <c:val>
            <c:numRef>
              <c:f>'Costa Rica'!$D$2:$D$25</c:f>
              <c:numCache>
                <c:formatCode>#,##0.0</c:formatCode>
                <c:ptCount val="24"/>
                <c:pt idx="0">
                  <c:v>-63179.603000000003</c:v>
                </c:pt>
                <c:pt idx="1">
                  <c:v>-86350.293000000005</c:v>
                </c:pt>
                <c:pt idx="2">
                  <c:v>-87817.645999999993</c:v>
                </c:pt>
                <c:pt idx="3">
                  <c:v>-70598.31</c:v>
                </c:pt>
                <c:pt idx="4">
                  <c:v>-107346.38500000001</c:v>
                </c:pt>
                <c:pt idx="5">
                  <c:v>-160189.04391999997</c:v>
                </c:pt>
                <c:pt idx="6">
                  <c:v>5898.4847999999765</c:v>
                </c:pt>
                <c:pt idx="7">
                  <c:v>95996.623239999986</c:v>
                </c:pt>
                <c:pt idx="8">
                  <c:v>-204420.26732999994</c:v>
                </c:pt>
                <c:pt idx="9">
                  <c:v>62885.619940000004</c:v>
                </c:pt>
                <c:pt idx="10">
                  <c:v>-697697.73799000005</c:v>
                </c:pt>
                <c:pt idx="11">
                  <c:v>-1083362.80281</c:v>
                </c:pt>
                <c:pt idx="12">
                  <c:v>-1093906.4439700001</c:v>
                </c:pt>
                <c:pt idx="13">
                  <c:v>-1218800.2896199999</c:v>
                </c:pt>
                <c:pt idx="14">
                  <c:v>-1371203.8730599999</c:v>
                </c:pt>
                <c:pt idx="15">
                  <c:v>-1863257.09586</c:v>
                </c:pt>
                <c:pt idx="16">
                  <c:v>-2030293.7517500001</c:v>
                </c:pt>
                <c:pt idx="17">
                  <c:v>-1968701.3278100002</c:v>
                </c:pt>
                <c:pt idx="18">
                  <c:v>-2071356.0639299999</c:v>
                </c:pt>
                <c:pt idx="19">
                  <c:v>-1998464.25828</c:v>
                </c:pt>
                <c:pt idx="20">
                  <c:v>-1904672.4034500001</c:v>
                </c:pt>
                <c:pt idx="21">
                  <c:v>-2617805.1807999997</c:v>
                </c:pt>
                <c:pt idx="22">
                  <c:v>-2835396.8475099998</c:v>
                </c:pt>
                <c:pt idx="23">
                  <c:v>-2090362.90127</c:v>
                </c:pt>
              </c:numCache>
            </c:numRef>
          </c:val>
          <c:extLst>
            <c:ext xmlns:c16="http://schemas.microsoft.com/office/drawing/2014/chart" uri="{C3380CC4-5D6E-409C-BE32-E72D297353CC}">
              <c16:uniqueId val="{00000002-BB67-5D42-897F-0411FA5358AC}"/>
            </c:ext>
          </c:extLst>
        </c:ser>
        <c:dLbls>
          <c:showLegendKey val="0"/>
          <c:showVal val="0"/>
          <c:showCatName val="0"/>
          <c:showSerName val="0"/>
          <c:showPercent val="0"/>
          <c:showBubbleSize val="0"/>
        </c:dLbls>
        <c:gapWidth val="219"/>
        <c:overlap val="-27"/>
        <c:axId val="1390669263"/>
        <c:axId val="1315077935"/>
      </c:barChart>
      <c:catAx>
        <c:axId val="139066926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Arial" panose="020B0604020202020204" pitchFamily="34" charset="0"/>
                <a:ea typeface="+mn-ea"/>
                <a:cs typeface="Arial" panose="020B0604020202020204" pitchFamily="34" charset="0"/>
              </a:defRPr>
            </a:pPr>
            <a:endParaRPr lang="es-CR"/>
          </a:p>
        </c:txPr>
        <c:crossAx val="1315077935"/>
        <c:crosses val="autoZero"/>
        <c:auto val="1"/>
        <c:lblAlgn val="ctr"/>
        <c:lblOffset val="100"/>
        <c:noMultiLvlLbl val="0"/>
      </c:catAx>
      <c:valAx>
        <c:axId val="1315077935"/>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Arial" panose="020B0604020202020204" pitchFamily="34" charset="0"/>
                <a:ea typeface="+mn-ea"/>
                <a:cs typeface="Arial" panose="020B0604020202020204" pitchFamily="34" charset="0"/>
              </a:defRPr>
            </a:pPr>
            <a:endParaRPr lang="es-CR"/>
          </a:p>
        </c:txPr>
        <c:crossAx val="13906692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endParaRPr lang="es-C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900">
          <a:solidFill>
            <a:schemeClr val="dk1"/>
          </a:solidFill>
          <a:latin typeface="Arial" panose="020B0604020202020204" pitchFamily="34" charset="0"/>
          <a:ea typeface="+mn-ea"/>
          <a:cs typeface="Arial" panose="020B0604020202020204" pitchFamily="34" charset="0"/>
        </a:defRPr>
      </a:pPr>
      <a:endParaRPr lang="es-CR"/>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'Costa Rica'!$B$38</c:f>
              <c:strCache>
                <c:ptCount val="1"/>
                <c:pt idx="0">
                  <c:v>Flujo de IED</c:v>
                </c:pt>
              </c:strCache>
            </c:strRef>
          </c:tx>
          <c:spPr>
            <a:solidFill>
              <a:schemeClr val="accent2"/>
            </a:solidFill>
            <a:ln>
              <a:noFill/>
            </a:ln>
            <a:effectLst/>
          </c:spPr>
          <c:invertIfNegative val="0"/>
          <c:cat>
            <c:numRef>
              <c:f>'Costa Rica'!$A$39:$A$53</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'Costa Rica'!$B$39:$B$53</c:f>
              <c:numCache>
                <c:formatCode>#,##0.00</c:formatCode>
                <c:ptCount val="15"/>
                <c:pt idx="0">
                  <c:v>0.40319110000000002</c:v>
                </c:pt>
                <c:pt idx="1">
                  <c:v>2.8295084099999999</c:v>
                </c:pt>
                <c:pt idx="2">
                  <c:v>0.78630599999999995</c:v>
                </c:pt>
                <c:pt idx="3">
                  <c:v>0.91905183000000001</c:v>
                </c:pt>
                <c:pt idx="4">
                  <c:v>2.0531603999999999</c:v>
                </c:pt>
                <c:pt idx="5">
                  <c:v>3.7004073900000001</c:v>
                </c:pt>
                <c:pt idx="6">
                  <c:v>8.9776731600000002</c:v>
                </c:pt>
                <c:pt idx="7">
                  <c:v>0.14437755999999999</c:v>
                </c:pt>
                <c:pt idx="8">
                  <c:v>0.16447195000000001</c:v>
                </c:pt>
                <c:pt idx="9">
                  <c:v>0.64284580000000002</c:v>
                </c:pt>
                <c:pt idx="10">
                  <c:v>1.21962923</c:v>
                </c:pt>
                <c:pt idx="11">
                  <c:v>0.33358747999999999</c:v>
                </c:pt>
                <c:pt idx="12">
                  <c:v>1.0368287300000001</c:v>
                </c:pt>
                <c:pt idx="13">
                  <c:v>0.61193487999999996</c:v>
                </c:pt>
                <c:pt idx="14">
                  <c:v>1.2943001000000001</c:v>
                </c:pt>
              </c:numCache>
            </c:numRef>
          </c:val>
          <c:extLst>
            <c:ext xmlns:c16="http://schemas.microsoft.com/office/drawing/2014/chart" uri="{C3380CC4-5D6E-409C-BE32-E72D297353CC}">
              <c16:uniqueId val="{00000000-F156-2D46-B263-4C63FE865D18}"/>
            </c:ext>
          </c:extLst>
        </c:ser>
        <c:dLbls>
          <c:showLegendKey val="0"/>
          <c:showVal val="0"/>
          <c:showCatName val="0"/>
          <c:showSerName val="0"/>
          <c:showPercent val="0"/>
          <c:showBubbleSize val="0"/>
        </c:dLbls>
        <c:gapWidth val="219"/>
        <c:overlap val="-27"/>
        <c:axId val="826444032"/>
        <c:axId val="783708064"/>
      </c:barChart>
      <c:catAx>
        <c:axId val="826444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endParaRPr lang="es-CR"/>
          </a:p>
        </c:txPr>
        <c:crossAx val="783708064"/>
        <c:crosses val="autoZero"/>
        <c:auto val="1"/>
        <c:lblAlgn val="ctr"/>
        <c:lblOffset val="100"/>
        <c:noMultiLvlLbl val="0"/>
      </c:catAx>
      <c:valAx>
        <c:axId val="783708064"/>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endParaRPr lang="es-CR"/>
          </a:p>
        </c:txPr>
        <c:crossAx val="82644403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1000">
          <a:solidFill>
            <a:schemeClr val="dk1"/>
          </a:solidFill>
          <a:latin typeface="Arial" panose="020B0604020202020204" pitchFamily="34" charset="0"/>
          <a:ea typeface="+mn-ea"/>
          <a:cs typeface="Arial" panose="020B0604020202020204" pitchFamily="34" charset="0"/>
        </a:defRPr>
      </a:pPr>
      <a:endParaRPr lang="es-C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Nicaragua!$B$1</c:f>
              <c:strCache>
                <c:ptCount val="1"/>
                <c:pt idx="0">
                  <c:v>Exportaciones </c:v>
                </c:pt>
              </c:strCache>
            </c:strRef>
          </c:tx>
          <c:spPr>
            <a:solidFill>
              <a:schemeClr val="accent1"/>
            </a:solidFill>
            <a:ln>
              <a:noFill/>
            </a:ln>
            <a:effectLst/>
          </c:spPr>
          <c:invertIfNegative val="0"/>
          <c:cat>
            <c:numRef>
              <c:f>Nicaragua!$A$2:$A$25</c:f>
              <c:numCache>
                <c:formatCode>General</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formatCode="mmm\-yy">
                  <c:v>45170</c:v>
                </c:pt>
              </c:numCache>
            </c:numRef>
          </c:cat>
          <c:val>
            <c:numRef>
              <c:f>Nicaragua!$B$2:$B$25</c:f>
              <c:numCache>
                <c:formatCode>#,##0.0</c:formatCode>
                <c:ptCount val="24"/>
                <c:pt idx="0">
                  <c:v>342.11099999999999</c:v>
                </c:pt>
                <c:pt idx="1">
                  <c:v>406.13400000000001</c:v>
                </c:pt>
                <c:pt idx="2">
                  <c:v>207.54599999999999</c:v>
                </c:pt>
                <c:pt idx="3">
                  <c:v>94.307000000000002</c:v>
                </c:pt>
                <c:pt idx="4">
                  <c:v>2615.8829999999998</c:v>
                </c:pt>
                <c:pt idx="5">
                  <c:v>8225.1593400000002</c:v>
                </c:pt>
                <c:pt idx="6">
                  <c:v>1663.7611300000001</c:v>
                </c:pt>
                <c:pt idx="7">
                  <c:v>6209.1061600000003</c:v>
                </c:pt>
                <c:pt idx="8">
                  <c:v>4624.2231199999997</c:v>
                </c:pt>
                <c:pt idx="9">
                  <c:v>3746.3041499999999</c:v>
                </c:pt>
                <c:pt idx="10">
                  <c:v>8242.1639799999994</c:v>
                </c:pt>
                <c:pt idx="11">
                  <c:v>16352.0808</c:v>
                </c:pt>
                <c:pt idx="12">
                  <c:v>10580.624299999999</c:v>
                </c:pt>
                <c:pt idx="13">
                  <c:v>17791.9444</c:v>
                </c:pt>
                <c:pt idx="14">
                  <c:v>23278.928199999998</c:v>
                </c:pt>
                <c:pt idx="15">
                  <c:v>19326.395820000002</c:v>
                </c:pt>
                <c:pt idx="16">
                  <c:v>9698.3284800000001</c:v>
                </c:pt>
                <c:pt idx="17">
                  <c:v>14882.509480000001</c:v>
                </c:pt>
                <c:pt idx="18">
                  <c:v>65768.93475</c:v>
                </c:pt>
                <c:pt idx="19">
                  <c:v>24427.14603</c:v>
                </c:pt>
                <c:pt idx="20">
                  <c:v>11005.54205</c:v>
                </c:pt>
                <c:pt idx="21">
                  <c:v>12020.01872</c:v>
                </c:pt>
                <c:pt idx="22">
                  <c:v>12037.008309999999</c:v>
                </c:pt>
                <c:pt idx="23">
                  <c:v>10430.02153</c:v>
                </c:pt>
              </c:numCache>
            </c:numRef>
          </c:val>
          <c:extLst>
            <c:ext xmlns:c16="http://schemas.microsoft.com/office/drawing/2014/chart" uri="{C3380CC4-5D6E-409C-BE32-E72D297353CC}">
              <c16:uniqueId val="{00000000-8C50-5843-B79D-6263F7577251}"/>
            </c:ext>
          </c:extLst>
        </c:ser>
        <c:ser>
          <c:idx val="1"/>
          <c:order val="1"/>
          <c:tx>
            <c:strRef>
              <c:f>Nicaragua!$C$1</c:f>
              <c:strCache>
                <c:ptCount val="1"/>
                <c:pt idx="0">
                  <c:v>Importaciones </c:v>
                </c:pt>
              </c:strCache>
            </c:strRef>
          </c:tx>
          <c:spPr>
            <a:solidFill>
              <a:schemeClr val="accent2"/>
            </a:solidFill>
            <a:ln>
              <a:noFill/>
            </a:ln>
            <a:effectLst/>
          </c:spPr>
          <c:invertIfNegative val="0"/>
          <c:cat>
            <c:numRef>
              <c:f>Nicaragua!$A$2:$A$25</c:f>
              <c:numCache>
                <c:formatCode>General</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formatCode="mmm\-yy">
                  <c:v>45170</c:v>
                </c:pt>
              </c:numCache>
            </c:numRef>
          </c:cat>
          <c:val>
            <c:numRef>
              <c:f>Nicaragua!$C$2:$C$25</c:f>
              <c:numCache>
                <c:formatCode>#,##0.0</c:formatCode>
                <c:ptCount val="24"/>
                <c:pt idx="0">
                  <c:v>9987.7990000000009</c:v>
                </c:pt>
                <c:pt idx="1">
                  <c:v>26521.412</c:v>
                </c:pt>
                <c:pt idx="2">
                  <c:v>64273.504999999997</c:v>
                </c:pt>
                <c:pt idx="3">
                  <c:v>83335.592000000004</c:v>
                </c:pt>
                <c:pt idx="4">
                  <c:v>112921.423</c:v>
                </c:pt>
                <c:pt idx="5">
                  <c:v>149553.75331999999</c:v>
                </c:pt>
                <c:pt idx="6">
                  <c:v>208959.40791000001</c:v>
                </c:pt>
                <c:pt idx="7">
                  <c:v>280314.94624000002</c:v>
                </c:pt>
                <c:pt idx="8">
                  <c:v>335515.10337999999</c:v>
                </c:pt>
                <c:pt idx="9">
                  <c:v>260456.94563</c:v>
                </c:pt>
                <c:pt idx="10">
                  <c:v>365453.08620999998</c:v>
                </c:pt>
                <c:pt idx="11">
                  <c:v>465355.69459999999</c:v>
                </c:pt>
                <c:pt idx="12">
                  <c:v>578381.35109999997</c:v>
                </c:pt>
                <c:pt idx="13">
                  <c:v>630700.93339999998</c:v>
                </c:pt>
                <c:pt idx="14">
                  <c:v>857569.93700000003</c:v>
                </c:pt>
                <c:pt idx="15">
                  <c:v>845287.56279999996</c:v>
                </c:pt>
                <c:pt idx="16">
                  <c:v>897155.17749000003</c:v>
                </c:pt>
                <c:pt idx="17">
                  <c:v>851375.21117999998</c:v>
                </c:pt>
                <c:pt idx="18">
                  <c:v>618832.48800000001</c:v>
                </c:pt>
                <c:pt idx="19">
                  <c:v>562976.87578</c:v>
                </c:pt>
                <c:pt idx="20">
                  <c:v>626626.46886000002</c:v>
                </c:pt>
                <c:pt idx="21">
                  <c:v>901666.65382000001</c:v>
                </c:pt>
                <c:pt idx="22">
                  <c:v>1062721.10944</c:v>
                </c:pt>
                <c:pt idx="23">
                  <c:v>880084.54769000004</c:v>
                </c:pt>
              </c:numCache>
            </c:numRef>
          </c:val>
          <c:extLst>
            <c:ext xmlns:c16="http://schemas.microsoft.com/office/drawing/2014/chart" uri="{C3380CC4-5D6E-409C-BE32-E72D297353CC}">
              <c16:uniqueId val="{00000001-8C50-5843-B79D-6263F7577251}"/>
            </c:ext>
          </c:extLst>
        </c:ser>
        <c:ser>
          <c:idx val="2"/>
          <c:order val="2"/>
          <c:tx>
            <c:strRef>
              <c:f>Nicaragua!$D$1</c:f>
              <c:strCache>
                <c:ptCount val="1"/>
                <c:pt idx="0">
                  <c:v>Balanza Comercial</c:v>
                </c:pt>
              </c:strCache>
            </c:strRef>
          </c:tx>
          <c:spPr>
            <a:solidFill>
              <a:schemeClr val="accent3"/>
            </a:solidFill>
            <a:ln>
              <a:noFill/>
            </a:ln>
            <a:effectLst/>
          </c:spPr>
          <c:invertIfNegative val="0"/>
          <c:cat>
            <c:numRef>
              <c:f>Nicaragua!$A$2:$A$25</c:f>
              <c:numCache>
                <c:formatCode>General</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formatCode="mmm\-yy">
                  <c:v>45170</c:v>
                </c:pt>
              </c:numCache>
            </c:numRef>
          </c:cat>
          <c:val>
            <c:numRef>
              <c:f>Nicaragua!$D$2:$D$25</c:f>
              <c:numCache>
                <c:formatCode>#,##0.0</c:formatCode>
                <c:ptCount val="24"/>
                <c:pt idx="0">
                  <c:v>-9645.6880000000001</c:v>
                </c:pt>
                <c:pt idx="1">
                  <c:v>-26115.277999999998</c:v>
                </c:pt>
                <c:pt idx="2">
                  <c:v>-64065.958999999995</c:v>
                </c:pt>
                <c:pt idx="3">
                  <c:v>-83241.285000000003</c:v>
                </c:pt>
                <c:pt idx="4">
                  <c:v>-110305.54</c:v>
                </c:pt>
                <c:pt idx="5">
                  <c:v>-141328.59397999998</c:v>
                </c:pt>
                <c:pt idx="6">
                  <c:v>-207295.64678000001</c:v>
                </c:pt>
                <c:pt idx="7">
                  <c:v>-274105.84007999999</c:v>
                </c:pt>
                <c:pt idx="8">
                  <c:v>-330890.88026000001</c:v>
                </c:pt>
                <c:pt idx="9">
                  <c:v>-256710.64147999999</c:v>
                </c:pt>
                <c:pt idx="10">
                  <c:v>-357210.92222999997</c:v>
                </c:pt>
                <c:pt idx="11">
                  <c:v>-449003.61379999999</c:v>
                </c:pt>
                <c:pt idx="12">
                  <c:v>-567800.72679999995</c:v>
                </c:pt>
                <c:pt idx="13">
                  <c:v>-612908.98899999994</c:v>
                </c:pt>
                <c:pt idx="14">
                  <c:v>-834291.00880000007</c:v>
                </c:pt>
                <c:pt idx="15">
                  <c:v>-825961.16697999998</c:v>
                </c:pt>
                <c:pt idx="16">
                  <c:v>-887456.84901000001</c:v>
                </c:pt>
                <c:pt idx="17">
                  <c:v>-836492.70169999998</c:v>
                </c:pt>
                <c:pt idx="18">
                  <c:v>-553063.55325</c:v>
                </c:pt>
                <c:pt idx="19">
                  <c:v>-538549.72975000006</c:v>
                </c:pt>
                <c:pt idx="20">
                  <c:v>-615620.92680999998</c:v>
                </c:pt>
                <c:pt idx="21">
                  <c:v>-889646.63509999996</c:v>
                </c:pt>
                <c:pt idx="22">
                  <c:v>-1050684.1011300001</c:v>
                </c:pt>
                <c:pt idx="23">
                  <c:v>-869654.52616000001</c:v>
                </c:pt>
              </c:numCache>
            </c:numRef>
          </c:val>
          <c:extLst>
            <c:ext xmlns:c16="http://schemas.microsoft.com/office/drawing/2014/chart" uri="{C3380CC4-5D6E-409C-BE32-E72D297353CC}">
              <c16:uniqueId val="{00000002-8C50-5843-B79D-6263F7577251}"/>
            </c:ext>
          </c:extLst>
        </c:ser>
        <c:dLbls>
          <c:showLegendKey val="0"/>
          <c:showVal val="0"/>
          <c:showCatName val="0"/>
          <c:showSerName val="0"/>
          <c:showPercent val="0"/>
          <c:showBubbleSize val="0"/>
        </c:dLbls>
        <c:gapWidth val="219"/>
        <c:overlap val="-27"/>
        <c:axId val="1002897647"/>
        <c:axId val="846923071"/>
      </c:barChart>
      <c:catAx>
        <c:axId val="1002897647"/>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s-CR"/>
          </a:p>
        </c:txPr>
        <c:crossAx val="846923071"/>
        <c:crosses val="autoZero"/>
        <c:auto val="1"/>
        <c:lblAlgn val="ctr"/>
        <c:lblOffset val="100"/>
        <c:noMultiLvlLbl val="0"/>
      </c:catAx>
      <c:valAx>
        <c:axId val="846923071"/>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s-CR"/>
          </a:p>
        </c:txPr>
        <c:crossAx val="10028976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s-C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s-C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s-CR"/>
        </a:p>
      </c:txPr>
    </c:title>
    <c:autoTitleDeleted val="0"/>
    <c:plotArea>
      <c:layout/>
      <c:barChart>
        <c:barDir val="col"/>
        <c:grouping val="clustered"/>
        <c:varyColors val="0"/>
        <c:ser>
          <c:idx val="0"/>
          <c:order val="0"/>
          <c:tx>
            <c:strRef>
              <c:f>Nicaragua!$B$38</c:f>
              <c:strCache>
                <c:ptCount val="1"/>
              </c:strCache>
            </c:strRef>
          </c:tx>
          <c:spPr>
            <a:solidFill>
              <a:schemeClr val="accent1"/>
            </a:solidFill>
            <a:ln>
              <a:noFill/>
            </a:ln>
            <a:effectLst/>
          </c:spPr>
          <c:invertIfNegative val="0"/>
          <c:cat>
            <c:numRef>
              <c:f>Nicaragua!$A$39:$A$51</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Nicaragua!$B$39:$B$51</c:f>
              <c:numCache>
                <c:formatCode>#,##0.00</c:formatCode>
                <c:ptCount val="13"/>
                <c:pt idx="0">
                  <c:v>0</c:v>
                </c:pt>
                <c:pt idx="1">
                  <c:v>0</c:v>
                </c:pt>
                <c:pt idx="2">
                  <c:v>0.4</c:v>
                </c:pt>
                <c:pt idx="3">
                  <c:v>0.44564455999999997</c:v>
                </c:pt>
                <c:pt idx="4">
                  <c:v>8.2794369636936498</c:v>
                </c:pt>
                <c:pt idx="5">
                  <c:v>1.7338608667331527E-3</c:v>
                </c:pt>
                <c:pt idx="6">
                  <c:v>59.850080316124988</c:v>
                </c:pt>
                <c:pt idx="7">
                  <c:v>90.552173329999988</c:v>
                </c:pt>
                <c:pt idx="8">
                  <c:v>87.399371810753465</c:v>
                </c:pt>
                <c:pt idx="9">
                  <c:v>24.691693310000002</c:v>
                </c:pt>
                <c:pt idx="10">
                  <c:v>5.7119724715427083</c:v>
                </c:pt>
                <c:pt idx="11">
                  <c:v>3.0564550344285828</c:v>
                </c:pt>
                <c:pt idx="12">
                  <c:v>2.6202179352811652</c:v>
                </c:pt>
              </c:numCache>
            </c:numRef>
          </c:val>
          <c:extLst>
            <c:ext xmlns:c16="http://schemas.microsoft.com/office/drawing/2014/chart" uri="{C3380CC4-5D6E-409C-BE32-E72D297353CC}">
              <c16:uniqueId val="{00000000-8A47-AD40-964A-4132FF47DF06}"/>
            </c:ext>
          </c:extLst>
        </c:ser>
        <c:dLbls>
          <c:showLegendKey val="0"/>
          <c:showVal val="0"/>
          <c:showCatName val="0"/>
          <c:showSerName val="0"/>
          <c:showPercent val="0"/>
          <c:showBubbleSize val="0"/>
        </c:dLbls>
        <c:gapWidth val="219"/>
        <c:overlap val="-27"/>
        <c:axId val="442628640"/>
        <c:axId val="442596464"/>
      </c:barChart>
      <c:catAx>
        <c:axId val="442628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s-CR"/>
          </a:p>
        </c:txPr>
        <c:crossAx val="442596464"/>
        <c:crosses val="autoZero"/>
        <c:auto val="1"/>
        <c:lblAlgn val="ctr"/>
        <c:lblOffset val="100"/>
        <c:noMultiLvlLbl val="0"/>
      </c:catAx>
      <c:valAx>
        <c:axId val="442596464"/>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s-CR"/>
          </a:p>
        </c:txPr>
        <c:crossAx val="4426286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s-CR"/>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ecuador!$B$1</c:f>
              <c:strCache>
                <c:ptCount val="1"/>
                <c:pt idx="0">
                  <c:v>Exportaciones </c:v>
                </c:pt>
              </c:strCache>
            </c:strRef>
          </c:tx>
          <c:spPr>
            <a:solidFill>
              <a:schemeClr val="accent1"/>
            </a:solidFill>
            <a:ln>
              <a:noFill/>
            </a:ln>
            <a:effectLst/>
          </c:spPr>
          <c:invertIfNegative val="0"/>
          <c:cat>
            <c:numRef>
              <c:f>ecuador!$A$2:$A$23</c:f>
              <c:numCache>
                <c:formatCode>General</c:formatCode>
                <c:ptCount val="22"/>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numCache>
            </c:numRef>
          </c:cat>
          <c:val>
            <c:numRef>
              <c:f>ecuador!$B$2:$B$23</c:f>
              <c:numCache>
                <c:formatCode>General</c:formatCode>
                <c:ptCount val="22"/>
                <c:pt idx="0">
                  <c:v>9155</c:v>
                </c:pt>
                <c:pt idx="1">
                  <c:v>14603</c:v>
                </c:pt>
                <c:pt idx="2">
                  <c:v>13578</c:v>
                </c:pt>
                <c:pt idx="3">
                  <c:v>49510</c:v>
                </c:pt>
                <c:pt idx="4">
                  <c:v>7205</c:v>
                </c:pt>
                <c:pt idx="5">
                  <c:v>194728</c:v>
                </c:pt>
                <c:pt idx="6">
                  <c:v>36550</c:v>
                </c:pt>
                <c:pt idx="7">
                  <c:v>387466</c:v>
                </c:pt>
                <c:pt idx="8">
                  <c:v>124208</c:v>
                </c:pt>
                <c:pt idx="9">
                  <c:v>328738</c:v>
                </c:pt>
                <c:pt idx="10">
                  <c:v>191850</c:v>
                </c:pt>
                <c:pt idx="11">
                  <c:v>391462</c:v>
                </c:pt>
                <c:pt idx="12">
                  <c:v>568770</c:v>
                </c:pt>
                <c:pt idx="13">
                  <c:v>485076</c:v>
                </c:pt>
                <c:pt idx="14">
                  <c:v>722966</c:v>
                </c:pt>
                <c:pt idx="15">
                  <c:v>656382</c:v>
                </c:pt>
                <c:pt idx="16">
                  <c:v>778767</c:v>
                </c:pt>
                <c:pt idx="17">
                  <c:v>1507002</c:v>
                </c:pt>
                <c:pt idx="18">
                  <c:v>2896831</c:v>
                </c:pt>
                <c:pt idx="19">
                  <c:v>3193705</c:v>
                </c:pt>
                <c:pt idx="20">
                  <c:v>3644911</c:v>
                </c:pt>
                <c:pt idx="21">
                  <c:v>6241761</c:v>
                </c:pt>
              </c:numCache>
            </c:numRef>
          </c:val>
          <c:extLst>
            <c:ext xmlns:c16="http://schemas.microsoft.com/office/drawing/2014/chart" uri="{C3380CC4-5D6E-409C-BE32-E72D297353CC}">
              <c16:uniqueId val="{00000000-3110-E647-BE0F-B306AFAF9D04}"/>
            </c:ext>
          </c:extLst>
        </c:ser>
        <c:ser>
          <c:idx val="1"/>
          <c:order val="1"/>
          <c:tx>
            <c:strRef>
              <c:f>ecuador!$C$1</c:f>
              <c:strCache>
                <c:ptCount val="1"/>
                <c:pt idx="0">
                  <c:v>Importaciones </c:v>
                </c:pt>
              </c:strCache>
            </c:strRef>
          </c:tx>
          <c:spPr>
            <a:solidFill>
              <a:schemeClr val="accent2"/>
            </a:solidFill>
            <a:ln>
              <a:noFill/>
            </a:ln>
            <a:effectLst/>
          </c:spPr>
          <c:invertIfNegative val="0"/>
          <c:cat>
            <c:numRef>
              <c:f>ecuador!$A$2:$A$23</c:f>
              <c:numCache>
                <c:formatCode>General</c:formatCode>
                <c:ptCount val="22"/>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numCache>
            </c:numRef>
          </c:cat>
          <c:val>
            <c:numRef>
              <c:f>ecuador!$C$2:$C$23</c:f>
              <c:numCache>
                <c:formatCode>General</c:formatCode>
                <c:ptCount val="22"/>
                <c:pt idx="0">
                  <c:v>148635</c:v>
                </c:pt>
                <c:pt idx="1">
                  <c:v>219748</c:v>
                </c:pt>
                <c:pt idx="2">
                  <c:v>481850</c:v>
                </c:pt>
                <c:pt idx="3">
                  <c:v>703798</c:v>
                </c:pt>
                <c:pt idx="4">
                  <c:v>621733</c:v>
                </c:pt>
                <c:pt idx="5">
                  <c:v>828182</c:v>
                </c:pt>
                <c:pt idx="6">
                  <c:v>1121735</c:v>
                </c:pt>
                <c:pt idx="7">
                  <c:v>1636363</c:v>
                </c:pt>
                <c:pt idx="8">
                  <c:v>1100283</c:v>
                </c:pt>
                <c:pt idx="9">
                  <c:v>1606562</c:v>
                </c:pt>
                <c:pt idx="10">
                  <c:v>3326991</c:v>
                </c:pt>
                <c:pt idx="11">
                  <c:v>2810684</c:v>
                </c:pt>
                <c:pt idx="12">
                  <c:v>4508391</c:v>
                </c:pt>
                <c:pt idx="13">
                  <c:v>4614573</c:v>
                </c:pt>
                <c:pt idx="14">
                  <c:v>3265628</c:v>
                </c:pt>
                <c:pt idx="15">
                  <c:v>2549410</c:v>
                </c:pt>
                <c:pt idx="16">
                  <c:v>3683819</c:v>
                </c:pt>
                <c:pt idx="17">
                  <c:v>4352612</c:v>
                </c:pt>
                <c:pt idx="18">
                  <c:v>4496520</c:v>
                </c:pt>
                <c:pt idx="19">
                  <c:v>3947269</c:v>
                </c:pt>
                <c:pt idx="20">
                  <c:v>6040378</c:v>
                </c:pt>
                <c:pt idx="21">
                  <c:v>7280526</c:v>
                </c:pt>
              </c:numCache>
            </c:numRef>
          </c:val>
          <c:extLst>
            <c:ext xmlns:c16="http://schemas.microsoft.com/office/drawing/2014/chart" uri="{C3380CC4-5D6E-409C-BE32-E72D297353CC}">
              <c16:uniqueId val="{00000001-3110-E647-BE0F-B306AFAF9D04}"/>
            </c:ext>
          </c:extLst>
        </c:ser>
        <c:ser>
          <c:idx val="2"/>
          <c:order val="2"/>
          <c:tx>
            <c:strRef>
              <c:f>ecuador!$D$1</c:f>
              <c:strCache>
                <c:ptCount val="1"/>
                <c:pt idx="0">
                  <c:v>Balanza Comercial</c:v>
                </c:pt>
              </c:strCache>
            </c:strRef>
          </c:tx>
          <c:spPr>
            <a:solidFill>
              <a:schemeClr val="accent3"/>
            </a:solidFill>
            <a:ln>
              <a:noFill/>
            </a:ln>
            <a:effectLst/>
          </c:spPr>
          <c:invertIfNegative val="0"/>
          <c:cat>
            <c:numRef>
              <c:f>ecuador!$A$2:$A$23</c:f>
              <c:numCache>
                <c:formatCode>General</c:formatCode>
                <c:ptCount val="22"/>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numCache>
            </c:numRef>
          </c:cat>
          <c:val>
            <c:numRef>
              <c:f>ecuador!$D$2:$D$23</c:f>
              <c:numCache>
                <c:formatCode>General</c:formatCode>
                <c:ptCount val="22"/>
                <c:pt idx="0">
                  <c:v>-139480</c:v>
                </c:pt>
                <c:pt idx="1">
                  <c:v>-205145</c:v>
                </c:pt>
                <c:pt idx="2">
                  <c:v>-468272</c:v>
                </c:pt>
                <c:pt idx="3">
                  <c:v>-654288</c:v>
                </c:pt>
                <c:pt idx="4">
                  <c:v>-614528</c:v>
                </c:pt>
                <c:pt idx="5">
                  <c:v>-633454</c:v>
                </c:pt>
                <c:pt idx="6">
                  <c:v>-1085185</c:v>
                </c:pt>
                <c:pt idx="7">
                  <c:v>-1248897</c:v>
                </c:pt>
                <c:pt idx="8">
                  <c:v>-976075</c:v>
                </c:pt>
                <c:pt idx="9">
                  <c:v>-1277824</c:v>
                </c:pt>
                <c:pt idx="10">
                  <c:v>-3135141</c:v>
                </c:pt>
                <c:pt idx="11">
                  <c:v>-2419222</c:v>
                </c:pt>
                <c:pt idx="12">
                  <c:v>-3939621</c:v>
                </c:pt>
                <c:pt idx="13">
                  <c:v>-4129497</c:v>
                </c:pt>
                <c:pt idx="14">
                  <c:v>-2542662</c:v>
                </c:pt>
                <c:pt idx="15">
                  <c:v>-1893028</c:v>
                </c:pt>
                <c:pt idx="16">
                  <c:v>-2905052</c:v>
                </c:pt>
                <c:pt idx="17">
                  <c:v>-2845610</c:v>
                </c:pt>
                <c:pt idx="18">
                  <c:v>-1599689</c:v>
                </c:pt>
                <c:pt idx="19">
                  <c:v>-753564</c:v>
                </c:pt>
                <c:pt idx="20">
                  <c:v>-2395467</c:v>
                </c:pt>
                <c:pt idx="21">
                  <c:v>-1038765</c:v>
                </c:pt>
              </c:numCache>
            </c:numRef>
          </c:val>
          <c:extLst>
            <c:ext xmlns:c16="http://schemas.microsoft.com/office/drawing/2014/chart" uri="{C3380CC4-5D6E-409C-BE32-E72D297353CC}">
              <c16:uniqueId val="{00000002-3110-E647-BE0F-B306AFAF9D04}"/>
            </c:ext>
          </c:extLst>
        </c:ser>
        <c:dLbls>
          <c:showLegendKey val="0"/>
          <c:showVal val="0"/>
          <c:showCatName val="0"/>
          <c:showSerName val="0"/>
          <c:showPercent val="0"/>
          <c:showBubbleSize val="0"/>
        </c:dLbls>
        <c:gapWidth val="219"/>
        <c:overlap val="-27"/>
        <c:axId val="1391351455"/>
        <c:axId val="1391136591"/>
      </c:barChart>
      <c:catAx>
        <c:axId val="1391351455"/>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s-CR"/>
          </a:p>
        </c:txPr>
        <c:crossAx val="1391136591"/>
        <c:crosses val="autoZero"/>
        <c:auto val="1"/>
        <c:lblAlgn val="ctr"/>
        <c:lblOffset val="100"/>
        <c:noMultiLvlLbl val="0"/>
      </c:catAx>
      <c:valAx>
        <c:axId val="139113659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s-CR"/>
          </a:p>
        </c:txPr>
        <c:crossAx val="13913514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s-C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s-CR"/>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'I Apertura Comercial'!$G$1</c:f>
              <c:strCache>
                <c:ptCount val="1"/>
                <c:pt idx="0">
                  <c:v>IAC</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'I Apertura Comercial'!$A$2:$A$21</c:f>
              <c:numCache>
                <c:formatCode>General</c:formatCode>
                <c:ptCount val="20"/>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numCache>
            </c:numRef>
          </c:xVal>
          <c:yVal>
            <c:numRef>
              <c:f>'I Apertura Comercial'!$G$2:$G$21</c:f>
              <c:numCache>
                <c:formatCode>0.00%</c:formatCode>
                <c:ptCount val="20"/>
                <c:pt idx="0">
                  <c:v>0.69126041383462811</c:v>
                </c:pt>
                <c:pt idx="1">
                  <c:v>0.70889104083810395</c:v>
                </c:pt>
                <c:pt idx="2">
                  <c:v>0.78902884583292887</c:v>
                </c:pt>
                <c:pt idx="3">
                  <c:v>0.83859865001944134</c:v>
                </c:pt>
                <c:pt idx="4">
                  <c:v>0.5885688841774408</c:v>
                </c:pt>
                <c:pt idx="5">
                  <c:v>0.62796276960029807</c:v>
                </c:pt>
                <c:pt idx="6">
                  <c:v>0.73299023285864384</c:v>
                </c:pt>
                <c:pt idx="7">
                  <c:v>0.74520177251332786</c:v>
                </c:pt>
                <c:pt idx="8">
                  <c:v>0.70486030120443499</c:v>
                </c:pt>
                <c:pt idx="9">
                  <c:v>0.6767914014443871</c:v>
                </c:pt>
                <c:pt idx="10">
                  <c:v>0.63637212571168356</c:v>
                </c:pt>
                <c:pt idx="11">
                  <c:v>0.59464350151029843</c:v>
                </c:pt>
                <c:pt idx="12">
                  <c:v>0.61425236502955705</c:v>
                </c:pt>
                <c:pt idx="13">
                  <c:v>0.62518498833437819</c:v>
                </c:pt>
                <c:pt idx="14">
                  <c:v>0.5858382359800961</c:v>
                </c:pt>
                <c:pt idx="15">
                  <c:v>0.56556021915957044</c:v>
                </c:pt>
                <c:pt idx="16">
                  <c:v>0.66363730819514066</c:v>
                </c:pt>
                <c:pt idx="17">
                  <c:v>0.71418734404017048</c:v>
                </c:pt>
                <c:pt idx="18">
                  <c:v>0.63862403867292772</c:v>
                </c:pt>
                <c:pt idx="19">
                  <c:v>0.58857085538732989</c:v>
                </c:pt>
              </c:numCache>
            </c:numRef>
          </c:yVal>
          <c:smooth val="0"/>
          <c:extLst>
            <c:ext xmlns:c16="http://schemas.microsoft.com/office/drawing/2014/chart" uri="{C3380CC4-5D6E-409C-BE32-E72D297353CC}">
              <c16:uniqueId val="{00000000-4FD9-8E44-901F-7B4E4AEC15D9}"/>
            </c:ext>
          </c:extLst>
        </c:ser>
        <c:dLbls>
          <c:showLegendKey val="0"/>
          <c:showVal val="0"/>
          <c:showCatName val="0"/>
          <c:showSerName val="0"/>
          <c:showPercent val="0"/>
          <c:showBubbleSize val="0"/>
        </c:dLbls>
        <c:axId val="435300943"/>
        <c:axId val="435298431"/>
      </c:scatterChart>
      <c:valAx>
        <c:axId val="435300943"/>
        <c:scaling>
          <c:orientation val="minMax"/>
          <c:min val="2005"/>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Arial" panose="020B0604020202020204" pitchFamily="34" charset="0"/>
                <a:ea typeface="+mn-ea"/>
                <a:cs typeface="Arial" panose="020B0604020202020204" pitchFamily="34" charset="0"/>
              </a:defRPr>
            </a:pPr>
            <a:endParaRPr lang="es-CR"/>
          </a:p>
        </c:txPr>
        <c:crossAx val="435298431"/>
        <c:crosses val="autoZero"/>
        <c:crossBetween val="midCat"/>
      </c:valAx>
      <c:valAx>
        <c:axId val="435298431"/>
        <c:scaling>
          <c:orientation val="minMax"/>
          <c:min val="0.5"/>
        </c:scaling>
        <c:delete val="0"/>
        <c:axPos val="l"/>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Arial" panose="020B0604020202020204" pitchFamily="34" charset="0"/>
                <a:ea typeface="+mn-ea"/>
                <a:cs typeface="Arial" panose="020B0604020202020204" pitchFamily="34" charset="0"/>
              </a:defRPr>
            </a:pPr>
            <a:endParaRPr lang="es-CR"/>
          </a:p>
        </c:txPr>
        <c:crossAx val="435300943"/>
        <c:crosses val="autoZero"/>
        <c:crossBetween val="midCat"/>
      </c:valAx>
      <c:spPr>
        <a:noFill/>
        <a:ln>
          <a:noFill/>
        </a:ln>
        <a:effectLst/>
      </c:spPr>
    </c:plotArea>
    <c:plotVisOnly val="1"/>
    <c:dispBlanksAs val="gap"/>
    <c:showDLblsOverMax val="0"/>
  </c:chart>
  <c:spPr>
    <a:noFill/>
    <a:ln w="9525" cap="flat" cmpd="sng" algn="ctr">
      <a:noFill/>
      <a:round/>
    </a:ln>
    <a:effectLst/>
  </c:spPr>
  <c:txPr>
    <a:bodyPr/>
    <a:lstStyle/>
    <a:p>
      <a:pPr>
        <a:defRPr>
          <a:solidFill>
            <a:schemeClr val="dk1"/>
          </a:solidFill>
          <a:latin typeface="Arial" panose="020B0604020202020204" pitchFamily="34" charset="0"/>
          <a:ea typeface="+mn-ea"/>
          <a:cs typeface="Arial" panose="020B0604020202020204" pitchFamily="34" charset="0"/>
        </a:defRPr>
      </a:pPr>
      <a:endParaRPr lang="es-CR"/>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solidFill>
                <a:latin typeface="Arial" panose="020B0604020202020204" pitchFamily="34" charset="0"/>
                <a:ea typeface="+mn-ea"/>
                <a:cs typeface="Arial" panose="020B0604020202020204" pitchFamily="34" charset="0"/>
              </a:defRPr>
            </a:pPr>
            <a:r>
              <a:rPr lang="en-US" sz="1200"/>
              <a:t>Café </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solidFill>
              <a:latin typeface="Arial" panose="020B0604020202020204" pitchFamily="34" charset="0"/>
              <a:ea typeface="+mn-ea"/>
              <a:cs typeface="Arial" panose="020B0604020202020204" pitchFamily="34" charset="0"/>
            </a:defRPr>
          </a:pPr>
          <a:endParaRPr lang="es-CR"/>
        </a:p>
      </c:txPr>
    </c:title>
    <c:autoTitleDeleted val="0"/>
    <c:plotArea>
      <c:layout/>
      <c:scatterChart>
        <c:scatterStyle val="lineMarker"/>
        <c:varyColors val="0"/>
        <c:ser>
          <c:idx val="0"/>
          <c:order val="0"/>
          <c:tx>
            <c:strRef>
              <c:f>ICC!$C$2</c:f>
              <c:strCache>
                <c:ptCount val="1"/>
                <c:pt idx="0">
                  <c:v>Café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ICC!$B$3:$B$22</c:f>
              <c:numCache>
                <c:formatCode>General</c:formatCode>
                <c:ptCount val="20"/>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numCache>
            </c:numRef>
          </c:xVal>
          <c:yVal>
            <c:numRef>
              <c:f>ICC!$C$3:$C$22</c:f>
              <c:numCache>
                <c:formatCode>0.00</c:formatCode>
                <c:ptCount val="20"/>
                <c:pt idx="0">
                  <c:v>87.261431986303279</c:v>
                </c:pt>
                <c:pt idx="1">
                  <c:v>89.623401808518892</c:v>
                </c:pt>
                <c:pt idx="2">
                  <c:v>89.546519620629923</c:v>
                </c:pt>
                <c:pt idx="3">
                  <c:v>90.728130067691239</c:v>
                </c:pt>
                <c:pt idx="4">
                  <c:v>90.047477667414356</c:v>
                </c:pt>
                <c:pt idx="5">
                  <c:v>89.021955587080015</c:v>
                </c:pt>
                <c:pt idx="6">
                  <c:v>82.078393455607085</c:v>
                </c:pt>
                <c:pt idx="7">
                  <c:v>85.747429228447416</c:v>
                </c:pt>
                <c:pt idx="8">
                  <c:v>89.282132889583082</c:v>
                </c:pt>
                <c:pt idx="9">
                  <c:v>91.365827251855762</c:v>
                </c:pt>
                <c:pt idx="10">
                  <c:v>89.069828026561993</c:v>
                </c:pt>
                <c:pt idx="11">
                  <c:v>89.499546738764394</c:v>
                </c:pt>
                <c:pt idx="12">
                  <c:v>87.801713876196942</c:v>
                </c:pt>
                <c:pt idx="13">
                  <c:v>87.612682744149666</c:v>
                </c:pt>
                <c:pt idx="14">
                  <c:v>84.550189365515166</c:v>
                </c:pt>
                <c:pt idx="15">
                  <c:v>90.665737572714235</c:v>
                </c:pt>
                <c:pt idx="16">
                  <c:v>87.027362239376089</c:v>
                </c:pt>
                <c:pt idx="17">
                  <c:v>88.524411960891342</c:v>
                </c:pt>
                <c:pt idx="18">
                  <c:v>89.641957294400896</c:v>
                </c:pt>
                <c:pt idx="19">
                  <c:v>90.824604904708892</c:v>
                </c:pt>
              </c:numCache>
            </c:numRef>
          </c:yVal>
          <c:smooth val="0"/>
          <c:extLst>
            <c:ext xmlns:c16="http://schemas.microsoft.com/office/drawing/2014/chart" uri="{C3380CC4-5D6E-409C-BE32-E72D297353CC}">
              <c16:uniqueId val="{00000000-D7C6-DD4C-961B-21FBEBC11DEA}"/>
            </c:ext>
          </c:extLst>
        </c:ser>
        <c:dLbls>
          <c:showLegendKey val="0"/>
          <c:showVal val="0"/>
          <c:showCatName val="0"/>
          <c:showSerName val="0"/>
          <c:showPercent val="0"/>
          <c:showBubbleSize val="0"/>
        </c:dLbls>
        <c:axId val="464236047"/>
        <c:axId val="463845503"/>
      </c:scatterChart>
      <c:valAx>
        <c:axId val="464236047"/>
        <c:scaling>
          <c:orientation val="minMax"/>
          <c:min val="2005"/>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s-CR"/>
          </a:p>
        </c:txPr>
        <c:crossAx val="463845503"/>
        <c:crosses val="autoZero"/>
        <c:crossBetween val="midCat"/>
      </c:valAx>
      <c:valAx>
        <c:axId val="463845503"/>
        <c:scaling>
          <c:orientation val="minMax"/>
          <c:max val="100"/>
          <c:min val="80"/>
        </c:scaling>
        <c:delete val="0"/>
        <c:axPos val="l"/>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s-CR"/>
          </a:p>
        </c:txPr>
        <c:crossAx val="464236047"/>
        <c:crosses val="autoZero"/>
        <c:crossBetween val="midCat"/>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s-CR"/>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Arial" panose="020B0604020202020204" pitchFamily="34" charset="0"/>
              <a:ea typeface="+mn-ea"/>
              <a:cs typeface="Arial" panose="020B0604020202020204" pitchFamily="34" charset="0"/>
            </a:defRPr>
          </a:pPr>
          <a:endParaRPr lang="es-CR"/>
        </a:p>
      </c:txPr>
    </c:title>
    <c:autoTitleDeleted val="0"/>
    <c:plotArea>
      <c:layout/>
      <c:scatterChart>
        <c:scatterStyle val="lineMarker"/>
        <c:varyColors val="0"/>
        <c:ser>
          <c:idx val="0"/>
          <c:order val="0"/>
          <c:tx>
            <c:strRef>
              <c:f>ICC!$D$2</c:f>
              <c:strCache>
                <c:ptCount val="1"/>
                <c:pt idx="0">
                  <c:v>Camarón</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ICC!$B$3:$B$22</c:f>
              <c:numCache>
                <c:formatCode>General</c:formatCode>
                <c:ptCount val="20"/>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numCache>
            </c:numRef>
          </c:xVal>
          <c:yVal>
            <c:numRef>
              <c:f>ICC!$D$3:$D$22</c:f>
              <c:numCache>
                <c:formatCode>0.00</c:formatCode>
                <c:ptCount val="20"/>
                <c:pt idx="0">
                  <c:v>98.544053126567505</c:v>
                </c:pt>
                <c:pt idx="1">
                  <c:v>94.417190269657468</c:v>
                </c:pt>
                <c:pt idx="2">
                  <c:v>96.367695599377882</c:v>
                </c:pt>
                <c:pt idx="3">
                  <c:v>97.175762435923758</c:v>
                </c:pt>
                <c:pt idx="4">
                  <c:v>96.437641263858438</c:v>
                </c:pt>
                <c:pt idx="5">
                  <c:v>96.324222299967829</c:v>
                </c:pt>
                <c:pt idx="6">
                  <c:v>98.116835091913188</c:v>
                </c:pt>
                <c:pt idx="7">
                  <c:v>97.363899305972396</c:v>
                </c:pt>
                <c:pt idx="8">
                  <c:v>94.892728404878611</c:v>
                </c:pt>
                <c:pt idx="9">
                  <c:v>95.532475624479105</c:v>
                </c:pt>
                <c:pt idx="10">
                  <c:v>95.575727061519316</c:v>
                </c:pt>
                <c:pt idx="11">
                  <c:v>95.034742830360429</c:v>
                </c:pt>
                <c:pt idx="12">
                  <c:v>95.971573800961423</c:v>
                </c:pt>
                <c:pt idx="13">
                  <c:v>96.545308099366196</c:v>
                </c:pt>
                <c:pt idx="14">
                  <c:v>97.295267356945246</c:v>
                </c:pt>
                <c:pt idx="15">
                  <c:v>95.904471382487813</c:v>
                </c:pt>
                <c:pt idx="16">
                  <c:v>94.218733020055666</c:v>
                </c:pt>
                <c:pt idx="17">
                  <c:v>96.41230829700639</c:v>
                </c:pt>
                <c:pt idx="18">
                  <c:v>97.638250209727161</c:v>
                </c:pt>
                <c:pt idx="19">
                  <c:v>97.758486058807733</c:v>
                </c:pt>
              </c:numCache>
            </c:numRef>
          </c:yVal>
          <c:smooth val="0"/>
          <c:extLst>
            <c:ext xmlns:c16="http://schemas.microsoft.com/office/drawing/2014/chart" uri="{C3380CC4-5D6E-409C-BE32-E72D297353CC}">
              <c16:uniqueId val="{00000000-E736-2540-9F2D-8DE45A005EDA}"/>
            </c:ext>
          </c:extLst>
        </c:ser>
        <c:dLbls>
          <c:showLegendKey val="0"/>
          <c:showVal val="0"/>
          <c:showCatName val="0"/>
          <c:showSerName val="0"/>
          <c:showPercent val="0"/>
          <c:showBubbleSize val="0"/>
        </c:dLbls>
        <c:axId val="70082879"/>
        <c:axId val="70084591"/>
      </c:scatterChart>
      <c:valAx>
        <c:axId val="70082879"/>
        <c:scaling>
          <c:orientation val="minMax"/>
          <c:min val="2005"/>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s-CR"/>
          </a:p>
        </c:txPr>
        <c:crossAx val="70084591"/>
        <c:crosses val="autoZero"/>
        <c:crossBetween val="midCat"/>
      </c:valAx>
      <c:valAx>
        <c:axId val="70084591"/>
        <c:scaling>
          <c:orientation val="minMax"/>
          <c:min val="80"/>
        </c:scaling>
        <c:delete val="0"/>
        <c:axPos val="l"/>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s-CR"/>
          </a:p>
        </c:txPr>
        <c:crossAx val="70082879"/>
        <c:crosses val="autoZero"/>
        <c:crossBetween val="midCat"/>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s-CR"/>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sz="1200"/>
              <a:t>Banano</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s-CR"/>
        </a:p>
      </c:txPr>
    </c:title>
    <c:autoTitleDeleted val="0"/>
    <c:plotArea>
      <c:layout/>
      <c:scatterChart>
        <c:scatterStyle val="lineMarker"/>
        <c:varyColors val="0"/>
        <c:ser>
          <c:idx val="0"/>
          <c:order val="0"/>
          <c:tx>
            <c:strRef>
              <c:f>ICC!$G$2</c:f>
              <c:strCache>
                <c:ptCount val="1"/>
                <c:pt idx="0">
                  <c:v>Banano</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ICC!$B$3:$B$22</c:f>
              <c:numCache>
                <c:formatCode>General</c:formatCode>
                <c:ptCount val="20"/>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numCache>
            </c:numRef>
          </c:xVal>
          <c:yVal>
            <c:numRef>
              <c:f>ICC!$G$3:$G$22</c:f>
              <c:numCache>
                <c:formatCode>0.00</c:formatCode>
                <c:ptCount val="20"/>
                <c:pt idx="0">
                  <c:v>99.9924471824135</c:v>
                </c:pt>
                <c:pt idx="1">
                  <c:v>99.992655033151038</c:v>
                </c:pt>
                <c:pt idx="2">
                  <c:v>99.994182766276523</c:v>
                </c:pt>
                <c:pt idx="3">
                  <c:v>99.993882633947223</c:v>
                </c:pt>
                <c:pt idx="4">
                  <c:v>99.991097063823034</c:v>
                </c:pt>
                <c:pt idx="5">
                  <c:v>99.991158224805673</c:v>
                </c:pt>
                <c:pt idx="6">
                  <c:v>99.988475915842542</c:v>
                </c:pt>
                <c:pt idx="7">
                  <c:v>99.989936976301763</c:v>
                </c:pt>
                <c:pt idx="8">
                  <c:v>99.991385328147047</c:v>
                </c:pt>
                <c:pt idx="9">
                  <c:v>99.979251789942396</c:v>
                </c:pt>
                <c:pt idx="10">
                  <c:v>99.977008032063836</c:v>
                </c:pt>
                <c:pt idx="11">
                  <c:v>99.981567213474847</c:v>
                </c:pt>
                <c:pt idx="12">
                  <c:v>99.984254752219002</c:v>
                </c:pt>
                <c:pt idx="13">
                  <c:v>99.978988425754409</c:v>
                </c:pt>
                <c:pt idx="14">
                  <c:v>99.973507821957369</c:v>
                </c:pt>
                <c:pt idx="15">
                  <c:v>99.97684221425807</c:v>
                </c:pt>
                <c:pt idx="16">
                  <c:v>99.980563349335526</c:v>
                </c:pt>
                <c:pt idx="17">
                  <c:v>99.978585815396613</c:v>
                </c:pt>
                <c:pt idx="18">
                  <c:v>99.978845162828861</c:v>
                </c:pt>
                <c:pt idx="19">
                  <c:v>99.982453596641818</c:v>
                </c:pt>
              </c:numCache>
            </c:numRef>
          </c:yVal>
          <c:smooth val="0"/>
          <c:extLst>
            <c:ext xmlns:c16="http://schemas.microsoft.com/office/drawing/2014/chart" uri="{C3380CC4-5D6E-409C-BE32-E72D297353CC}">
              <c16:uniqueId val="{00000000-DA15-FC43-B8C8-C59DFB0684A1}"/>
            </c:ext>
          </c:extLst>
        </c:ser>
        <c:dLbls>
          <c:showLegendKey val="0"/>
          <c:showVal val="0"/>
          <c:showCatName val="0"/>
          <c:showSerName val="0"/>
          <c:showPercent val="0"/>
          <c:showBubbleSize val="0"/>
        </c:dLbls>
        <c:axId val="305951487"/>
        <c:axId val="305855647"/>
      </c:scatterChart>
      <c:valAx>
        <c:axId val="305951487"/>
        <c:scaling>
          <c:orientation val="minMax"/>
          <c:min val="2005"/>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s-CR"/>
          </a:p>
        </c:txPr>
        <c:crossAx val="305855647"/>
        <c:crosses val="autoZero"/>
        <c:crossBetween val="midCat"/>
      </c:valAx>
      <c:valAx>
        <c:axId val="305855647"/>
        <c:scaling>
          <c:orientation val="minMax"/>
          <c:max val="100"/>
          <c:min val="80"/>
        </c:scaling>
        <c:delete val="0"/>
        <c:axPos val="l"/>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s-CR"/>
          </a:p>
        </c:txPr>
        <c:crossAx val="305951487"/>
        <c:crosses val="autoZero"/>
        <c:crossBetween val="midCat"/>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sz="700">
          <a:solidFill>
            <a:schemeClr val="tx1">
              <a:lumMod val="95000"/>
              <a:lumOff val="5000"/>
            </a:schemeClr>
          </a:solidFill>
          <a:latin typeface="Arial" panose="020B0604020202020204" pitchFamily="34" charset="0"/>
          <a:cs typeface="Arial" panose="020B0604020202020204" pitchFamily="34" charset="0"/>
        </a:defRPr>
      </a:pPr>
      <a:endParaRPr lang="es-CR"/>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Arial" panose="020B0604020202020204" pitchFamily="34" charset="0"/>
                <a:ea typeface="+mn-ea"/>
                <a:cs typeface="Arial" panose="020B0604020202020204" pitchFamily="34" charset="0"/>
              </a:defRPr>
            </a:pPr>
            <a:r>
              <a:rPr lang="en-US" sz="1200">
                <a:solidFill>
                  <a:schemeClr val="tx1"/>
                </a:solidFill>
              </a:rPr>
              <a:t>Tabaco</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Arial" panose="020B0604020202020204" pitchFamily="34" charset="0"/>
              <a:ea typeface="+mn-ea"/>
              <a:cs typeface="Arial" panose="020B0604020202020204" pitchFamily="34" charset="0"/>
            </a:defRPr>
          </a:pPr>
          <a:endParaRPr lang="es-CR"/>
        </a:p>
      </c:txPr>
    </c:title>
    <c:autoTitleDeleted val="0"/>
    <c:plotArea>
      <c:layout/>
      <c:scatterChart>
        <c:scatterStyle val="lineMarker"/>
        <c:varyColors val="0"/>
        <c:ser>
          <c:idx val="0"/>
          <c:order val="0"/>
          <c:tx>
            <c:strRef>
              <c:f>ICC!$E$2</c:f>
              <c:strCache>
                <c:ptCount val="1"/>
                <c:pt idx="0">
                  <c:v>Tabaco</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ICC!$B$3:$B$22</c:f>
              <c:numCache>
                <c:formatCode>General</c:formatCode>
                <c:ptCount val="20"/>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numCache>
            </c:numRef>
          </c:xVal>
          <c:yVal>
            <c:numRef>
              <c:f>ICC!$E$3:$E$22</c:f>
              <c:numCache>
                <c:formatCode>0.00</c:formatCode>
                <c:ptCount val="20"/>
                <c:pt idx="0">
                  <c:v>99.958317885285609</c:v>
                </c:pt>
                <c:pt idx="1">
                  <c:v>99.696883962721529</c:v>
                </c:pt>
                <c:pt idx="2">
                  <c:v>99.708124840140883</c:v>
                </c:pt>
                <c:pt idx="3">
                  <c:v>99.808456177977149</c:v>
                </c:pt>
                <c:pt idx="4">
                  <c:v>99.821048232278869</c:v>
                </c:pt>
                <c:pt idx="5">
                  <c:v>99.842283018307469</c:v>
                </c:pt>
                <c:pt idx="6">
                  <c:v>99.863573355763336</c:v>
                </c:pt>
                <c:pt idx="7">
                  <c:v>99.848699786657676</c:v>
                </c:pt>
                <c:pt idx="8">
                  <c:v>99.75493106993072</c:v>
                </c:pt>
                <c:pt idx="9">
                  <c:v>99.844678829073445</c:v>
                </c:pt>
                <c:pt idx="10">
                  <c:v>99.760004256096465</c:v>
                </c:pt>
                <c:pt idx="11">
                  <c:v>99.951291326962092</c:v>
                </c:pt>
                <c:pt idx="12">
                  <c:v>99.905115508719064</c:v>
                </c:pt>
                <c:pt idx="13">
                  <c:v>99.927639124813339</c:v>
                </c:pt>
                <c:pt idx="14">
                  <c:v>99.800026454036214</c:v>
                </c:pt>
                <c:pt idx="15">
                  <c:v>99.523917680213472</c:v>
                </c:pt>
                <c:pt idx="16">
                  <c:v>99.827861734149479</c:v>
                </c:pt>
                <c:pt idx="17">
                  <c:v>99.697645633826156</c:v>
                </c:pt>
                <c:pt idx="18">
                  <c:v>99.54890886105396</c:v>
                </c:pt>
                <c:pt idx="19">
                  <c:v>99.55173686279764</c:v>
                </c:pt>
              </c:numCache>
            </c:numRef>
          </c:yVal>
          <c:smooth val="0"/>
          <c:extLst>
            <c:ext xmlns:c16="http://schemas.microsoft.com/office/drawing/2014/chart" uri="{C3380CC4-5D6E-409C-BE32-E72D297353CC}">
              <c16:uniqueId val="{00000000-3EC2-C947-85B5-D68AA22E0201}"/>
            </c:ext>
          </c:extLst>
        </c:ser>
        <c:dLbls>
          <c:showLegendKey val="0"/>
          <c:showVal val="0"/>
          <c:showCatName val="0"/>
          <c:showSerName val="0"/>
          <c:showPercent val="0"/>
          <c:showBubbleSize val="0"/>
        </c:dLbls>
        <c:axId val="305872831"/>
        <c:axId val="305874543"/>
      </c:scatterChart>
      <c:valAx>
        <c:axId val="305872831"/>
        <c:scaling>
          <c:orientation val="minMax"/>
          <c:min val="2005"/>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s-CR"/>
          </a:p>
        </c:txPr>
        <c:crossAx val="305874543"/>
        <c:crosses val="autoZero"/>
        <c:crossBetween val="midCat"/>
      </c:valAx>
      <c:valAx>
        <c:axId val="305874543"/>
        <c:scaling>
          <c:orientation val="minMax"/>
          <c:max val="100"/>
          <c:min val="80"/>
        </c:scaling>
        <c:delete val="0"/>
        <c:axPos val="l"/>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s-CR"/>
          </a:p>
        </c:txPr>
        <c:crossAx val="305872831"/>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'expor vs impor'!$B$1</c:f>
              <c:strCache>
                <c:ptCount val="1"/>
                <c:pt idx="0">
                  <c:v>Exportaciones </c:v>
                </c:pt>
              </c:strCache>
            </c:strRef>
          </c:tx>
          <c:spPr>
            <a:ln w="38100" cap="rnd">
              <a:solidFill>
                <a:schemeClr val="accent1"/>
              </a:solidFill>
              <a:round/>
            </a:ln>
            <a:effectLst/>
          </c:spPr>
          <c:marker>
            <c:symbol val="none"/>
          </c:marker>
          <c:cat>
            <c:numRef>
              <c:f>'expor vs impor'!$A$2:$A$26</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'expor vs impor'!$B$2:$B$26</c:f>
              <c:numCache>
                <c:formatCode>#,##0.0</c:formatCode>
                <c:ptCount val="25"/>
                <c:pt idx="0">
                  <c:v>40.637999999999998</c:v>
                </c:pt>
                <c:pt idx="1">
                  <c:v>525.971</c:v>
                </c:pt>
                <c:pt idx="2">
                  <c:v>521.36199999999997</c:v>
                </c:pt>
                <c:pt idx="3">
                  <c:v>2676.2339999999999</c:v>
                </c:pt>
                <c:pt idx="4">
                  <c:v>8447.1880000000001</c:v>
                </c:pt>
                <c:pt idx="5">
                  <c:v>15894.9148</c:v>
                </c:pt>
                <c:pt idx="6">
                  <c:v>9502.3672999999999</c:v>
                </c:pt>
                <c:pt idx="7">
                  <c:v>17193.24972</c:v>
                </c:pt>
                <c:pt idx="8">
                  <c:v>31070.478859999999</c:v>
                </c:pt>
                <c:pt idx="9">
                  <c:v>43075.825879999997</c:v>
                </c:pt>
                <c:pt idx="10">
                  <c:v>69623.518849999993</c:v>
                </c:pt>
                <c:pt idx="11">
                  <c:v>102607.534</c:v>
                </c:pt>
                <c:pt idx="12">
                  <c:v>113784.88292</c:v>
                </c:pt>
                <c:pt idx="13">
                  <c:v>130023.77613</c:v>
                </c:pt>
                <c:pt idx="14">
                  <c:v>71220.230169999995</c:v>
                </c:pt>
                <c:pt idx="15">
                  <c:v>20757.88926</c:v>
                </c:pt>
                <c:pt idx="16">
                  <c:v>12113.490180000001</c:v>
                </c:pt>
                <c:pt idx="17">
                  <c:v>17293.572199999999</c:v>
                </c:pt>
                <c:pt idx="18">
                  <c:v>29999.38521</c:v>
                </c:pt>
                <c:pt idx="19">
                  <c:v>12136.828810000001</c:v>
                </c:pt>
                <c:pt idx="20">
                  <c:v>24734.292290000001</c:v>
                </c:pt>
                <c:pt idx="21">
                  <c:v>13973.66395</c:v>
                </c:pt>
                <c:pt idx="22">
                  <c:v>11377.60089</c:v>
                </c:pt>
                <c:pt idx="23">
                  <c:v>13926.00171</c:v>
                </c:pt>
                <c:pt idx="24">
                  <c:v>35874.681470000003</c:v>
                </c:pt>
              </c:numCache>
            </c:numRef>
          </c:val>
          <c:smooth val="0"/>
          <c:extLst>
            <c:ext xmlns:c16="http://schemas.microsoft.com/office/drawing/2014/chart" uri="{C3380CC4-5D6E-409C-BE32-E72D297353CC}">
              <c16:uniqueId val="{00000000-CA77-8C40-8108-76648C4B43E5}"/>
            </c:ext>
          </c:extLst>
        </c:ser>
        <c:ser>
          <c:idx val="1"/>
          <c:order val="1"/>
          <c:tx>
            <c:strRef>
              <c:f>'expor vs impor'!$C$1</c:f>
              <c:strCache>
                <c:ptCount val="1"/>
                <c:pt idx="0">
                  <c:v>Importaciones </c:v>
                </c:pt>
              </c:strCache>
            </c:strRef>
          </c:tx>
          <c:spPr>
            <a:ln w="38100" cap="rnd">
              <a:solidFill>
                <a:schemeClr val="accent2"/>
              </a:solidFill>
              <a:round/>
            </a:ln>
            <a:effectLst/>
          </c:spPr>
          <c:marker>
            <c:symbol val="none"/>
          </c:marker>
          <c:cat>
            <c:numRef>
              <c:f>'expor vs impor'!$A$2:$A$26</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'expor vs impor'!$C$2:$C$26</c:f>
              <c:numCache>
                <c:formatCode>#,##0.0</c:formatCode>
                <c:ptCount val="25"/>
                <c:pt idx="0">
                  <c:v>15030.396000000001</c:v>
                </c:pt>
                <c:pt idx="1">
                  <c:v>23494.214</c:v>
                </c:pt>
                <c:pt idx="2">
                  <c:v>23425.63</c:v>
                </c:pt>
                <c:pt idx="3">
                  <c:v>37538.911999999997</c:v>
                </c:pt>
                <c:pt idx="4">
                  <c:v>66203.922000000006</c:v>
                </c:pt>
                <c:pt idx="5">
                  <c:v>84735.277319999994</c:v>
                </c:pt>
                <c:pt idx="6">
                  <c:v>133929.51714000001</c:v>
                </c:pt>
                <c:pt idx="7">
                  <c:v>214022.11791</c:v>
                </c:pt>
                <c:pt idx="8">
                  <c:v>300712.86540000001</c:v>
                </c:pt>
                <c:pt idx="9">
                  <c:v>193923.04209</c:v>
                </c:pt>
                <c:pt idx="10">
                  <c:v>540158.17961999995</c:v>
                </c:pt>
                <c:pt idx="11">
                  <c:v>337198.42833999998</c:v>
                </c:pt>
                <c:pt idx="12">
                  <c:v>436024.22343000001</c:v>
                </c:pt>
                <c:pt idx="13">
                  <c:v>452670.50912</c:v>
                </c:pt>
                <c:pt idx="14">
                  <c:v>703846.69307000004</c:v>
                </c:pt>
                <c:pt idx="15">
                  <c:v>1280776.7069000001</c:v>
                </c:pt>
                <c:pt idx="16">
                  <c:v>1091050.7461099999</c:v>
                </c:pt>
                <c:pt idx="17">
                  <c:v>1072569.6052600001</c:v>
                </c:pt>
                <c:pt idx="18">
                  <c:v>1537893.8048700001</c:v>
                </c:pt>
                <c:pt idx="19">
                  <c:v>1505530.8958399999</c:v>
                </c:pt>
                <c:pt idx="20">
                  <c:v>1316996.9407299999</c:v>
                </c:pt>
                <c:pt idx="21">
                  <c:v>2121968.96049</c:v>
                </c:pt>
                <c:pt idx="22">
                  <c:v>2367453.96893</c:v>
                </c:pt>
                <c:pt idx="23">
                  <c:v>2332294.4310300001</c:v>
                </c:pt>
                <c:pt idx="24">
                  <c:v>2552085.7344999998</c:v>
                </c:pt>
              </c:numCache>
            </c:numRef>
          </c:val>
          <c:smooth val="0"/>
          <c:extLst>
            <c:ext xmlns:c16="http://schemas.microsoft.com/office/drawing/2014/chart" uri="{C3380CC4-5D6E-409C-BE32-E72D297353CC}">
              <c16:uniqueId val="{00000001-CA77-8C40-8108-76648C4B43E5}"/>
            </c:ext>
          </c:extLst>
        </c:ser>
        <c:dLbls>
          <c:showLegendKey val="0"/>
          <c:showVal val="0"/>
          <c:showCatName val="0"/>
          <c:showSerName val="0"/>
          <c:showPercent val="0"/>
          <c:showBubbleSize val="0"/>
        </c:dLbls>
        <c:smooth val="0"/>
        <c:axId val="1575334864"/>
        <c:axId val="1575336576"/>
      </c:lineChart>
      <c:catAx>
        <c:axId val="1575334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dk1"/>
                </a:solidFill>
                <a:latin typeface="Arial" panose="020B0604020202020204" pitchFamily="34" charset="0"/>
                <a:ea typeface="+mn-ea"/>
                <a:cs typeface="Arial" panose="020B0604020202020204" pitchFamily="34" charset="0"/>
              </a:defRPr>
            </a:pPr>
            <a:endParaRPr lang="es-CR"/>
          </a:p>
        </c:txPr>
        <c:crossAx val="1575336576"/>
        <c:crosses val="autoZero"/>
        <c:auto val="1"/>
        <c:lblAlgn val="ctr"/>
        <c:lblOffset val="100"/>
        <c:noMultiLvlLbl val="0"/>
      </c:catAx>
      <c:valAx>
        <c:axId val="15753365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solidFill>
                <a:latin typeface="Arial" panose="020B0604020202020204" pitchFamily="34" charset="0"/>
                <a:ea typeface="+mn-ea"/>
                <a:cs typeface="Arial" panose="020B0604020202020204" pitchFamily="34" charset="0"/>
              </a:defRPr>
            </a:pPr>
            <a:endParaRPr lang="es-CR"/>
          </a:p>
        </c:txPr>
        <c:crossAx val="1575334864"/>
        <c:crosses val="autoZero"/>
        <c:crossBetween val="between"/>
        <c:dispUnits>
          <c:builtInUnit val="millions"/>
          <c:dispUnitsLbl>
            <c:spPr>
              <a:noFill/>
              <a:ln>
                <a:noFill/>
              </a:ln>
              <a:effectLst/>
            </c:spPr>
            <c:txPr>
              <a:bodyPr rot="-5400000" spcFirstLastPara="1" vertOverflow="ellipsis" vert="horz" wrap="square" anchor="ctr" anchorCtr="1"/>
              <a:lstStyle/>
              <a:p>
                <a:pPr>
                  <a:defRPr sz="900" b="0" i="0" u="none" strike="noStrike" kern="1200" baseline="0">
                    <a:solidFill>
                      <a:schemeClr val="dk1"/>
                    </a:solidFill>
                    <a:latin typeface="Arial" panose="020B0604020202020204" pitchFamily="34" charset="0"/>
                    <a:ea typeface="+mn-ea"/>
                    <a:cs typeface="Arial" panose="020B0604020202020204" pitchFamily="34" charset="0"/>
                  </a:defRPr>
                </a:pPr>
                <a:endParaRPr lang="es-CR"/>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endParaRPr lang="es-CR"/>
        </a:p>
      </c:txPr>
    </c:legend>
    <c:plotVisOnly val="1"/>
    <c:dispBlanksAs val="gap"/>
    <c:showDLblsOverMax val="0"/>
  </c:chart>
  <c:spPr>
    <a:noFill/>
    <a:ln w="9525" cap="flat" cmpd="sng" algn="ctr">
      <a:noFill/>
      <a:round/>
    </a:ln>
    <a:effectLst/>
  </c:spPr>
  <c:txPr>
    <a:bodyPr/>
    <a:lstStyle/>
    <a:p>
      <a:pPr>
        <a:defRPr sz="800">
          <a:solidFill>
            <a:schemeClr val="dk1"/>
          </a:solidFill>
          <a:latin typeface="Arial" panose="020B0604020202020204" pitchFamily="34" charset="0"/>
          <a:ea typeface="+mn-ea"/>
          <a:cs typeface="Arial" panose="020B0604020202020204" pitchFamily="34" charset="0"/>
        </a:defRPr>
      </a:pPr>
      <a:endParaRPr lang="es-CR"/>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solidFill>
                <a:latin typeface="Arial" panose="020B0604020202020204" pitchFamily="34" charset="0"/>
                <a:ea typeface="+mn-ea"/>
                <a:cs typeface="Arial" panose="020B0604020202020204" pitchFamily="34" charset="0"/>
              </a:defRPr>
            </a:pPr>
            <a:r>
              <a:rPr lang="en-US" sz="1200"/>
              <a:t>Zinc</a:t>
            </a:r>
            <a:r>
              <a:rPr lang="en-US"/>
              <a:t> </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solidFill>
              <a:latin typeface="Arial" panose="020B0604020202020204" pitchFamily="34" charset="0"/>
              <a:ea typeface="+mn-ea"/>
              <a:cs typeface="Arial" panose="020B0604020202020204" pitchFamily="34" charset="0"/>
            </a:defRPr>
          </a:pPr>
          <a:endParaRPr lang="es-CR"/>
        </a:p>
      </c:txPr>
    </c:title>
    <c:autoTitleDeleted val="0"/>
    <c:plotArea>
      <c:layout/>
      <c:scatterChart>
        <c:scatterStyle val="lineMarker"/>
        <c:varyColors val="0"/>
        <c:ser>
          <c:idx val="0"/>
          <c:order val="0"/>
          <c:tx>
            <c:strRef>
              <c:f>ICC!$F$2</c:f>
              <c:strCache>
                <c:ptCount val="1"/>
                <c:pt idx="0">
                  <c:v>Zinc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ICC!$B$3:$B$22</c:f>
              <c:numCache>
                <c:formatCode>General</c:formatCode>
                <c:ptCount val="20"/>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numCache>
            </c:numRef>
          </c:xVal>
          <c:yVal>
            <c:numRef>
              <c:f>ICC!$F$3:$F$22</c:f>
              <c:numCache>
                <c:formatCode>0.00</c:formatCode>
                <c:ptCount val="20"/>
                <c:pt idx="0">
                  <c:v>99.794742206996517</c:v>
                </c:pt>
                <c:pt idx="1">
                  <c:v>99.964292652708806</c:v>
                </c:pt>
                <c:pt idx="2">
                  <c:v>99.918555718943594</c:v>
                </c:pt>
                <c:pt idx="3">
                  <c:v>99.945229435942991</c:v>
                </c:pt>
                <c:pt idx="4">
                  <c:v>99.798230467529066</c:v>
                </c:pt>
                <c:pt idx="5">
                  <c:v>99.878959344256231</c:v>
                </c:pt>
                <c:pt idx="6">
                  <c:v>99.941379760040647</c:v>
                </c:pt>
                <c:pt idx="7">
                  <c:v>99.965717475292109</c:v>
                </c:pt>
                <c:pt idx="8">
                  <c:v>99.961620580759174</c:v>
                </c:pt>
                <c:pt idx="9">
                  <c:v>99.961037673826766</c:v>
                </c:pt>
                <c:pt idx="10">
                  <c:v>99.940224131302543</c:v>
                </c:pt>
                <c:pt idx="11">
                  <c:v>99.960530608335461</c:v>
                </c:pt>
                <c:pt idx="12">
                  <c:v>99.939448351842771</c:v>
                </c:pt>
                <c:pt idx="13">
                  <c:v>99.923811873815779</c:v>
                </c:pt>
                <c:pt idx="14">
                  <c:v>99.939413663699824</c:v>
                </c:pt>
                <c:pt idx="15">
                  <c:v>99.936987667292215</c:v>
                </c:pt>
                <c:pt idx="16">
                  <c:v>99.926032486687859</c:v>
                </c:pt>
                <c:pt idx="17">
                  <c:v>99.911998125049578</c:v>
                </c:pt>
                <c:pt idx="18">
                  <c:v>99.921351894866717</c:v>
                </c:pt>
                <c:pt idx="19">
                  <c:v>99.915871187840224</c:v>
                </c:pt>
              </c:numCache>
            </c:numRef>
          </c:yVal>
          <c:smooth val="0"/>
          <c:extLst>
            <c:ext xmlns:c16="http://schemas.microsoft.com/office/drawing/2014/chart" uri="{C3380CC4-5D6E-409C-BE32-E72D297353CC}">
              <c16:uniqueId val="{00000000-EA8B-F647-9549-BDFC57DB1D99}"/>
            </c:ext>
          </c:extLst>
        </c:ser>
        <c:dLbls>
          <c:showLegendKey val="0"/>
          <c:showVal val="0"/>
          <c:showCatName val="0"/>
          <c:showSerName val="0"/>
          <c:showPercent val="0"/>
          <c:showBubbleSize val="0"/>
        </c:dLbls>
        <c:axId val="69982111"/>
        <c:axId val="69983823"/>
      </c:scatterChart>
      <c:valAx>
        <c:axId val="69982111"/>
        <c:scaling>
          <c:orientation val="minMax"/>
          <c:min val="2005"/>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s-CR"/>
          </a:p>
        </c:txPr>
        <c:crossAx val="69983823"/>
        <c:crosses val="autoZero"/>
        <c:crossBetween val="midCat"/>
      </c:valAx>
      <c:valAx>
        <c:axId val="69983823"/>
        <c:scaling>
          <c:orientation val="minMax"/>
          <c:max val="100"/>
          <c:min val="80"/>
        </c:scaling>
        <c:delete val="0"/>
        <c:axPos val="l"/>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s-CR"/>
          </a:p>
        </c:txPr>
        <c:crossAx val="69982111"/>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s-CR"/>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sz="1200"/>
              <a:t>Carne Bovina</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s-CR"/>
        </a:p>
      </c:txPr>
    </c:title>
    <c:autoTitleDeleted val="0"/>
    <c:plotArea>
      <c:layout/>
      <c:scatterChart>
        <c:scatterStyle val="lineMarker"/>
        <c:varyColors val="0"/>
        <c:ser>
          <c:idx val="0"/>
          <c:order val="0"/>
          <c:tx>
            <c:strRef>
              <c:f>ICC!$H$2</c:f>
              <c:strCache>
                <c:ptCount val="1"/>
                <c:pt idx="0">
                  <c:v>Carne Bovina</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ICC!$B$3:$B$22</c:f>
              <c:numCache>
                <c:formatCode>General</c:formatCode>
                <c:ptCount val="20"/>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numCache>
            </c:numRef>
          </c:xVal>
          <c:yVal>
            <c:numRef>
              <c:f>ICC!$H$3:$H$22</c:f>
              <c:numCache>
                <c:formatCode>0.00</c:formatCode>
                <c:ptCount val="20"/>
                <c:pt idx="0">
                  <c:v>99.999615575590894</c:v>
                </c:pt>
                <c:pt idx="1">
                  <c:v>99.999721020658257</c:v>
                </c:pt>
                <c:pt idx="2">
                  <c:v>99.999606372887698</c:v>
                </c:pt>
                <c:pt idx="3">
                  <c:v>99.999594014586179</c:v>
                </c:pt>
                <c:pt idx="4">
                  <c:v>99.998227185136727</c:v>
                </c:pt>
                <c:pt idx="5">
                  <c:v>99.997409467612599</c:v>
                </c:pt>
                <c:pt idx="6">
                  <c:v>99.997669495667637</c:v>
                </c:pt>
                <c:pt idx="7">
                  <c:v>99.993848156994048</c:v>
                </c:pt>
                <c:pt idx="8">
                  <c:v>99.974007013081945</c:v>
                </c:pt>
                <c:pt idx="9">
                  <c:v>99.974599465339338</c:v>
                </c:pt>
                <c:pt idx="10">
                  <c:v>99.941477559224438</c:v>
                </c:pt>
                <c:pt idx="11">
                  <c:v>99.931796236148358</c:v>
                </c:pt>
                <c:pt idx="12">
                  <c:v>99.926477379966201</c:v>
                </c:pt>
                <c:pt idx="13">
                  <c:v>99.900495054957418</c:v>
                </c:pt>
                <c:pt idx="14">
                  <c:v>99.825368091746029</c:v>
                </c:pt>
                <c:pt idx="15">
                  <c:v>99.780196737623314</c:v>
                </c:pt>
                <c:pt idx="16">
                  <c:v>99.800563678674436</c:v>
                </c:pt>
                <c:pt idx="17">
                  <c:v>99.711271037020438</c:v>
                </c:pt>
                <c:pt idx="18">
                  <c:v>99.762008062900549</c:v>
                </c:pt>
                <c:pt idx="19">
                  <c:v>99.773592456544591</c:v>
                </c:pt>
              </c:numCache>
            </c:numRef>
          </c:yVal>
          <c:smooth val="0"/>
          <c:extLst>
            <c:ext xmlns:c16="http://schemas.microsoft.com/office/drawing/2014/chart" uri="{C3380CC4-5D6E-409C-BE32-E72D297353CC}">
              <c16:uniqueId val="{00000000-D116-3641-A4AA-FA01F70EB75E}"/>
            </c:ext>
          </c:extLst>
        </c:ser>
        <c:dLbls>
          <c:showLegendKey val="0"/>
          <c:showVal val="0"/>
          <c:showCatName val="0"/>
          <c:showSerName val="0"/>
          <c:showPercent val="0"/>
          <c:showBubbleSize val="0"/>
        </c:dLbls>
        <c:axId val="305795183"/>
        <c:axId val="305737359"/>
      </c:scatterChart>
      <c:valAx>
        <c:axId val="305795183"/>
        <c:scaling>
          <c:orientation val="minMax"/>
          <c:min val="2005"/>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s-CR"/>
          </a:p>
        </c:txPr>
        <c:crossAx val="305737359"/>
        <c:crosses val="autoZero"/>
        <c:crossBetween val="midCat"/>
      </c:valAx>
      <c:valAx>
        <c:axId val="305737359"/>
        <c:scaling>
          <c:orientation val="minMax"/>
          <c:max val="100"/>
          <c:min val="80"/>
        </c:scaling>
        <c:delete val="0"/>
        <c:axPos val="l"/>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s-CR"/>
          </a:p>
        </c:txPr>
        <c:crossAx val="305795183"/>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700">
          <a:solidFill>
            <a:schemeClr val="tx1">
              <a:lumMod val="95000"/>
              <a:lumOff val="5000"/>
            </a:schemeClr>
          </a:solidFill>
          <a:latin typeface="Arial" panose="020B0604020202020204" pitchFamily="34" charset="0"/>
          <a:cs typeface="Arial" panose="020B0604020202020204" pitchFamily="34" charset="0"/>
        </a:defRPr>
      </a:pPr>
      <a:endParaRPr lang="es-C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Hoja4!$B$1</c:f>
              <c:strCache>
                <c:ptCount val="1"/>
                <c:pt idx="0">
                  <c:v>Exportaciones </c:v>
                </c:pt>
              </c:strCache>
            </c:strRef>
          </c:tx>
          <c:spPr>
            <a:solidFill>
              <a:schemeClr val="accent1"/>
            </a:solidFill>
            <a:ln>
              <a:noFill/>
            </a:ln>
            <a:effectLst/>
          </c:spPr>
          <c:invertIfNegative val="0"/>
          <c:cat>
            <c:numRef>
              <c:f>Hoja4!$A$2:$A$26</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Hoja4!$B$2:$B$26</c:f>
              <c:numCache>
                <c:formatCode>#,##0.0</c:formatCode>
                <c:ptCount val="25"/>
                <c:pt idx="0">
                  <c:v>40.637999999999998</c:v>
                </c:pt>
                <c:pt idx="1">
                  <c:v>525.971</c:v>
                </c:pt>
                <c:pt idx="2">
                  <c:v>521.36199999999997</c:v>
                </c:pt>
                <c:pt idx="3">
                  <c:v>2676.2339999999999</c:v>
                </c:pt>
                <c:pt idx="4">
                  <c:v>8447.1880000000001</c:v>
                </c:pt>
                <c:pt idx="5">
                  <c:v>15894.9148</c:v>
                </c:pt>
                <c:pt idx="6">
                  <c:v>9502.3672999999999</c:v>
                </c:pt>
                <c:pt idx="7">
                  <c:v>17193.24972</c:v>
                </c:pt>
                <c:pt idx="8">
                  <c:v>31070.478859999999</c:v>
                </c:pt>
                <c:pt idx="9">
                  <c:v>43075.825879999997</c:v>
                </c:pt>
                <c:pt idx="10">
                  <c:v>69623.518849999993</c:v>
                </c:pt>
                <c:pt idx="11">
                  <c:v>102607.534</c:v>
                </c:pt>
                <c:pt idx="12">
                  <c:v>113784.88292</c:v>
                </c:pt>
                <c:pt idx="13">
                  <c:v>130023.77613</c:v>
                </c:pt>
                <c:pt idx="14">
                  <c:v>71220.230169999995</c:v>
                </c:pt>
                <c:pt idx="15">
                  <c:v>20757.88926</c:v>
                </c:pt>
                <c:pt idx="16">
                  <c:v>12113.490180000001</c:v>
                </c:pt>
                <c:pt idx="17">
                  <c:v>17293.572199999999</c:v>
                </c:pt>
                <c:pt idx="18">
                  <c:v>29999.38521</c:v>
                </c:pt>
                <c:pt idx="19">
                  <c:v>12136.828810000001</c:v>
                </c:pt>
                <c:pt idx="20">
                  <c:v>24734.292290000001</c:v>
                </c:pt>
                <c:pt idx="21">
                  <c:v>13973.66395</c:v>
                </c:pt>
                <c:pt idx="22">
                  <c:v>11377.60089</c:v>
                </c:pt>
                <c:pt idx="23">
                  <c:v>13926.00171</c:v>
                </c:pt>
                <c:pt idx="24">
                  <c:v>35874.681470000003</c:v>
                </c:pt>
              </c:numCache>
            </c:numRef>
          </c:val>
          <c:extLst>
            <c:ext xmlns:c16="http://schemas.microsoft.com/office/drawing/2014/chart" uri="{C3380CC4-5D6E-409C-BE32-E72D297353CC}">
              <c16:uniqueId val="{00000000-8EC0-BC48-87AC-781C86039A22}"/>
            </c:ext>
          </c:extLst>
        </c:ser>
        <c:dLbls>
          <c:showLegendKey val="0"/>
          <c:showVal val="0"/>
          <c:showCatName val="0"/>
          <c:showSerName val="0"/>
          <c:showPercent val="0"/>
          <c:showBubbleSize val="0"/>
        </c:dLbls>
        <c:gapWidth val="219"/>
        <c:overlap val="-27"/>
        <c:axId val="801939679"/>
        <c:axId val="633712015"/>
      </c:barChart>
      <c:catAx>
        <c:axId val="8019396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Arial" panose="020B0604020202020204" pitchFamily="34" charset="0"/>
                <a:ea typeface="+mn-ea"/>
                <a:cs typeface="Arial" panose="020B0604020202020204" pitchFamily="34" charset="0"/>
              </a:defRPr>
            </a:pPr>
            <a:endParaRPr lang="es-CR"/>
          </a:p>
        </c:txPr>
        <c:crossAx val="633712015"/>
        <c:crosses val="autoZero"/>
        <c:auto val="1"/>
        <c:lblAlgn val="ctr"/>
        <c:lblOffset val="100"/>
        <c:noMultiLvlLbl val="0"/>
      </c:catAx>
      <c:valAx>
        <c:axId val="63371201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Arial" panose="020B0604020202020204" pitchFamily="34" charset="0"/>
                <a:ea typeface="+mn-ea"/>
                <a:cs typeface="Arial" panose="020B0604020202020204" pitchFamily="34" charset="0"/>
              </a:defRPr>
            </a:pPr>
            <a:endParaRPr lang="es-CR"/>
          </a:p>
        </c:txPr>
        <c:crossAx val="801939679"/>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solidFill>
            <a:schemeClr val="dk1"/>
          </a:solidFill>
          <a:latin typeface="Arial" panose="020B0604020202020204" pitchFamily="34" charset="0"/>
          <a:ea typeface="+mn-ea"/>
          <a:cs typeface="Arial" panose="020B0604020202020204" pitchFamily="34" charset="0"/>
        </a:defRPr>
      </a:pPr>
      <a:endParaRPr lang="es-C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'Exportaciones bienes a china'!$A$2:$B$2</c:f>
              <c:strCache>
                <c:ptCount val="2"/>
                <c:pt idx="0">
                  <c:v>Óxidos e Hidróxidos de Hierro</c:v>
                </c:pt>
              </c:strCache>
            </c:strRef>
          </c:tx>
          <c:spPr>
            <a:solidFill>
              <a:schemeClr val="accent1"/>
            </a:solidFill>
            <a:ln>
              <a:noFill/>
            </a:ln>
            <a:effectLst/>
          </c:spPr>
          <c:invertIfNegative val="0"/>
          <c:cat>
            <c:numRef>
              <c:f>'Exportaciones bienes a china'!$C$1:$AA$1</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'Exportaciones bienes a china'!$C$2:$AA$2</c:f>
              <c:numCache>
                <c:formatCode>General</c:formatCode>
                <c:ptCount val="25"/>
                <c:pt idx="6" formatCode="#,##0.0">
                  <c:v>0</c:v>
                </c:pt>
                <c:pt idx="7" formatCode="#,##0.0">
                  <c:v>0</c:v>
                </c:pt>
                <c:pt idx="9" formatCode="#,##0.0">
                  <c:v>0</c:v>
                </c:pt>
                <c:pt idx="10" formatCode="#,##0.0">
                  <c:v>6770.6949999999997</c:v>
                </c:pt>
                <c:pt idx="11" formatCode="#,##0.0">
                  <c:v>30798</c:v>
                </c:pt>
                <c:pt idx="12" formatCode="#,##0.0">
                  <c:v>60172.931279999997</c:v>
                </c:pt>
                <c:pt idx="13" formatCode="#,##0.0">
                  <c:v>80705.657890000002</c:v>
                </c:pt>
                <c:pt idx="14" formatCode="#,##0.0">
                  <c:v>51380.243629999997</c:v>
                </c:pt>
                <c:pt idx="15" formatCode="#,##0.0">
                  <c:v>0</c:v>
                </c:pt>
                <c:pt idx="16" formatCode="#,##0.0">
                  <c:v>0</c:v>
                </c:pt>
                <c:pt idx="18" formatCode="#,##0.0">
                  <c:v>0</c:v>
                </c:pt>
                <c:pt idx="19" formatCode="#,##0.0">
                  <c:v>0</c:v>
                </c:pt>
                <c:pt idx="21" formatCode="#,##0.0">
                  <c:v>1.72966</c:v>
                </c:pt>
                <c:pt idx="22" formatCode="#,##0.0">
                  <c:v>0</c:v>
                </c:pt>
                <c:pt idx="23" formatCode="#,##0.0">
                  <c:v>3401.4459400000001</c:v>
                </c:pt>
                <c:pt idx="24" formatCode="#,##0.0">
                  <c:v>11588</c:v>
                </c:pt>
              </c:numCache>
            </c:numRef>
          </c:val>
          <c:extLst>
            <c:ext xmlns:c16="http://schemas.microsoft.com/office/drawing/2014/chart" uri="{C3380CC4-5D6E-409C-BE32-E72D297353CC}">
              <c16:uniqueId val="{00000000-9F7E-A143-9E90-C9773DA799AA}"/>
            </c:ext>
          </c:extLst>
        </c:ser>
        <c:ser>
          <c:idx val="1"/>
          <c:order val="1"/>
          <c:tx>
            <c:strRef>
              <c:f>'Exportaciones bienes a china'!$A$3:$B$3</c:f>
              <c:strCache>
                <c:ptCount val="2"/>
                <c:pt idx="0">
                  <c:v>Desperdicios y Desechos de Aluminio</c:v>
                </c:pt>
              </c:strCache>
            </c:strRef>
          </c:tx>
          <c:spPr>
            <a:solidFill>
              <a:schemeClr val="accent2"/>
            </a:solidFill>
            <a:ln>
              <a:noFill/>
            </a:ln>
            <a:effectLst/>
          </c:spPr>
          <c:invertIfNegative val="0"/>
          <c:cat>
            <c:numRef>
              <c:f>'Exportaciones bienes a china'!$C$1:$AA$1</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'Exportaciones bienes a china'!$C$3:$AA$3</c:f>
              <c:numCache>
                <c:formatCode>#,##0.0</c:formatCode>
                <c:ptCount val="25"/>
                <c:pt idx="1">
                  <c:v>117.764</c:v>
                </c:pt>
                <c:pt idx="2">
                  <c:v>119.74</c:v>
                </c:pt>
                <c:pt idx="3">
                  <c:v>333.67700000000002</c:v>
                </c:pt>
                <c:pt idx="4">
                  <c:v>1106.8399999999999</c:v>
                </c:pt>
                <c:pt idx="5">
                  <c:v>2766.46272</c:v>
                </c:pt>
                <c:pt idx="6">
                  <c:v>2019.72874</c:v>
                </c:pt>
                <c:pt idx="7">
                  <c:v>9523.4404799999993</c:v>
                </c:pt>
                <c:pt idx="8">
                  <c:v>18662.772349999999</c:v>
                </c:pt>
                <c:pt idx="9">
                  <c:v>7618.44553</c:v>
                </c:pt>
                <c:pt idx="10">
                  <c:v>7855.7574000000004</c:v>
                </c:pt>
                <c:pt idx="11">
                  <c:v>20903.27018</c:v>
                </c:pt>
                <c:pt idx="12">
                  <c:v>16802.928090000001</c:v>
                </c:pt>
                <c:pt idx="13">
                  <c:v>14603.252930000001</c:v>
                </c:pt>
                <c:pt idx="14">
                  <c:v>8269.4922900000001</c:v>
                </c:pt>
                <c:pt idx="15">
                  <c:v>6687.4942600000004</c:v>
                </c:pt>
                <c:pt idx="16">
                  <c:v>6079.5888400000003</c:v>
                </c:pt>
                <c:pt idx="17">
                  <c:v>4153.8482700000004</c:v>
                </c:pt>
                <c:pt idx="18">
                  <c:v>4325.3276100000003</c:v>
                </c:pt>
                <c:pt idx="20">
                  <c:v>66.045770000000005</c:v>
                </c:pt>
                <c:pt idx="21">
                  <c:v>117.91016</c:v>
                </c:pt>
                <c:pt idx="22">
                  <c:v>454.96222999999998</c:v>
                </c:pt>
                <c:pt idx="23">
                  <c:v>374.41890999999998</c:v>
                </c:pt>
                <c:pt idx="24">
                  <c:v>490.57913000000002</c:v>
                </c:pt>
              </c:numCache>
            </c:numRef>
          </c:val>
          <c:extLst>
            <c:ext xmlns:c16="http://schemas.microsoft.com/office/drawing/2014/chart" uri="{C3380CC4-5D6E-409C-BE32-E72D297353CC}">
              <c16:uniqueId val="{00000001-9F7E-A143-9E90-C9773DA799AA}"/>
            </c:ext>
          </c:extLst>
        </c:ser>
        <c:ser>
          <c:idx val="2"/>
          <c:order val="2"/>
          <c:tx>
            <c:strRef>
              <c:f>'Exportaciones bienes a china'!$A$4:$B$4</c:f>
              <c:strCache>
                <c:ptCount val="2"/>
                <c:pt idx="0">
                  <c:v>Minerales de los Metales Preciosos y sus Concentrados</c:v>
                </c:pt>
              </c:strCache>
            </c:strRef>
          </c:tx>
          <c:spPr>
            <a:solidFill>
              <a:schemeClr val="accent3"/>
            </a:solidFill>
            <a:ln>
              <a:noFill/>
            </a:ln>
            <a:effectLst/>
          </c:spPr>
          <c:invertIfNegative val="0"/>
          <c:cat>
            <c:numRef>
              <c:f>'Exportaciones bienes a china'!$C$1:$AA$1</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'Exportaciones bienes a china'!$C$4:$AA$4</c:f>
              <c:numCache>
                <c:formatCode>General</c:formatCode>
                <c:ptCount val="25"/>
                <c:pt idx="3" formatCode="#,##0.0">
                  <c:v>1295.4870000000001</c:v>
                </c:pt>
                <c:pt idx="4" formatCode="#,##0.0">
                  <c:v>1557.2840000000001</c:v>
                </c:pt>
                <c:pt idx="5" formatCode="#,##0.0">
                  <c:v>74.46266</c:v>
                </c:pt>
                <c:pt idx="7" formatCode="#,##0.0">
                  <c:v>2147.0070000000001</c:v>
                </c:pt>
                <c:pt idx="8" formatCode="#,##0.0">
                  <c:v>500.87337000000002</c:v>
                </c:pt>
                <c:pt idx="9" formatCode="#,##0.0">
                  <c:v>7815.55411</c:v>
                </c:pt>
                <c:pt idx="10" formatCode="#,##0.0">
                  <c:v>16593.604920000002</c:v>
                </c:pt>
                <c:pt idx="11" formatCode="#,##0.0">
                  <c:v>21814.446469999999</c:v>
                </c:pt>
                <c:pt idx="12" formatCode="#,##0.0">
                  <c:v>14775.895549999999</c:v>
                </c:pt>
                <c:pt idx="13" formatCode="#,##0.0">
                  <c:v>6542.38717</c:v>
                </c:pt>
                <c:pt idx="15" formatCode="#,##0.0">
                  <c:v>2591.8233599999999</c:v>
                </c:pt>
                <c:pt idx="16" formatCode="#,##0.0">
                  <c:v>0</c:v>
                </c:pt>
                <c:pt idx="19" formatCode="#,##0.0">
                  <c:v>3381.8582799999999</c:v>
                </c:pt>
                <c:pt idx="20" formatCode="#,##0.0">
                  <c:v>9629.7613199999996</c:v>
                </c:pt>
              </c:numCache>
            </c:numRef>
          </c:val>
          <c:extLst>
            <c:ext xmlns:c16="http://schemas.microsoft.com/office/drawing/2014/chart" uri="{C3380CC4-5D6E-409C-BE32-E72D297353CC}">
              <c16:uniqueId val="{00000002-9F7E-A143-9E90-C9773DA799AA}"/>
            </c:ext>
          </c:extLst>
        </c:ser>
        <c:ser>
          <c:idx val="3"/>
          <c:order val="3"/>
          <c:tx>
            <c:strRef>
              <c:f>'Exportaciones bienes a china'!$A$5:$B$5</c:f>
              <c:strCache>
                <c:ptCount val="2"/>
                <c:pt idx="0">
                  <c:v>Minerales de Plomo y sus Concentrados</c:v>
                </c:pt>
              </c:strCache>
            </c:strRef>
          </c:tx>
          <c:spPr>
            <a:solidFill>
              <a:schemeClr val="accent4"/>
            </a:solidFill>
            <a:ln>
              <a:noFill/>
            </a:ln>
            <a:effectLst/>
          </c:spPr>
          <c:invertIfNegative val="0"/>
          <c:cat>
            <c:numRef>
              <c:f>'Exportaciones bienes a china'!$C$1:$AA$1</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'Exportaciones bienes a china'!$C$5:$AA$5</c:f>
              <c:numCache>
                <c:formatCode>General</c:formatCode>
                <c:ptCount val="25"/>
                <c:pt idx="4" formatCode="#,##0.0">
                  <c:v>1640.087</c:v>
                </c:pt>
                <c:pt idx="7" formatCode="#,##0.0">
                  <c:v>2374.8741100000002</c:v>
                </c:pt>
                <c:pt idx="9" formatCode="#,##0.0">
                  <c:v>8234.0051000000003</c:v>
                </c:pt>
                <c:pt idx="10" formatCode="#,##0.0">
                  <c:v>19998.123189999998</c:v>
                </c:pt>
                <c:pt idx="11" formatCode="#,##0.0">
                  <c:v>16153.981159999999</c:v>
                </c:pt>
                <c:pt idx="12" formatCode="#,##0.0">
                  <c:v>10317.55428</c:v>
                </c:pt>
                <c:pt idx="13" formatCode="#,##0.0">
                  <c:v>11733.44759</c:v>
                </c:pt>
                <c:pt idx="15" formatCode="#,##0.0">
                  <c:v>2092.4775100000002</c:v>
                </c:pt>
                <c:pt idx="19" formatCode="#,##0.0">
                  <c:v>4614.732</c:v>
                </c:pt>
                <c:pt idx="20" formatCode="#,##0.0">
                  <c:v>11442.010679999999</c:v>
                </c:pt>
              </c:numCache>
            </c:numRef>
          </c:val>
          <c:extLst>
            <c:ext xmlns:c16="http://schemas.microsoft.com/office/drawing/2014/chart" uri="{C3380CC4-5D6E-409C-BE32-E72D297353CC}">
              <c16:uniqueId val="{00000003-9F7E-A143-9E90-C9773DA799AA}"/>
            </c:ext>
          </c:extLst>
        </c:ser>
        <c:ser>
          <c:idx val="4"/>
          <c:order val="4"/>
          <c:tx>
            <c:strRef>
              <c:f>'Exportaciones bienes a china'!$A$6:$B$6</c:f>
              <c:strCache>
                <c:ptCount val="2"/>
                <c:pt idx="0">
                  <c:v>Desperdicios y Desechos de Cobre</c:v>
                </c:pt>
              </c:strCache>
            </c:strRef>
          </c:tx>
          <c:spPr>
            <a:solidFill>
              <a:schemeClr val="accent5"/>
            </a:solidFill>
            <a:ln>
              <a:noFill/>
            </a:ln>
            <a:effectLst/>
          </c:spPr>
          <c:invertIfNegative val="0"/>
          <c:cat>
            <c:numRef>
              <c:f>'Exportaciones bienes a china'!$C$1:$AA$1</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'Exportaciones bienes a china'!$C$6:$AA$6</c:f>
              <c:numCache>
                <c:formatCode>General</c:formatCode>
                <c:ptCount val="25"/>
                <c:pt idx="10" formatCode="#,##0.0">
                  <c:v>1757.1318900000001</c:v>
                </c:pt>
                <c:pt idx="11" formatCode="#,##0.0">
                  <c:v>3596.7365300000001</c:v>
                </c:pt>
                <c:pt idx="12" formatCode="#,##0.0">
                  <c:v>6663.7078199999996</c:v>
                </c:pt>
                <c:pt idx="13" formatCode="#,##0.0">
                  <c:v>7214.8023199999998</c:v>
                </c:pt>
                <c:pt idx="14" formatCode="#,##0.0">
                  <c:v>6061.5977300000004</c:v>
                </c:pt>
                <c:pt idx="15" formatCode="#,##0.0">
                  <c:v>2846.7571899999998</c:v>
                </c:pt>
                <c:pt idx="16" formatCode="#,##0.0">
                  <c:v>1126.06718</c:v>
                </c:pt>
                <c:pt idx="17" formatCode="#,##0.0">
                  <c:v>2866.2789299999999</c:v>
                </c:pt>
                <c:pt idx="18" formatCode="#,##0.0">
                  <c:v>7029.2334199999996</c:v>
                </c:pt>
                <c:pt idx="19" formatCode="#,##0.0">
                  <c:v>237.77494999999999</c:v>
                </c:pt>
                <c:pt idx="20" formatCode="#,##0.0">
                  <c:v>106.009</c:v>
                </c:pt>
                <c:pt idx="21" formatCode="#,##0.0">
                  <c:v>8574.8475600000002</c:v>
                </c:pt>
                <c:pt idx="22" formatCode="#,##0.0">
                  <c:v>8567.0730199999998</c:v>
                </c:pt>
                <c:pt idx="23" formatCode="#,##0.0">
                  <c:v>7609.1102600000004</c:v>
                </c:pt>
                <c:pt idx="24" formatCode="#,##0.0">
                  <c:v>9177.3745500000005</c:v>
                </c:pt>
              </c:numCache>
            </c:numRef>
          </c:val>
          <c:extLst>
            <c:ext xmlns:c16="http://schemas.microsoft.com/office/drawing/2014/chart" uri="{C3380CC4-5D6E-409C-BE32-E72D297353CC}">
              <c16:uniqueId val="{00000004-9F7E-A143-9E90-C9773DA799AA}"/>
            </c:ext>
          </c:extLst>
        </c:ser>
        <c:ser>
          <c:idx val="5"/>
          <c:order val="5"/>
          <c:tx>
            <c:strRef>
              <c:f>'Exportaciones bienes a china'!$A$7:$B$7</c:f>
              <c:strCache>
                <c:ptCount val="2"/>
                <c:pt idx="0">
                  <c:v>Minerales de Cinc y sus Concentrados</c:v>
                </c:pt>
              </c:strCache>
            </c:strRef>
          </c:tx>
          <c:spPr>
            <a:solidFill>
              <a:schemeClr val="accent6"/>
            </a:solidFill>
            <a:ln>
              <a:noFill/>
            </a:ln>
            <a:effectLst/>
          </c:spPr>
          <c:invertIfNegative val="0"/>
          <c:cat>
            <c:numRef>
              <c:f>'Exportaciones bienes a china'!$C$1:$AA$1</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'Exportaciones bienes a china'!$C$7:$AA$7</c:f>
              <c:numCache>
                <c:formatCode>General</c:formatCode>
                <c:ptCount val="25"/>
                <c:pt idx="0" formatCode="#,##0.0">
                  <c:v>0</c:v>
                </c:pt>
                <c:pt idx="5" formatCode="#,##0.0">
                  <c:v>5669.2293600000003</c:v>
                </c:pt>
                <c:pt idx="8" formatCode="#,##0.0">
                  <c:v>6306.9480400000002</c:v>
                </c:pt>
                <c:pt idx="9" formatCode="#,##0.0">
                  <c:v>14341.90105</c:v>
                </c:pt>
                <c:pt idx="10" formatCode="#,##0.0">
                  <c:v>6523.9017400000002</c:v>
                </c:pt>
                <c:pt idx="15" formatCode="#,##0.0">
                  <c:v>0</c:v>
                </c:pt>
                <c:pt idx="16" formatCode="#,##0.0">
                  <c:v>0</c:v>
                </c:pt>
                <c:pt idx="23" formatCode="#,##0.0">
                  <c:v>0</c:v>
                </c:pt>
                <c:pt idx="24" formatCode="#,##0.0">
                  <c:v>0</c:v>
                </c:pt>
              </c:numCache>
            </c:numRef>
          </c:val>
          <c:extLst>
            <c:ext xmlns:c16="http://schemas.microsoft.com/office/drawing/2014/chart" uri="{C3380CC4-5D6E-409C-BE32-E72D297353CC}">
              <c16:uniqueId val="{00000005-9F7E-A143-9E90-C9773DA799AA}"/>
            </c:ext>
          </c:extLst>
        </c:ser>
        <c:ser>
          <c:idx val="6"/>
          <c:order val="6"/>
          <c:tx>
            <c:strRef>
              <c:f>'Exportaciones bienes a china'!$A$8:$B$8</c:f>
              <c:strCache>
                <c:ptCount val="2"/>
                <c:pt idx="0">
                  <c:v>Café, Tostado o Descafeinado</c:v>
                </c:pt>
              </c:strCache>
            </c:strRef>
          </c:tx>
          <c:spPr>
            <a:solidFill>
              <a:schemeClr val="accent1">
                <a:lumMod val="60000"/>
              </a:schemeClr>
            </a:solidFill>
            <a:ln>
              <a:noFill/>
            </a:ln>
            <a:effectLst/>
          </c:spPr>
          <c:invertIfNegative val="0"/>
          <c:cat>
            <c:numRef>
              <c:f>'Exportaciones bienes a china'!$C$1:$AA$1</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'Exportaciones bienes a china'!$C$8:$AA$8</c:f>
              <c:numCache>
                <c:formatCode>#,##0.0</c:formatCode>
                <c:ptCount val="25"/>
                <c:pt idx="1">
                  <c:v>338.85399999999998</c:v>
                </c:pt>
                <c:pt idx="2">
                  <c:v>0</c:v>
                </c:pt>
                <c:pt idx="3">
                  <c:v>71.28</c:v>
                </c:pt>
                <c:pt idx="4">
                  <c:v>201.321</c:v>
                </c:pt>
                <c:pt idx="5">
                  <c:v>188.90158</c:v>
                </c:pt>
                <c:pt idx="6">
                  <c:v>173.91</c:v>
                </c:pt>
                <c:pt idx="7">
                  <c:v>45.746250000000003</c:v>
                </c:pt>
                <c:pt idx="8">
                  <c:v>111.25125</c:v>
                </c:pt>
                <c:pt idx="9">
                  <c:v>0</c:v>
                </c:pt>
                <c:pt idx="10">
                  <c:v>77.55</c:v>
                </c:pt>
                <c:pt idx="11">
                  <c:v>531.23812999999996</c:v>
                </c:pt>
                <c:pt idx="12">
                  <c:v>1534.8755900000001</c:v>
                </c:pt>
                <c:pt idx="13">
                  <c:v>549.09733000000006</c:v>
                </c:pt>
                <c:pt idx="14">
                  <c:v>372.63188000000002</c:v>
                </c:pt>
                <c:pt idx="15">
                  <c:v>634.96304999999995</c:v>
                </c:pt>
                <c:pt idx="16">
                  <c:v>869.23197000000005</c:v>
                </c:pt>
                <c:pt idx="17">
                  <c:v>888.63489000000004</c:v>
                </c:pt>
                <c:pt idx="18">
                  <c:v>1137.4652599999999</c:v>
                </c:pt>
                <c:pt idx="19">
                  <c:v>775.64112999999998</c:v>
                </c:pt>
                <c:pt idx="20">
                  <c:v>679.84717000000001</c:v>
                </c:pt>
                <c:pt idx="21">
                  <c:v>4138.6103499999999</c:v>
                </c:pt>
                <c:pt idx="22">
                  <c:v>1011.81811</c:v>
                </c:pt>
                <c:pt idx="23">
                  <c:v>1217.7118700000001</c:v>
                </c:pt>
                <c:pt idx="24">
                  <c:v>12318.40256</c:v>
                </c:pt>
              </c:numCache>
            </c:numRef>
          </c:val>
          <c:extLst>
            <c:ext xmlns:c16="http://schemas.microsoft.com/office/drawing/2014/chart" uri="{C3380CC4-5D6E-409C-BE32-E72D297353CC}">
              <c16:uniqueId val="{00000006-9F7E-A143-9E90-C9773DA799AA}"/>
            </c:ext>
          </c:extLst>
        </c:ser>
        <c:ser>
          <c:idx val="7"/>
          <c:order val="7"/>
          <c:tx>
            <c:strRef>
              <c:f>'Exportaciones bienes a china'!$A$9:$B$9</c:f>
              <c:strCache>
                <c:ptCount val="2"/>
                <c:pt idx="0">
                  <c:v>Azúcar de Caña o de Remolacha</c:v>
                </c:pt>
              </c:strCache>
            </c:strRef>
          </c:tx>
          <c:spPr>
            <a:solidFill>
              <a:schemeClr val="accent2">
                <a:lumMod val="60000"/>
              </a:schemeClr>
            </a:solidFill>
            <a:ln>
              <a:noFill/>
            </a:ln>
            <a:effectLst/>
          </c:spPr>
          <c:invertIfNegative val="0"/>
          <c:cat>
            <c:numRef>
              <c:f>'Exportaciones bienes a china'!$C$1:$AA$1</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'Exportaciones bienes a china'!$C$9:$AA$9</c:f>
              <c:numCache>
                <c:formatCode>#,##0.0</c:formatCode>
                <c:ptCount val="25"/>
                <c:pt idx="1">
                  <c:v>0</c:v>
                </c:pt>
                <c:pt idx="2">
                  <c:v>0</c:v>
                </c:pt>
                <c:pt idx="3">
                  <c:v>483.452</c:v>
                </c:pt>
                <c:pt idx="4">
                  <c:v>3080.9279999999999</c:v>
                </c:pt>
                <c:pt idx="5">
                  <c:v>6088.4497899999997</c:v>
                </c:pt>
                <c:pt idx="6">
                  <c:v>0</c:v>
                </c:pt>
                <c:pt idx="10">
                  <c:v>0</c:v>
                </c:pt>
                <c:pt idx="11">
                  <c:v>0</c:v>
                </c:pt>
                <c:pt idx="14">
                  <c:v>0</c:v>
                </c:pt>
                <c:pt idx="15">
                  <c:v>0</c:v>
                </c:pt>
                <c:pt idx="16">
                  <c:v>0</c:v>
                </c:pt>
                <c:pt idx="17">
                  <c:v>6111.5933699999996</c:v>
                </c:pt>
                <c:pt idx="18">
                  <c:v>11746.68145</c:v>
                </c:pt>
                <c:pt idx="19">
                  <c:v>0</c:v>
                </c:pt>
                <c:pt idx="20">
                  <c:v>0</c:v>
                </c:pt>
                <c:pt idx="21">
                  <c:v>0</c:v>
                </c:pt>
                <c:pt idx="22">
                  <c:v>0</c:v>
                </c:pt>
                <c:pt idx="23">
                  <c:v>0</c:v>
                </c:pt>
                <c:pt idx="24">
                  <c:v>0</c:v>
                </c:pt>
              </c:numCache>
            </c:numRef>
          </c:val>
          <c:extLst>
            <c:ext xmlns:c16="http://schemas.microsoft.com/office/drawing/2014/chart" uri="{C3380CC4-5D6E-409C-BE32-E72D297353CC}">
              <c16:uniqueId val="{00000007-9F7E-A143-9E90-C9773DA799AA}"/>
            </c:ext>
          </c:extLst>
        </c:ser>
        <c:ser>
          <c:idx val="8"/>
          <c:order val="8"/>
          <c:tx>
            <c:strRef>
              <c:f>'Exportaciones bienes a china'!$A$10:$B$10</c:f>
              <c:strCache>
                <c:ptCount val="2"/>
                <c:pt idx="0">
                  <c:v>Desperdicios y Desechos (Chatarra)</c:v>
                </c:pt>
              </c:strCache>
            </c:strRef>
          </c:tx>
          <c:spPr>
            <a:solidFill>
              <a:schemeClr val="accent3">
                <a:lumMod val="60000"/>
              </a:schemeClr>
            </a:solidFill>
            <a:ln>
              <a:noFill/>
            </a:ln>
            <a:effectLst/>
          </c:spPr>
          <c:invertIfNegative val="0"/>
          <c:cat>
            <c:numRef>
              <c:f>'Exportaciones bienes a china'!$C$1:$AA$1</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'Exportaciones bienes a china'!$C$10:$AA$10</c:f>
              <c:numCache>
                <c:formatCode>General</c:formatCode>
                <c:ptCount val="25"/>
                <c:pt idx="3" formatCode="#,##0.0">
                  <c:v>36.006</c:v>
                </c:pt>
                <c:pt idx="4" formatCode="#,##0.0">
                  <c:v>41.633000000000003</c:v>
                </c:pt>
                <c:pt idx="5" formatCode="#,##0.0">
                  <c:v>581.67165</c:v>
                </c:pt>
                <c:pt idx="6" formatCode="#,##0.0">
                  <c:v>42.963169999999998</c:v>
                </c:pt>
                <c:pt idx="7" formatCode="#,##0.0">
                  <c:v>388.47246000000001</c:v>
                </c:pt>
                <c:pt idx="8" formatCode="#,##0.0">
                  <c:v>1558.0867699999999</c:v>
                </c:pt>
                <c:pt idx="9" formatCode="#,##0.0">
                  <c:v>2851.0505699999999</c:v>
                </c:pt>
                <c:pt idx="10" formatCode="#,##0.0">
                  <c:v>5539.8485099999998</c:v>
                </c:pt>
                <c:pt idx="11" formatCode="#,##0.0">
                  <c:v>2996.03451</c:v>
                </c:pt>
                <c:pt idx="12" formatCode="#,##0.0">
                  <c:v>248.77196000000001</c:v>
                </c:pt>
                <c:pt idx="13" formatCode="#,##0.0">
                  <c:v>82.029949999999999</c:v>
                </c:pt>
                <c:pt idx="14" formatCode="#,##0.0">
                  <c:v>169.31790000000001</c:v>
                </c:pt>
                <c:pt idx="15" formatCode="#,##0.0">
                  <c:v>69.116399999999999</c:v>
                </c:pt>
                <c:pt idx="16" formatCode="#,##0.0">
                  <c:v>0</c:v>
                </c:pt>
                <c:pt idx="17" formatCode="#,##0.0">
                  <c:v>0</c:v>
                </c:pt>
                <c:pt idx="18" formatCode="#,##0.0">
                  <c:v>2.9567999999999999</c:v>
                </c:pt>
                <c:pt idx="19" formatCode="#,##0.0">
                  <c:v>16.297689999999999</c:v>
                </c:pt>
                <c:pt idx="20" formatCode="#,##0.0">
                  <c:v>2.1118999999999999</c:v>
                </c:pt>
                <c:pt idx="22" formatCode="#,##0.0">
                  <c:v>14.375</c:v>
                </c:pt>
                <c:pt idx="24" formatCode="#,##0.0">
                  <c:v>0</c:v>
                </c:pt>
              </c:numCache>
            </c:numRef>
          </c:val>
          <c:extLst>
            <c:ext xmlns:c16="http://schemas.microsoft.com/office/drawing/2014/chart" uri="{C3380CC4-5D6E-409C-BE32-E72D297353CC}">
              <c16:uniqueId val="{00000008-9F7E-A143-9E90-C9773DA799AA}"/>
            </c:ext>
          </c:extLst>
        </c:ser>
        <c:ser>
          <c:idx val="9"/>
          <c:order val="9"/>
          <c:tx>
            <c:strRef>
              <c:f>'Exportaciones bienes a china'!$A$11:$B$11</c:f>
              <c:strCache>
                <c:ptCount val="2"/>
                <c:pt idx="0">
                  <c:v>Desperdicios y Desechos de Pilas</c:v>
                </c:pt>
              </c:strCache>
            </c:strRef>
          </c:tx>
          <c:spPr>
            <a:solidFill>
              <a:schemeClr val="accent4">
                <a:lumMod val="60000"/>
              </a:schemeClr>
            </a:solidFill>
            <a:ln>
              <a:noFill/>
            </a:ln>
            <a:effectLst/>
          </c:spPr>
          <c:invertIfNegative val="0"/>
          <c:cat>
            <c:numRef>
              <c:f>'Exportaciones bienes a china'!$C$1:$AA$1</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'Exportaciones bienes a china'!$C$11:$AA$11</c:f>
              <c:numCache>
                <c:formatCode>General</c:formatCode>
                <c:ptCount val="25"/>
                <c:pt idx="3" formatCode="#,##0.0">
                  <c:v>12</c:v>
                </c:pt>
                <c:pt idx="6" formatCode="#,##0.0">
                  <c:v>68.052599999999998</c:v>
                </c:pt>
                <c:pt idx="7" formatCode="#,##0.0">
                  <c:v>892.87626</c:v>
                </c:pt>
                <c:pt idx="8" formatCode="#,##0.0">
                  <c:v>2341.4571299999998</c:v>
                </c:pt>
                <c:pt idx="9" formatCode="#,##0.0">
                  <c:v>1311.8753999999999</c:v>
                </c:pt>
                <c:pt idx="10" formatCode="#,##0.0">
                  <c:v>1747.14138</c:v>
                </c:pt>
                <c:pt idx="11" formatCode="#,##0.0">
                  <c:v>2142.2032599999998</c:v>
                </c:pt>
                <c:pt idx="12" formatCode="#,##0.0">
                  <c:v>374.09906000000001</c:v>
                </c:pt>
                <c:pt idx="13" formatCode="#,##0.0">
                  <c:v>0</c:v>
                </c:pt>
                <c:pt idx="14" formatCode="#,##0.0">
                  <c:v>0</c:v>
                </c:pt>
                <c:pt idx="16" formatCode="#,##0.0">
                  <c:v>0</c:v>
                </c:pt>
                <c:pt idx="17" formatCode="#,##0.0">
                  <c:v>0</c:v>
                </c:pt>
                <c:pt idx="19" formatCode="#,##0.0">
                  <c:v>0</c:v>
                </c:pt>
                <c:pt idx="20" formatCode="#,##0.0">
                  <c:v>0</c:v>
                </c:pt>
                <c:pt idx="21" formatCode="#,##0.0">
                  <c:v>0</c:v>
                </c:pt>
                <c:pt idx="24" formatCode="#,##0.0">
                  <c:v>0</c:v>
                </c:pt>
              </c:numCache>
            </c:numRef>
          </c:val>
          <c:extLst>
            <c:ext xmlns:c16="http://schemas.microsoft.com/office/drawing/2014/chart" uri="{C3380CC4-5D6E-409C-BE32-E72D297353CC}">
              <c16:uniqueId val="{00000009-9F7E-A143-9E90-C9773DA799AA}"/>
            </c:ext>
          </c:extLst>
        </c:ser>
        <c:dLbls>
          <c:showLegendKey val="0"/>
          <c:showVal val="0"/>
          <c:showCatName val="0"/>
          <c:showSerName val="0"/>
          <c:showPercent val="0"/>
          <c:showBubbleSize val="0"/>
        </c:dLbls>
        <c:gapWidth val="150"/>
        <c:overlap val="100"/>
        <c:axId val="1572192960"/>
        <c:axId val="1572646016"/>
      </c:barChart>
      <c:catAx>
        <c:axId val="1572192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CR"/>
          </a:p>
        </c:txPr>
        <c:crossAx val="1572646016"/>
        <c:crosses val="autoZero"/>
        <c:auto val="1"/>
        <c:lblAlgn val="ctr"/>
        <c:lblOffset val="100"/>
        <c:noMultiLvlLbl val="0"/>
      </c:catAx>
      <c:valAx>
        <c:axId val="15726460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CR"/>
          </a:p>
        </c:txPr>
        <c:crossAx val="1572192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es-C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chemeClr val="dk1"/>
          </a:solidFill>
          <a:latin typeface="+mn-lt"/>
          <a:ea typeface="+mn-ea"/>
          <a:cs typeface="+mn-cs"/>
        </a:defRPr>
      </a:pPr>
      <a:endParaRPr lang="es-C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exportaciones!$A$2:$B$2</c:f>
              <c:strCache>
                <c:ptCount val="2"/>
                <c:pt idx="0">
                  <c:v>Café, Tostado o Descafeinado</c:v>
                </c:pt>
              </c:strCache>
            </c:strRef>
          </c:tx>
          <c:spPr>
            <a:ln w="28575" cap="rnd">
              <a:solidFill>
                <a:schemeClr val="accent1"/>
              </a:solidFill>
              <a:round/>
            </a:ln>
            <a:effectLst/>
          </c:spPr>
          <c:marker>
            <c:symbol val="none"/>
          </c:marker>
          <c:cat>
            <c:numRef>
              <c:f>exportaciones!$C$1:$AA$1</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exportaciones!$C$2:$AA$2</c:f>
              <c:numCache>
                <c:formatCode>#,##0.0</c:formatCode>
                <c:ptCount val="25"/>
                <c:pt idx="1">
                  <c:v>338.85399999999998</c:v>
                </c:pt>
                <c:pt idx="2">
                  <c:v>0</c:v>
                </c:pt>
                <c:pt idx="3">
                  <c:v>71.28</c:v>
                </c:pt>
                <c:pt idx="4">
                  <c:v>201.321</c:v>
                </c:pt>
                <c:pt idx="5">
                  <c:v>188.90158</c:v>
                </c:pt>
                <c:pt idx="6">
                  <c:v>173.91</c:v>
                </c:pt>
                <c:pt idx="7">
                  <c:v>45.746250000000003</c:v>
                </c:pt>
                <c:pt idx="8">
                  <c:v>111.25125</c:v>
                </c:pt>
                <c:pt idx="9">
                  <c:v>0</c:v>
                </c:pt>
                <c:pt idx="10">
                  <c:v>77.55</c:v>
                </c:pt>
                <c:pt idx="11">
                  <c:v>531.23812999999996</c:v>
                </c:pt>
                <c:pt idx="12">
                  <c:v>1534.8755900000001</c:v>
                </c:pt>
                <c:pt idx="13">
                  <c:v>549.09733000000006</c:v>
                </c:pt>
                <c:pt idx="14">
                  <c:v>372.63188000000002</c:v>
                </c:pt>
                <c:pt idx="15">
                  <c:v>634.96304999999995</c:v>
                </c:pt>
                <c:pt idx="16">
                  <c:v>869.23197000000005</c:v>
                </c:pt>
                <c:pt idx="17">
                  <c:v>888.63489000000004</c:v>
                </c:pt>
                <c:pt idx="18">
                  <c:v>1137.4652599999999</c:v>
                </c:pt>
                <c:pt idx="19">
                  <c:v>775.64112999999998</c:v>
                </c:pt>
                <c:pt idx="20">
                  <c:v>679.84717000000001</c:v>
                </c:pt>
                <c:pt idx="21">
                  <c:v>4138.6103499999999</c:v>
                </c:pt>
                <c:pt idx="22">
                  <c:v>1011.81811</c:v>
                </c:pt>
                <c:pt idx="23">
                  <c:v>1217.7118700000001</c:v>
                </c:pt>
                <c:pt idx="24">
                  <c:v>12318.40256</c:v>
                </c:pt>
              </c:numCache>
            </c:numRef>
          </c:val>
          <c:smooth val="0"/>
          <c:extLst>
            <c:ext xmlns:c16="http://schemas.microsoft.com/office/drawing/2014/chart" uri="{C3380CC4-5D6E-409C-BE32-E72D297353CC}">
              <c16:uniqueId val="{00000000-A5E4-E14C-AB8C-1589E47AD0AB}"/>
            </c:ext>
          </c:extLst>
        </c:ser>
        <c:ser>
          <c:idx val="1"/>
          <c:order val="1"/>
          <c:tx>
            <c:strRef>
              <c:f>exportaciones!$A$3:$B$3</c:f>
              <c:strCache>
                <c:ptCount val="2"/>
                <c:pt idx="0">
                  <c:v>Azúcar de Caña o de Remolacha</c:v>
                </c:pt>
              </c:strCache>
            </c:strRef>
          </c:tx>
          <c:spPr>
            <a:ln w="28575" cap="rnd">
              <a:solidFill>
                <a:schemeClr val="accent2"/>
              </a:solidFill>
              <a:round/>
            </a:ln>
            <a:effectLst/>
          </c:spPr>
          <c:marker>
            <c:symbol val="none"/>
          </c:marker>
          <c:cat>
            <c:numRef>
              <c:f>exportaciones!$C$1:$AA$1</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exportaciones!$C$3:$AA$3</c:f>
              <c:numCache>
                <c:formatCode>#,##0.0</c:formatCode>
                <c:ptCount val="25"/>
                <c:pt idx="1">
                  <c:v>0</c:v>
                </c:pt>
                <c:pt idx="2">
                  <c:v>0</c:v>
                </c:pt>
                <c:pt idx="3">
                  <c:v>483.452</c:v>
                </c:pt>
                <c:pt idx="4">
                  <c:v>3080.9279999999999</c:v>
                </c:pt>
                <c:pt idx="5">
                  <c:v>6088.4497899999997</c:v>
                </c:pt>
                <c:pt idx="6">
                  <c:v>0</c:v>
                </c:pt>
                <c:pt idx="10">
                  <c:v>0</c:v>
                </c:pt>
                <c:pt idx="11">
                  <c:v>0</c:v>
                </c:pt>
                <c:pt idx="14">
                  <c:v>0</c:v>
                </c:pt>
                <c:pt idx="15">
                  <c:v>0</c:v>
                </c:pt>
                <c:pt idx="16">
                  <c:v>0</c:v>
                </c:pt>
                <c:pt idx="17">
                  <c:v>6111.5933699999996</c:v>
                </c:pt>
                <c:pt idx="18">
                  <c:v>11746.68145</c:v>
                </c:pt>
                <c:pt idx="19">
                  <c:v>0</c:v>
                </c:pt>
                <c:pt idx="20">
                  <c:v>0</c:v>
                </c:pt>
                <c:pt idx="21">
                  <c:v>0</c:v>
                </c:pt>
                <c:pt idx="22">
                  <c:v>0</c:v>
                </c:pt>
                <c:pt idx="23">
                  <c:v>0</c:v>
                </c:pt>
                <c:pt idx="24">
                  <c:v>0</c:v>
                </c:pt>
              </c:numCache>
            </c:numRef>
          </c:val>
          <c:smooth val="0"/>
          <c:extLst>
            <c:ext xmlns:c16="http://schemas.microsoft.com/office/drawing/2014/chart" uri="{C3380CC4-5D6E-409C-BE32-E72D297353CC}">
              <c16:uniqueId val="{00000001-A5E4-E14C-AB8C-1589E47AD0AB}"/>
            </c:ext>
          </c:extLst>
        </c:ser>
        <c:dLbls>
          <c:showLegendKey val="0"/>
          <c:showVal val="0"/>
          <c:showCatName val="0"/>
          <c:showSerName val="0"/>
          <c:showPercent val="0"/>
          <c:showBubbleSize val="0"/>
        </c:dLbls>
        <c:smooth val="0"/>
        <c:axId val="919054047"/>
        <c:axId val="922628063"/>
      </c:lineChart>
      <c:catAx>
        <c:axId val="9190540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Arial" panose="020B0604020202020204" pitchFamily="34" charset="0"/>
                <a:ea typeface="+mn-ea"/>
                <a:cs typeface="Arial" panose="020B0604020202020204" pitchFamily="34" charset="0"/>
              </a:defRPr>
            </a:pPr>
            <a:endParaRPr lang="es-CR"/>
          </a:p>
        </c:txPr>
        <c:crossAx val="922628063"/>
        <c:crosses val="autoZero"/>
        <c:auto val="1"/>
        <c:lblAlgn val="ctr"/>
        <c:lblOffset val="100"/>
        <c:noMultiLvlLbl val="0"/>
      </c:catAx>
      <c:valAx>
        <c:axId val="92262806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Arial" panose="020B0604020202020204" pitchFamily="34" charset="0"/>
                <a:ea typeface="+mn-ea"/>
                <a:cs typeface="Arial" panose="020B0604020202020204" pitchFamily="34" charset="0"/>
              </a:defRPr>
            </a:pPr>
            <a:endParaRPr lang="es-CR"/>
          </a:p>
        </c:txPr>
        <c:crossAx val="9190540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endParaRPr lang="es-C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chemeClr val="dk1"/>
          </a:solidFill>
          <a:latin typeface="Arial" panose="020B0604020202020204" pitchFamily="34" charset="0"/>
          <a:ea typeface="+mn-ea"/>
          <a:cs typeface="Arial" panose="020B0604020202020204" pitchFamily="34" charset="0"/>
        </a:defRPr>
      </a:pPr>
      <a:endParaRPr lang="es-C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Hoja2!$A$3</c:f>
              <c:strCache>
                <c:ptCount val="1"/>
                <c:pt idx="0">
                  <c:v>Flujos de Inversión de China hacia Honduras</c:v>
                </c:pt>
              </c:strCache>
            </c:strRef>
          </c:tx>
          <c:spPr>
            <a:ln w="28575" cap="rnd">
              <a:solidFill>
                <a:schemeClr val="accent1"/>
              </a:solidFill>
              <a:round/>
            </a:ln>
            <a:effectLst/>
          </c:spPr>
          <c:marker>
            <c:symbol val="none"/>
          </c:marker>
          <c:cat>
            <c:strRef>
              <c:f>Hoja2!$B$2:$X$2</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Hoja2!$B$3:$X$3</c:f>
              <c:numCache>
                <c:formatCode>General</c:formatCode>
                <c:ptCount val="23"/>
                <c:pt idx="0">
                  <c:v>0</c:v>
                </c:pt>
                <c:pt idx="1">
                  <c:v>0</c:v>
                </c:pt>
                <c:pt idx="2">
                  <c:v>0</c:v>
                </c:pt>
                <c:pt idx="3">
                  <c:v>0</c:v>
                </c:pt>
                <c:pt idx="4">
                  <c:v>-0.5</c:v>
                </c:pt>
                <c:pt idx="5">
                  <c:v>0.1</c:v>
                </c:pt>
                <c:pt idx="6">
                  <c:v>0</c:v>
                </c:pt>
                <c:pt idx="7">
                  <c:v>0.1</c:v>
                </c:pt>
                <c:pt idx="8">
                  <c:v>0.6</c:v>
                </c:pt>
                <c:pt idx="9">
                  <c:v>0.8</c:v>
                </c:pt>
                <c:pt idx="10">
                  <c:v>1.1000000000000001</c:v>
                </c:pt>
                <c:pt idx="11">
                  <c:v>0</c:v>
                </c:pt>
                <c:pt idx="12">
                  <c:v>0</c:v>
                </c:pt>
                <c:pt idx="13">
                  <c:v>0</c:v>
                </c:pt>
                <c:pt idx="14">
                  <c:v>-0.5</c:v>
                </c:pt>
                <c:pt idx="15">
                  <c:v>0.1</c:v>
                </c:pt>
                <c:pt idx="16">
                  <c:v>11</c:v>
                </c:pt>
                <c:pt idx="17">
                  <c:v>18.7</c:v>
                </c:pt>
                <c:pt idx="18">
                  <c:v>-20.399999999999999</c:v>
                </c:pt>
                <c:pt idx="19">
                  <c:v>5.2</c:v>
                </c:pt>
                <c:pt idx="20">
                  <c:v>-4.4000000000000004</c:v>
                </c:pt>
                <c:pt idx="21">
                  <c:v>0.1</c:v>
                </c:pt>
                <c:pt idx="22">
                  <c:v>0</c:v>
                </c:pt>
              </c:numCache>
            </c:numRef>
          </c:val>
          <c:smooth val="0"/>
          <c:extLst>
            <c:ext xmlns:c16="http://schemas.microsoft.com/office/drawing/2014/chart" uri="{C3380CC4-5D6E-409C-BE32-E72D297353CC}">
              <c16:uniqueId val="{00000000-6270-2A4A-9E35-71A28A7C3C1C}"/>
            </c:ext>
          </c:extLst>
        </c:ser>
        <c:dLbls>
          <c:showLegendKey val="0"/>
          <c:showVal val="0"/>
          <c:showCatName val="0"/>
          <c:showSerName val="0"/>
          <c:showPercent val="0"/>
          <c:showBubbleSize val="0"/>
        </c:dLbls>
        <c:smooth val="0"/>
        <c:axId val="356718079"/>
        <c:axId val="356720351"/>
      </c:lineChart>
      <c:dateAx>
        <c:axId val="356718079"/>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s-CR"/>
          </a:p>
        </c:txPr>
        <c:crossAx val="356720351"/>
        <c:crosses val="autoZero"/>
        <c:auto val="0"/>
        <c:lblOffset val="100"/>
        <c:baseTimeUnit val="days"/>
      </c:dateAx>
      <c:valAx>
        <c:axId val="35672035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s-CR"/>
          </a:p>
        </c:txPr>
        <c:crossAx val="35671807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s-C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04114515328982"/>
          <c:y val="3.9545730801991384E-2"/>
          <c:w val="0.86924463160864918"/>
          <c:h val="0.79486465990246891"/>
        </c:manualLayout>
      </c:layout>
      <c:barChart>
        <c:barDir val="col"/>
        <c:grouping val="clustered"/>
        <c:varyColors val="0"/>
        <c:ser>
          <c:idx val="0"/>
          <c:order val="0"/>
          <c:tx>
            <c:strRef>
              <c:f>Chile!$B$1</c:f>
              <c:strCache>
                <c:ptCount val="1"/>
                <c:pt idx="0">
                  <c:v>Exportaciones </c:v>
                </c:pt>
              </c:strCache>
            </c:strRef>
          </c:tx>
          <c:spPr>
            <a:solidFill>
              <a:schemeClr val="accent1"/>
            </a:solidFill>
            <a:ln>
              <a:noFill/>
            </a:ln>
            <a:effectLst/>
          </c:spPr>
          <c:invertIfNegative val="0"/>
          <c:cat>
            <c:numRef>
              <c:f>Chile!$A$2:$A$23</c:f>
              <c:numCache>
                <c:formatCode>General</c:formatCode>
                <c:ptCount val="22"/>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numCache>
            </c:numRef>
          </c:cat>
          <c:val>
            <c:numRef>
              <c:f>Chile!$B$2:$B$23</c:f>
              <c:numCache>
                <c:formatCode>#,##0.00</c:formatCode>
                <c:ptCount val="22"/>
                <c:pt idx="0">
                  <c:v>1065036</c:v>
                </c:pt>
                <c:pt idx="1">
                  <c:v>1224827</c:v>
                </c:pt>
                <c:pt idx="2">
                  <c:v>1909020</c:v>
                </c:pt>
                <c:pt idx="3">
                  <c:v>3441793</c:v>
                </c:pt>
                <c:pt idx="4">
                  <c:v>4895520</c:v>
                </c:pt>
                <c:pt idx="5">
                  <c:v>5254850</c:v>
                </c:pt>
                <c:pt idx="6">
                  <c:v>10505914</c:v>
                </c:pt>
                <c:pt idx="7">
                  <c:v>8519586</c:v>
                </c:pt>
                <c:pt idx="8">
                  <c:v>13028211</c:v>
                </c:pt>
                <c:pt idx="9">
                  <c:v>17324907</c:v>
                </c:pt>
                <c:pt idx="10">
                  <c:v>18629248</c:v>
                </c:pt>
                <c:pt idx="11">
                  <c:v>18078273</c:v>
                </c:pt>
                <c:pt idx="12">
                  <c:v>19067224</c:v>
                </c:pt>
                <c:pt idx="13">
                  <c:v>18192756</c:v>
                </c:pt>
                <c:pt idx="14">
                  <c:v>16373654</c:v>
                </c:pt>
                <c:pt idx="15">
                  <c:v>16300851</c:v>
                </c:pt>
                <c:pt idx="16">
                  <c:v>18123401</c:v>
                </c:pt>
                <c:pt idx="17">
                  <c:v>24695072</c:v>
                </c:pt>
                <c:pt idx="18">
                  <c:v>21916774</c:v>
                </c:pt>
                <c:pt idx="19">
                  <c:v>25260481</c:v>
                </c:pt>
                <c:pt idx="20">
                  <c:v>34575311</c:v>
                </c:pt>
                <c:pt idx="21">
                  <c:v>38915397</c:v>
                </c:pt>
              </c:numCache>
            </c:numRef>
          </c:val>
          <c:extLst>
            <c:ext xmlns:c16="http://schemas.microsoft.com/office/drawing/2014/chart" uri="{C3380CC4-5D6E-409C-BE32-E72D297353CC}">
              <c16:uniqueId val="{00000000-1FE6-884E-A46C-14EFDFEC98D3}"/>
            </c:ext>
          </c:extLst>
        </c:ser>
        <c:ser>
          <c:idx val="1"/>
          <c:order val="1"/>
          <c:tx>
            <c:strRef>
              <c:f>Chile!$C$1</c:f>
              <c:strCache>
                <c:ptCount val="1"/>
                <c:pt idx="0">
                  <c:v>Importaciones </c:v>
                </c:pt>
              </c:strCache>
            </c:strRef>
          </c:tx>
          <c:spPr>
            <a:solidFill>
              <a:schemeClr val="accent2"/>
            </a:solidFill>
            <a:ln>
              <a:noFill/>
            </a:ln>
            <a:effectLst/>
          </c:spPr>
          <c:invertIfNegative val="0"/>
          <c:cat>
            <c:numRef>
              <c:f>Chile!$A$2:$A$23</c:f>
              <c:numCache>
                <c:formatCode>General</c:formatCode>
                <c:ptCount val="22"/>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numCache>
            </c:numRef>
          </c:cat>
          <c:val>
            <c:numRef>
              <c:f>Chile!$C$2:$C$23</c:f>
              <c:numCache>
                <c:formatCode>#,##0.00</c:formatCode>
                <c:ptCount val="22"/>
                <c:pt idx="0">
                  <c:v>1013099</c:v>
                </c:pt>
                <c:pt idx="1">
                  <c:v>1101334</c:v>
                </c:pt>
                <c:pt idx="2">
                  <c:v>1811093</c:v>
                </c:pt>
                <c:pt idx="3">
                  <c:v>2418441</c:v>
                </c:pt>
                <c:pt idx="4">
                  <c:v>3158460</c:v>
                </c:pt>
                <c:pt idx="5">
                  <c:v>4318455</c:v>
                </c:pt>
                <c:pt idx="6">
                  <c:v>5969717</c:v>
                </c:pt>
                <c:pt idx="7">
                  <c:v>8151181</c:v>
                </c:pt>
                <c:pt idx="8">
                  <c:v>6101477</c:v>
                </c:pt>
                <c:pt idx="9">
                  <c:v>9938148</c:v>
                </c:pt>
                <c:pt idx="10">
                  <c:v>12638091</c:v>
                </c:pt>
                <c:pt idx="11">
                  <c:v>14436395</c:v>
                </c:pt>
                <c:pt idx="12">
                  <c:v>15783886</c:v>
                </c:pt>
                <c:pt idx="13">
                  <c:v>14954524</c:v>
                </c:pt>
                <c:pt idx="14">
                  <c:v>12948202</c:v>
                </c:pt>
                <c:pt idx="15">
                  <c:v>12462229</c:v>
                </c:pt>
                <c:pt idx="16">
                  <c:v>13381667</c:v>
                </c:pt>
                <c:pt idx="17">
                  <c:v>15436332</c:v>
                </c:pt>
                <c:pt idx="18">
                  <c:v>15236144</c:v>
                </c:pt>
                <c:pt idx="19">
                  <c:v>15783719</c:v>
                </c:pt>
                <c:pt idx="20">
                  <c:v>26373652</c:v>
                </c:pt>
                <c:pt idx="21">
                  <c:v>25227027</c:v>
                </c:pt>
              </c:numCache>
            </c:numRef>
          </c:val>
          <c:extLst>
            <c:ext xmlns:c16="http://schemas.microsoft.com/office/drawing/2014/chart" uri="{C3380CC4-5D6E-409C-BE32-E72D297353CC}">
              <c16:uniqueId val="{00000001-1FE6-884E-A46C-14EFDFEC98D3}"/>
            </c:ext>
          </c:extLst>
        </c:ser>
        <c:ser>
          <c:idx val="2"/>
          <c:order val="2"/>
          <c:tx>
            <c:strRef>
              <c:f>Chile!$D$1</c:f>
              <c:strCache>
                <c:ptCount val="1"/>
                <c:pt idx="0">
                  <c:v>Balanza Comercial</c:v>
                </c:pt>
              </c:strCache>
            </c:strRef>
          </c:tx>
          <c:spPr>
            <a:solidFill>
              <a:schemeClr val="accent3"/>
            </a:solidFill>
            <a:ln>
              <a:noFill/>
            </a:ln>
            <a:effectLst/>
          </c:spPr>
          <c:invertIfNegative val="0"/>
          <c:cat>
            <c:numRef>
              <c:f>Chile!$A$2:$A$23</c:f>
              <c:numCache>
                <c:formatCode>General</c:formatCode>
                <c:ptCount val="22"/>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numCache>
            </c:numRef>
          </c:cat>
          <c:val>
            <c:numRef>
              <c:f>Chile!$D$2:$D$23</c:f>
              <c:numCache>
                <c:formatCode>#,##0.00</c:formatCode>
                <c:ptCount val="22"/>
                <c:pt idx="0">
                  <c:v>51937</c:v>
                </c:pt>
                <c:pt idx="1">
                  <c:v>123493</c:v>
                </c:pt>
                <c:pt idx="2">
                  <c:v>97927</c:v>
                </c:pt>
                <c:pt idx="3">
                  <c:v>1023352</c:v>
                </c:pt>
                <c:pt idx="4">
                  <c:v>1737060</c:v>
                </c:pt>
                <c:pt idx="5">
                  <c:v>936395</c:v>
                </c:pt>
                <c:pt idx="6">
                  <c:v>4536197</c:v>
                </c:pt>
                <c:pt idx="7">
                  <c:v>368405</c:v>
                </c:pt>
                <c:pt idx="8">
                  <c:v>6926734</c:v>
                </c:pt>
                <c:pt idx="9">
                  <c:v>7386759</c:v>
                </c:pt>
                <c:pt idx="10">
                  <c:v>5991157</c:v>
                </c:pt>
                <c:pt idx="11">
                  <c:v>3641878</c:v>
                </c:pt>
                <c:pt idx="12">
                  <c:v>3283338</c:v>
                </c:pt>
                <c:pt idx="13">
                  <c:v>3238232</c:v>
                </c:pt>
                <c:pt idx="14">
                  <c:v>3425452</c:v>
                </c:pt>
                <c:pt idx="15">
                  <c:v>3838622</c:v>
                </c:pt>
                <c:pt idx="16">
                  <c:v>4741734</c:v>
                </c:pt>
                <c:pt idx="17">
                  <c:v>9258740</c:v>
                </c:pt>
                <c:pt idx="18">
                  <c:v>6680630</c:v>
                </c:pt>
                <c:pt idx="19">
                  <c:v>9476762</c:v>
                </c:pt>
                <c:pt idx="20">
                  <c:v>8201659</c:v>
                </c:pt>
                <c:pt idx="21">
                  <c:v>13688370</c:v>
                </c:pt>
              </c:numCache>
            </c:numRef>
          </c:val>
          <c:extLst>
            <c:ext xmlns:c16="http://schemas.microsoft.com/office/drawing/2014/chart" uri="{C3380CC4-5D6E-409C-BE32-E72D297353CC}">
              <c16:uniqueId val="{00000002-1FE6-884E-A46C-14EFDFEC98D3}"/>
            </c:ext>
          </c:extLst>
        </c:ser>
        <c:dLbls>
          <c:showLegendKey val="0"/>
          <c:showVal val="0"/>
          <c:showCatName val="0"/>
          <c:showSerName val="0"/>
          <c:showPercent val="0"/>
          <c:showBubbleSize val="0"/>
        </c:dLbls>
        <c:gapWidth val="219"/>
        <c:overlap val="-27"/>
        <c:axId val="1350795231"/>
        <c:axId val="1350999791"/>
      </c:barChart>
      <c:catAx>
        <c:axId val="1350795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s-CR"/>
          </a:p>
        </c:txPr>
        <c:crossAx val="1350999791"/>
        <c:crosses val="autoZero"/>
        <c:auto val="1"/>
        <c:lblAlgn val="ctr"/>
        <c:lblOffset val="100"/>
        <c:noMultiLvlLbl val="0"/>
      </c:catAx>
      <c:valAx>
        <c:axId val="1350999791"/>
        <c:scaling>
          <c:orientation val="minMax"/>
          <c:max val="40000000"/>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s-CR"/>
          </a:p>
        </c:txPr>
        <c:crossAx val="13507952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s-C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s-CR"/>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Perú!$B$1</c:f>
              <c:strCache>
                <c:ptCount val="1"/>
                <c:pt idx="0">
                  <c:v>Exportaciones </c:v>
                </c:pt>
              </c:strCache>
            </c:strRef>
          </c:tx>
          <c:spPr>
            <a:solidFill>
              <a:schemeClr val="accent1"/>
            </a:solidFill>
            <a:ln>
              <a:noFill/>
            </a:ln>
            <a:effectLst/>
          </c:spPr>
          <c:invertIfNegative val="0"/>
          <c:cat>
            <c:numRef>
              <c:f>Perú!$A$2:$A$23</c:f>
              <c:numCache>
                <c:formatCode>General</c:formatCode>
                <c:ptCount val="22"/>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numCache>
            </c:numRef>
          </c:cat>
          <c:val>
            <c:numRef>
              <c:f>Perú!$B$2:$B$23</c:f>
              <c:numCache>
                <c:formatCode>General</c:formatCode>
                <c:ptCount val="22"/>
                <c:pt idx="0">
                  <c:v>426253</c:v>
                </c:pt>
                <c:pt idx="1">
                  <c:v>597625</c:v>
                </c:pt>
                <c:pt idx="2">
                  <c:v>676972</c:v>
                </c:pt>
                <c:pt idx="3">
                  <c:v>1244699</c:v>
                </c:pt>
                <c:pt idx="4">
                  <c:v>1860865</c:v>
                </c:pt>
                <c:pt idx="5">
                  <c:v>2268655</c:v>
                </c:pt>
                <c:pt idx="6">
                  <c:v>3040489</c:v>
                </c:pt>
                <c:pt idx="7">
                  <c:v>3734995</c:v>
                </c:pt>
                <c:pt idx="8">
                  <c:v>4077957</c:v>
                </c:pt>
                <c:pt idx="9">
                  <c:v>5436667</c:v>
                </c:pt>
                <c:pt idx="10">
                  <c:v>6972639</c:v>
                </c:pt>
                <c:pt idx="11">
                  <c:v>7843946</c:v>
                </c:pt>
                <c:pt idx="12">
                  <c:v>7354028</c:v>
                </c:pt>
                <c:pt idx="13">
                  <c:v>7042587</c:v>
                </c:pt>
                <c:pt idx="14">
                  <c:v>7332901</c:v>
                </c:pt>
                <c:pt idx="15">
                  <c:v>8483938</c:v>
                </c:pt>
                <c:pt idx="16">
                  <c:v>11626233</c:v>
                </c:pt>
                <c:pt idx="17">
                  <c:v>13167721</c:v>
                </c:pt>
                <c:pt idx="18">
                  <c:v>13159187</c:v>
                </c:pt>
                <c:pt idx="19">
                  <c:v>10963064</c:v>
                </c:pt>
                <c:pt idx="20">
                  <c:v>17994761</c:v>
                </c:pt>
                <c:pt idx="21">
                  <c:v>17489368</c:v>
                </c:pt>
              </c:numCache>
            </c:numRef>
          </c:val>
          <c:extLst>
            <c:ext xmlns:c16="http://schemas.microsoft.com/office/drawing/2014/chart" uri="{C3380CC4-5D6E-409C-BE32-E72D297353CC}">
              <c16:uniqueId val="{00000000-93C2-B946-B471-B7D1CF919DE6}"/>
            </c:ext>
          </c:extLst>
        </c:ser>
        <c:ser>
          <c:idx val="1"/>
          <c:order val="1"/>
          <c:tx>
            <c:strRef>
              <c:f>Perú!$C$1</c:f>
              <c:strCache>
                <c:ptCount val="1"/>
                <c:pt idx="0">
                  <c:v>Importaciones </c:v>
                </c:pt>
              </c:strCache>
            </c:strRef>
          </c:tx>
          <c:spPr>
            <a:solidFill>
              <a:schemeClr val="accent2"/>
            </a:solidFill>
            <a:ln>
              <a:noFill/>
            </a:ln>
            <a:effectLst/>
          </c:spPr>
          <c:invertIfNegative val="0"/>
          <c:cat>
            <c:numRef>
              <c:f>Perú!$A$2:$A$23</c:f>
              <c:numCache>
                <c:formatCode>General</c:formatCode>
                <c:ptCount val="22"/>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numCache>
            </c:numRef>
          </c:cat>
          <c:val>
            <c:numRef>
              <c:f>Perú!$C$2:$C$23</c:f>
              <c:numCache>
                <c:formatCode>General</c:formatCode>
                <c:ptCount val="22"/>
                <c:pt idx="0">
                  <c:v>353.62599999999998</c:v>
                </c:pt>
                <c:pt idx="1">
                  <c:v>463.43900000000002</c:v>
                </c:pt>
                <c:pt idx="2">
                  <c:v>639980</c:v>
                </c:pt>
                <c:pt idx="3">
                  <c:v>768124</c:v>
                </c:pt>
                <c:pt idx="4">
                  <c:v>1057932</c:v>
                </c:pt>
                <c:pt idx="5">
                  <c:v>1583656</c:v>
                </c:pt>
                <c:pt idx="6">
                  <c:v>2462958</c:v>
                </c:pt>
                <c:pt idx="7">
                  <c:v>4069490</c:v>
                </c:pt>
                <c:pt idx="8">
                  <c:v>3266503</c:v>
                </c:pt>
                <c:pt idx="9">
                  <c:v>5140030</c:v>
                </c:pt>
                <c:pt idx="10">
                  <c:v>6364754</c:v>
                </c:pt>
                <c:pt idx="11">
                  <c:v>7814505</c:v>
                </c:pt>
                <c:pt idx="12">
                  <c:v>8413580</c:v>
                </c:pt>
                <c:pt idx="13">
                  <c:v>8914608</c:v>
                </c:pt>
                <c:pt idx="14">
                  <c:v>8660462</c:v>
                </c:pt>
                <c:pt idx="15">
                  <c:v>8235308</c:v>
                </c:pt>
                <c:pt idx="16">
                  <c:v>8861241</c:v>
                </c:pt>
                <c:pt idx="17">
                  <c:v>10044887</c:v>
                </c:pt>
                <c:pt idx="18">
                  <c:v>10255204</c:v>
                </c:pt>
                <c:pt idx="19">
                  <c:v>10310219</c:v>
                </c:pt>
                <c:pt idx="20">
                  <c:v>14611643</c:v>
                </c:pt>
                <c:pt idx="21">
                  <c:v>15744692</c:v>
                </c:pt>
              </c:numCache>
            </c:numRef>
          </c:val>
          <c:extLst>
            <c:ext xmlns:c16="http://schemas.microsoft.com/office/drawing/2014/chart" uri="{C3380CC4-5D6E-409C-BE32-E72D297353CC}">
              <c16:uniqueId val="{00000001-93C2-B946-B471-B7D1CF919DE6}"/>
            </c:ext>
          </c:extLst>
        </c:ser>
        <c:ser>
          <c:idx val="2"/>
          <c:order val="2"/>
          <c:tx>
            <c:strRef>
              <c:f>Perú!$D$1</c:f>
              <c:strCache>
                <c:ptCount val="1"/>
                <c:pt idx="0">
                  <c:v>Balanza Comercial</c:v>
                </c:pt>
              </c:strCache>
            </c:strRef>
          </c:tx>
          <c:spPr>
            <a:solidFill>
              <a:schemeClr val="accent3"/>
            </a:solidFill>
            <a:ln>
              <a:noFill/>
            </a:ln>
            <a:effectLst/>
          </c:spPr>
          <c:invertIfNegative val="0"/>
          <c:cat>
            <c:numRef>
              <c:f>Perú!$A$2:$A$23</c:f>
              <c:numCache>
                <c:formatCode>General</c:formatCode>
                <c:ptCount val="22"/>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numCache>
            </c:numRef>
          </c:cat>
          <c:val>
            <c:numRef>
              <c:f>Perú!$D$2:$D$23</c:f>
              <c:numCache>
                <c:formatCode>General</c:formatCode>
                <c:ptCount val="22"/>
                <c:pt idx="0">
                  <c:v>425899.37400000001</c:v>
                </c:pt>
                <c:pt idx="1">
                  <c:v>597161.56099999999</c:v>
                </c:pt>
                <c:pt idx="2">
                  <c:v>36992</c:v>
                </c:pt>
                <c:pt idx="3">
                  <c:v>476575</c:v>
                </c:pt>
                <c:pt idx="4">
                  <c:v>802933</c:v>
                </c:pt>
                <c:pt idx="5">
                  <c:v>684999</c:v>
                </c:pt>
                <c:pt idx="6">
                  <c:v>577531</c:v>
                </c:pt>
                <c:pt idx="7">
                  <c:v>-334495</c:v>
                </c:pt>
                <c:pt idx="8">
                  <c:v>811454</c:v>
                </c:pt>
                <c:pt idx="9">
                  <c:v>296637</c:v>
                </c:pt>
                <c:pt idx="10">
                  <c:v>607885</c:v>
                </c:pt>
                <c:pt idx="11">
                  <c:v>29441</c:v>
                </c:pt>
                <c:pt idx="12">
                  <c:v>-1059552</c:v>
                </c:pt>
                <c:pt idx="13">
                  <c:v>-1872021</c:v>
                </c:pt>
                <c:pt idx="14">
                  <c:v>-1327561</c:v>
                </c:pt>
                <c:pt idx="15">
                  <c:v>248630</c:v>
                </c:pt>
                <c:pt idx="16">
                  <c:v>2764992</c:v>
                </c:pt>
                <c:pt idx="17">
                  <c:v>3122834</c:v>
                </c:pt>
                <c:pt idx="18">
                  <c:v>2903983</c:v>
                </c:pt>
                <c:pt idx="19">
                  <c:v>652845</c:v>
                </c:pt>
                <c:pt idx="20">
                  <c:v>3383118</c:v>
                </c:pt>
                <c:pt idx="21">
                  <c:v>1744676</c:v>
                </c:pt>
              </c:numCache>
            </c:numRef>
          </c:val>
          <c:extLst>
            <c:ext xmlns:c16="http://schemas.microsoft.com/office/drawing/2014/chart" uri="{C3380CC4-5D6E-409C-BE32-E72D297353CC}">
              <c16:uniqueId val="{00000002-93C2-B946-B471-B7D1CF919DE6}"/>
            </c:ext>
          </c:extLst>
        </c:ser>
        <c:dLbls>
          <c:showLegendKey val="0"/>
          <c:showVal val="0"/>
          <c:showCatName val="0"/>
          <c:showSerName val="0"/>
          <c:showPercent val="0"/>
          <c:showBubbleSize val="0"/>
        </c:dLbls>
        <c:gapWidth val="219"/>
        <c:overlap val="-27"/>
        <c:axId val="846594655"/>
        <c:axId val="846596383"/>
      </c:barChart>
      <c:catAx>
        <c:axId val="846594655"/>
        <c:scaling>
          <c:orientation val="minMax"/>
        </c:scaling>
        <c:delete val="0"/>
        <c:axPos val="b"/>
        <c:numFmt formatCode="General" sourceLinked="0"/>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s-CR"/>
          </a:p>
        </c:txPr>
        <c:crossAx val="846596383"/>
        <c:crosses val="autoZero"/>
        <c:auto val="1"/>
        <c:lblAlgn val="ctr"/>
        <c:lblOffset val="100"/>
        <c:noMultiLvlLbl val="0"/>
      </c:catAx>
      <c:valAx>
        <c:axId val="846596383"/>
        <c:scaling>
          <c:orientation val="minMax"/>
        </c:scaling>
        <c:delete val="0"/>
        <c:axPos val="l"/>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s-CR"/>
          </a:p>
        </c:txPr>
        <c:crossAx val="8465946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s-C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sz="800">
          <a:solidFill>
            <a:schemeClr val="tx1"/>
          </a:solidFill>
          <a:latin typeface="Arial" panose="020B0604020202020204" pitchFamily="34" charset="0"/>
          <a:cs typeface="Arial" panose="020B0604020202020204" pitchFamily="34" charset="0"/>
        </a:defRPr>
      </a:pPr>
      <a:endParaRPr lang="es-CR"/>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Hoja1!$B$2</c:f>
              <c:strCache>
                <c:ptCount val="1"/>
                <c:pt idx="0">
                  <c:v>IED China</c:v>
                </c:pt>
              </c:strCache>
            </c:strRef>
          </c:tx>
          <c:spPr>
            <a:ln w="19050" cap="rnd" cmpd="sng" algn="ctr">
              <a:solidFill>
                <a:schemeClr val="accent4">
                  <a:lumMod val="75000"/>
                </a:schemeClr>
              </a:solidFill>
              <a:prstDash val="solid"/>
              <a:round/>
            </a:ln>
            <a:effectLst/>
          </c:spPr>
          <c:marker>
            <c:symbol val="none"/>
          </c:marker>
          <c:dPt>
            <c:idx val="34"/>
            <c:bubble3D val="0"/>
            <c:extLst>
              <c:ext xmlns:c16="http://schemas.microsoft.com/office/drawing/2014/chart" uri="{C3380CC4-5D6E-409C-BE32-E72D297353CC}">
                <c16:uniqueId val="{00000000-9E60-744C-99D4-2DC1CEF435F8}"/>
              </c:ext>
            </c:extLst>
          </c:dPt>
          <c:cat>
            <c:numRef>
              <c:f>Hoja1!$A$3:$A$45</c:f>
              <c:numCache>
                <c:formatCode>General</c:formatCode>
                <c:ptCount val="43"/>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formatCode="0">
                  <c:v>1997</c:v>
                </c:pt>
                <c:pt idx="18" formatCode="0">
                  <c:v>1998</c:v>
                </c:pt>
                <c:pt idx="19" formatCode="0">
                  <c:v>1999</c:v>
                </c:pt>
                <c:pt idx="20" formatCode="0">
                  <c:v>2000</c:v>
                </c:pt>
                <c:pt idx="21" formatCode="0">
                  <c:v>2001</c:v>
                </c:pt>
                <c:pt idx="22" formatCode="0">
                  <c:v>2002</c:v>
                </c:pt>
                <c:pt idx="23" formatCode="0">
                  <c:v>2003</c:v>
                </c:pt>
                <c:pt idx="24" formatCode="0">
                  <c:v>2004</c:v>
                </c:pt>
                <c:pt idx="25" formatCode="0">
                  <c:v>2005</c:v>
                </c:pt>
                <c:pt idx="26" formatCode="0">
                  <c:v>2006</c:v>
                </c:pt>
                <c:pt idx="27" formatCode="0">
                  <c:v>2007</c:v>
                </c:pt>
                <c:pt idx="28" formatCode="0">
                  <c:v>2008</c:v>
                </c:pt>
                <c:pt idx="29" formatCode="0">
                  <c:v>2009</c:v>
                </c:pt>
                <c:pt idx="30" formatCode="0">
                  <c:v>2010</c:v>
                </c:pt>
                <c:pt idx="31" formatCode="0">
                  <c:v>2011</c:v>
                </c:pt>
                <c:pt idx="32" formatCode="0">
                  <c:v>2012</c:v>
                </c:pt>
                <c:pt idx="33" formatCode="0">
                  <c:v>2013</c:v>
                </c:pt>
                <c:pt idx="34" formatCode="0">
                  <c:v>2014</c:v>
                </c:pt>
                <c:pt idx="35" formatCode="0">
                  <c:v>2015</c:v>
                </c:pt>
                <c:pt idx="36" formatCode="0">
                  <c:v>2016</c:v>
                </c:pt>
                <c:pt idx="37" formatCode="0">
                  <c:v>2017</c:v>
                </c:pt>
                <c:pt idx="38" formatCode="0">
                  <c:v>2018</c:v>
                </c:pt>
                <c:pt idx="39" formatCode="0">
                  <c:v>2019</c:v>
                </c:pt>
                <c:pt idx="40" formatCode="0">
                  <c:v>2020</c:v>
                </c:pt>
                <c:pt idx="41" formatCode="0">
                  <c:v>2021</c:v>
                </c:pt>
                <c:pt idx="42" formatCode="0">
                  <c:v>2022</c:v>
                </c:pt>
              </c:numCache>
            </c:numRef>
          </c:cat>
          <c:val>
            <c:numRef>
              <c:f>Hoja1!$B$3:$B$45</c:f>
              <c:numCache>
                <c:formatCode>#,##0.0</c:formatCode>
                <c:ptCount val="43"/>
                <c:pt idx="0">
                  <c:v>22.947489010000002</c:v>
                </c:pt>
                <c:pt idx="1">
                  <c:v>22.947637570000001</c:v>
                </c:pt>
                <c:pt idx="2">
                  <c:v>22.947844930000002</c:v>
                </c:pt>
                <c:pt idx="3">
                  <c:v>22.956757100000001</c:v>
                </c:pt>
                <c:pt idx="4">
                  <c:v>22.956757100000001</c:v>
                </c:pt>
                <c:pt idx="5">
                  <c:v>22.956757100000001</c:v>
                </c:pt>
                <c:pt idx="6">
                  <c:v>22.956757100000001</c:v>
                </c:pt>
                <c:pt idx="7">
                  <c:v>22.956757100000001</c:v>
                </c:pt>
                <c:pt idx="8">
                  <c:v>22.956757100000001</c:v>
                </c:pt>
                <c:pt idx="9">
                  <c:v>22.956757100000001</c:v>
                </c:pt>
                <c:pt idx="10">
                  <c:v>22.956868800000002</c:v>
                </c:pt>
                <c:pt idx="11">
                  <c:v>22.960099570000001</c:v>
                </c:pt>
                <c:pt idx="12">
                  <c:v>141.02776557000001</c:v>
                </c:pt>
                <c:pt idx="13">
                  <c:v>141.02776557000001</c:v>
                </c:pt>
                <c:pt idx="14">
                  <c:v>141.02776557000001</c:v>
                </c:pt>
                <c:pt idx="15">
                  <c:v>145.10666217000002</c:v>
                </c:pt>
                <c:pt idx="16">
                  <c:v>145.10666217000002</c:v>
                </c:pt>
                <c:pt idx="17">
                  <c:v>145.10666217000002</c:v>
                </c:pt>
                <c:pt idx="18">
                  <c:v>145.10666217000002</c:v>
                </c:pt>
                <c:pt idx="19">
                  <c:v>145.10666217000002</c:v>
                </c:pt>
                <c:pt idx="20">
                  <c:v>145.10666217000002</c:v>
                </c:pt>
                <c:pt idx="21">
                  <c:v>145.10666217000002</c:v>
                </c:pt>
                <c:pt idx="22">
                  <c:v>145.54749536000003</c:v>
                </c:pt>
                <c:pt idx="23">
                  <c:v>145.54749536000003</c:v>
                </c:pt>
                <c:pt idx="24">
                  <c:v>145.54749536000003</c:v>
                </c:pt>
                <c:pt idx="25">
                  <c:v>145.69710383000003</c:v>
                </c:pt>
                <c:pt idx="26">
                  <c:v>145.69710383000003</c:v>
                </c:pt>
                <c:pt idx="27">
                  <c:v>170.21683548000004</c:v>
                </c:pt>
                <c:pt idx="28">
                  <c:v>170.21683548000004</c:v>
                </c:pt>
                <c:pt idx="29">
                  <c:v>170.24295388000004</c:v>
                </c:pt>
                <c:pt idx="30">
                  <c:v>170.24295388000004</c:v>
                </c:pt>
                <c:pt idx="31">
                  <c:v>171.2181672106895</c:v>
                </c:pt>
                <c:pt idx="32">
                  <c:v>231.51810683474966</c:v>
                </c:pt>
                <c:pt idx="33">
                  <c:v>231.51810683474966</c:v>
                </c:pt>
                <c:pt idx="34">
                  <c:v>231.51810683474966</c:v>
                </c:pt>
                <c:pt idx="35">
                  <c:v>231.51810683474966</c:v>
                </c:pt>
                <c:pt idx="36">
                  <c:v>231.56810683474967</c:v>
                </c:pt>
                <c:pt idx="37">
                  <c:v>238.66810683474966</c:v>
                </c:pt>
                <c:pt idx="38">
                  <c:v>288.66810683474966</c:v>
                </c:pt>
                <c:pt idx="39">
                  <c:v>308.66810683474966</c:v>
                </c:pt>
                <c:pt idx="40">
                  <c:v>666.05101418983543</c:v>
                </c:pt>
                <c:pt idx="41">
                  <c:v>1131.0510141898353</c:v>
                </c:pt>
                <c:pt idx="42">
                  <c:v>1139.0019815798355</c:v>
                </c:pt>
              </c:numCache>
            </c:numRef>
          </c:val>
          <c:smooth val="0"/>
          <c:extLst>
            <c:ext xmlns:c16="http://schemas.microsoft.com/office/drawing/2014/chart" uri="{C3380CC4-5D6E-409C-BE32-E72D297353CC}">
              <c16:uniqueId val="{00000000-F67E-F142-A671-50111068E6CA}"/>
            </c:ext>
          </c:extLst>
        </c:ser>
        <c:dLbls>
          <c:showLegendKey val="0"/>
          <c:showVal val="0"/>
          <c:showCatName val="0"/>
          <c:showSerName val="0"/>
          <c:showPercent val="0"/>
          <c:showBubbleSize val="0"/>
        </c:dLbls>
        <c:smooth val="0"/>
        <c:axId val="519882880"/>
        <c:axId val="1"/>
      </c:lineChart>
      <c:catAx>
        <c:axId val="519882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vert="horz"/>
          <a:lstStyle/>
          <a:p>
            <a:pPr>
              <a:defRPr/>
            </a:pPr>
            <a:endParaRPr lang="es-CR"/>
          </a:p>
        </c:txPr>
        <c:crossAx val="1"/>
        <c:crosses val="autoZero"/>
        <c:auto val="1"/>
        <c:lblAlgn val="ctr"/>
        <c:lblOffset val="100"/>
        <c:noMultiLvlLbl val="0"/>
      </c:catAx>
      <c:valAx>
        <c:axId val="1"/>
        <c:scaling>
          <c:orientation val="minMax"/>
        </c:scaling>
        <c:delete val="0"/>
        <c:axPos val="l"/>
        <c:numFmt formatCode="#,##0.0" sourceLinked="1"/>
        <c:majorTickMark val="none"/>
        <c:minorTickMark val="none"/>
        <c:tickLblPos val="nextTo"/>
        <c:spPr>
          <a:noFill/>
          <a:ln w="6350" cap="flat" cmpd="sng" algn="ctr">
            <a:noFill/>
            <a:prstDash val="solid"/>
            <a:round/>
          </a:ln>
          <a:effectLst/>
        </c:spPr>
        <c:txPr>
          <a:bodyPr rot="-60000000" vert="horz"/>
          <a:lstStyle/>
          <a:p>
            <a:pPr>
              <a:defRPr/>
            </a:pPr>
            <a:endParaRPr lang="es-CR"/>
          </a:p>
        </c:txPr>
        <c:crossAx val="519882880"/>
        <c:crosses val="autoZero"/>
        <c:crossBetween val="between"/>
      </c:valAx>
      <c:spPr>
        <a:noFill/>
        <a:ln w="25400">
          <a:noFill/>
        </a:ln>
        <a:effectLst/>
      </c:spPr>
    </c:plotArea>
    <c:plotVisOnly val="1"/>
    <c:dispBlanksAs val="zero"/>
    <c:showDLblsOverMax val="0"/>
  </c:chart>
  <c:spPr>
    <a:noFill/>
    <a:ln w="6350" cap="flat" cmpd="sng" algn="ctr">
      <a:noFill/>
      <a:prstDash val="solid"/>
      <a:round/>
    </a:ln>
    <a:effectLst/>
  </c:spPr>
  <c:txPr>
    <a:bodyPr/>
    <a:lstStyle/>
    <a:p>
      <a:pPr>
        <a:defRPr sz="1000">
          <a:solidFill>
            <a:schemeClr val="tx1"/>
          </a:solidFill>
          <a:latin typeface="Arial" panose="020B0604020202020204" pitchFamily="34" charset="0"/>
          <a:ea typeface="+mn-ea"/>
          <a:cs typeface="Arial" panose="020B0604020202020204" pitchFamily="34" charset="0"/>
        </a:defRPr>
      </a:pPr>
      <a:endParaRPr lang="es-C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0.34565</cdr:x>
      <cdr:y>0.05424</cdr:y>
    </cdr:from>
    <cdr:to>
      <cdr:x>0.34579</cdr:x>
      <cdr:y>0.83235</cdr:y>
    </cdr:to>
    <cdr:cxnSp macro="">
      <cdr:nvCxnSpPr>
        <cdr:cNvPr id="3" name="Conector recto 2">
          <a:extLst xmlns:a="http://schemas.openxmlformats.org/drawingml/2006/main">
            <a:ext uri="{FF2B5EF4-FFF2-40B4-BE49-F238E27FC236}">
              <a16:creationId xmlns:a16="http://schemas.microsoft.com/office/drawing/2014/main" id="{9DA7AF9B-B9E5-69EB-C579-5168A7A15A7A}"/>
            </a:ext>
          </a:extLst>
        </cdr:cNvPr>
        <cdr:cNvCxnSpPr/>
      </cdr:nvCxnSpPr>
      <cdr:spPr>
        <a:xfrm xmlns:a="http://schemas.openxmlformats.org/drawingml/2006/main" flipH="1">
          <a:off x="2002801" y="223729"/>
          <a:ext cx="811" cy="3209673"/>
        </a:xfrm>
        <a:prstGeom xmlns:a="http://schemas.openxmlformats.org/drawingml/2006/main" prst="line">
          <a:avLst/>
        </a:prstGeom>
      </cdr:spPr>
      <cdr:style>
        <a:lnRef xmlns:a="http://schemas.openxmlformats.org/drawingml/2006/main" idx="2">
          <a:schemeClr val="accent6"/>
        </a:lnRef>
        <a:fillRef xmlns:a="http://schemas.openxmlformats.org/drawingml/2006/main" idx="0">
          <a:schemeClr val="accent6"/>
        </a:fillRef>
        <a:effectRef xmlns:a="http://schemas.openxmlformats.org/drawingml/2006/main" idx="1">
          <a:schemeClr val="accent6"/>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0.48319</cdr:x>
      <cdr:y>0.07074</cdr:y>
    </cdr:from>
    <cdr:to>
      <cdr:x>0.48319</cdr:x>
      <cdr:y>0.68742</cdr:y>
    </cdr:to>
    <cdr:cxnSp macro="">
      <cdr:nvCxnSpPr>
        <cdr:cNvPr id="3" name="Conector recto 2">
          <a:extLst xmlns:a="http://schemas.openxmlformats.org/drawingml/2006/main">
            <a:ext uri="{FF2B5EF4-FFF2-40B4-BE49-F238E27FC236}">
              <a16:creationId xmlns:a16="http://schemas.microsoft.com/office/drawing/2014/main" id="{5A986B9C-9856-74E5-47EF-88CE9F3905CD}"/>
            </a:ext>
          </a:extLst>
        </cdr:cNvPr>
        <cdr:cNvCxnSpPr/>
      </cdr:nvCxnSpPr>
      <cdr:spPr>
        <a:xfrm xmlns:a="http://schemas.openxmlformats.org/drawingml/2006/main">
          <a:off x="2890594" y="323406"/>
          <a:ext cx="0" cy="2819461"/>
        </a:xfrm>
        <a:prstGeom xmlns:a="http://schemas.openxmlformats.org/drawingml/2006/main" prst="line">
          <a:avLst/>
        </a:prstGeom>
        <a:ln xmlns:a="http://schemas.openxmlformats.org/drawingml/2006/main">
          <a:headEnd w="lg" len="lg"/>
          <a:tailEnd w="lg" len="med"/>
        </a:ln>
      </cdr:spPr>
      <cdr:style>
        <a:lnRef xmlns:a="http://schemas.openxmlformats.org/drawingml/2006/main" idx="2">
          <a:schemeClr val="accent6"/>
        </a:lnRef>
        <a:fillRef xmlns:a="http://schemas.openxmlformats.org/drawingml/2006/main" idx="0">
          <a:schemeClr val="accent6"/>
        </a:fillRef>
        <a:effectRef xmlns:a="http://schemas.openxmlformats.org/drawingml/2006/main" idx="1">
          <a:schemeClr val="accent6"/>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0.51288</cdr:x>
      <cdr:y>0</cdr:y>
    </cdr:from>
    <cdr:to>
      <cdr:x>0.51288</cdr:x>
      <cdr:y>0.39666</cdr:y>
    </cdr:to>
    <cdr:cxnSp macro="">
      <cdr:nvCxnSpPr>
        <cdr:cNvPr id="3" name="Conector recto 2"/>
        <cdr:cNvCxnSpPr/>
      </cdr:nvCxnSpPr>
      <cdr:spPr>
        <a:xfrm xmlns:a="http://schemas.openxmlformats.org/drawingml/2006/main" flipV="1">
          <a:off x="2873444" y="0"/>
          <a:ext cx="0" cy="1373497"/>
        </a:xfrm>
        <a:prstGeom xmlns:a="http://schemas.openxmlformats.org/drawingml/2006/main" prst="line">
          <a:avLst/>
        </a:prstGeom>
      </cdr:spPr>
      <cdr:style>
        <a:lnRef xmlns:a="http://schemas.openxmlformats.org/drawingml/2006/main" idx="2">
          <a:schemeClr val="accent6"/>
        </a:lnRef>
        <a:fillRef xmlns:a="http://schemas.openxmlformats.org/drawingml/2006/main" idx="0">
          <a:schemeClr val="accent6"/>
        </a:fillRef>
        <a:effectRef xmlns:a="http://schemas.openxmlformats.org/drawingml/2006/main" idx="1">
          <a:schemeClr val="accent6"/>
        </a:effectRef>
        <a:fontRef xmlns:a="http://schemas.openxmlformats.org/drawingml/2006/main" idx="minor">
          <a:schemeClr val="tx1"/>
        </a:fontRef>
      </cdr:style>
    </cdr:cxn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489BB6DC0D3949398E9A75F3AE2EB612"/>
        <w:category>
          <w:name w:val="General"/>
          <w:gallery w:val="placeholder"/>
        </w:category>
        <w:types>
          <w:type w:val="bbPlcHdr"/>
        </w:types>
        <w:behaviors>
          <w:behavior w:val="content"/>
        </w:behaviors>
        <w:guid w:val="{60A7ECBD-2615-489A-BCD4-34A118C6AAF2}"/>
      </w:docPartPr>
      <w:docPartBody>
        <w:p w:rsidR="003C05D2" w:rsidRDefault="00AB6D4C" w:rsidP="00AB6D4C">
          <w:pPr>
            <w:pStyle w:val="489BB6DC0D3949398E9A75F3AE2EB612"/>
          </w:pPr>
          <w:r w:rsidRPr="006C0888">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D4C"/>
    <w:rsid w:val="000013A5"/>
    <w:rsid w:val="00006DD0"/>
    <w:rsid w:val="00021505"/>
    <w:rsid w:val="00021D3E"/>
    <w:rsid w:val="00024A1E"/>
    <w:rsid w:val="00041182"/>
    <w:rsid w:val="00042756"/>
    <w:rsid w:val="00053A1C"/>
    <w:rsid w:val="00086B54"/>
    <w:rsid w:val="000963DC"/>
    <w:rsid w:val="000A48F0"/>
    <w:rsid w:val="000A75FC"/>
    <w:rsid w:val="000D3091"/>
    <w:rsid w:val="000E3B1F"/>
    <w:rsid w:val="000E44CC"/>
    <w:rsid w:val="001134DE"/>
    <w:rsid w:val="00122235"/>
    <w:rsid w:val="00122E9D"/>
    <w:rsid w:val="00142C06"/>
    <w:rsid w:val="00144C6D"/>
    <w:rsid w:val="00185551"/>
    <w:rsid w:val="0019475E"/>
    <w:rsid w:val="001B1D57"/>
    <w:rsid w:val="001C2AD7"/>
    <w:rsid w:val="001C5451"/>
    <w:rsid w:val="00201149"/>
    <w:rsid w:val="00212BCC"/>
    <w:rsid w:val="00215DF3"/>
    <w:rsid w:val="00216C00"/>
    <w:rsid w:val="00243650"/>
    <w:rsid w:val="00254690"/>
    <w:rsid w:val="00266AC0"/>
    <w:rsid w:val="002966DA"/>
    <w:rsid w:val="002B3F2F"/>
    <w:rsid w:val="002B544B"/>
    <w:rsid w:val="002C4950"/>
    <w:rsid w:val="002D236E"/>
    <w:rsid w:val="002D793F"/>
    <w:rsid w:val="003132B4"/>
    <w:rsid w:val="0032202C"/>
    <w:rsid w:val="00327773"/>
    <w:rsid w:val="00343905"/>
    <w:rsid w:val="003501E1"/>
    <w:rsid w:val="0035048A"/>
    <w:rsid w:val="00353F6D"/>
    <w:rsid w:val="003A2E61"/>
    <w:rsid w:val="003B069E"/>
    <w:rsid w:val="003C05D2"/>
    <w:rsid w:val="003C125B"/>
    <w:rsid w:val="003D538C"/>
    <w:rsid w:val="003E532E"/>
    <w:rsid w:val="003F777E"/>
    <w:rsid w:val="004035DA"/>
    <w:rsid w:val="0040556F"/>
    <w:rsid w:val="004117C3"/>
    <w:rsid w:val="0041189E"/>
    <w:rsid w:val="00417090"/>
    <w:rsid w:val="00421D91"/>
    <w:rsid w:val="00425C90"/>
    <w:rsid w:val="004559B1"/>
    <w:rsid w:val="00487B88"/>
    <w:rsid w:val="004A60D5"/>
    <w:rsid w:val="004B4F4D"/>
    <w:rsid w:val="004C1064"/>
    <w:rsid w:val="004C5B89"/>
    <w:rsid w:val="004D3110"/>
    <w:rsid w:val="0050099C"/>
    <w:rsid w:val="00506F90"/>
    <w:rsid w:val="00523E08"/>
    <w:rsid w:val="00524EEC"/>
    <w:rsid w:val="0053030E"/>
    <w:rsid w:val="005420AD"/>
    <w:rsid w:val="005744F8"/>
    <w:rsid w:val="00585B70"/>
    <w:rsid w:val="005A3A1D"/>
    <w:rsid w:val="005C01AE"/>
    <w:rsid w:val="005E64D8"/>
    <w:rsid w:val="005F4DF1"/>
    <w:rsid w:val="00640BBD"/>
    <w:rsid w:val="00640F79"/>
    <w:rsid w:val="00662CB0"/>
    <w:rsid w:val="00663256"/>
    <w:rsid w:val="0066475C"/>
    <w:rsid w:val="00670299"/>
    <w:rsid w:val="00696F84"/>
    <w:rsid w:val="006A3563"/>
    <w:rsid w:val="006B371E"/>
    <w:rsid w:val="006C7168"/>
    <w:rsid w:val="006E1974"/>
    <w:rsid w:val="006E2358"/>
    <w:rsid w:val="00701F03"/>
    <w:rsid w:val="0071551B"/>
    <w:rsid w:val="00730A40"/>
    <w:rsid w:val="00742763"/>
    <w:rsid w:val="00746FF5"/>
    <w:rsid w:val="0078228C"/>
    <w:rsid w:val="007848A6"/>
    <w:rsid w:val="007A4DC6"/>
    <w:rsid w:val="007A5E08"/>
    <w:rsid w:val="007A6CEB"/>
    <w:rsid w:val="007C1B51"/>
    <w:rsid w:val="00802B5E"/>
    <w:rsid w:val="0080730A"/>
    <w:rsid w:val="00813914"/>
    <w:rsid w:val="00827C6B"/>
    <w:rsid w:val="00830066"/>
    <w:rsid w:val="008311F3"/>
    <w:rsid w:val="008331BE"/>
    <w:rsid w:val="00845A95"/>
    <w:rsid w:val="008673FD"/>
    <w:rsid w:val="00874365"/>
    <w:rsid w:val="00885475"/>
    <w:rsid w:val="008937BF"/>
    <w:rsid w:val="008B3070"/>
    <w:rsid w:val="008B4A9C"/>
    <w:rsid w:val="008B552D"/>
    <w:rsid w:val="008B7998"/>
    <w:rsid w:val="008F5901"/>
    <w:rsid w:val="008F70BA"/>
    <w:rsid w:val="0090371F"/>
    <w:rsid w:val="00925828"/>
    <w:rsid w:val="00927CDC"/>
    <w:rsid w:val="009604EF"/>
    <w:rsid w:val="00965D01"/>
    <w:rsid w:val="00971B56"/>
    <w:rsid w:val="009A15E3"/>
    <w:rsid w:val="009A75A0"/>
    <w:rsid w:val="009B0278"/>
    <w:rsid w:val="009C2801"/>
    <w:rsid w:val="009C2F62"/>
    <w:rsid w:val="009C4533"/>
    <w:rsid w:val="00A0537D"/>
    <w:rsid w:val="00A56B6C"/>
    <w:rsid w:val="00A604DA"/>
    <w:rsid w:val="00A61952"/>
    <w:rsid w:val="00A74118"/>
    <w:rsid w:val="00A97121"/>
    <w:rsid w:val="00AB00C0"/>
    <w:rsid w:val="00AB6D4C"/>
    <w:rsid w:val="00AC15F3"/>
    <w:rsid w:val="00AE5613"/>
    <w:rsid w:val="00AF497A"/>
    <w:rsid w:val="00B37642"/>
    <w:rsid w:val="00B5479E"/>
    <w:rsid w:val="00B6194B"/>
    <w:rsid w:val="00B70265"/>
    <w:rsid w:val="00B85997"/>
    <w:rsid w:val="00B93704"/>
    <w:rsid w:val="00BB2921"/>
    <w:rsid w:val="00BC4B83"/>
    <w:rsid w:val="00BD34BC"/>
    <w:rsid w:val="00BD7EF6"/>
    <w:rsid w:val="00BF371C"/>
    <w:rsid w:val="00C12123"/>
    <w:rsid w:val="00C3070F"/>
    <w:rsid w:val="00C346F7"/>
    <w:rsid w:val="00C43FB1"/>
    <w:rsid w:val="00C67588"/>
    <w:rsid w:val="00C822A9"/>
    <w:rsid w:val="00C823AE"/>
    <w:rsid w:val="00CB04DF"/>
    <w:rsid w:val="00CC4A45"/>
    <w:rsid w:val="00CC6A71"/>
    <w:rsid w:val="00CC6C0B"/>
    <w:rsid w:val="00CD3CA6"/>
    <w:rsid w:val="00CD5D18"/>
    <w:rsid w:val="00CE7889"/>
    <w:rsid w:val="00D06964"/>
    <w:rsid w:val="00D13574"/>
    <w:rsid w:val="00D1451B"/>
    <w:rsid w:val="00D34A8C"/>
    <w:rsid w:val="00D44D3C"/>
    <w:rsid w:val="00D543EB"/>
    <w:rsid w:val="00D75FAD"/>
    <w:rsid w:val="00D861E2"/>
    <w:rsid w:val="00D87500"/>
    <w:rsid w:val="00D93325"/>
    <w:rsid w:val="00D9689E"/>
    <w:rsid w:val="00DD0CB8"/>
    <w:rsid w:val="00DE37DA"/>
    <w:rsid w:val="00DF4A37"/>
    <w:rsid w:val="00DF797D"/>
    <w:rsid w:val="00E02B41"/>
    <w:rsid w:val="00E24DCE"/>
    <w:rsid w:val="00E34FDB"/>
    <w:rsid w:val="00E5285B"/>
    <w:rsid w:val="00E57364"/>
    <w:rsid w:val="00E63641"/>
    <w:rsid w:val="00E67095"/>
    <w:rsid w:val="00E72533"/>
    <w:rsid w:val="00E73C2A"/>
    <w:rsid w:val="00E76B72"/>
    <w:rsid w:val="00E8707A"/>
    <w:rsid w:val="00EA62BE"/>
    <w:rsid w:val="00EB2DDB"/>
    <w:rsid w:val="00EB4A5D"/>
    <w:rsid w:val="00EC0F9F"/>
    <w:rsid w:val="00ED736E"/>
    <w:rsid w:val="00F212DC"/>
    <w:rsid w:val="00F21DF8"/>
    <w:rsid w:val="00F33E73"/>
    <w:rsid w:val="00F528AF"/>
    <w:rsid w:val="00F54583"/>
    <w:rsid w:val="00F602A8"/>
    <w:rsid w:val="00F71A41"/>
    <w:rsid w:val="00F71EF3"/>
    <w:rsid w:val="00F75213"/>
    <w:rsid w:val="00F76A05"/>
    <w:rsid w:val="00F8062F"/>
    <w:rsid w:val="00F90E4E"/>
    <w:rsid w:val="00F92D97"/>
    <w:rsid w:val="00F97DCE"/>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2"/>
        <w:lang w:val="es-HN" w:eastAsia="es-H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54583"/>
    <w:rPr>
      <w:color w:val="808080"/>
    </w:rPr>
  </w:style>
  <w:style w:type="paragraph" w:customStyle="1" w:styleId="489BB6DC0D3949398E9A75F3AE2EB612">
    <w:name w:val="489BB6DC0D3949398E9A75F3AE2EB612"/>
    <w:rsid w:val="00AB6D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Tema de Office">
  <a:themeElements>
    <a:clrScheme name="Transmisión de listas">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Min23</b:Tag>
    <b:SourceType>Report</b:SourceType>
    <b:Guid>{7F0BFB43-ECB4-49DA-8DA7-28EF029F3653}</b:Guid>
    <b:Title>Aliados Diplomáticos</b:Title>
    <b:Year>2023</b:Year>
    <b:City>Taipei</b:City>
    <b:Author>
      <b:Author>
        <b:Corporate> Ministerio de Asuntos Exteriores de Taiwán</b:Corporate>
      </b:Author>
    </b:Author>
    <b:RefOrder>1</b:RefOrder>
  </b:Source>
  <b:Source>
    <b:Tag>Car09</b:Tag>
    <b:SourceType>Book</b:SourceType>
    <b:Guid>{377D0C13-172A-4FC2-91C5-113B4F2A02EB}</b:Guid>
    <b:Author>
      <b:Author>
        <b:NameList>
          <b:Person>
            <b:Last>Carbaugh</b:Last>
            <b:First>Robert</b:First>
          </b:Person>
        </b:NameList>
      </b:Author>
    </b:Author>
    <b:Title>Economía Internacional</b:Title>
    <b:Year>2009</b:Year>
    <b:Publisher>Cengage Learning</b:Publisher>
    <b:StateProvince>México</b:StateProvince>
    <b:Edition>Décimo segunda</b:Edition>
    <b:RefOrder>2</b:RefOrder>
  </b:Source>
  <b:Source>
    <b:Tag>Baj96</b:Tag>
    <b:SourceType>JournalArticle</b:SourceType>
    <b:Guid>{CF67AE27-DB68-479A-BC00-FB37389542A1}</b:Guid>
    <b:Title>Teorías del comercio internacional: Una panorámica</b:Title>
    <b:Year>1996</b:Year>
    <b:Author>
      <b:Author>
        <b:NameList>
          <b:Person>
            <b:Last>Bajo</b:Last>
            <b:First>Oscar</b:First>
          </b:Person>
        </b:NameList>
      </b:Author>
    </b:Author>
    <b:JournalName>Revista vasca de economía</b:JournalName>
    <b:Pages>12-27</b:Pages>
    <b:RefOrder>3</b:RefOrder>
  </b:Source>
</b:Sources>
</file>

<file path=customXml/itemProps1.xml><?xml version="1.0" encoding="utf-8"?>
<ds:datastoreItem xmlns:ds="http://schemas.openxmlformats.org/officeDocument/2006/customXml" ds:itemID="{CB411FF3-DD10-4DE9-B042-6A1DE2D1D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154</Pages>
  <Words>68943</Words>
  <Characters>379187</Characters>
  <Application>Microsoft Office Word</Application>
  <DocSecurity>0</DocSecurity>
  <Lines>3159</Lines>
  <Paragraphs>894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NELLY MORALES LUNA</dc:creator>
  <cp:keywords/>
  <dc:description/>
  <cp:lastModifiedBy>NELLY MORALES LUNA</cp:lastModifiedBy>
  <cp:revision>2</cp:revision>
  <cp:lastPrinted>2025-11-18T13:57:00Z</cp:lastPrinted>
  <dcterms:created xsi:type="dcterms:W3CDTF">2026-08-12T23:03:00Z</dcterms:created>
  <dcterms:modified xsi:type="dcterms:W3CDTF">2026-08-12T23:03:00Z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id="hdrqZQ9c"/&gt;&lt;style id="http://www.zotero.org/styles/apa" locale="es-ES"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