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D187FA" w14:textId="77777777" w:rsidR="000E5799" w:rsidRPr="00D443AC" w:rsidRDefault="000E5799">
      <w:pPr>
        <w:pStyle w:val="Articletitle"/>
        <w:widowControl/>
        <w:jc w:val="center"/>
        <w:rPr>
          <w:rFonts w:eastAsia="Times New Roman" w:cs="Calibri"/>
          <w:bCs w:val="0"/>
          <w:szCs w:val="24"/>
        </w:rPr>
      </w:pPr>
      <w:r w:rsidRPr="00D443AC">
        <w:rPr>
          <w:rFonts w:eastAsia="Times New Roman" w:cs="Calibri"/>
          <w:bCs w:val="0"/>
          <w:szCs w:val="24"/>
        </w:rPr>
        <w:t>Analysis of a drinking water disinfection system: an input for improving supply management in a rural aqueduct in Costa Rica</w:t>
      </w:r>
    </w:p>
    <w:p w14:paraId="4A5A572A" w14:textId="3E12A22E" w:rsidR="000E5799" w:rsidRPr="00FA2F45" w:rsidRDefault="000E5799">
      <w:pPr>
        <w:pStyle w:val="Authornames"/>
        <w:widowControl/>
        <w:jc w:val="center"/>
        <w:rPr>
          <w:rFonts w:eastAsia="Times New Roman" w:cs="Calibri"/>
          <w:i/>
          <w:sz w:val="24"/>
          <w:szCs w:val="24"/>
          <w:lang w:val="es-ES_tradnl"/>
        </w:rPr>
      </w:pPr>
      <w:r w:rsidRPr="00A34E32">
        <w:rPr>
          <w:rFonts w:eastAsia="Times New Roman" w:cs="Calibri"/>
          <w:i/>
          <w:sz w:val="24"/>
          <w:szCs w:val="24"/>
          <w:lang w:val="es-ES_tradnl"/>
        </w:rPr>
        <w:t>Edwin Salas-González</w:t>
      </w:r>
      <w:r w:rsidRPr="00A34E32">
        <w:rPr>
          <w:rFonts w:eastAsia="Times New Roman" w:cs="Calibri"/>
          <w:i/>
          <w:sz w:val="24"/>
          <w:szCs w:val="24"/>
          <w:vertAlign w:val="superscript"/>
          <w:lang w:val="es-ES_tradnl"/>
        </w:rPr>
        <w:t>1</w:t>
      </w:r>
      <w:r w:rsidRPr="00A34E32">
        <w:rPr>
          <w:rFonts w:eastAsia="Times New Roman" w:cs="Calibri"/>
          <w:i/>
          <w:sz w:val="24"/>
          <w:szCs w:val="24"/>
          <w:lang w:val="es-ES_tradnl"/>
        </w:rPr>
        <w:t>, Rolando Sánchez-Gutiérrez</w:t>
      </w:r>
      <w:r w:rsidRPr="00A34E32">
        <w:rPr>
          <w:rFonts w:eastAsia="Times New Roman" w:cs="Calibri"/>
          <w:i/>
          <w:sz w:val="24"/>
          <w:szCs w:val="24"/>
          <w:vertAlign w:val="superscript"/>
          <w:lang w:val="es-ES_tradnl"/>
        </w:rPr>
        <w:t>1*</w:t>
      </w:r>
      <w:r w:rsidRPr="00A34E32">
        <w:rPr>
          <w:rFonts w:eastAsia="Times New Roman" w:cs="Calibri"/>
          <w:i/>
          <w:sz w:val="24"/>
          <w:szCs w:val="24"/>
          <w:lang w:val="es-ES_tradnl"/>
        </w:rPr>
        <w:t>, Alicia Fonseca Sánchez</w:t>
      </w:r>
      <w:r w:rsidRPr="00A34E32">
        <w:rPr>
          <w:rFonts w:eastAsia="Times New Roman" w:cs="Calibri"/>
          <w:i/>
          <w:sz w:val="24"/>
          <w:szCs w:val="24"/>
          <w:vertAlign w:val="superscript"/>
          <w:lang w:val="es-ES_tradnl"/>
        </w:rPr>
        <w:t>2</w:t>
      </w:r>
      <w:r w:rsidRPr="00A34E32">
        <w:rPr>
          <w:rFonts w:eastAsia="Times New Roman" w:cs="Calibri"/>
          <w:i/>
          <w:sz w:val="24"/>
          <w:szCs w:val="24"/>
          <w:lang w:val="es-ES_tradnl"/>
        </w:rPr>
        <w:t>, Carolina Alfaro Chinchilla</w:t>
      </w:r>
      <w:r w:rsidRPr="00A34E32">
        <w:rPr>
          <w:rFonts w:eastAsia="Times New Roman" w:cs="Calibri"/>
          <w:i/>
          <w:sz w:val="24"/>
          <w:szCs w:val="24"/>
          <w:vertAlign w:val="superscript"/>
          <w:lang w:val="es-ES_tradnl"/>
        </w:rPr>
        <w:t>3</w:t>
      </w:r>
      <w:r w:rsidRPr="00A34E32">
        <w:rPr>
          <w:rFonts w:eastAsia="Times New Roman" w:cs="Calibri"/>
          <w:i/>
          <w:sz w:val="24"/>
          <w:szCs w:val="24"/>
          <w:lang w:val="es-ES_tradnl"/>
        </w:rPr>
        <w:t>,</w:t>
      </w:r>
      <w:r w:rsidR="00FA2F45">
        <w:rPr>
          <w:rFonts w:eastAsia="Times New Roman" w:cs="Calibri"/>
          <w:i/>
          <w:sz w:val="24"/>
          <w:szCs w:val="24"/>
          <w:lang w:val="es-ES_tradnl"/>
        </w:rPr>
        <w:t>Germain Esquivel-Hernández,</w:t>
      </w:r>
      <w:r w:rsidRPr="00A34E32">
        <w:rPr>
          <w:rFonts w:eastAsia="Times New Roman" w:cs="Calibri"/>
          <w:i/>
          <w:sz w:val="24"/>
          <w:szCs w:val="24"/>
          <w:lang w:val="es-ES_tradnl"/>
        </w:rPr>
        <w:t xml:space="preserve"> </w:t>
      </w:r>
      <w:proofErr w:type="spellStart"/>
      <w:r w:rsidRPr="00A34E32">
        <w:rPr>
          <w:rFonts w:eastAsia="Times New Roman" w:cs="Calibri"/>
          <w:i/>
          <w:sz w:val="24"/>
          <w:szCs w:val="24"/>
          <w:lang w:val="es-ES_tradnl"/>
        </w:rPr>
        <w:t>Jorengeth</w:t>
      </w:r>
      <w:proofErr w:type="spellEnd"/>
      <w:r w:rsidRPr="00A34E32">
        <w:rPr>
          <w:rFonts w:eastAsia="Times New Roman" w:cs="Calibri"/>
          <w:i/>
          <w:sz w:val="24"/>
          <w:szCs w:val="24"/>
          <w:lang w:val="es-ES_tradnl"/>
        </w:rPr>
        <w:t xml:space="preserve"> Rodr</w:t>
      </w:r>
      <w:r w:rsidR="00665E73" w:rsidRPr="00A34E32">
        <w:rPr>
          <w:rFonts w:eastAsia="Times New Roman" w:cs="Calibri"/>
          <w:i/>
          <w:sz w:val="24"/>
          <w:szCs w:val="24"/>
          <w:lang w:val="es-ES_tradnl"/>
        </w:rPr>
        <w:t>í</w:t>
      </w:r>
      <w:r w:rsidRPr="00A34E32">
        <w:rPr>
          <w:rFonts w:eastAsia="Times New Roman" w:cs="Calibri"/>
          <w:i/>
          <w:sz w:val="24"/>
          <w:szCs w:val="24"/>
          <w:lang w:val="es-ES_tradnl"/>
        </w:rPr>
        <w:t>guez-Rodr</w:t>
      </w:r>
      <w:r w:rsidR="00665E73" w:rsidRPr="00A34E32">
        <w:rPr>
          <w:rFonts w:eastAsia="Times New Roman" w:cs="Calibri"/>
          <w:i/>
          <w:sz w:val="24"/>
          <w:szCs w:val="24"/>
          <w:lang w:val="es-ES_tradnl"/>
        </w:rPr>
        <w:t>í</w:t>
      </w:r>
      <w:r w:rsidRPr="00A34E32">
        <w:rPr>
          <w:rFonts w:eastAsia="Times New Roman" w:cs="Calibri"/>
          <w:i/>
          <w:sz w:val="24"/>
          <w:szCs w:val="24"/>
          <w:lang w:val="es-ES_tradnl"/>
        </w:rPr>
        <w:t>guez</w:t>
      </w:r>
      <w:r w:rsidRPr="00A34E32">
        <w:rPr>
          <w:rFonts w:eastAsia="Times New Roman" w:cs="Calibri"/>
          <w:i/>
          <w:sz w:val="24"/>
          <w:szCs w:val="24"/>
          <w:vertAlign w:val="superscript"/>
          <w:lang w:val="es-ES_tradnl"/>
        </w:rPr>
        <w:t>4</w:t>
      </w:r>
      <w:r w:rsidR="00FA2F45">
        <w:rPr>
          <w:rFonts w:eastAsia="Times New Roman" w:cs="Calibri"/>
          <w:i/>
          <w:sz w:val="24"/>
          <w:szCs w:val="24"/>
          <w:lang w:val="es-ES_tradnl"/>
        </w:rPr>
        <w:t>,</w:t>
      </w:r>
      <w:r w:rsidR="00FA2F45" w:rsidRPr="00FA2F45">
        <w:rPr>
          <w:rFonts w:eastAsia="Times New Roman" w:cs="Calibri"/>
          <w:i/>
          <w:sz w:val="24"/>
          <w:szCs w:val="24"/>
          <w:lang w:val="es-ES_tradnl"/>
        </w:rPr>
        <w:t xml:space="preserve"> </w:t>
      </w:r>
      <w:r w:rsidR="00FA2F45">
        <w:rPr>
          <w:rFonts w:eastAsia="Times New Roman" w:cs="Calibri"/>
          <w:i/>
          <w:sz w:val="24"/>
          <w:szCs w:val="24"/>
          <w:lang w:val="es-ES_tradnl"/>
        </w:rPr>
        <w:t>José Rodríguez-Corrales</w:t>
      </w:r>
      <w:r w:rsidR="00FA2F45" w:rsidRPr="00FA2F45">
        <w:rPr>
          <w:rFonts w:eastAsia="Times New Roman" w:cs="Calibri"/>
          <w:i/>
          <w:sz w:val="24"/>
          <w:szCs w:val="24"/>
          <w:vertAlign w:val="superscript"/>
          <w:lang w:val="es-ES_tradnl"/>
        </w:rPr>
        <w:t>5</w:t>
      </w:r>
    </w:p>
    <w:p w14:paraId="06CEBBD4" w14:textId="77777777" w:rsidR="000E5799" w:rsidRPr="00D443AC" w:rsidRDefault="000E5799">
      <w:pPr>
        <w:pStyle w:val="Affiliation"/>
        <w:widowControl/>
        <w:jc w:val="both"/>
        <w:rPr>
          <w:rFonts w:eastAsia="Times New Roman" w:cs="Calibri"/>
          <w:i w:val="0"/>
          <w:iCs w:val="0"/>
        </w:rPr>
      </w:pPr>
      <w:r w:rsidRPr="00D443AC">
        <w:rPr>
          <w:rFonts w:eastAsia="Times New Roman" w:cs="Calibri"/>
          <w:i w:val="0"/>
          <w:iCs w:val="0"/>
          <w:vertAlign w:val="superscript"/>
        </w:rPr>
        <w:t>1</w:t>
      </w:r>
      <w:r w:rsidRPr="00D443AC">
        <w:rPr>
          <w:rFonts w:eastAsia="Times New Roman" w:cs="Calibri"/>
          <w:i w:val="0"/>
          <w:iCs w:val="0"/>
        </w:rPr>
        <w:t>Water Resources Management Laboratory, School of Chemistry, Universidad Nacional, Heredia 83-3000, Costa Rica</w:t>
      </w:r>
    </w:p>
    <w:p w14:paraId="44087820" w14:textId="6D15D801" w:rsidR="000E5799" w:rsidRPr="00D443AC" w:rsidRDefault="000E5799">
      <w:pPr>
        <w:pStyle w:val="Affiliation"/>
        <w:widowControl/>
        <w:jc w:val="both"/>
        <w:rPr>
          <w:rFonts w:eastAsia="Times New Roman" w:cs="Calibri"/>
          <w:i w:val="0"/>
          <w:iCs w:val="0"/>
        </w:rPr>
      </w:pPr>
      <w:r w:rsidRPr="00D443AC">
        <w:rPr>
          <w:rFonts w:eastAsia="Times New Roman" w:cs="Calibri"/>
          <w:i w:val="0"/>
          <w:iCs w:val="0"/>
          <w:vertAlign w:val="superscript"/>
        </w:rPr>
        <w:t>2</w:t>
      </w:r>
      <w:r w:rsidRPr="00D443AC">
        <w:rPr>
          <w:rFonts w:eastAsia="Times New Roman" w:cs="Calibri"/>
          <w:i w:val="0"/>
          <w:iCs w:val="0"/>
        </w:rPr>
        <w:t xml:space="preserve">Environmental Hydrology </w:t>
      </w:r>
      <w:r w:rsidR="00FA2F45">
        <w:rPr>
          <w:rFonts w:eastAsia="Times New Roman" w:cs="Calibri"/>
          <w:i w:val="0"/>
          <w:iCs w:val="0"/>
        </w:rPr>
        <w:t>Laboratory</w:t>
      </w:r>
      <w:r w:rsidRPr="00D443AC">
        <w:rPr>
          <w:rFonts w:eastAsia="Times New Roman" w:cs="Calibri"/>
          <w:i w:val="0"/>
          <w:iCs w:val="0"/>
        </w:rPr>
        <w:t>, School of Biological Sciences,</w:t>
      </w:r>
      <w:r w:rsidRPr="00D443AC">
        <w:rPr>
          <w:rFonts w:eastAsia="Times New Roman" w:cs="Calibri"/>
          <w:i w:val="0"/>
          <w:iCs w:val="0"/>
          <w:vertAlign w:val="superscript"/>
        </w:rPr>
        <w:t xml:space="preserve"> </w:t>
      </w:r>
      <w:r w:rsidRPr="00D443AC">
        <w:rPr>
          <w:rFonts w:eastAsia="Times New Roman" w:cs="Calibri"/>
          <w:i w:val="0"/>
          <w:iCs w:val="0"/>
        </w:rPr>
        <w:t>Universidad Nacional, Heredia 83-3000, Costa Rica</w:t>
      </w:r>
    </w:p>
    <w:p w14:paraId="13F541BD" w14:textId="77777777" w:rsidR="000E5799" w:rsidRPr="00D443AC" w:rsidRDefault="000E5799">
      <w:pPr>
        <w:pStyle w:val="Affiliation"/>
        <w:widowControl/>
        <w:jc w:val="both"/>
        <w:rPr>
          <w:rFonts w:eastAsia="Times New Roman" w:cs="Calibri"/>
          <w:i w:val="0"/>
          <w:iCs w:val="0"/>
          <w:vertAlign w:val="superscript"/>
        </w:rPr>
      </w:pPr>
      <w:r w:rsidRPr="00D443AC">
        <w:rPr>
          <w:rFonts w:eastAsia="Times New Roman" w:cs="Calibri"/>
          <w:i w:val="0"/>
          <w:iCs w:val="0"/>
          <w:vertAlign w:val="superscript"/>
        </w:rPr>
        <w:t>3</w:t>
      </w:r>
      <w:r w:rsidRPr="00D443AC">
        <w:rPr>
          <w:rFonts w:eastAsia="Times New Roman" w:cs="Calibri"/>
          <w:i w:val="0"/>
          <w:iCs w:val="0"/>
        </w:rPr>
        <w:t>Waste Management Laboratory, School of Chemistry, Universidad Nacional, Heredia 83-3000, Costa Rica</w:t>
      </w:r>
    </w:p>
    <w:p w14:paraId="42E7A888" w14:textId="77777777" w:rsidR="000E5799" w:rsidRDefault="000E5799">
      <w:pPr>
        <w:pStyle w:val="Affiliation"/>
        <w:widowControl/>
        <w:jc w:val="both"/>
        <w:rPr>
          <w:rFonts w:eastAsia="Times New Roman" w:cs="Calibri"/>
          <w:i w:val="0"/>
          <w:iCs w:val="0"/>
        </w:rPr>
      </w:pPr>
      <w:r w:rsidRPr="00D443AC">
        <w:rPr>
          <w:rFonts w:eastAsia="Times New Roman" w:cs="Calibri"/>
          <w:i w:val="0"/>
          <w:iCs w:val="0"/>
          <w:vertAlign w:val="superscript"/>
        </w:rPr>
        <w:t>4</w:t>
      </w:r>
      <w:r w:rsidRPr="00D443AC">
        <w:rPr>
          <w:rFonts w:eastAsia="Times New Roman" w:cs="Calibri"/>
          <w:i w:val="0"/>
          <w:iCs w:val="0"/>
        </w:rPr>
        <w:t>Microbial Biotechnology Laboratory, School of Biological Sciences,</w:t>
      </w:r>
      <w:r w:rsidRPr="00D443AC">
        <w:rPr>
          <w:rFonts w:eastAsia="Times New Roman" w:cs="Calibri"/>
          <w:i w:val="0"/>
          <w:iCs w:val="0"/>
          <w:vertAlign w:val="superscript"/>
        </w:rPr>
        <w:t xml:space="preserve"> </w:t>
      </w:r>
      <w:r w:rsidRPr="00D443AC">
        <w:rPr>
          <w:rFonts w:eastAsia="Times New Roman" w:cs="Calibri"/>
          <w:i w:val="0"/>
          <w:iCs w:val="0"/>
        </w:rPr>
        <w:t>Universidad Nacional, Heredia 83-3000, Costa Rica</w:t>
      </w:r>
    </w:p>
    <w:p w14:paraId="3FE66037" w14:textId="2D555C51" w:rsidR="00FA2F45" w:rsidRPr="00D443AC" w:rsidRDefault="00FA2F45" w:rsidP="00FA2F45">
      <w:pPr>
        <w:pStyle w:val="Affiliation"/>
        <w:widowControl/>
        <w:jc w:val="both"/>
        <w:rPr>
          <w:rFonts w:eastAsia="Times New Roman" w:cs="Calibri"/>
          <w:i w:val="0"/>
          <w:iCs w:val="0"/>
        </w:rPr>
      </w:pPr>
      <w:r>
        <w:rPr>
          <w:rFonts w:eastAsia="Times New Roman" w:cs="Calibri"/>
          <w:i w:val="0"/>
          <w:iCs w:val="0"/>
          <w:vertAlign w:val="superscript"/>
        </w:rPr>
        <w:t>5</w:t>
      </w:r>
      <w:r w:rsidRPr="00D443AC">
        <w:rPr>
          <w:rFonts w:eastAsia="Times New Roman" w:cs="Calibri"/>
          <w:i w:val="0"/>
          <w:iCs w:val="0"/>
        </w:rPr>
        <w:t xml:space="preserve"> Laboratory</w:t>
      </w:r>
      <w:r>
        <w:rPr>
          <w:rFonts w:eastAsia="Times New Roman" w:cs="Calibri"/>
          <w:i w:val="0"/>
          <w:iCs w:val="0"/>
        </w:rPr>
        <w:t xml:space="preserve"> of Chemical Analysis</w:t>
      </w:r>
      <w:r w:rsidRPr="00D443AC">
        <w:rPr>
          <w:rFonts w:eastAsia="Times New Roman" w:cs="Calibri"/>
          <w:i w:val="0"/>
          <w:iCs w:val="0"/>
        </w:rPr>
        <w:t>, School of Chemistry, Universidad Nacional, Heredia 83-3000, Costa Rica</w:t>
      </w:r>
    </w:p>
    <w:p w14:paraId="20538A1E" w14:textId="77777777" w:rsidR="00FA2F45" w:rsidRPr="00FA2F45" w:rsidRDefault="00FA2F45" w:rsidP="00FA2F45"/>
    <w:p w14:paraId="4C393E13" w14:textId="77777777" w:rsidR="000E5799" w:rsidRPr="00D443AC" w:rsidRDefault="000E5799">
      <w:pPr>
        <w:pStyle w:val="Affiliation"/>
        <w:widowControl/>
        <w:jc w:val="both"/>
        <w:rPr>
          <w:rFonts w:eastAsia="Times New Roman" w:cs="Calibri"/>
          <w:iCs w:val="0"/>
        </w:rPr>
      </w:pPr>
      <w:r w:rsidRPr="00D443AC">
        <w:rPr>
          <w:rFonts w:eastAsia="Times New Roman" w:cs="Calibri"/>
          <w:iCs w:val="0"/>
        </w:rPr>
        <w:t>*Corresponding author: rolando.sanchez.gutierrez@una.ac.cr</w:t>
      </w:r>
    </w:p>
    <w:p w14:paraId="4B0F427B" w14:textId="77777777" w:rsidR="000E5799" w:rsidRPr="00A34E32" w:rsidRDefault="000E5799">
      <w:pPr>
        <w:pStyle w:val="Ttulo1"/>
        <w:widowControl/>
        <w:jc w:val="both"/>
        <w:rPr>
          <w:rFonts w:eastAsia="Times New Roman" w:cs="Calibri"/>
          <w:bCs w:val="0"/>
          <w:lang w:val="es-ES_tradnl"/>
        </w:rPr>
      </w:pPr>
      <w:r w:rsidRPr="00A34E32">
        <w:rPr>
          <w:rFonts w:eastAsia="Times New Roman" w:cs="Calibri"/>
          <w:bCs w:val="0"/>
          <w:lang w:val="es-ES_tradnl"/>
        </w:rPr>
        <w:t>ORCID</w:t>
      </w:r>
    </w:p>
    <w:p w14:paraId="237651E3" w14:textId="77777777" w:rsidR="000E5799" w:rsidRPr="00A34E32" w:rsidRDefault="000E5799">
      <w:pPr>
        <w:pStyle w:val="Newparagraph"/>
        <w:widowControl/>
        <w:spacing w:line="360" w:lineRule="auto"/>
        <w:ind w:firstLine="0"/>
        <w:jc w:val="both"/>
        <w:rPr>
          <w:rFonts w:eastAsia="Times New Roman" w:cs="Calibri"/>
          <w:lang w:val="es-ES_tradnl"/>
        </w:rPr>
      </w:pPr>
      <w:r w:rsidRPr="00A34E32">
        <w:rPr>
          <w:rFonts w:eastAsia="Times New Roman" w:cs="Calibri"/>
          <w:lang w:val="es-ES_tradnl"/>
        </w:rPr>
        <w:t xml:space="preserve">Rolando Sánchez-Gutiérrez: </w:t>
      </w:r>
      <w:hyperlink r:id="rId6" w:history="1">
        <w:r w:rsidRPr="00A34E32">
          <w:rPr>
            <w:rFonts w:eastAsia="Times New Roman" w:cs="Calibri"/>
            <w:lang w:val="es-ES_tradnl"/>
          </w:rPr>
          <w:t>0000-0002-5050-021X</w:t>
        </w:r>
      </w:hyperlink>
    </w:p>
    <w:p w14:paraId="0D3025D8" w14:textId="5BE0C0C5" w:rsidR="000E5799" w:rsidRPr="00A34E32" w:rsidRDefault="000E5799">
      <w:pPr>
        <w:pStyle w:val="Newparagraph"/>
        <w:widowControl/>
        <w:spacing w:line="360" w:lineRule="auto"/>
        <w:ind w:firstLine="0"/>
        <w:jc w:val="both"/>
        <w:rPr>
          <w:rFonts w:eastAsia="Times New Roman" w:cs="Calibri"/>
          <w:lang w:val="es-ES_tradnl"/>
        </w:rPr>
      </w:pPr>
      <w:proofErr w:type="spellStart"/>
      <w:r w:rsidRPr="00A34E32">
        <w:rPr>
          <w:rFonts w:eastAsia="Times New Roman" w:cs="Calibri"/>
          <w:lang w:val="es-ES_tradnl"/>
        </w:rPr>
        <w:t>Jorengeth</w:t>
      </w:r>
      <w:proofErr w:type="spellEnd"/>
      <w:r w:rsidRPr="00A34E32">
        <w:rPr>
          <w:rFonts w:eastAsia="Times New Roman" w:cs="Calibri"/>
          <w:lang w:val="es-ES_tradnl"/>
        </w:rPr>
        <w:t xml:space="preserve"> Abad Rodríguez-Rodríguez: </w:t>
      </w:r>
      <w:hyperlink r:id="rId7" w:history="1">
        <w:r w:rsidRPr="00A34E32">
          <w:rPr>
            <w:rFonts w:eastAsia="Times New Roman" w:cs="Calibri"/>
            <w:lang w:val="es-ES_tradnl"/>
          </w:rPr>
          <w:t>https://orcid.org/0000-0001-8452-8256</w:t>
        </w:r>
      </w:hyperlink>
    </w:p>
    <w:p w14:paraId="0B2881AD" w14:textId="77777777" w:rsidR="000E5799" w:rsidRPr="00D443AC" w:rsidRDefault="000E5799">
      <w:pPr>
        <w:pStyle w:val="Articletitle"/>
        <w:widowControl/>
        <w:jc w:val="both"/>
        <w:rPr>
          <w:rFonts w:eastAsia="Times New Roman" w:cs="Calibri"/>
          <w:bCs w:val="0"/>
          <w:sz w:val="24"/>
          <w:szCs w:val="24"/>
        </w:rPr>
      </w:pPr>
      <w:r w:rsidRPr="00D443AC">
        <w:rPr>
          <w:rFonts w:eastAsia="Times New Roman" w:cs="Calibri"/>
          <w:bCs w:val="0"/>
          <w:sz w:val="24"/>
          <w:szCs w:val="24"/>
        </w:rPr>
        <w:t>Abstract</w:t>
      </w:r>
    </w:p>
    <w:p w14:paraId="2C0371C9" w14:textId="7BAA4804"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Disinfection is a fundamental process to ensure the quality of water for human consumption. Although currently there are multiple methodologies, chlorination has become the most </w:t>
      </w:r>
      <w:r w:rsidR="00EA27AF" w:rsidRPr="00D443AC">
        <w:rPr>
          <w:rFonts w:eastAsia="Times New Roman" w:cs="Calibri"/>
        </w:rPr>
        <w:t xml:space="preserve">widely </w:t>
      </w:r>
      <w:r w:rsidRPr="00D443AC">
        <w:rPr>
          <w:rFonts w:eastAsia="Times New Roman" w:cs="Calibri"/>
        </w:rPr>
        <w:t>used technique in Costa Rica due to its various advantages, as well as its great adaptability and versatility in both urban and rural communities. However, on multiple occasions</w:t>
      </w:r>
      <w:r w:rsidR="00797D68" w:rsidRPr="00D443AC">
        <w:rPr>
          <w:rFonts w:eastAsia="Times New Roman" w:cs="Calibri"/>
        </w:rPr>
        <w:t>,</w:t>
      </w:r>
      <w:r w:rsidRPr="00D443AC">
        <w:rPr>
          <w:rFonts w:eastAsia="Times New Roman" w:cs="Calibri"/>
        </w:rPr>
        <w:t xml:space="preserve"> this process is conducted empirically or following general protocols that do not </w:t>
      </w:r>
      <w:r w:rsidR="00EA27AF" w:rsidRPr="00D443AC">
        <w:rPr>
          <w:rFonts w:eastAsia="Times New Roman" w:cs="Calibri"/>
        </w:rPr>
        <w:lastRenderedPageBreak/>
        <w:t>consider</w:t>
      </w:r>
      <w:r w:rsidRPr="00D443AC">
        <w:rPr>
          <w:rFonts w:eastAsia="Times New Roman" w:cs="Calibri"/>
        </w:rPr>
        <w:t xml:space="preserve"> the inherent characteristics of the aqueduct (i.e. variation in flow rate, variation in concentration of ions that </w:t>
      </w:r>
      <w:r w:rsidR="00680135" w:rsidRPr="00D443AC">
        <w:rPr>
          <w:rFonts w:eastAsia="Times New Roman" w:cs="Calibri"/>
        </w:rPr>
        <w:t xml:space="preserve">react with </w:t>
      </w:r>
      <w:r w:rsidRPr="00D443AC">
        <w:rPr>
          <w:rFonts w:eastAsia="Times New Roman" w:cs="Calibri"/>
        </w:rPr>
        <w:t xml:space="preserve">chlorine). Taking the above into consideration, this paper presents a complete assessment of the disinfection system of a rural </w:t>
      </w:r>
      <w:r w:rsidR="001B601E" w:rsidRPr="00D443AC">
        <w:rPr>
          <w:rFonts w:eastAsia="Times New Roman" w:cs="Calibri"/>
        </w:rPr>
        <w:t>Community</w:t>
      </w:r>
      <w:r w:rsidR="008558D7" w:rsidRPr="00D443AC">
        <w:rPr>
          <w:rFonts w:eastAsia="Times New Roman" w:cs="Calibri"/>
        </w:rPr>
        <w:t>-</w:t>
      </w:r>
      <w:r w:rsidR="001B601E" w:rsidRPr="00D443AC">
        <w:rPr>
          <w:rFonts w:eastAsia="Times New Roman" w:cs="Calibri"/>
        </w:rPr>
        <w:t xml:space="preserve">Based Water </w:t>
      </w:r>
      <w:r w:rsidR="007F6E8B" w:rsidRPr="00D443AC">
        <w:rPr>
          <w:rFonts w:eastAsia="Times New Roman" w:cs="Calibri"/>
        </w:rPr>
        <w:t>Management Organization (</w:t>
      </w:r>
      <w:r w:rsidRPr="00D443AC">
        <w:rPr>
          <w:rFonts w:eastAsia="Times New Roman" w:cs="Calibri"/>
        </w:rPr>
        <w:t>CBWMO</w:t>
      </w:r>
      <w:r w:rsidR="007F6E8B" w:rsidRPr="00D443AC">
        <w:rPr>
          <w:rFonts w:eastAsia="Times New Roman" w:cs="Calibri"/>
        </w:rPr>
        <w:t>)</w:t>
      </w:r>
      <w:r w:rsidRPr="00D443AC">
        <w:rPr>
          <w:rFonts w:eastAsia="Times New Roman" w:cs="Calibri"/>
        </w:rPr>
        <w:t xml:space="preserve"> located in Santa Rosa de Poás. No similar studies have been conducted for this CBWMO. The status of the disinfection system was identified, the quality of water and the chlorine demand were determined from the source, and a series of disinfection-related recommendations and proposals were generated. The main results include a high operational and structural risk found in the disinfection systems</w:t>
      </w:r>
      <w:r w:rsidR="001B1CF6" w:rsidRPr="00D443AC">
        <w:rPr>
          <w:rFonts w:eastAsia="Times New Roman" w:cs="Calibri"/>
        </w:rPr>
        <w:t xml:space="preserve">, satisfactory compliance by </w:t>
      </w:r>
      <w:r w:rsidRPr="00D443AC">
        <w:rPr>
          <w:rFonts w:eastAsia="Times New Roman" w:cs="Calibri"/>
        </w:rPr>
        <w:t xml:space="preserve">most of the physicochemical parameters analyzed, </w:t>
      </w:r>
      <w:r w:rsidR="001B1CF6" w:rsidRPr="00D443AC">
        <w:rPr>
          <w:rFonts w:eastAsia="Times New Roman" w:cs="Calibri"/>
        </w:rPr>
        <w:t xml:space="preserve">and intermediate and high risk in </w:t>
      </w:r>
      <w:r w:rsidRPr="00D443AC">
        <w:rPr>
          <w:rFonts w:eastAsia="Times New Roman" w:cs="Calibri"/>
        </w:rPr>
        <w:t xml:space="preserve">three </w:t>
      </w:r>
      <w:r w:rsidR="0036351D" w:rsidRPr="00D443AC">
        <w:rPr>
          <w:rFonts w:eastAsia="Times New Roman" w:cs="Calibri"/>
        </w:rPr>
        <w:t xml:space="preserve">monitoring network </w:t>
      </w:r>
      <w:r w:rsidR="00641863" w:rsidRPr="00D443AC">
        <w:rPr>
          <w:rFonts w:eastAsia="Times New Roman" w:cs="Calibri"/>
        </w:rPr>
        <w:t xml:space="preserve">sites </w:t>
      </w:r>
      <w:r w:rsidRPr="00D443AC">
        <w:rPr>
          <w:rFonts w:eastAsia="Times New Roman" w:cs="Calibri"/>
        </w:rPr>
        <w:t xml:space="preserve">according to IRCACH. </w:t>
      </w:r>
      <w:r w:rsidR="005C3E77" w:rsidRPr="00D443AC">
        <w:rPr>
          <w:rFonts w:eastAsia="Times New Roman" w:cs="Calibri"/>
        </w:rPr>
        <w:t>In addition, u</w:t>
      </w:r>
      <w:r w:rsidRPr="00D443AC">
        <w:rPr>
          <w:rFonts w:eastAsia="Times New Roman" w:cs="Calibri"/>
        </w:rPr>
        <w:t xml:space="preserve">sing chlorine demand curves, a disinfection proposal for the operation of water chlorinators was prepared and presented to CBWMO </w:t>
      </w:r>
      <w:r w:rsidR="00641863" w:rsidRPr="00D443AC">
        <w:rPr>
          <w:rFonts w:eastAsia="Times New Roman" w:cs="Calibri"/>
        </w:rPr>
        <w:t>administration.</w:t>
      </w:r>
      <w:r w:rsidRPr="00D443AC">
        <w:rPr>
          <w:rFonts w:eastAsia="Times New Roman" w:cs="Calibri"/>
        </w:rPr>
        <w:t xml:space="preserve">  </w:t>
      </w:r>
      <w:r w:rsidR="00E87975" w:rsidRPr="00D443AC">
        <w:rPr>
          <w:rFonts w:eastAsia="Times New Roman" w:cs="Calibri"/>
        </w:rPr>
        <w:t>As a result,</w:t>
      </w:r>
      <w:r w:rsidRPr="00D443AC">
        <w:rPr>
          <w:rFonts w:eastAsia="Times New Roman" w:cs="Calibri"/>
        </w:rPr>
        <w:t xml:space="preserve"> a series of useful inputs was provided for the operational management of the aqueduct.</w:t>
      </w:r>
    </w:p>
    <w:p w14:paraId="1B30FEBE" w14:textId="77777777" w:rsidR="000E5799" w:rsidRPr="00D443AC" w:rsidRDefault="000E5799">
      <w:pPr>
        <w:pStyle w:val="Keywords"/>
        <w:widowControl/>
        <w:ind w:left="0"/>
        <w:jc w:val="both"/>
        <w:rPr>
          <w:rFonts w:eastAsia="Times New Roman" w:cs="Calibri"/>
          <w:b/>
          <w:sz w:val="24"/>
          <w:szCs w:val="24"/>
        </w:rPr>
      </w:pPr>
      <w:r w:rsidRPr="00D443AC">
        <w:rPr>
          <w:rFonts w:eastAsia="Times New Roman" w:cs="Calibri"/>
          <w:b/>
          <w:sz w:val="24"/>
          <w:szCs w:val="24"/>
        </w:rPr>
        <w:t>Keywords</w:t>
      </w:r>
    </w:p>
    <w:p w14:paraId="41A986E1" w14:textId="77777777" w:rsidR="000E5799" w:rsidRPr="00D443AC" w:rsidRDefault="000E5799">
      <w:pPr>
        <w:pStyle w:val="Keywords"/>
        <w:widowControl/>
        <w:ind w:left="0"/>
        <w:jc w:val="both"/>
        <w:rPr>
          <w:rFonts w:eastAsia="Times New Roman" w:cs="Calibri"/>
          <w:sz w:val="24"/>
          <w:szCs w:val="24"/>
        </w:rPr>
      </w:pPr>
      <w:r w:rsidRPr="00D443AC">
        <w:rPr>
          <w:rFonts w:eastAsia="Times New Roman" w:cs="Calibri"/>
          <w:sz w:val="24"/>
          <w:szCs w:val="24"/>
        </w:rPr>
        <w:t>Chlorine demand, water quality, disinfection, CBWMO, residual chlorine.</w:t>
      </w:r>
    </w:p>
    <w:p w14:paraId="1FA846FF" w14:textId="77777777" w:rsidR="000E5799" w:rsidRPr="00D443AC" w:rsidRDefault="000E5799">
      <w:pPr>
        <w:pStyle w:val="Ttulo1"/>
        <w:widowControl/>
        <w:jc w:val="both"/>
        <w:rPr>
          <w:rFonts w:eastAsia="Times New Roman" w:cs="Calibri"/>
          <w:bCs w:val="0"/>
        </w:rPr>
      </w:pPr>
      <w:r w:rsidRPr="00D443AC">
        <w:rPr>
          <w:rFonts w:eastAsia="Times New Roman" w:cs="Calibri"/>
          <w:bCs w:val="0"/>
        </w:rPr>
        <w:t>Highlights</w:t>
      </w:r>
    </w:p>
    <w:p w14:paraId="15B875A3" w14:textId="77777777" w:rsidR="000E5799" w:rsidRPr="00D443AC" w:rsidRDefault="000E5799">
      <w:pPr>
        <w:pStyle w:val="Newparagraph"/>
        <w:widowControl/>
        <w:numPr>
          <w:ilvl w:val="0"/>
          <w:numId w:val="3"/>
        </w:numPr>
        <w:spacing w:line="360" w:lineRule="auto"/>
        <w:ind w:left="426" w:hanging="357"/>
        <w:jc w:val="both"/>
        <w:rPr>
          <w:rFonts w:eastAsia="Times New Roman" w:cs="Calibri"/>
        </w:rPr>
      </w:pPr>
      <w:r w:rsidRPr="00D443AC">
        <w:rPr>
          <w:rFonts w:eastAsia="Times New Roman" w:cs="Calibri"/>
        </w:rPr>
        <w:t>A high operational and structural risk was found in the CBWMO disinfection systems.</w:t>
      </w:r>
    </w:p>
    <w:p w14:paraId="6085AF40" w14:textId="092C2EB5" w:rsidR="000E5799" w:rsidRPr="00D443AC" w:rsidRDefault="000E5799">
      <w:pPr>
        <w:pStyle w:val="Newparagraph"/>
        <w:widowControl/>
        <w:numPr>
          <w:ilvl w:val="0"/>
          <w:numId w:val="3"/>
        </w:numPr>
        <w:spacing w:line="360" w:lineRule="auto"/>
        <w:ind w:left="426" w:hanging="357"/>
        <w:jc w:val="both"/>
        <w:rPr>
          <w:rFonts w:eastAsia="Times New Roman" w:cs="Calibri"/>
        </w:rPr>
      </w:pPr>
      <w:r w:rsidRPr="00D443AC">
        <w:rPr>
          <w:rFonts w:eastAsia="Times New Roman" w:cs="Calibri"/>
        </w:rPr>
        <w:t xml:space="preserve">Most water quality parameters satisfactorily comply with </w:t>
      </w:r>
      <w:r w:rsidR="00A3195D" w:rsidRPr="00D443AC">
        <w:rPr>
          <w:rFonts w:eastAsia="Times New Roman" w:cs="Calibri"/>
        </w:rPr>
        <w:t>standards</w:t>
      </w:r>
      <w:r w:rsidRPr="00D443AC">
        <w:rPr>
          <w:rFonts w:eastAsia="Times New Roman" w:cs="Calibri"/>
        </w:rPr>
        <w:t>.</w:t>
      </w:r>
    </w:p>
    <w:p w14:paraId="03A11D92" w14:textId="77777777" w:rsidR="000E5799" w:rsidRPr="00D443AC" w:rsidRDefault="000E5799">
      <w:pPr>
        <w:pStyle w:val="Newparagraph"/>
        <w:widowControl/>
        <w:numPr>
          <w:ilvl w:val="0"/>
          <w:numId w:val="3"/>
        </w:numPr>
        <w:spacing w:line="360" w:lineRule="auto"/>
        <w:ind w:left="426" w:hanging="357"/>
        <w:jc w:val="both"/>
        <w:rPr>
          <w:rFonts w:eastAsia="Times New Roman" w:cs="Calibri"/>
        </w:rPr>
      </w:pPr>
      <w:r w:rsidRPr="00D443AC">
        <w:rPr>
          <w:rFonts w:eastAsia="Times New Roman" w:cs="Calibri"/>
        </w:rPr>
        <w:t>A disinfection proposal was prepared for the entire supply system to optimize drinking water management.</w:t>
      </w:r>
    </w:p>
    <w:p w14:paraId="56F80C0E" w14:textId="77777777" w:rsidR="000E5799" w:rsidRPr="00D443AC" w:rsidRDefault="000E5799">
      <w:pPr>
        <w:pStyle w:val="Ttulo1"/>
        <w:widowControl/>
        <w:jc w:val="both"/>
        <w:rPr>
          <w:rFonts w:eastAsia="Times New Roman" w:cs="Calibri"/>
          <w:bCs w:val="0"/>
        </w:rPr>
      </w:pPr>
      <w:r w:rsidRPr="00D443AC">
        <w:rPr>
          <w:rFonts w:eastAsia="Times New Roman" w:cs="Calibri"/>
          <w:bCs w:val="0"/>
        </w:rPr>
        <w:t>Introduction</w:t>
      </w:r>
    </w:p>
    <w:p w14:paraId="04F360C3" w14:textId="4E99AD46" w:rsidR="000E5799" w:rsidRPr="00D443AC" w:rsidRDefault="000E5799">
      <w:pPr>
        <w:pStyle w:val="Newparagraph"/>
        <w:widowControl/>
        <w:spacing w:line="360" w:lineRule="auto"/>
        <w:jc w:val="both"/>
        <w:rPr>
          <w:rFonts w:eastAsia="Times New Roman" w:cs="Calibri"/>
        </w:rPr>
      </w:pPr>
      <w:r w:rsidRPr="00D443AC">
        <w:rPr>
          <w:rFonts w:eastAsia="Times New Roman" w:cs="Calibri"/>
        </w:rPr>
        <w:t>Water is an essential resource for life. Its availability and sanitation correspond to the sixth "Sustainable Development Goal" (SDG), which aims to achieve universal, equitable, and affordable access to drinking water for the world population by 2030 (</w:t>
      </w:r>
      <w:proofErr w:type="spellStart"/>
      <w:r w:rsidR="00337B0C" w:rsidRPr="00D443AC">
        <w:rPr>
          <w:rFonts w:eastAsia="Times New Roman" w:cs="Calibri"/>
        </w:rPr>
        <w:t>Naciones</w:t>
      </w:r>
      <w:proofErr w:type="spellEnd"/>
      <w:r w:rsidR="00337B0C" w:rsidRPr="00D443AC">
        <w:rPr>
          <w:rFonts w:eastAsia="Times New Roman" w:cs="Calibri"/>
        </w:rPr>
        <w:t xml:space="preserve"> </w:t>
      </w:r>
      <w:proofErr w:type="spellStart"/>
      <w:r w:rsidR="00337B0C" w:rsidRPr="00D443AC">
        <w:rPr>
          <w:rFonts w:eastAsia="Times New Roman" w:cs="Calibri"/>
        </w:rPr>
        <w:t>Unidas</w:t>
      </w:r>
      <w:proofErr w:type="spellEnd"/>
      <w:r w:rsidRPr="00D443AC">
        <w:rPr>
          <w:rFonts w:eastAsia="Times New Roman" w:cs="Calibri"/>
        </w:rPr>
        <w:t xml:space="preserve">, 2024). However, the availability of this resource has </w:t>
      </w:r>
      <w:r w:rsidR="00432B93" w:rsidRPr="00D443AC">
        <w:rPr>
          <w:rFonts w:eastAsia="Times New Roman" w:cs="Calibri"/>
        </w:rPr>
        <w:t xml:space="preserve">been compromised </w:t>
      </w:r>
      <w:r w:rsidRPr="00D443AC">
        <w:rPr>
          <w:rFonts w:eastAsia="Times New Roman" w:cs="Calibri"/>
        </w:rPr>
        <w:t xml:space="preserve">due to various anthropogenic factors and as a result of the pollution of a large number of catchment sources </w:t>
      </w:r>
      <w:r w:rsidRPr="00D443AC">
        <w:rPr>
          <w:rFonts w:eastAsia="Times New Roman" w:cs="Calibri"/>
        </w:rPr>
        <w:fldChar w:fldCharType="begin"/>
      </w:r>
      <w:r w:rsidRPr="00D443AC">
        <w:rPr>
          <w:rFonts w:eastAsia="Times New Roman" w:cs="Calibri"/>
        </w:rPr>
        <w:instrText>MERGEFIELD ADDIN CSL_CITATION {"citationItems":[{"id":"ITEM-1","itemData":{"DOI":"10.1016/j.jes.2017.01.013","ISSN":"18787320","PMID":"28774626","abstract":"ChlorinatSlAsHrChAr!ion is essential to the safety of reclaimed water; however, this process leads to concern regarding the formation of disinfection byproducts (DBPs) and toxicity. This study reviewed the formation and control strategies for DBPs and toxicity in reclaimed SlAsHrChAr!water during chlorination. Both regulated and emerging DBPs have been frequently detected in reclaimed water during chlorination at a higher level than those in drinking water, indicating they pose a greater risk to humans. Luminescent bacteria and Daphnia SlAsHrChAr!magna acute toxicity, anti-estrogenic activity and cytotoxicity generally increased after chlorination because of the formation of DBPs. Genotoxicity by umu-test and estrogenic activity were decreased after chlorination because of destruction of toxic SlAsHrChAr!chemicals. During chlorination, water quality significantly impacted changes in toxicity. Ammonium tended to attenuate toxicity changes by reacting with chlorine to form chloramine, while bromide tended to aggravate toxicity changes by forming hypobromous SlAsHrChAr!acid. During pretreatment by ozonation and coagulation, disinfection byproduct formation potential (DBPFP) and toxicity formation potential (TFP) occasionally increase, which is accompanied by DOC removal; thus, the decrease of DOC was limited to indicate SlAsHrChAr!the decrease of DBPFP and TFP. It is more important to eliminate the key fraction of precursors such as hydrophobic acid and hydrophilic neutrals. During chlorination, toxicities can increase with the increasing chlorine dose and contact time. To control SlAsHrChAr!the excessive toxicity formation, a relatively low chlorine dose and short contact time were required. Quenching chlorine residual with reductive reagents also effectively abated the formation of toxic compounds.","author":[{"dropping-particle":"","family":"Du","given":"Ye","non-dropping-particle":"","parse-names":false,"suffix":""SlAsHrChAr!},{"dropping-particle":"","family":"Lv","given":"Xiao Tong","non-dropping-particle":"","parse-names":false,"suffix":""},{"dropping-particle":"","family":"Wu","given":"Qian Yuan","non-dropping-particle":"","parse-names":false,"suffix":""},{"dropping-particle":"","family":"Zhang","given":"Da SlAsHrChAr!Yin","non-dropping-particle":"","parse-names":false,"suffix":""},{"dropping-particle":"","family":"Zhou","given":"Yu Ting","non-dropping-particle":"","parse-names":false,"suffix":""},{"dropping-particle":"","family":"Peng","given":"Lu","non-dropping-particle":"","parse-names":false,"suffix":""},{"dropping-particle":"","family"SlAsHrChAr!:"Hu","given":"Hong Ying","non-dropping-particle":"","parse-names":false,"suffix":""}],"container-title":"Journal of Environmental Sciences (China)","id":"ITEM-1","issued":{"date-parts":[["2017"]]},"page":"51-63","title":"Formation and control of disinfection SlAsHrChAr!byproducts and toxicity during reclaimed water chlorination: A review","type":"article-journal","volume":"58"},"uris":["http://www.mendeley.com/documents/?uuid=80fcd971-7464-47de-8c6e-e1bb47c0e6ac"]}],"mendeley":{"formattedCitation":"(Du et al., 2017)","plainTextFormattedCitation":"(Du SlAsHrChAr!et al., 2017)","previouslyFormattedCitation":"(Du et al., 2017)"},"properties":{"noteIndex":0},"schema":"https://github.com/citation-style-language/schema/raw/master/csl-citation.json"}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(Du et al., 2017)</w:t>
      </w:r>
      <w:r w:rsidRPr="00D443AC">
        <w:rPr>
          <w:rFonts w:eastAsia="Times New Roman" w:cs="Calibri"/>
        </w:rPr>
        <w:fldChar w:fldCharType="end"/>
      </w:r>
      <w:r w:rsidRPr="00D443AC">
        <w:rPr>
          <w:rFonts w:eastAsia="Times New Roman" w:cs="Calibri"/>
        </w:rPr>
        <w:t xml:space="preserve">. In addition, according to the United Nations World Water Development Report for 2023, 2 </w:t>
      </w:r>
      <w:r w:rsidRPr="00D443AC">
        <w:rPr>
          <w:rFonts w:eastAsia="Times New Roman" w:cs="Calibri"/>
        </w:rPr>
        <w:lastRenderedPageBreak/>
        <w:t>billion people did not have access to safely managed drinking water services and 3.6 billion lacked access to safely managed sanitation (</w:t>
      </w:r>
      <w:proofErr w:type="spellStart"/>
      <w:r w:rsidRPr="00D443AC">
        <w:rPr>
          <w:rFonts w:eastAsia="Times New Roman" w:cs="Calibri"/>
        </w:rPr>
        <w:fldChar w:fldCharType="begin"/>
      </w:r>
      <w:r w:rsidRPr="00D443AC">
        <w:rPr>
          <w:rFonts w:eastAsia="Times New Roman" w:cs="Calibri"/>
        </w:rPr>
        <w:instrText>MERGEFIELD ADDIN CSL_CITATION {"citationItems":[{"id":"ITEM-1","itemData":{"ISBN":"9789233002128","author":[{"dropping-particle":"","family":"Nations","given":"United","non-dropping-pSlAsHrChAr!article":"","parse-names":false,"suffix":""}],"container-title":"Unesco","id":"ITEM-1","issued":{"date-parts":[["2023"]]},"publisher-place":"UNESCO, París","title":"Informe Mundial de las Naciones Unidas sobre el Desarrollo de los Recursos Hídricos SlAsHrChAr!2023: Alianzas y cooperación por el agua","type":"book"},"uris":["http://www.mendeley.com/documents/?uuid=ce594fff-0996-4821-b848-1d460572f15b"]}],"mendeley":{"formattedCitation":"(Nations, 2023)","manualFormatting":"Naciones Unidas, 2023)","plainTextFormattedCitation":"(Nations, SlAsHrChAr!2023)","previouslyFormattedCitation":"(Nations, 2023)"},"properties":{"noteIndex":0},"schema":"https://github.com/citation-style-language/schema/raw/master/csl-citation.json"}</w:instrText>
      </w:r>
      <w:r w:rsidRPr="00D443AC">
        <w:rPr>
          <w:rFonts w:eastAsia="Times New Roman" w:cs="Calibri"/>
        </w:rPr>
        <w:fldChar w:fldCharType="separate"/>
      </w:r>
      <w:r w:rsidR="00337B0C" w:rsidRPr="00D443AC">
        <w:rPr>
          <w:rFonts w:eastAsia="Times New Roman" w:cs="Calibri"/>
        </w:rPr>
        <w:t>Naciones</w:t>
      </w:r>
      <w:proofErr w:type="spellEnd"/>
      <w:r w:rsidR="00337B0C" w:rsidRPr="00D443AC">
        <w:rPr>
          <w:rFonts w:eastAsia="Times New Roman" w:cs="Calibri"/>
        </w:rPr>
        <w:t xml:space="preserve"> Unidas</w:t>
      </w:r>
      <w:r w:rsidRPr="00D443AC">
        <w:rPr>
          <w:rFonts w:eastAsia="Times New Roman" w:cs="Calibri"/>
        </w:rPr>
        <w:t>, 2023)</w:t>
      </w:r>
      <w:r w:rsidRPr="00D443AC">
        <w:rPr>
          <w:rFonts w:eastAsia="Times New Roman" w:cs="Calibri"/>
        </w:rPr>
        <w:fldChar w:fldCharType="end"/>
      </w:r>
      <w:r w:rsidRPr="00D443AC">
        <w:rPr>
          <w:rFonts w:eastAsia="Times New Roman" w:cs="Calibri"/>
        </w:rPr>
        <w:t xml:space="preserve">. </w:t>
      </w:r>
    </w:p>
    <w:p w14:paraId="07D3CCFE" w14:textId="77777777" w:rsidR="000E5799" w:rsidRPr="00A34E32" w:rsidRDefault="000E5799">
      <w:pPr>
        <w:pStyle w:val="Newparagraph"/>
        <w:widowControl/>
        <w:spacing w:line="360" w:lineRule="auto"/>
        <w:jc w:val="both"/>
        <w:rPr>
          <w:rFonts w:eastAsia="Times New Roman" w:cs="Calibri"/>
          <w:lang w:val="es-ES_tradnl"/>
        </w:rPr>
      </w:pPr>
      <w:r w:rsidRPr="00D443AC">
        <w:rPr>
          <w:rFonts w:eastAsia="Times New Roman" w:cs="Calibri"/>
        </w:rPr>
        <w:t xml:space="preserve">In the case of Costa Rica, this country has been characterized by high rates of drinking water service coverage, these rates being among the best in Latin America </w:t>
      </w:r>
      <w:r w:rsidRPr="00D443AC">
        <w:rPr>
          <w:rFonts w:eastAsia="Times New Roman" w:cs="Calibri"/>
        </w:rPr>
        <w:fldChar w:fldCharType="begin"/>
      </w:r>
      <w:r w:rsidRPr="00D443AC">
        <w:rPr>
          <w:rFonts w:eastAsia="Times New Roman" w:cs="Calibri"/>
        </w:rPr>
        <w:instrText>MERGEFIELD ADDIN SlAsHrChAr!CSL_CITATION {"citationItems":[{"id":"ITEM-1","itemData":{"ISBN":"9275324913","abstract":"acceso al agua, disponiblidad de agua, recurso hídrico","author":[{"dropping-particle":"","family":"Espinoza","given":"A.;","non-dropping-particle":"","parse-names":false,"suffix":""},{"dropping-particle":"","family":"Morera","given":"SlAsHrChAr!A.;","non-dropping-particle":"","parse-names":false,"suffix":""},{"dropping-particle":"","family":"Mora","given":"D.;","non-dropping-particle":"","parse-names":false,"suffix":""},{"dropping-particle":"","family":"Torres","given":"R.","non-dropping-particle":"","parse-names":false,"suffix":""}],"container-title":"Ministerio SlAsHrChAr!de Salud","id":"ITEM-1","issued":{"date-parts":[["2004"]]},"page":"40","title":"Calidad del agua potable en Costa Rica : Situación actual y perspectivas","type":"article-journal"},"uris":["http://www.mendeley.com/documents/?uuid=1a1cd15c-902e-45af-9049-4d5f2c016c14"]},{"id":"ITEM-2","itemData":{"DOI":"10.15359/rca.53-2.2","SlAsHrChAr!ISBN":"0000000219303","ISSN":"1409-2158","abstract":"Se seleccionó un grupo de 9 Asociaciones Administradoras de Acueductos Rurales (ASADAS) ubicadas en el Pacífico Norte de Costa Rica, con el propósito de evaluar su gestión y conocer las SlAsHrChAr!estrategias implementadas durante el periodo de sequía (2014-2016). Se valoraron 5 componentes básicos de gestión: administrativa y financiera, comercial, comunal, recurso hídrico y gestión de los sistemas de agua, con el fin de determinar SlAsHrChAr!si son adecuadas para proveer agua segura a las comunidades. Además, se analizó la calidad del agua potable de cada ASADA, aplicando el nivel 1, según el Reglamento para la Calidad del Agua Potable (38924-S). 1 de las ASADAS estudiadas presentó SlAsHrChAr!desarrollo alto en su nivel de gestión; 3, uno bajo, y 5, uno débil. En 2 ASADAS, se detectó la presencia de coliformes fecales y E. coli durante la época lluviosa. Solamente 3 de las 9 ASADAS estudiadas cumplieron con los rangos óptimos SlAsHrChAr!de cloro libre residual, lo cual compromete la calidad del agua con la que se abastece a la población. Se concluye que la fragilidad de las ASADAS evaluadas ante un evento hidrometeorológico es alta, debido a la antigüedad de los sistemas, falta SlAsHrChAr!de mantenimiento y poca capacidad de sus tanques, lo que incrementa el riesgo durante eventos extremos (sequías e inundaciones). Además, las ASADAS exploradas mostraron, principalmente, una gestión baja o débil; por consiguiente, el agua que SlAsHrChAr!se distribuye a las comunidades podría afectar la seguridad hídrica de aquellas abastecidas, debido a que no siempre está disponible cuando se necesita y no cumple con algunos de los parámetros básicos de potabilidad.","author":[{"dropping-particle":"","family":"Serrano","given":"Andrea SlAsHrChAr!Suárez","non-dropping-particle":"","parse-names":false,"suffix":""},{"dropping-particle":"","family":"Garro","given":"Álvaro Baldioceda","non-dropping-particle":"","parse-names":false,"suffix":""},{"dropping-particle":"","family":"Sanabria","given":"Guillermo SlAsHrChAr!Durán","non-dropping-particle":"","parse-names":false,"suffix":""},{"dropping-particle":"","family":"Conejo","given":"Johanna Rojas","non-dropping-particle":"","parse-names":false,"suffix":""},{"dropping-particle":"","family":"Cantillano","given":"Daniela SlAsHrChAr!Rojas","non-dropping-particle":"","parse-names":false,"suffix":""},{"dropping-particle":"","family":"Watson","given":"Anny Guillén","non-dropping-particle":"","parse-names":false,"suffix":""}],"container-title":"Revista de Ciencias Ambientales","id":"ITEM-2","issue":"2","issued":{"date-parts":[["2019"]]},"page":"25-46","titlSlAsHrChAr!e":"Seguridad hídrica: Gestión del agua en comunidades rurales del Pacífico Norte de Costa Rica","type":"article-journal","volume":"53"},"uris":["http://www.mendeley.com/documents/?uuid=00364fa7-674b-4f3b-a961-521cde26d7bd"]}],"mendeley":{"formattedCitation":"(Espinoza SlAsHrChAr!et al., 2004; Serrano et al., 2019)","plainTextFormattedCitation":"(Espinoza et al., 2004; Serrano et al., 2019)","previouslyFormattedCitation":"(Espinoza et al., 2004; Serrano et al., 2019)"},"properties":{"noteIndex":0},"schema":"https://github.com/citation-style-language/schema/raw/master/csl-citation.json"}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(Espinoza et al., 2004; Serrano et al., 2019)</w:t>
      </w:r>
      <w:r w:rsidRPr="00D443AC">
        <w:rPr>
          <w:rFonts w:eastAsia="Times New Roman" w:cs="Calibri"/>
        </w:rPr>
        <w:fldChar w:fldCharType="end"/>
      </w:r>
      <w:r w:rsidRPr="00D443AC">
        <w:rPr>
          <w:rFonts w:eastAsia="Times New Roman" w:cs="Calibri"/>
        </w:rPr>
        <w:t xml:space="preserve">. However, several studies have detected deficiencies in the rendering of the service, lack of planning and organization, as well as non-compliance with water quality and disinfection parameters in different supply systems </w:t>
      </w:r>
      <w:r w:rsidRPr="00D443AC">
        <w:rPr>
          <w:rFonts w:eastAsia="Times New Roman" w:cs="Calibri"/>
        </w:rPr>
        <w:fldChar w:fldCharType="begin"/>
      </w:r>
      <w:r w:rsidRPr="00D443AC">
        <w:rPr>
          <w:rFonts w:eastAsia="Times New Roman" w:cs="Calibri"/>
        </w:rPr>
        <w:instrText>MERGEFIELD ADDIN CSL_CITATION {"citationItems":[{"id":"ITEM-1","itemData":{"DOI":"10.1007/s10653-019-00501-5","ISBN":"0123456789","ISSN":"15732983","PMID":"31912340","abstract":"Groundwater SlAsHrChAr!pollution in tropical and human-altered coastal landscapes is receiving novel attention due to decreasing in annual recharge as a consequence of recurrent droughts and overexploitation, whereby saline intrusion, point and diffuse source contamination, SlAsHrChAr!and water conflicts are common denominators. This study presents a detailed groundwater evaluation in a coastal aquifer within the central Pacific coast of Costa Rica. Three sampling campaigns including major ions, heavy metals, and fecal coliform analyses SlAsHrChAr!were conducted between July 2013 and March 2014 across 17 wells within the alluvial and fissured units of the Jacó aquifer. The groundwater system is classified as mixed HCO3−–Ca2+–Mg2+ type. Coliforms presence was found in two SlAsHrChAr!wells, nearby Mona Creek headwaters and near the coastal line. Heavy metal concentrations were below quantification limits in most of the wells; however, chromium concentrations up to 6.56 μg/L were quantified within the coastal line and central SlAsHrChAr!portion of the alluvial aquifer in 20 out of the 48 samples. The spatial distribution of major ions (K+, Na+, Ca2+, Mg2+, Cl−, SO42−, and HCO3−) exhibited an increasing trend towards the central portion of the alluvial aquifer, which SlAsHrChAr!may be potentially associated with the large unregulated urban expansion, invoking a need of a continuous water quality monitoring program in this touristic hot spot. This study provides useful information for other similar coastal aquifers in Central SlAsHrChAr!America, whereby increasing population growth and unregulated touristic, industrial, and agricultural activities are posing a truly challenge to ensure water security and sustainability parallel to the economic development in a changing climate.","author":[{"dropping-particle":"","family":"Sánchez-Gutiérrez, SlAsHrChAr!R.","given":"","non-dropping-particle":"","parse-names":false,"suffix":""},{"dropping-particle":"","family":"Mena-Rivera","given":"L.","non-dropping-particle":"","parse-names":false,"suffix":""},{"dropping-particle":"","family":"Sánchez-Murillo","given":"R.","non-dropping-particle":"","parse-names":false,"suffix":""},{"dropSlAsHrChAr!ping-particle":"","family":"Fonseca-Sánchez","given":"A.","non-dropping-particle":"","parse-names":false,"suffix":""},{"dropping-particle":"","family":"Madrigal-Solís","given":"H.","non-dropping-particle":"","parse-names":false,"suffix":""}],"container-title":"Environmental SlAsHrChAr!Geochemistry and Health","id":"ITEM-1","issue":"9","issued":{"date-parts":[["2020"]]},"page":"2685-2701","title":"Hydrogeochemical baseline in a human-altered landscape of the central Pacific coast of Costa Rica","type":"article-journal","volume":"42"},"uris":["http://www.mendeley.com/documents/?uuid=8ea78ba8-be0b-436c-9582-9c5c2SlAsHrChAr!595f34e"]},{"id":"ITEM-2","itemData":{"DOI":"10.18845/tm.v33i2.4165","ISBN":"0000000256","ISSN":"0379-3982","abstract":"El presente trabajo se desarrolló entre los años 2015 y 2018 en la comunidad de Corral de Piedra de Nicoya, en la provincia SlAsHrChAr!de Guanacaste. En esta zona existen dos estaciones: seca y lluviosa; no obstante, los embates del cambio climático han propiciado cambios drásticos en los patrones de precipitación y fuertes épocas de sequía. En el estudio se evaluó SlAsHrChAr!la calidad del agua para consumo humano que abastece a la comunidad y se determinó que existe alto cumplimiento con lo establecido en el decreto 38924-S en cuanto a los parámetros fisicoquímicos y microbiológicos. Según los criterios de SlAsHrChAr!calidad del agua de pozos y nacientes de Mora-Alvarado et ál, los resultados obtenidos para las muestras colectadas en la comunidad de Corral de Piedra, en la mayoría de los sitios de muestreo, indican condiciones de calidad excelente. Además, SlAsHrChAr!se realizó una caracterización hidrogeoquímica del agua extraída del pozo mediante el diagrama de Piper, que la identificó como agua de tipo bicarbonatada-cálcica. La aplicación de la matriz de correlación de Kendall arrojó SlAsHrChAr!25 correlaciones significativas, de las cuales pH-nitrato y conductividad–bicarbonato fueron las mayores. Por últi</w:instrText>
      </w:r>
      <w:r w:rsidRPr="00A34E32">
        <w:rPr>
          <w:rFonts w:eastAsia="Times New Roman" w:cs="Calibri"/>
          <w:lang w:val="es-ES_tradnl"/>
        </w:rPr>
        <w:instrText>mo, se realizó el análisis de componentes principales, y resultó que 5 componentes principales explican en forma significativa SlAsHrChAr!la varianza de los datos (85,6%).","author":[{"dropping-particle":"","family":"Sánchez-Gutiérrez","given":"R.","non-dropping-particle":"","parse-names":false,"suffix":""},{"dropping-particle":"","family":"Benavides-Benavides, C. Chaves-Villalobos","given":"M.","non-dropping-particle":"","parse-names":false,"suffix":""},{"SlAsHrChAr!dropping-particle":"","family":"Quirós-Vega","given":"J.","non-dropping-particle":"","parse-names":false,"suffix":""}],"container-title":"Revista Tecnología en Marcha","id":"ITEM-2","issued":{"date-parts":[["2020"]]},"page":"3-16","title":"Calidad SlAsHrChAr!del agua para consumo humano en una comunidad rural: caso Corral de Piedra, Guanacaste, Costa Rica","type":"article-journal","volume":"33"},"uris":["http://www.mendeley.com/documents/?uuid=1f8f4f23-d716-42cd-9bdf-738a931870e5"]}],"mendeley":{"formattedCitation":"(Sánchez-Gutiérrez, SlAsHrChAr!R. et al., 2020; Sánchez-Gutiérrez et al., 2020)","manualFormatting":"(Sánchez-Gutiérrez, R. et al., 2020a; Sánchez-Gutiérrez et al., 2020b)","plainTextFormattedCitation":"(Sánchez-Gutiérrez, R. et al., 2020; Sánchez-Gutiérrez SlAsHrChAr!et al., 2020)","previouslyFormattedCitation":"(Sánchez-Gutiérrez, R. et al., 2020; Sánchez-Gutiérrez et al., 2020)"},"properties":{"noteIndex":0},"schema":"https://github.com/citation-style-language/schema/raw/master/csl-citation.json"}</w:instrText>
      </w:r>
      <w:r w:rsidRPr="00D443AC">
        <w:rPr>
          <w:rFonts w:eastAsia="Times New Roman" w:cs="Calibri"/>
        </w:rPr>
        <w:fldChar w:fldCharType="separate"/>
      </w:r>
      <w:r w:rsidRPr="00A34E32">
        <w:rPr>
          <w:rFonts w:eastAsia="Times New Roman" w:cs="Calibri"/>
          <w:lang w:val="es-ES_tradnl"/>
        </w:rPr>
        <w:t>(Sánchez-Gutiérrez et al., 2020a; Sánchez-Gutiérrez et al., 2020b)</w:t>
      </w:r>
      <w:r w:rsidRPr="00D443AC">
        <w:rPr>
          <w:rFonts w:eastAsia="Times New Roman" w:cs="Calibri"/>
        </w:rPr>
        <w:fldChar w:fldCharType="end"/>
      </w:r>
      <w:r w:rsidRPr="00A34E32">
        <w:rPr>
          <w:rFonts w:eastAsia="Times New Roman" w:cs="Calibri"/>
          <w:lang w:val="es-ES_tradnl"/>
        </w:rPr>
        <w:t xml:space="preserve">. </w:t>
      </w:r>
    </w:p>
    <w:p w14:paraId="636BEFEF" w14:textId="2C38F927" w:rsidR="000E5799" w:rsidRPr="00D443AC" w:rsidRDefault="000E5799">
      <w:pPr>
        <w:pStyle w:val="Newparagraph"/>
        <w:widowControl/>
        <w:spacing w:line="360" w:lineRule="auto"/>
        <w:jc w:val="both"/>
        <w:rPr>
          <w:rFonts w:eastAsia="Times New Roman" w:cs="Calibri"/>
        </w:rPr>
      </w:pPr>
      <w:r w:rsidRPr="00D443AC">
        <w:rPr>
          <w:rFonts w:eastAsia="Times New Roman" w:cs="Calibri"/>
        </w:rPr>
        <w:t>Due to this problem and in order to improve access to drinking water services, alternatives such as the Community-Based Water Management Organizations (CBWMO) have helped improve coverage and quality of drinking water by having responsible water management by members of the community itself and establishing formal guidelines</w:t>
      </w:r>
      <w:r w:rsidR="009D18DF" w:rsidRPr="00D443AC">
        <w:rPr>
          <w:rFonts w:eastAsia="Times New Roman" w:cs="Calibri"/>
        </w:rPr>
        <w:t xml:space="preserve"> </w:t>
      </w:r>
      <w:r w:rsidRPr="00D443AC">
        <w:rPr>
          <w:rFonts w:eastAsia="Times New Roman" w:cs="Calibri"/>
        </w:rPr>
        <w:fldChar w:fldCharType="begin"/>
      </w:r>
      <w:r w:rsidRPr="00D443AC">
        <w:rPr>
          <w:rFonts w:eastAsia="Times New Roman" w:cs="Calibri"/>
        </w:rPr>
        <w:instrText>MERGEFIELD SlAsHrChAr!ADDIN CSL_CITATION {"citationItems":[{"id":"ITEM-1","itemData":{"DOI":"10.15359/rca.53-2.2","ISBN":"0000000219303","ISSN":"1409-2158","abstract":"Se seleccionó un grupo de 9 Asociaciones Administradoras de Acueductos Rurales (ASADAS) ubicadas en SlAsHrChAr!el Pacífico Norte de Costa Rica, con el propósito de evaluar su gestión y conocer las estrategias implementadas durante el periodo de sequía (2014-2016). Se valoraron 5 componentes básicos de gestión: administrativa y financiera, comercial, SlAsHrChAr!comunal, recurso hídrico y gestión de los sistemas de agua, con el fin de determinar si son adecuadas para proveer agua segura a las comunidades. Además, se analizó la calidad del agua potable de cada ASADA, aplicando el nivel 1, según SlAsHrChAr!el Reglamento para la Calidad del Agua Potable (38924-S). 1 de las ASADAS estudiadas presentó desarrollo alto en su nivel de gestión; 3, uno bajo, y 5, uno débil. En 2 ASADAS, se detectó la presencia de coliformes fecales y E. coli durante SlAsHrChAr!la época lluviosa. Solamente 3 de las 9 ASADAS estudiadas cumplieron con los rangos óptimos de cloro libre residual, lo cual compromete la calidad del agua con la que se abastece a la población. Se concluye que la fragilidad de las ASADAS evaluadas SlAsHrChAr!ante un evento hidrometeorológico es alta, debido a la antigüedad de los sistemas, falta de mantenimiento y poca capacidad de sus tanques, lo que incrementa el riesgo durante eventos extremos (sequías e inundaciones). Además, las ASADAS exploradas SlAsHrChAr!mostraron, principalmente, una gestión baja o débil; por consiguiente, el agua que se distribuye a las comunidades podría afectar la seguridad hídrica de aquellas abastecidas, debido a que no siempre está disponible cuando se necesita y SlAsHrChAr!no cumple con algunos de los parámetros básicos de potabilidad.","author":[{"dropping-particle":"","family":"Serrano","given":"Andrea Suárez","non-dropping-particle":"","parse-names":false,"suffix":""},{"dropping-particle":"","family":"Garro","given":"Álvaro SlAsHrChAr!Baldioceda","non-dropping-particle":"","parse-names":false,"suffix":""},{"dropping-particle":"","family":"Sanabria","given":"Guillermo Durán","non-dropping-particle":"","parse-names":false,"suffix":""},{"dropping-particle":"","family":"Conejo","given":"Johanna SlAsHrChAr!Rojas","non-dropping-particle":"","parse-names":false,"suffix":""},{"dropping-particle":"","family":"Cantillano","given":"Daniela Rojas","non-dropping-particle":"","parse-names":false,"suffix":""},{"dropping-particle":"","family":"Watson","given":"Anny SlAsHrChAr!Guillén","non-dropping-particle":"","parse-names":false,"suffix":""}],"container-title":"Revista de Ciencias Ambientales","id":"ITEM-1","issue":"2","issued":{"date-parts":[["2019"]]},"page":"25-46","title":"Seguridad hídrica: Gestión del agua SlAsHrChAr!en comunidades rurales del Pacífico Norte de Costa Rica","type":"article-journal","volume":"53"},"uris":["http://www.mendeley.com/documents/?uuid=00364fa7-674b-4f3b-a961-521cde26d7bd"]}],"mendeley":{"formattedCitation":"(Serrano et al., 2019)","plainTextFormattedCitation":"(Serrano SlAsHrChAr!et al., 2019)","previouslyFormattedCitation":"(Serrano et al., 2019)"},"properties":{"noteIndex":0},"schema":"https://github.com/citation-style-language/schema/raw/master/csl-citation.json"}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(Bernedo del Carpio et al., 2021; Serrano et al., 2019)</w:t>
      </w:r>
      <w:r w:rsidRPr="00D443AC">
        <w:rPr>
          <w:rFonts w:eastAsia="Times New Roman" w:cs="Calibri"/>
        </w:rPr>
        <w:fldChar w:fldCharType="end"/>
      </w:r>
      <w:r w:rsidRPr="00D443AC">
        <w:rPr>
          <w:rFonts w:eastAsia="Times New Roman" w:cs="Calibri"/>
        </w:rPr>
        <w:t xml:space="preserve">. In Costa Rica, there are different CBWMO models, such as Administrative Committees of Rural Aqueducts (CAARs) and Associations of Aqueduct and Sanitary Sewerage Systems (ASADASs). </w:t>
      </w:r>
      <w:r w:rsidR="0092081C" w:rsidRPr="00D443AC">
        <w:rPr>
          <w:rFonts w:eastAsia="Times New Roman" w:cs="Calibri"/>
        </w:rPr>
        <w:t>Both CAARs and ASADASs</w:t>
      </w:r>
      <w:r w:rsidRPr="00D443AC">
        <w:rPr>
          <w:rFonts w:eastAsia="Times New Roman" w:cs="Calibri"/>
        </w:rPr>
        <w:t xml:space="preserve"> must be authorized by the Institute of Aqueducts and Sewers (</w:t>
      </w:r>
      <w:proofErr w:type="spellStart"/>
      <w:r w:rsidRPr="00D443AC">
        <w:rPr>
          <w:rFonts w:eastAsia="Times New Roman" w:cs="Calibri"/>
        </w:rPr>
        <w:t>AyA</w:t>
      </w:r>
      <w:proofErr w:type="spellEnd"/>
      <w:r w:rsidRPr="00D443AC">
        <w:rPr>
          <w:rFonts w:eastAsia="Times New Roman" w:cs="Calibri"/>
        </w:rPr>
        <w:t xml:space="preserve">) as the country’s governing body responsible for the supply and sanitation of drinking water </w:t>
      </w:r>
      <w:r w:rsidRPr="00D443AC">
        <w:rPr>
          <w:rFonts w:eastAsia="Times New Roman" w:cs="Calibri"/>
        </w:rPr>
        <w:fldChar w:fldCharType="begin"/>
      </w:r>
      <w:r w:rsidRPr="00D443AC">
        <w:rPr>
          <w:rFonts w:eastAsia="Times New Roman" w:cs="Calibri"/>
        </w:rPr>
        <w:instrText>MERGEFIELD SlAsHrChAr!ADDIN CSL_CITATION {"citationItems":[{"id":"ITEM-1","itemData":{"author":[{"dropping-particle":"","family":"Monge","given":"Esteban","non-dropping-particle":"","parse-names":false,"suffix":""},{"dropping-particle":"","family":"Paz J.","given":"Luisa","non-dropping-particle":"","parse-names":false,"suffix":""},{"dropping-partSlAsHrChAr!icle":"","family":"Ovares","given":"Carolina","non-dropping-particle":"","parse-names":false,"suffix":""}],"id":"ITEM-1","issued":{"date-parts":[["2013"]]},"number-of-pages":"56","publisher-place":"Costa Rica","title":"Manual para las Asociaciones SlAsHrChAr!Administradoras de Sistemas de Acueductos y Alcantarillados Sanitarios (ASADAS) de Costa Rica: Transparencia y rendición de cuentas en las ASADAS","type":"report"},"uris":["http://www.mendeley.com/documents/?uuid=a721ae46-1756-49fc-aaa5-c8ab2d6c9537"]}],"mendeley":{"formattedCitation":"(Monge SlAsHrChAr!et al., 2013)","plainTextFormattedCitation":"(Monge et al., 2013)","previouslyFormattedCitation":"(Monge et al., 2013)"},"properties":{"noteIndex":0},"schema":"https://github.com/citation-style-language/schema/raw/master/csl-citation.json"}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(Monge et al., 2013)</w:t>
      </w:r>
      <w:r w:rsidRPr="00D443AC">
        <w:rPr>
          <w:rFonts w:eastAsia="Times New Roman" w:cs="Calibri"/>
        </w:rPr>
        <w:fldChar w:fldCharType="end"/>
      </w:r>
      <w:r w:rsidRPr="00D443AC">
        <w:rPr>
          <w:rFonts w:eastAsia="Times New Roman" w:cs="Calibri"/>
        </w:rPr>
        <w:t>.</w:t>
      </w:r>
    </w:p>
    <w:p w14:paraId="3EE07E7D" w14:textId="1746280B"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One of the main challenges faced by CBWMOs is water disinfection since most of these organizations are in rural areas, and the risk of contamination increases considerably with respect to urban areas </w:t>
      </w:r>
      <w:r w:rsidRPr="00D443AC">
        <w:rPr>
          <w:rFonts w:eastAsia="Times New Roman" w:cs="Calibri"/>
        </w:rPr>
        <w:fldChar w:fldCharType="begin"/>
      </w:r>
      <w:r w:rsidRPr="00D443AC">
        <w:rPr>
          <w:rFonts w:eastAsia="Times New Roman" w:cs="Calibri"/>
        </w:rPr>
        <w:instrText>MERGEFIELD ADDIN CSL_CITATION {"citationItems":[{"id":"ITEM-1","itemData":{"author":[{"dropping-particle":"","family":"Alvarado","given":"Darner Mora","non-dropping-particle":"","parse-names":false,"suffix":""},{"dropping-particle":"","family"SlAsHrChAr!:"Portuguez","given":"Carlos","non-dropping-particle":"","parse-names":false,"suffix":""}],"id":"ITEM-1","issued":{"date-parts":[["2020"]]},"title":"AGUA PARA USO Y CONSUMO HUMANO Y SANEAMIENTO EN COSTA RICA AL 2019: BRECHAS Y DESAFÍOS AL 2023","type":"report"},"uris":["http://www.mendeley.com/documents/?uuid=5c60ece0-8383-44SlAsHrChAr!a0-96fc-f4c889ab52cc"]}],"mendeley":{"formattedCitation":"(Alvarado &amp; Portuguez, 2020)","manualFormatting":"(Mora-Alvarado &amp; Portuguez, 2020)","plainTextFormattedCitation":"(Alvarado &amp; Portuguez, 2020)","previouslyFormattedCitation":"(Alvarado &amp; Portuguez, SlAsHrChAr!2020)"},"properties":{"noteIndex":0},"schema":"https://github.com/citation-style-language/schema/raw/master/csl-citation.json"}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(Mora-Alvarado &amp; Portuguez, 2020)</w:t>
      </w:r>
      <w:r w:rsidRPr="00D443AC">
        <w:rPr>
          <w:rFonts w:eastAsia="Times New Roman" w:cs="Calibri"/>
        </w:rPr>
        <w:fldChar w:fldCharType="end"/>
      </w:r>
      <w:r w:rsidRPr="00D443AC">
        <w:rPr>
          <w:rFonts w:eastAsia="Times New Roman" w:cs="Calibri"/>
        </w:rPr>
        <w:t xml:space="preserve">. There is currently a wide variety of essential methods to eliminate different pathogenic microorganisms present in water; however, among all these methods, chlorination stands out </w:t>
      </w:r>
      <w:r w:rsidR="00FF0C20" w:rsidRPr="00D443AC">
        <w:rPr>
          <w:rFonts w:eastAsia="Times New Roman" w:cs="Calibri"/>
        </w:rPr>
        <w:t xml:space="preserve">at the national level </w:t>
      </w:r>
      <w:r w:rsidRPr="00D443AC">
        <w:rPr>
          <w:rFonts w:eastAsia="Times New Roman" w:cs="Calibri"/>
        </w:rPr>
        <w:t xml:space="preserve">for its usefulness, low cost, high disinfectant power, and prolonged persistence within water supply systems </w:t>
      </w:r>
      <w:r w:rsidRPr="00D443AC">
        <w:rPr>
          <w:rFonts w:eastAsia="Times New Roman" w:cs="Calibri"/>
        </w:rPr>
        <w:fldChar w:fldCharType="begin"/>
      </w:r>
      <w:r w:rsidRPr="00D443AC">
        <w:rPr>
          <w:rFonts w:eastAsia="Times New Roman" w:cs="Calibri"/>
        </w:rPr>
        <w:instrText>MERGEFIELD ADDIN CSL_CITATION {"citationItems":[{"id":"ITEM-1","itemData":{"DOI":"10.1016/j.jclepro.2020.123159","ISSN":"09596526","abstract":"For SlAsHrChAr!long time water disinfection is being done to inactivate or control bacteria populations in the treated water and simple chlorination is the most common method to disinfect the water. Almost certainly for over a decade chlorination is being effectively SlAsHrChAr!utilized for controlling of water borne contamination. An assortment of disinfection by-products (DBPs) are formed like trihalomethanes (THMs), haloacetic acids (HAAs) and halogenated acetonitriles (HANs) etc., when the naturally occurring natural organic SlAsHrChAr!matters (NOMs) present in raw water reacts with chlorine that may have adverse health impacts on humans. These compounds fall apart the water quality and there are epidemiological confirmations of close connection between its emergence and unfavourable SlAsHrChAr!results especially the malignant growths of fundamental organs in individuals. Concerns related with the prospective health hazards of DBPs provoked a few industrialized nations to build up various guidelines. Due to lack of data more research is required SlAsHrChAr!to understand its adverse health effects on human beings which are being restrained by funds required for researches. DPBs dermal and inhalation exposure routes have greater risk as compared to ingestion route. The DBPs can be controlled by methods like SlAsHrChAr!coagulation with polymer, alum, lime or iron, sulphates, adsorption on activated carbons, ion exchange or membrane process and to more effectively reduce the precursor i.e. NOMs. In this paper we have discussed about the formation of disinfection by-products SlAsHrChAr!in treated municipal water during chlorination and how these DBPs were discovered. Moreover, we briefly compared the present status of their guidelines value or regulations in India with other regulating bodies and what are the category of cancer groups SlAsHrChAr!under which the different DBPs are categorized by WHO. A portion of the basic science related to DBPs formation is explained and the different exposure routes of DBPs in a human body are discussed. Fifty-two studies were reviewed about DBPs toxicity and SlAsHrChAr!epidemiology to understand the greatness of hazards caused by exposure of DBPs as shown by various researchers. Many innovations and methodologies can be used for controlling or removal of the DBPs.","author":[{"dropping-particle":"","family":"Mazhar","given":"Mohd SlAsHrChAr!Aamir","non-dropping-particle":"","parse-names":false,"suffix":""},{"dropping-particle":"","family":"Khan","given":"Nadeem A.","non-dropping-particle":"","parse-names":false,"suffix":""},{"dropping-particle":"","family":"Ahmed","given":"Sirajuddin","non-dropping-particle":"","parse-names":false,"suffix":""},{"dropping-particleSlAsHrChAr!":"","family":"Khan","given":"Afzal Husain","non-dropping-particle":"","parse-names":false,"suffix":""},{"dropping-particle":"","family":"Hussain","given":"Azhar","non-dropping-particle":"","parse-names":false,"suffix":""},{"dropping-particle":"","family":"Rahisuddin","given":"","non-dropping-particle":"","parse-names":false,"suSlAsHrChAr!ffix":""},{"dropping-particle":"","family":"Changani","given":"Fazlollah","non-dropping-particle":"","parse-names":false,"suffix":""},{"dropping-particle":"","family":"Yousefi","given":"Mahmood","non-dropping-particle":"","parse-names":false,"suffix":""},{"dropping-particle":"","family":"Ahmadi","given":"Shahin","non-dropping-SlAsHrChAr!particle":"","parse-names":false,"suffix":""},{"dropping-particle":"","family":"Vambol","given":"Viola","non-dropping-particle":"","parse-names":false,"suffix":""}],"container-title":"Journal of Cleaner Production","id":"ITEM-1","issued":{"date-parts":[["2020"]]},"title":"Chlorination SlAsHrChAr!disinfection by-products in municipal drinking water – A review","type":"article-journal","volume":"273"},"uris":["http://www.mendeley.com/documents/?uuid=c6054cbe-264f-4350-9a9b-5fb255c1b6ce"]}],"mendeley":{"formattedCitation":"(Mazhar et al., SlAsHrChAr!2020)","plainTextFormattedCitation":"(Mazhar et al., 2020)","previouslyFormattedCitation":"(Mazhar et al., 2020)"},"properties":{"noteIndex":0},"schema":"https://github.com/citation-style-language/schema/raw/master/csl-citation.json"}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(Mazhar et al., 2020)</w:t>
      </w:r>
      <w:r w:rsidRPr="00D443AC">
        <w:rPr>
          <w:rFonts w:eastAsia="Times New Roman" w:cs="Calibri"/>
        </w:rPr>
        <w:fldChar w:fldCharType="end"/>
      </w:r>
      <w:r w:rsidRPr="00D443AC">
        <w:rPr>
          <w:rFonts w:eastAsia="Times New Roman" w:cs="Calibri"/>
        </w:rPr>
        <w:t xml:space="preserve">.  </w:t>
      </w:r>
    </w:p>
    <w:p w14:paraId="45615302" w14:textId="77777777"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However, chlorination processes are often conducted in an improvised manner based on established protocols with a "trial and error" approach, omitting intrinsic variations of the source and other aqueduct conditions. In addition, these generalized disinfection protocols are often not consistent, which can, on one hand, cause negative health effects when the residual chlorine concentration is not optimal, and, on the other hand, promote the formation of disinfection byproducts (DBPs) or microbiological reinfections within the system </w:t>
      </w:r>
      <w:r w:rsidRPr="00D443AC">
        <w:rPr>
          <w:rFonts w:eastAsia="Times New Roman" w:cs="Calibri"/>
        </w:rPr>
        <w:fldChar w:fldCharType="begin"/>
      </w:r>
      <w:r w:rsidRPr="00D443AC">
        <w:rPr>
          <w:rFonts w:eastAsia="Times New Roman" w:cs="Calibri"/>
        </w:rPr>
        <w:instrText>MERGEFIELD ADDIN CSL_CITATION {"citationItems":[{"id":"ITEM-1","itemData":{"DOI":"10.1016/j.teac.2016.03.002","ISSN":"22141588","abstract":"Disinfection SlAsHrChAr!byproducts (DBPs) are a class of compounds generated during chemical disinfection processes. Their wide distribution in potable water supply systems and environmental waters has aroused concerns for both human health and aquatic organisms. Recent toxicological SlAsHrChAr!studies have demonstrated that most of the emerging DBPs are significantly more toxic than the regulated DBPs. Analysis techniques are prerequisites for fully understanding DBPs, as they involve identifying and quantifying DBPs, and studying their occurrence SlAsHrChAr!and toxicity. Accordingly, this paper reviews current trends in the analysis and identification of emerging DBPs produced in artificial water samples with model substances (e.g., natural organic matter and anthropogenic contaminants) and in real environmental SlAsHrChAr!waters (e.g., drinking water, wastewater effluents, swimming pool water, ballast water, cooling water from power stations, and brine reject from desalination plants).","author":[{"dropping-particle":"","family":"Yang","given":"Mengting","non-dropping-particle":"","parse-names":false,"suffix":""},{"dropping-particle":"","family":"SlAsHrChAr!Zhang","given":"Xiangru","non-dropping-particle":"","parse-names":false,"suffix":""}],"container-title":"Trends in Environmental Analytical Chemistry","id":"ITEM-1","issued":{"date-parts":[["2016"]]},"page":"24-34","publisher":"College of Emergency SlAsHrChAr!Nursing Australasia","title":"Current trends in the analysis and identification of emerging disinfection byproducts","type":"article-journal","volume":"10"},"uris":["http://www.mendeley.com/documents/?uuid=561fdfd3-1434-440d-8603-d55cda83819f"]}],"mendeley":{"formattedCitation":"(Yang SlAsHrChAr!&amp; Zhang, 2016)","manualFormatting":"(Yang y Zhang, 2016)","plainTextFormattedCitation":"(Yang &amp; Zhang, 2016)","previouslyFormattedCitation":"(Yang &amp; Zhang, 2016)"},"properties":{"noteIndex":0},"schema":"https://github.com/citation-style-language/schema/raw/master/csl-citation.json"}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(Yang &amp; Zhang, 2016)</w:t>
      </w:r>
      <w:r w:rsidRPr="00D443AC">
        <w:rPr>
          <w:rFonts w:eastAsia="Times New Roman" w:cs="Calibri"/>
        </w:rPr>
        <w:fldChar w:fldCharType="end"/>
      </w:r>
      <w:r w:rsidRPr="00D443AC">
        <w:rPr>
          <w:rFonts w:eastAsia="Times New Roman" w:cs="Calibri"/>
        </w:rPr>
        <w:t xml:space="preserve">.  </w:t>
      </w:r>
    </w:p>
    <w:p w14:paraId="41BA4626" w14:textId="47DC011F" w:rsidR="000E5799" w:rsidRPr="00D443AC" w:rsidRDefault="000E5799">
      <w:pPr>
        <w:pStyle w:val="Newparagraph"/>
        <w:widowControl/>
        <w:spacing w:line="360" w:lineRule="auto"/>
        <w:jc w:val="both"/>
        <w:rPr>
          <w:rFonts w:eastAsia="Times New Roman" w:cs="Calibri"/>
        </w:rPr>
      </w:pPr>
      <w:r w:rsidRPr="00D443AC">
        <w:rPr>
          <w:rFonts w:eastAsia="Times New Roman" w:cs="Calibri"/>
        </w:rPr>
        <w:t>Therefore, the first step for optimal chlorination is to determine chlorine demand, which corresponds to the minimum dose needed in the source water to oxidize all substances in it</w:t>
      </w:r>
      <w:r w:rsidR="00FF0C20" w:rsidRPr="00D443AC">
        <w:rPr>
          <w:rFonts w:eastAsia="Times New Roman" w:cs="Calibri"/>
        </w:rPr>
        <w:t xml:space="preserve">, </w:t>
      </w:r>
      <w:r w:rsidR="003E1D61" w:rsidRPr="00D443AC">
        <w:rPr>
          <w:rFonts w:eastAsia="Times New Roman" w:cs="Calibri"/>
        </w:rPr>
        <w:t>thus</w:t>
      </w:r>
      <w:r w:rsidR="00FF0C20" w:rsidRPr="00D443AC">
        <w:rPr>
          <w:rFonts w:eastAsia="Times New Roman" w:cs="Calibri"/>
        </w:rPr>
        <w:t xml:space="preserve"> </w:t>
      </w:r>
      <w:r w:rsidRPr="00D443AC">
        <w:rPr>
          <w:rFonts w:eastAsia="Times New Roman" w:cs="Calibri"/>
        </w:rPr>
        <w:lastRenderedPageBreak/>
        <w:t>establish</w:t>
      </w:r>
      <w:r w:rsidR="00FF0C20" w:rsidRPr="00D443AC">
        <w:rPr>
          <w:rFonts w:eastAsia="Times New Roman" w:cs="Calibri"/>
        </w:rPr>
        <w:t>ing</w:t>
      </w:r>
      <w:r w:rsidRPr="00D443AC">
        <w:rPr>
          <w:rFonts w:eastAsia="Times New Roman" w:cs="Calibri"/>
        </w:rPr>
        <w:t xml:space="preserve"> more adequate and congruent dosing for each source treated </w:t>
      </w:r>
      <w:r w:rsidRPr="00D443AC">
        <w:rPr>
          <w:rFonts w:eastAsia="Times New Roman" w:cs="Calibri"/>
        </w:rPr>
        <w:fldChar w:fldCharType="begin"/>
      </w:r>
      <w:r w:rsidRPr="00D443AC">
        <w:rPr>
          <w:rFonts w:eastAsia="Times New Roman" w:cs="Calibri"/>
        </w:rPr>
        <w:instrText>MERGEFIELD ADDIN CSL_CITATION {"citationItems":[{"id":"ITEM-1","itemData":{"ISBN":"9789290225362","abstract":"A SlAsHrChAr!guide to strengthening chlorination practices in small-to medium-sized water supplies","author":[{"dropping-particle":"","family":"WHO","given":"","non-dropping-particle":"","parse-names":false,"suffix":""}],"id":"ITEM-1","issue":"July","issued":{"date-parts":[["2017"]]},"number-of-pages":"1-73","title":"Principles SlAsHrChAr!and Practices of Drinking-water Chlorination","type":"book"},"uris":["http://www.mendeley.com/documents/?uuid=a7769732-7821-43e0-9281-a9390ce768ca"]}],"mendeley":{"formattedCitation":"(WHO, 2017)","plainTextFormattedCitation":"(WHO, 2017)","previouslyFormattedCitation":"(WHO, SlAsHrChAr!2017)"},"properties":{"noteIndex":0},"schema":"https://github.com/citation-style-language/schema/raw/master/csl-citation.json"}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(WHO, 2017)</w:t>
      </w:r>
      <w:r w:rsidRPr="00D443AC">
        <w:rPr>
          <w:rFonts w:eastAsia="Times New Roman" w:cs="Calibri"/>
        </w:rPr>
        <w:fldChar w:fldCharType="end"/>
      </w:r>
      <w:r w:rsidRPr="00D443AC">
        <w:rPr>
          <w:rFonts w:eastAsia="Times New Roman" w:cs="Calibri"/>
        </w:rPr>
        <w:t xml:space="preserve">. This process can work as a complement to assess the status of a disinfection system and </w:t>
      </w:r>
      <w:r w:rsidR="00C5084B" w:rsidRPr="00D443AC">
        <w:rPr>
          <w:rFonts w:eastAsia="Times New Roman" w:cs="Calibri"/>
        </w:rPr>
        <w:t xml:space="preserve">the quality of </w:t>
      </w:r>
      <w:r w:rsidRPr="00D443AC">
        <w:rPr>
          <w:rFonts w:eastAsia="Times New Roman" w:cs="Calibri"/>
        </w:rPr>
        <w:t xml:space="preserve">water, in order to ensure the safety of the resource and compliance with national </w:t>
      </w:r>
      <w:r w:rsidR="00A3195D" w:rsidRPr="00D443AC">
        <w:rPr>
          <w:rFonts w:eastAsia="Times New Roman" w:cs="Calibri"/>
        </w:rPr>
        <w:t>standards</w:t>
      </w:r>
      <w:r w:rsidRPr="00D443AC">
        <w:rPr>
          <w:rFonts w:eastAsia="Times New Roman" w:cs="Calibri"/>
        </w:rPr>
        <w:t xml:space="preserve"> </w:t>
      </w:r>
      <w:r w:rsidRPr="00D443AC">
        <w:rPr>
          <w:rFonts w:eastAsia="Times New Roman" w:cs="Calibri"/>
        </w:rPr>
        <w:fldChar w:fldCharType="begin"/>
      </w:r>
      <w:r w:rsidRPr="00D443AC">
        <w:rPr>
          <w:rFonts w:eastAsia="Times New Roman" w:cs="Calibri"/>
        </w:rPr>
        <w:instrText>MERGEFIELD SlAsHrChAr!ADDIN CSL_CITATION {"citationItems":[{"id":"ITEM-1","itemData":{"abstract":"Indice de calidad de agua","author":[{"dropping-particle":"","family":"Mora-Alvarado","given":"D","non-dropping-particle":"","parse-names":false,"suffix":""},{"dropping-particle":"","family":"Orozco-Gutiérrez","given":"J","non-dropping-particle":"",SlAsHrChAr!"parse-names":false,"suffix":""},{"dropping-particle":"","family":"Rivera-Navarro","given":"P","non-dropping-particle":"","parse-names":false,"suffix":""},{"dropping-particle":"","family":"Solís-Castro","given":"Y","non-dropping-particle":"","parse-names":false,"suffix":""},{"dropping-particle":"","family":"Zúñiga-ZuñSlAsHrChAr!iga","given":"L","non-dropping-particle":"","parse-names":false,"suffix":""},{"dropping-particle":"","family":"Cambronero-Bolaños","given":"D","non-dropping-particle":"","parse-names":false,"suffix":""},{"dropping-particle":"","family":"Urbina-Campos","given":"A","non-dropping-particle":"","parse-names":false,"suffix":""}],"SlAsHrChAr!id":"ITEM-1","issued":{"date-parts":[["2018"]]},"title":"Índice de Riesgo de la Calidad del Agua para Consumo Humano en Costa Rica (IRCACH)","type":"report","volume":"2"},"uris":["http://www.mendeley.com/documents/?uuid=a0eb1f52-22d6-4c2e-a09f-fe7a0aaba2e7"]}],"mendeley":{"formattedCitation":"(Mora-Alvarado SlAsHrChAr!et al., 2018)","plainTextFormattedCitation":"(Mora-Alvarado et al., 2018)","previouslyFormattedCitation":"(Mora-Alvarado et al., 2018)"},"properties":{"noteIndex":0},"schema":"https://github.com/citation-style-language/schema/raw/master/csl-citation.json"}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(Mora-Alvarado et al., 2018)</w:t>
      </w:r>
      <w:r w:rsidRPr="00D443AC">
        <w:rPr>
          <w:rFonts w:eastAsia="Times New Roman" w:cs="Calibri"/>
        </w:rPr>
        <w:fldChar w:fldCharType="end"/>
      </w:r>
      <w:r w:rsidRPr="00D443AC">
        <w:rPr>
          <w:rFonts w:eastAsia="Times New Roman" w:cs="Calibri"/>
        </w:rPr>
        <w:t>.</w:t>
      </w:r>
    </w:p>
    <w:p w14:paraId="2221F227" w14:textId="32767EBB" w:rsidR="000E5799" w:rsidRPr="00D443AC" w:rsidRDefault="00225BC8">
      <w:pPr>
        <w:pStyle w:val="Newparagraph"/>
        <w:widowControl/>
        <w:spacing w:line="360" w:lineRule="auto"/>
        <w:jc w:val="both"/>
        <w:rPr>
          <w:rFonts w:eastAsia="Times New Roman" w:cs="Calibri"/>
        </w:rPr>
      </w:pPr>
      <w:r w:rsidRPr="00D443AC">
        <w:rPr>
          <w:rFonts w:eastAsia="Times New Roman" w:cs="Calibri"/>
        </w:rPr>
        <w:t>T</w:t>
      </w:r>
      <w:r w:rsidR="000E5799" w:rsidRPr="00D443AC">
        <w:rPr>
          <w:rFonts w:eastAsia="Times New Roman" w:cs="Calibri"/>
        </w:rPr>
        <w:t>he supply system of a rural CBWMO in Costa Rica was analyzed</w:t>
      </w:r>
      <w:r w:rsidRPr="00D443AC">
        <w:rPr>
          <w:rFonts w:eastAsia="Times New Roman" w:cs="Calibri"/>
        </w:rPr>
        <w:t xml:space="preserve"> in this research</w:t>
      </w:r>
      <w:r w:rsidR="000E5799" w:rsidRPr="00D443AC">
        <w:rPr>
          <w:rFonts w:eastAsia="Times New Roman" w:cs="Calibri"/>
        </w:rPr>
        <w:t>. This organization did not have prior studies to determine if the state of its disinfection systems direct</w:t>
      </w:r>
      <w:r w:rsidR="00110844" w:rsidRPr="00D443AC">
        <w:rPr>
          <w:rFonts w:eastAsia="Times New Roman" w:cs="Calibri"/>
        </w:rPr>
        <w:t>ly</w:t>
      </w:r>
      <w:r w:rsidR="000E5799" w:rsidRPr="00D443AC">
        <w:rPr>
          <w:rFonts w:eastAsia="Times New Roman" w:cs="Calibri"/>
        </w:rPr>
        <w:t xml:space="preserve"> impact</w:t>
      </w:r>
      <w:r w:rsidR="00110844" w:rsidRPr="00D443AC">
        <w:rPr>
          <w:rFonts w:eastAsia="Times New Roman" w:cs="Calibri"/>
        </w:rPr>
        <w:t>ed</w:t>
      </w:r>
      <w:r w:rsidR="000E5799" w:rsidRPr="00D443AC">
        <w:rPr>
          <w:rFonts w:eastAsia="Times New Roman" w:cs="Calibri"/>
        </w:rPr>
        <w:t xml:space="preserve"> water quality. In addition, chlorine demand was studied using an in situ method that helped to determine the optimal conditions for water chlorination in the main sources of the aqueduct.  Therefore, the objective of this research was to evaluate the state of the drinking water disinfection system in this rural aqueduct by determining water quality and studying the chlorine demand curve, as an input for the </w:t>
      </w:r>
      <w:r w:rsidR="00962829" w:rsidRPr="00D443AC">
        <w:rPr>
          <w:rFonts w:eastAsia="Times New Roman" w:cs="Calibri"/>
        </w:rPr>
        <w:t xml:space="preserve">development </w:t>
      </w:r>
      <w:r w:rsidR="000E5799" w:rsidRPr="00D443AC">
        <w:rPr>
          <w:rFonts w:eastAsia="Times New Roman" w:cs="Calibri"/>
        </w:rPr>
        <w:t>of technical and administrative capacities in strengthening the management of drinking water supplies.</w:t>
      </w:r>
    </w:p>
    <w:p w14:paraId="0B538D8D" w14:textId="77777777" w:rsidR="000E5799" w:rsidRPr="00D443AC" w:rsidRDefault="000E5799">
      <w:pPr>
        <w:pStyle w:val="Ttulo1"/>
        <w:widowControl/>
        <w:jc w:val="both"/>
        <w:rPr>
          <w:rFonts w:eastAsia="Times New Roman" w:cs="Calibri"/>
          <w:bCs w:val="0"/>
        </w:rPr>
      </w:pPr>
      <w:r w:rsidRPr="00D443AC">
        <w:rPr>
          <w:rFonts w:eastAsia="Times New Roman" w:cs="Calibri"/>
          <w:bCs w:val="0"/>
        </w:rPr>
        <w:t>Methodology</w:t>
      </w:r>
    </w:p>
    <w:p w14:paraId="1F6A035C"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t>Description and recognition of the study area</w:t>
      </w:r>
    </w:p>
    <w:p w14:paraId="410FAF8C" w14:textId="09E89C32" w:rsidR="000E5799" w:rsidRPr="00D443AC" w:rsidRDefault="000E5799">
      <w:pPr>
        <w:pStyle w:val="Paragraph"/>
        <w:spacing w:line="360" w:lineRule="auto"/>
        <w:ind w:firstLine="720"/>
        <w:jc w:val="both"/>
        <w:rPr>
          <w:rFonts w:eastAsia="Times New Roman" w:cs="Calibri"/>
        </w:rPr>
      </w:pPr>
      <w:r w:rsidRPr="00D443AC">
        <w:rPr>
          <w:rFonts w:eastAsia="Times New Roman" w:cs="Calibri"/>
        </w:rPr>
        <w:t xml:space="preserve"> The Santa Rosa CBWMO is located in the canton of Poás, province of Alajuela, Costa Rica (10°6'</w:t>
      </w:r>
      <w:r w:rsidR="00FB5927" w:rsidRPr="00D443AC">
        <w:rPr>
          <w:rFonts w:eastAsia="Times New Roman" w:cs="Calibri"/>
        </w:rPr>
        <w:t>.1</w:t>
      </w:r>
      <w:r w:rsidRPr="00D443AC">
        <w:rPr>
          <w:rFonts w:eastAsia="Times New Roman" w:cs="Calibri"/>
        </w:rPr>
        <w:t>17"N 84°15'42.13"W). This system has 425 subscribers and caters to approximately 1,700 people.  The water supply system for human consumption is made up of two non-pumping distribution subsystems with their respective disinfection systems located in the upper and lower parts of the system, together with three water springs and seven storage tanks. Figure 1 shows the general distribution of the system:</w:t>
      </w:r>
    </w:p>
    <w:p w14:paraId="11CE6082" w14:textId="77777777" w:rsidR="000E5799" w:rsidRPr="00D443AC" w:rsidRDefault="000E5799">
      <w:pPr>
        <w:pStyle w:val="NormalWeb"/>
        <w:widowControl/>
        <w:rPr>
          <w:rFonts w:eastAsia="Times New Roman" w:cs="Calibri"/>
        </w:rPr>
      </w:pPr>
      <w:r w:rsidRPr="00D443AC">
        <w:rPr>
          <w:rFonts w:ascii="Calibri" w:eastAsia="Times New Roman" w:hAnsi="Calibri" w:cs="Calibri"/>
          <w:noProof/>
        </w:rPr>
        <w:lastRenderedPageBreak/>
        <w:drawing>
          <wp:inline distT="0" distB="0" distL="0" distR="0" wp14:anchorId="7A00A3DD" wp14:editId="61B6A6B5">
            <wp:extent cx="5614416" cy="312337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4416" cy="3123377"/>
                    </a:xfrm>
                    <a:prstGeom prst="rect">
                      <a:avLst/>
                    </a:prstGeom>
                    <a:noFill/>
                    <a:ln>
                      <a:noFill/>
                    </a:ln>
                  </pic:spPr>
                </pic:pic>
              </a:graphicData>
            </a:graphic>
          </wp:inline>
        </w:drawing>
      </w:r>
    </w:p>
    <w:p w14:paraId="35591C1E" w14:textId="77777777" w:rsidR="000E5799" w:rsidRPr="00D443AC" w:rsidRDefault="000E5799">
      <w:pPr>
        <w:pStyle w:val="Newparagraph"/>
        <w:widowControl/>
        <w:spacing w:line="360" w:lineRule="auto"/>
        <w:ind w:firstLine="0"/>
        <w:jc w:val="both"/>
        <w:rPr>
          <w:rFonts w:eastAsia="Times New Roman" w:cs="Calibri"/>
          <w:b/>
        </w:rPr>
      </w:pPr>
      <w:r w:rsidRPr="00D443AC">
        <w:rPr>
          <w:rFonts w:eastAsia="Times New Roman" w:cs="Calibri"/>
          <w:b/>
        </w:rPr>
        <w:t xml:space="preserve">Figure 1. </w:t>
      </w:r>
      <w:r w:rsidRPr="00D443AC">
        <w:rPr>
          <w:rFonts w:eastAsia="Times New Roman" w:cs="Calibri"/>
          <w:i/>
        </w:rPr>
        <w:t>Flowchart of the Santa Rosa CBWMO Supply System.</w:t>
      </w:r>
    </w:p>
    <w:p w14:paraId="369869EA"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t xml:space="preserve">Status identification of the disinfection system </w:t>
      </w:r>
    </w:p>
    <w:p w14:paraId="102406A2" w14:textId="06E8966B" w:rsidR="000E5799" w:rsidRPr="00D443AC" w:rsidRDefault="000E5799">
      <w:pPr>
        <w:pStyle w:val="Paragraph"/>
        <w:spacing w:before="0" w:line="360" w:lineRule="auto"/>
        <w:ind w:firstLine="720"/>
        <w:jc w:val="both"/>
        <w:rPr>
          <w:rFonts w:eastAsia="Times New Roman" w:cs="Calibri"/>
        </w:rPr>
      </w:pPr>
      <w:r w:rsidRPr="00D443AC">
        <w:rPr>
          <w:rFonts w:eastAsia="Times New Roman" w:cs="Calibri"/>
        </w:rPr>
        <w:t>Information regarding the distribution of the aqueduct was collected through structured surveys to CBWMO staff</w:t>
      </w:r>
      <w:r w:rsidR="001833A6" w:rsidRPr="00D443AC">
        <w:rPr>
          <w:rFonts w:eastAsia="Times New Roman" w:cs="Calibri"/>
        </w:rPr>
        <w:t xml:space="preserve"> and </w:t>
      </w:r>
      <w:r w:rsidR="00110844" w:rsidRPr="00D443AC">
        <w:rPr>
          <w:rFonts w:eastAsia="Times New Roman" w:cs="Calibri"/>
        </w:rPr>
        <w:t xml:space="preserve">a </w:t>
      </w:r>
      <w:r w:rsidR="001833A6" w:rsidRPr="00D443AC">
        <w:rPr>
          <w:rFonts w:eastAsia="Times New Roman" w:cs="Calibri"/>
        </w:rPr>
        <w:t xml:space="preserve">preliminary </w:t>
      </w:r>
      <w:r w:rsidRPr="00D443AC">
        <w:rPr>
          <w:rFonts w:eastAsia="Times New Roman" w:cs="Calibri"/>
        </w:rPr>
        <w:t>survey (August 2021). Additional technical information specific to the CBWMO was also consulted.</w:t>
      </w:r>
    </w:p>
    <w:p w14:paraId="511F3969" w14:textId="4832F333" w:rsidR="000E5799" w:rsidRPr="00A34E32" w:rsidRDefault="000E5799">
      <w:pPr>
        <w:pStyle w:val="Paragraph"/>
        <w:spacing w:line="360" w:lineRule="auto"/>
        <w:ind w:firstLine="708"/>
        <w:jc w:val="both"/>
        <w:rPr>
          <w:rFonts w:eastAsia="Times New Roman" w:cs="Calibri"/>
          <w:lang w:val="es-ES_tradnl"/>
        </w:rPr>
      </w:pPr>
      <w:r w:rsidRPr="00D443AC">
        <w:rPr>
          <w:rFonts w:eastAsia="Times New Roman" w:cs="Calibri"/>
        </w:rPr>
        <w:t xml:space="preserve">The survey instruments used were developed based on bibliographic material such as the Inspection Manual by the United States Environmental Protection Agency (US EPA) and documents issued by the World Health Organization (WHO) for water security </w:t>
      </w:r>
      <w:r w:rsidRPr="00D443AC">
        <w:rPr>
          <w:rFonts w:eastAsia="Times New Roman" w:cs="Calibri"/>
        </w:rPr>
        <w:fldChar w:fldCharType="begin"/>
      </w:r>
      <w:r w:rsidRPr="00D443AC">
        <w:rPr>
          <w:rFonts w:eastAsia="Times New Roman" w:cs="Calibri"/>
        </w:rPr>
        <w:instrText>MERGEFIELD ADDIN CSL_CITATION {"citationItems":[{"id":"ITEM-1","itemData":{"ISBN":"9789290225362","abstract":"A SlAsHrChAr!guide to strengthening chlorination practices in small-to medium-sized water supplies","author":[{"dropping-particle":"","family":"WHO","given":"","non-dropping-particle":"","parse-names":false,"suffix":""}],"id":"ITEM-1","issue":"July","issued":{"date-parts":[["2017"]]},"number-of-pages":"1-73","title":"Principles SlAsHrChAr!and Practices of Drinking-water Chlorination","type":"book"},"uris":["http://www.mendeley.com/documents/?uuid=a7769732-7821-43e0-9281-a9390ce768ca"]},{"id":"ITEM-2","itemData":{"author":[{"dropping-particle":"","family":"EPA","given":"","non-dropping-particle":"","parse-names":false,"suffix":""}],"id":"ITEM-2","issued":{"dateSlAsHrChAr!-parts":[["2001"]]},"title":"Manual Del Inspector - Cómo Realizar Inspecciones Sanitarias En Pequeños Sistemas de Agua","type":"report"},"uris":["http://www.mendeley.com/documents/?uuid=07e520f8-5006-4908-9a4d-c150aeffdf60"]},{"id":"ITEM-3","itemData":{"author":[{"dropping-particle":"de","family":"Salud","given":"MinisteSlAsHrChAr!rio","non-dropping-particle":"","parse-names":false,"suffix":""}],"container-title":"Reglamento para la calidad del Agua Potable","id":"ITEM-3","issued":{"date-parts":[["2015"]]},"title":"Anexo 5. Guía de inspección para la calidad del agua potable SlAsHrChAr!- SERSA","type":"article-newspaper"},"uris":["http://www.mendeley.com/documents/?uuid=f00acef3-271d-4ab0-b22e-a9b6e3482cbf"]},{"id":"ITEM-4","itemData":{"ISBN":"5667566656","author":[{"dropping-particle":"la","family":"República","given":"Presidente SlAsHrChAr!de","non-dropping-particle":"","parse-names":false,"suffix":""},{"dropping-particle":"de","family":"Salud","given":"Minsterio","non-dropping-particle":"","parse-names":false,"suffix":""}],"id":"ITEM-4","issued":{"date-parts":[["2015"]]},"title":"Decreto SlAsHrChAr!N° 32327-S: Reglamento Para La Calidad Del Agua Potable","type":"report"},"uris":["http://www.mendeley.com/documents/?uuid=5a2bf542-c1f6-473b-9e9d-54c776ecc4bb"]}],"mendeley":{"formattedCitation":"(EPA, 2001; República &amp; Salud, 2015; Salud, 2015; SlAsHrChAr!WHO, 2017)","manualFormatting":"(EPA, 2001; WHO, 2017)","plainTextFormattedCitation":"(EPA, 2001; República &amp; Salud, 2015; Salud, 2015; WHO, 2017)","previouslyFormattedCitation":"(EPA, 2001; República &amp; Salud, 2015; Salud, 2015; WHO, 2017)"},"properties":{"noteIndex":0},"schema":"https://github.com/citation-style-language/sSlAsHrChAr!chema/raw/master/csl-citation.json"}</w:instrText>
      </w:r>
      <w:r w:rsidRPr="00D443AC">
        <w:rPr>
          <w:rFonts w:eastAsia="Times New Roman" w:cs="Calibri"/>
        </w:rPr>
        <w:fldChar w:fldCharType="separate"/>
      </w:r>
      <w:r w:rsidRPr="00D443AC">
        <w:rPr>
          <w:rFonts w:eastAsia="Times New Roman" w:cs="Calibri"/>
        </w:rPr>
        <w:t>(EPA, 2001; WHO, 2017)</w:t>
      </w:r>
      <w:r w:rsidRPr="00D443AC">
        <w:rPr>
          <w:rFonts w:eastAsia="Times New Roman" w:cs="Calibri"/>
        </w:rPr>
        <w:fldChar w:fldCharType="end"/>
      </w:r>
      <w:r w:rsidRPr="00D443AC">
        <w:rPr>
          <w:rFonts w:eastAsia="Times New Roman" w:cs="Calibri"/>
        </w:rPr>
        <w:t xml:space="preserve">. </w:t>
      </w:r>
      <w:r w:rsidR="001833A6" w:rsidRPr="00D443AC">
        <w:rPr>
          <w:rFonts w:eastAsia="Times New Roman" w:cs="Calibri"/>
        </w:rPr>
        <w:t xml:space="preserve">In addition, </w:t>
      </w:r>
      <w:r w:rsidRPr="00D443AC">
        <w:rPr>
          <w:rFonts w:eastAsia="Times New Roman" w:cs="Calibri"/>
        </w:rPr>
        <w:t xml:space="preserve">an adaptation of the guidelines of the Standardized Health Regulation System (SERSA) included in the Costa Rican Quality Regulations for Drinking Water (RCAP) was applied. These guidelines consist of a questionnaire on structural and operational aspects of the disinfection system and, in turn, the questionnaire assigns a rating according to the number of positive critical points found in the inspection </w:t>
      </w:r>
      <w:r w:rsidRPr="00D443AC">
        <w:rPr>
          <w:rFonts w:eastAsia="Times New Roman" w:cs="Calibri"/>
        </w:rPr>
        <w:fldChar w:fldCharType="begin"/>
      </w:r>
      <w:r w:rsidRPr="00D443AC">
        <w:rPr>
          <w:rFonts w:eastAsia="Times New Roman" w:cs="Calibri"/>
        </w:rPr>
        <w:instrText>MERGEFIELD ADDIN CSL_CITATION {"citationItems":[{"id":"ITEM-1","itemData":{"ISBN":"5667566656","author":[{"dropping-particle":"la","family":"República","given":"Presidente SlAsHrChAr!de","non-dropping-particle":"","parse-names":false,"suffix":""},{"dropping-particle":"de","family":"Salud","given":"Minsterio","non-dropping-particle":"","parse-names":false,"suffix":""}],"id":"ITEM-1","issued":{"date-parts":[["2015"]]},"title":"Decreto SlAsHrChAr!N° 32327-S: Reglamento Para La Calidad Del Agua Potable","type":"report"},"uris":["http://www.mendeley.com/documents/?uuid=5a2bf542-c1f6-473b-9e9d-54c776ecc4bb"]},{"id":"ITEM-2","itemData":{"ISBN":"9789968641708","author":[{"dropping-particle":"","family":"Gaviria-Montoya","given":"L.","non-dropping-particle":"","parse-namesSlAsHrChAr!":false,"suffix":""},{"dropping-particle":"","family":"Pino-Góme","given":"M.","non-dropping-particle":"","parse-names":false,"suffix":""},{"dropping-particle":"","family":"Soto-Córdoba","given":"S.","non-dropping-particle":"","parse-names":false,"suffix":""}],"id":"ITEM-2","issued":{"date-parts":[["2016"]]},"number-of-SlAsHrChAr!pages":"38","publisher-place":"Cartago","title":"EVALUACIÓN DE LA GESTIÓN DE LA ASADA DE COT, COT, OREAMUNO, DESDE UNA PERSPECTIVA DEL USO SOSTENIBLE DEL RECURSO HÍDRICO","type":"report"},"uris":["http://www.mendeley.com/documents/?uuid=3b0594b7-3182-4bbe-b1ca-c046e2f992f1"]},{"id":"ITEM-3","itemData":{"abstract":"ModerSlAsHrChAr!n Evolutionary Economics Evolutionary economics sees the economy as always in motion with change being driven largely by continuing innovation. This approach to economics, heavily infl uenced by the work of Joseph Schumpeter, saw a revival as an alternative SlAsHrChAr!way of thinking about economic advancement as a result of Richard Nelson and Sidney Winter’s seminal book, An Evolutionary Theory of Economic Change , fi rst published in 1982. In this long- awaited follow- up, Nelson is joined by leading fi gures SlAsHrChAr!in the fi eld of evolutionary economics, reviewing in detail how this</w:instrText>
      </w:r>
      <w:r w:rsidRPr="00A34E32">
        <w:rPr>
          <w:rFonts w:eastAsia="Times New Roman" w:cs="Calibri"/>
          <w:lang w:val="es-ES_tradnl"/>
        </w:rPr>
        <w:instrText xml:space="preserve"> perspective has been manifest in various areas of economic inquiry where evolutionary economists have been active. Providing the perfect overview for interested economists and social SlAsHrChAr!scientists, readers will learn how in each of the diverse fi elds featured, evolutionary economics has enabled an improved understanding of how and why economic progress occurs. Richard","author":[{"dropping-particle":"","family":"Villalobos","given":"María SlAsHrChAr!Mónica Chavarría","non-dropping-particle":"","parse-names":false,"suffix":""}],"container-title":"Tecnológico de Costa Rica","id":"ITEM-3","issued":{"date-parts":[["2019"]]},"number-of-pages":"5-24","title":"Evaluación y propuesta de mejora SlAsHrChAr!del sistema de abastecimiento de agua potable de la ASADA Paquera de Puntarenas","type":"thesis"},"uris":["http://www.mendeley.com/documents/?uuid=8dc26561-7ede-4b38-ba78-b512eb872b35"]}],"mendeley":{"formattedCitation":"(Gaviria-Montoya, Pino-Góme, SlAsHrChAr!et al., 2016; República &amp; Salud, 2015; Villalobos, 2019)","manualFormatting":"(Gaviria-Montoya et al., 2016a; Ministerio de Salud, 2015; Villalobos, 2019)","plainTextFormattedCitation":"(Gaviria-Montoya, Pino-Góme, et al., 2016; República &amp; Salud, SlAsHrChAr!2015; Villalobos, 2019)","previouslyFormattedCitation":"(Gaviria-Montoya, Pino-Góme, et al., 2016; República &amp; Salud, 2015; Villalobos, 2019)"},"properties":{"noteIndex":0},"schema":"https://github.com/citation-style-language/schema/raw/master/csl-citation.json"}</w:instrText>
      </w:r>
      <w:r w:rsidRPr="00D443AC">
        <w:rPr>
          <w:rFonts w:eastAsia="Times New Roman" w:cs="Calibri"/>
        </w:rPr>
        <w:fldChar w:fldCharType="separate"/>
      </w:r>
      <w:r w:rsidRPr="00A34E32">
        <w:rPr>
          <w:rFonts w:eastAsia="Times New Roman" w:cs="Calibri"/>
          <w:lang w:val="es-ES_tradnl"/>
        </w:rPr>
        <w:t>(Gaviria-Montoya et al., 2016a; Minist</w:t>
      </w:r>
      <w:r w:rsidR="00D7233C" w:rsidRPr="00A34E32">
        <w:rPr>
          <w:rFonts w:eastAsia="Times New Roman" w:cs="Calibri"/>
          <w:lang w:val="es-ES_tradnl"/>
        </w:rPr>
        <w:t>erio de Salud</w:t>
      </w:r>
      <w:r w:rsidRPr="00A34E32">
        <w:rPr>
          <w:rFonts w:eastAsia="Times New Roman" w:cs="Calibri"/>
          <w:lang w:val="es-ES_tradnl"/>
        </w:rPr>
        <w:t>, 2015; Villalobos, 2019)</w:t>
      </w:r>
      <w:r w:rsidRPr="00D443AC">
        <w:rPr>
          <w:rFonts w:eastAsia="Times New Roman" w:cs="Calibri"/>
        </w:rPr>
        <w:fldChar w:fldCharType="end"/>
      </w:r>
      <w:r w:rsidRPr="00A34E32">
        <w:rPr>
          <w:rFonts w:eastAsia="Times New Roman" w:cs="Calibri"/>
          <w:lang w:val="es-ES_tradnl"/>
        </w:rPr>
        <w:t>.</w:t>
      </w:r>
    </w:p>
    <w:p w14:paraId="35EA52B4" w14:textId="77777777" w:rsidR="000E5799" w:rsidRPr="00A34E32" w:rsidRDefault="000E5799">
      <w:pPr>
        <w:pStyle w:val="Ttulo2"/>
        <w:widowControl/>
        <w:jc w:val="both"/>
        <w:rPr>
          <w:rFonts w:eastAsia="Times New Roman" w:cs="Calibri"/>
          <w:bCs w:val="0"/>
          <w:iCs w:val="0"/>
          <w:lang w:val="es-ES_tradnl"/>
        </w:rPr>
      </w:pPr>
      <w:proofErr w:type="spellStart"/>
      <w:r w:rsidRPr="00A34E32">
        <w:rPr>
          <w:rFonts w:eastAsia="Times New Roman" w:cs="Calibri"/>
          <w:bCs w:val="0"/>
          <w:iCs w:val="0"/>
          <w:lang w:val="es-ES_tradnl"/>
        </w:rPr>
        <w:t>Determining</w:t>
      </w:r>
      <w:proofErr w:type="spellEnd"/>
      <w:r w:rsidRPr="00A34E32">
        <w:rPr>
          <w:rFonts w:eastAsia="Times New Roman" w:cs="Calibri"/>
          <w:bCs w:val="0"/>
          <w:iCs w:val="0"/>
          <w:lang w:val="es-ES_tradnl"/>
        </w:rPr>
        <w:t xml:space="preserve"> </w:t>
      </w:r>
      <w:proofErr w:type="spellStart"/>
      <w:r w:rsidRPr="00A34E32">
        <w:rPr>
          <w:rFonts w:eastAsia="Times New Roman" w:cs="Calibri"/>
          <w:bCs w:val="0"/>
          <w:iCs w:val="0"/>
          <w:lang w:val="es-ES_tradnl"/>
        </w:rPr>
        <w:t>water</w:t>
      </w:r>
      <w:proofErr w:type="spellEnd"/>
      <w:r w:rsidRPr="00A34E32">
        <w:rPr>
          <w:rFonts w:eastAsia="Times New Roman" w:cs="Calibri"/>
          <w:bCs w:val="0"/>
          <w:iCs w:val="0"/>
          <w:lang w:val="es-ES_tradnl"/>
        </w:rPr>
        <w:t xml:space="preserve"> </w:t>
      </w:r>
      <w:proofErr w:type="spellStart"/>
      <w:r w:rsidRPr="00A34E32">
        <w:rPr>
          <w:rFonts w:eastAsia="Times New Roman" w:cs="Calibri"/>
          <w:bCs w:val="0"/>
          <w:iCs w:val="0"/>
          <w:lang w:val="es-ES_tradnl"/>
        </w:rPr>
        <w:t>quality</w:t>
      </w:r>
      <w:proofErr w:type="spellEnd"/>
    </w:p>
    <w:p w14:paraId="797389E5" w14:textId="220A33AF" w:rsidR="000E5799" w:rsidRPr="00D443AC" w:rsidRDefault="000E5799">
      <w:pPr>
        <w:pStyle w:val="Paragraph"/>
        <w:spacing w:before="0" w:line="360" w:lineRule="auto"/>
        <w:ind w:firstLine="720"/>
        <w:jc w:val="both"/>
        <w:rPr>
          <w:rFonts w:eastAsia="Times New Roman" w:cs="Calibri"/>
        </w:rPr>
      </w:pPr>
      <w:r w:rsidRPr="00D443AC">
        <w:rPr>
          <w:rFonts w:eastAsia="Times New Roman" w:cs="Calibri"/>
        </w:rPr>
        <w:t xml:space="preserve">A total of 10 sample points were defined, distributed in the water sources (ASR-01, </w:t>
      </w:r>
      <w:r w:rsidRPr="00D443AC">
        <w:rPr>
          <w:rFonts w:eastAsia="Times New Roman" w:cs="Calibri"/>
        </w:rPr>
        <w:lastRenderedPageBreak/>
        <w:t xml:space="preserve">ASR-02, ASR-03), in the storage tanks (ASR-04, ASR-05, ASR-06), and in the most distant sites of the distribution network (ASR-07, ASR-08, ASR-09, ASR-10). Three sampling </w:t>
      </w:r>
      <w:r w:rsidR="00D837F6" w:rsidRPr="00D443AC">
        <w:rPr>
          <w:rFonts w:eastAsia="Times New Roman" w:cs="Calibri"/>
        </w:rPr>
        <w:t xml:space="preserve">campaigns </w:t>
      </w:r>
      <w:r w:rsidRPr="00D443AC">
        <w:rPr>
          <w:rFonts w:eastAsia="Times New Roman" w:cs="Calibri"/>
        </w:rPr>
        <w:t xml:space="preserve">were conducted during the </w:t>
      </w:r>
      <w:r w:rsidR="00102B68" w:rsidRPr="00D443AC">
        <w:rPr>
          <w:rFonts w:eastAsia="Times New Roman" w:cs="Calibri"/>
        </w:rPr>
        <w:t>wet</w:t>
      </w:r>
      <w:r w:rsidRPr="00D443AC">
        <w:rPr>
          <w:rFonts w:eastAsia="Times New Roman" w:cs="Calibri"/>
        </w:rPr>
        <w:t xml:space="preserve"> season (08/2021-10/2021), and a total of 30 samples were processed with more than 870 analyses between physicochemical and microbiological parameters related to water quality (</w:t>
      </w:r>
      <w:proofErr w:type="spellStart"/>
      <w:r w:rsidRPr="00D443AC">
        <w:rPr>
          <w:rFonts w:eastAsia="Times New Roman" w:cs="Calibri"/>
        </w:rPr>
        <w:fldChar w:fldCharType="begin"/>
      </w:r>
      <w:r w:rsidRPr="00D443AC">
        <w:rPr>
          <w:rFonts w:eastAsia="Times New Roman" w:cs="Calibri"/>
        </w:rPr>
        <w:instrText>MERGEFIELD ADDIN CSL_CITATION {"citationItems":[{"id":"ITEM-1","itemData":{"ISBN":"5667566656","author":[{"dropping-particle":"la","family":"República","given":"PresidentSlAsHrChAr!e de","non-dropping-particle":"","parse-names":false,"suffix":""},{"dropping-particle":"de","family":"Salud","given":"Minsterio","non-dropping-particle":"","parse-names":false,"suffix":""}],"id":"ITEM-1","issued":{"date-parts":[["2015"]]},"title":"Decreto SlAsHrChAr!N° 32327-S: Reglamento Para La Calidad Del Agua Potable","type":"report"},"uris":["http://www.mendeley.com/documents/?uuid=5a2bf542-c1f6-473b-9e9d-54c776ecc4bb"]}],"mendeley":{"formattedCitation":"(República &amp; Salud, 2015)","manualFormatting":"Ministerio SlAsHrChAr!de Salud, 2015)","plainTextFormattedCitation":"(República &amp; Salud, 2015)","previouslyFormattedCitation":"(República &amp; Salud, 2015)"},"properties":{"noteIndex":0},"schema":"https://github.com/citation-style-language/schema/raw/master/csl-citation.json"}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Ministerio</w:t>
      </w:r>
      <w:proofErr w:type="spellEnd"/>
      <w:r w:rsidRPr="00D443AC">
        <w:rPr>
          <w:rFonts w:eastAsia="Times New Roman" w:cs="Calibri"/>
        </w:rPr>
        <w:t xml:space="preserve"> de Salud, 2015)</w:t>
      </w:r>
      <w:r w:rsidRPr="00D443AC">
        <w:rPr>
          <w:rFonts w:eastAsia="Times New Roman" w:cs="Calibri"/>
        </w:rPr>
        <w:fldChar w:fldCharType="end"/>
      </w:r>
      <w:r w:rsidRPr="00D443AC">
        <w:rPr>
          <w:rFonts w:eastAsia="Times New Roman" w:cs="Calibri"/>
        </w:rPr>
        <w:t>.</w:t>
      </w:r>
    </w:p>
    <w:p w14:paraId="607E1378" w14:textId="77777777" w:rsidR="000E5799" w:rsidRPr="00D443AC" w:rsidRDefault="000E5799">
      <w:pPr>
        <w:pStyle w:val="Paragraph"/>
        <w:spacing w:before="0" w:line="360" w:lineRule="auto"/>
        <w:ind w:firstLine="720"/>
        <w:jc w:val="both"/>
        <w:rPr>
          <w:rFonts w:eastAsia="Times New Roman" w:cs="Calibri"/>
        </w:rPr>
      </w:pPr>
      <w:r w:rsidRPr="00D443AC">
        <w:rPr>
          <w:rFonts w:eastAsia="Times New Roman" w:cs="Calibri"/>
        </w:rPr>
        <w:t xml:space="preserve">All samples were collected according to the specifications of method 1060 C of the Standard Methods for the Examination of Water and Waste Water </w:t>
      </w:r>
      <w:r w:rsidRPr="00D443AC">
        <w:rPr>
          <w:rFonts w:eastAsia="Times New Roman" w:cs="Calibri"/>
        </w:rPr>
        <w:fldChar w:fldCharType="begin"/>
      </w:r>
      <w:r w:rsidRPr="00D443AC">
        <w:rPr>
          <w:rFonts w:eastAsia="Times New Roman" w:cs="Calibri"/>
        </w:rPr>
        <w:instrText>MERGEFIELD ADDIN CSL_CITATION SlAsHrChAr!{"citationItems":[{"id":"ITEM-1","itemData":{"DOI":"10.1016/B978-0-12-382165-2.00237-3","ISBN":"9780123821652","abstract":"The application of forensic science requires expert knowledge supported by quality systems consisting of such elements as accreditation, SlAsHrChAr!and documented and validated practices and procedures, based on published research and certification schemes. Forensic standards play an important role in minimizing variations in practices and procedures within and between forensic facilities, which SlAsHrChAr!may impact on the results obtained from an examination or the way the result is interpreted and reported. Agreed standards ensure robust, reliable, and consistent results and are an important part of the quality system globally. The development of forensic SlAsHrChAr!standards ensures the continuing reliability and quality of forensic science and the continued confidence of investigators and the courts.","author":[{"dropping-particle":"","family":"APHA","given":"","non-dropping-particle":"","parse-names":false,"suffix":""}],"container-title":"American SlAsHrChAr!Public Health Association","edition":"23nd ed","id":"ITEM-1","issued":{"date-parts":[["2017"]]},"publisher-place":"Washington, DC","title":"Standard Methods for the Examination of Water and Wastewater","type":"book"},"uris":["http://www.mendeley.com/documents/?uuid=1bd3ca1c-5bc6-427d-a4a8-d398ca59e4fd"]}],"mendeley":{"formattedSlAsHrChAr!Citation":"(APHA, 2017)","plainTextFormattedCitation":"(APHA, 2017)","previouslyFormattedCitation":"(APHA, 2017)"},"properties":{"noteIndex":0},"schema":"https://github.com/citation-style-language/schema/raw/master/csl-citation.json"}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(APHA, 2017)</w:t>
      </w:r>
      <w:r w:rsidRPr="00D443AC">
        <w:rPr>
          <w:rFonts w:eastAsia="Times New Roman" w:cs="Calibri"/>
        </w:rPr>
        <w:fldChar w:fldCharType="end"/>
      </w:r>
      <w:r w:rsidRPr="00D443AC">
        <w:rPr>
          <w:rFonts w:eastAsia="Times New Roman" w:cs="Calibri"/>
        </w:rPr>
        <w:t xml:space="preserve">. Samples were transported at a temperature below 6°C, in high density polyethylene (HDPE) plastic containers for physicochemical analysis and non-reusable sterilized vials for microbiological analysis. </w:t>
      </w:r>
    </w:p>
    <w:p w14:paraId="5FBDD768" w14:textId="31EE8A1C" w:rsidR="000E5799" w:rsidRPr="00D443AC" w:rsidRDefault="000E5799">
      <w:pPr>
        <w:pStyle w:val="Paragraph"/>
        <w:spacing w:before="0" w:line="360" w:lineRule="auto"/>
        <w:ind w:firstLine="720"/>
        <w:jc w:val="both"/>
        <w:rPr>
          <w:rFonts w:eastAsia="Times New Roman" w:cs="Calibri"/>
        </w:rPr>
      </w:pPr>
      <w:r w:rsidRPr="00D443AC">
        <w:rPr>
          <w:rFonts w:eastAsia="Times New Roman" w:cs="Calibri"/>
        </w:rPr>
        <w:t>Temperature, pH, conductivity, and the oxidation-reduction potential were measured in situ using a Hanna Instruments HI9829-00041 multiparameter meter (RI, USA)</w:t>
      </w:r>
      <w:r w:rsidR="00B85CF1" w:rsidRPr="00D443AC">
        <w:rPr>
          <w:rFonts w:eastAsia="Times New Roman" w:cs="Calibri"/>
        </w:rPr>
        <w:t>;</w:t>
      </w:r>
      <w:r w:rsidRPr="00D443AC">
        <w:rPr>
          <w:rFonts w:eastAsia="Times New Roman" w:cs="Calibri"/>
        </w:rPr>
        <w:t xml:space="preserve"> turbidity was measured using an Oakton T100 turbidity meter (Il, USA)</w:t>
      </w:r>
      <w:r w:rsidR="003F234E" w:rsidRPr="00D443AC">
        <w:rPr>
          <w:rFonts w:eastAsia="Times New Roman" w:cs="Calibri"/>
        </w:rPr>
        <w:t>;</w:t>
      </w:r>
      <w:r w:rsidRPr="00D443AC">
        <w:rPr>
          <w:rFonts w:eastAsia="Times New Roman" w:cs="Calibri"/>
        </w:rPr>
        <w:t xml:space="preserve"> and free residual chlorine and total alkalinity were measured using colorimetric methods with Hanna Instruments HI701 and HI775 </w:t>
      </w:r>
      <w:r w:rsidR="003F234E" w:rsidRPr="00D443AC">
        <w:rPr>
          <w:rFonts w:eastAsia="Times New Roman" w:cs="Calibri"/>
        </w:rPr>
        <w:t>checkers</w:t>
      </w:r>
      <w:r w:rsidRPr="00D443AC">
        <w:rPr>
          <w:rFonts w:eastAsia="Times New Roman" w:cs="Calibri"/>
        </w:rPr>
        <w:t xml:space="preserve">, respectively (RI, USA). </w:t>
      </w:r>
    </w:p>
    <w:p w14:paraId="10FD9171" w14:textId="6AD0D9A5" w:rsidR="000E5799" w:rsidRPr="00D443AC" w:rsidRDefault="000E5799">
      <w:pPr>
        <w:pStyle w:val="Paragraph"/>
        <w:spacing w:before="0" w:line="360" w:lineRule="auto"/>
        <w:ind w:firstLine="708"/>
        <w:jc w:val="both"/>
        <w:rPr>
          <w:rFonts w:eastAsia="Times New Roman" w:cs="Calibri"/>
        </w:rPr>
      </w:pPr>
      <w:r w:rsidRPr="00D443AC">
        <w:rPr>
          <w:rFonts w:eastAsia="Times New Roman" w:cs="Calibri"/>
        </w:rPr>
        <w:t xml:space="preserve">Total dissolved solids were determined by gravimetry at 180 °C and previously filtered with 0.45 </w:t>
      </w:r>
      <w:r w:rsidRPr="00D443AC">
        <w:rPr>
          <w:rFonts w:ascii="Symbol" w:eastAsia="Times New Roman" w:hAnsi="Symbol" w:cs="Calibri"/>
        </w:rPr>
        <w:t></w:t>
      </w:r>
      <w:r w:rsidRPr="00D443AC">
        <w:rPr>
          <w:rFonts w:eastAsia="Times New Roman" w:cs="Calibri"/>
        </w:rPr>
        <w:t>m filters (SMEWW 2540 C), and hardness was determined by volumetry using an EDTA standard solution (SMEWW 2340 C). Ion chromatography (Thermo ICS 5000, CA, USA) was used to analyze anions Cl</w:t>
      </w:r>
      <w:r w:rsidRPr="00D443AC">
        <w:rPr>
          <w:rFonts w:eastAsia="Times New Roman" w:cs="Calibri"/>
          <w:vertAlign w:val="superscript"/>
        </w:rPr>
        <w:t>-</w:t>
      </w:r>
      <w:r w:rsidRPr="00D443AC">
        <w:rPr>
          <w:rFonts w:eastAsia="Times New Roman" w:cs="Calibri"/>
        </w:rPr>
        <w:t>, Br</w:t>
      </w:r>
      <w:r w:rsidRPr="00D443AC">
        <w:rPr>
          <w:rFonts w:eastAsia="Times New Roman" w:cs="Calibri"/>
          <w:vertAlign w:val="superscript"/>
        </w:rPr>
        <w:t>-</w:t>
      </w:r>
      <w:r w:rsidRPr="00D443AC">
        <w:rPr>
          <w:rFonts w:eastAsia="Times New Roman" w:cs="Calibri"/>
        </w:rPr>
        <w:t>, F</w:t>
      </w:r>
      <w:r w:rsidRPr="00D443AC">
        <w:rPr>
          <w:rFonts w:eastAsia="Times New Roman" w:cs="Calibri"/>
          <w:vertAlign w:val="superscript"/>
        </w:rPr>
        <w:t>-</w:t>
      </w:r>
      <w:r w:rsidRPr="00D443AC">
        <w:rPr>
          <w:rFonts w:eastAsia="Times New Roman" w:cs="Calibri"/>
        </w:rPr>
        <w:t>, NO</w:t>
      </w:r>
      <w:r w:rsidRPr="00D443AC">
        <w:rPr>
          <w:rFonts w:eastAsia="Times New Roman" w:cs="Calibri"/>
          <w:vertAlign w:val="subscript"/>
        </w:rPr>
        <w:t>3</w:t>
      </w:r>
      <w:r w:rsidRPr="00D443AC">
        <w:rPr>
          <w:rFonts w:eastAsia="Times New Roman" w:cs="Calibri"/>
          <w:vertAlign w:val="superscript"/>
        </w:rPr>
        <w:t>-</w:t>
      </w:r>
      <w:r w:rsidRPr="00D443AC">
        <w:rPr>
          <w:rFonts w:eastAsia="Times New Roman" w:cs="Calibri"/>
        </w:rPr>
        <w:t>, NO</w:t>
      </w:r>
      <w:r w:rsidRPr="00D443AC">
        <w:rPr>
          <w:rFonts w:eastAsia="Times New Roman" w:cs="Calibri"/>
          <w:vertAlign w:val="subscript"/>
        </w:rPr>
        <w:t>2</w:t>
      </w:r>
      <w:r w:rsidRPr="00D443AC">
        <w:rPr>
          <w:rFonts w:eastAsia="Times New Roman" w:cs="Calibri"/>
          <w:vertAlign w:val="superscript"/>
        </w:rPr>
        <w:t>-</w:t>
      </w:r>
      <w:r w:rsidRPr="00D443AC">
        <w:rPr>
          <w:rFonts w:eastAsia="Times New Roman" w:cs="Calibri"/>
        </w:rPr>
        <w:t>, SO</w:t>
      </w:r>
      <w:r w:rsidRPr="00D443AC">
        <w:rPr>
          <w:rFonts w:eastAsia="Times New Roman" w:cs="Calibri"/>
          <w:vertAlign w:val="subscript"/>
        </w:rPr>
        <w:t>4</w:t>
      </w:r>
      <w:r w:rsidRPr="00D443AC">
        <w:rPr>
          <w:rFonts w:eastAsia="Times New Roman" w:cs="Calibri"/>
          <w:vertAlign w:val="superscript"/>
        </w:rPr>
        <w:t>2-</w:t>
      </w:r>
      <w:r w:rsidRPr="00D443AC">
        <w:rPr>
          <w:rFonts w:eastAsia="Times New Roman" w:cs="Calibri"/>
        </w:rPr>
        <w:t>, as well as cations Li</w:t>
      </w:r>
      <w:r w:rsidRPr="00D443AC">
        <w:rPr>
          <w:rFonts w:eastAsia="Times New Roman" w:cs="Calibri"/>
          <w:vertAlign w:val="superscript"/>
        </w:rPr>
        <w:t>+</w:t>
      </w:r>
      <w:r w:rsidRPr="00D443AC">
        <w:rPr>
          <w:rFonts w:eastAsia="Times New Roman" w:cs="Calibri"/>
        </w:rPr>
        <w:t>, Na</w:t>
      </w:r>
      <w:r w:rsidRPr="00D443AC">
        <w:rPr>
          <w:rFonts w:eastAsia="Times New Roman" w:cs="Calibri"/>
          <w:vertAlign w:val="superscript"/>
        </w:rPr>
        <w:t>+</w:t>
      </w:r>
      <w:r w:rsidRPr="00D443AC">
        <w:rPr>
          <w:rFonts w:eastAsia="Times New Roman" w:cs="Calibri"/>
        </w:rPr>
        <w:t>, K</w:t>
      </w:r>
      <w:r w:rsidRPr="00D443AC">
        <w:rPr>
          <w:rFonts w:eastAsia="Times New Roman" w:cs="Calibri"/>
          <w:vertAlign w:val="superscript"/>
        </w:rPr>
        <w:t>+</w:t>
      </w:r>
      <w:r w:rsidRPr="00D443AC">
        <w:rPr>
          <w:rFonts w:eastAsia="Times New Roman" w:cs="Calibri"/>
        </w:rPr>
        <w:t>,</w:t>
      </w:r>
      <w:r w:rsidRPr="00D443AC">
        <w:rPr>
          <w:rFonts w:eastAsia="Times New Roman" w:cs="Calibri"/>
          <w:vertAlign w:val="superscript"/>
        </w:rPr>
        <w:t xml:space="preserve"> </w:t>
      </w:r>
      <w:r w:rsidRPr="00D443AC">
        <w:rPr>
          <w:rFonts w:eastAsia="Times New Roman" w:cs="Calibri"/>
        </w:rPr>
        <w:t>Ca</w:t>
      </w:r>
      <w:r w:rsidRPr="00D443AC">
        <w:rPr>
          <w:rFonts w:eastAsia="Times New Roman" w:cs="Calibri"/>
          <w:vertAlign w:val="superscript"/>
        </w:rPr>
        <w:t>2+</w:t>
      </w:r>
      <w:r w:rsidRPr="00D443AC">
        <w:rPr>
          <w:rFonts w:eastAsia="Times New Roman" w:cs="Calibri"/>
        </w:rPr>
        <w:t>, Mg</w:t>
      </w:r>
      <w:r w:rsidRPr="00D443AC">
        <w:rPr>
          <w:rFonts w:eastAsia="Times New Roman" w:cs="Calibri"/>
          <w:vertAlign w:val="superscript"/>
        </w:rPr>
        <w:t>2+</w:t>
      </w:r>
      <w:r w:rsidRPr="00D443AC">
        <w:rPr>
          <w:rFonts w:eastAsia="Times New Roman" w:cs="Calibri"/>
        </w:rPr>
        <w:t xml:space="preserve"> and NH</w:t>
      </w:r>
      <w:r w:rsidRPr="00D443AC">
        <w:rPr>
          <w:rFonts w:eastAsia="Times New Roman" w:cs="Calibri"/>
          <w:vertAlign w:val="subscript"/>
        </w:rPr>
        <w:t>4</w:t>
      </w:r>
      <w:r w:rsidRPr="00D443AC">
        <w:rPr>
          <w:rFonts w:eastAsia="Times New Roman" w:cs="Calibri"/>
          <w:vertAlign w:val="superscript"/>
        </w:rPr>
        <w:t>+</w:t>
      </w:r>
      <w:r w:rsidRPr="00D443AC">
        <w:rPr>
          <w:rFonts w:eastAsia="Times New Roman" w:cs="Calibri"/>
        </w:rPr>
        <w:t xml:space="preserve"> (SMEWW 4110 B). Minor metals (Cu, Fe, Mn, and Zn) were analyzed by air-acetylene flame atomic absorption spectrometry (SMEWW 3111 B) (Perkin Elmer </w:t>
      </w:r>
      <w:proofErr w:type="spellStart"/>
      <w:r w:rsidRPr="00D443AC">
        <w:rPr>
          <w:rFonts w:eastAsia="Times New Roman" w:cs="Calibri"/>
        </w:rPr>
        <w:t>AAnalyst</w:t>
      </w:r>
      <w:proofErr w:type="spellEnd"/>
      <w:r w:rsidRPr="00D443AC">
        <w:rPr>
          <w:rFonts w:eastAsia="Times New Roman" w:cs="Calibri"/>
        </w:rPr>
        <w:t xml:space="preserve"> 800, CT, USA). Finally, microbiological analyses (total coliforms and </w:t>
      </w:r>
      <w:r w:rsidRPr="00D443AC">
        <w:rPr>
          <w:rFonts w:eastAsia="Times New Roman" w:cs="Calibri"/>
          <w:i/>
        </w:rPr>
        <w:t>Escherichia coli</w:t>
      </w:r>
      <w:r w:rsidRPr="00D443AC">
        <w:rPr>
          <w:rFonts w:eastAsia="Times New Roman" w:cs="Calibri"/>
        </w:rPr>
        <w:t xml:space="preserve">) were conducted by the Microbial Biotechnology Laboratory of the School of Biological Sciences of the National University using the multiple tube fermentation technique (SMEWW 9221 E and 9223 B) with </w:t>
      </w:r>
      <w:proofErr w:type="spellStart"/>
      <w:r w:rsidRPr="00D443AC">
        <w:rPr>
          <w:rFonts w:eastAsia="Times New Roman" w:cs="Calibri"/>
        </w:rPr>
        <w:t>Fluorocult</w:t>
      </w:r>
      <w:proofErr w:type="spellEnd"/>
      <w:r w:rsidRPr="00D443AC">
        <w:rPr>
          <w:rFonts w:eastAsia="Times New Roman" w:cs="Calibri"/>
        </w:rPr>
        <w:t xml:space="preserve">® medium, at </w:t>
      </w:r>
      <w:r w:rsidR="00110844" w:rsidRPr="00D443AC">
        <w:rPr>
          <w:rFonts w:eastAsia="Times New Roman" w:cs="Calibri"/>
        </w:rPr>
        <w:t xml:space="preserve">a </w:t>
      </w:r>
      <w:r w:rsidRPr="00D443AC">
        <w:rPr>
          <w:rFonts w:eastAsia="Times New Roman" w:cs="Calibri"/>
        </w:rPr>
        <w:t>double concentration (Bartram &amp; Ballance, 1996; Merck, 2005), quantifying the results with Table 9221 IV.</w:t>
      </w:r>
    </w:p>
    <w:p w14:paraId="6AC15BAA"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t>Chlorine demand analysis</w:t>
      </w:r>
    </w:p>
    <w:p w14:paraId="16E66AC4" w14:textId="28C83471" w:rsidR="000E5799" w:rsidRPr="00D443AC" w:rsidRDefault="000E5799">
      <w:pPr>
        <w:pStyle w:val="Paragraph"/>
        <w:spacing w:line="360" w:lineRule="auto"/>
        <w:ind w:firstLine="720"/>
        <w:jc w:val="both"/>
        <w:rPr>
          <w:rFonts w:eastAsia="Times New Roman" w:cs="Calibri"/>
        </w:rPr>
      </w:pPr>
      <w:r w:rsidRPr="00D443AC">
        <w:rPr>
          <w:rFonts w:eastAsia="Times New Roman" w:cs="Calibri"/>
        </w:rPr>
        <w:t xml:space="preserve">Chlorine demand was analyzed in springs ASR-02 and ASR-03, the two main springs of the aqueduct that services the largest number of users. Both springs belong to subsystem 2. This </w:t>
      </w:r>
      <w:r w:rsidR="00A16FA0" w:rsidRPr="00D443AC">
        <w:rPr>
          <w:rFonts w:eastAsia="Times New Roman" w:cs="Calibri"/>
        </w:rPr>
        <w:t>analysis</w:t>
      </w:r>
      <w:r w:rsidRPr="00D443AC">
        <w:rPr>
          <w:rFonts w:eastAsia="Times New Roman" w:cs="Calibri"/>
        </w:rPr>
        <w:t xml:space="preserve"> was carried out in 3 sampling </w:t>
      </w:r>
      <w:r w:rsidR="00D837F6" w:rsidRPr="00D443AC">
        <w:rPr>
          <w:rFonts w:eastAsia="Times New Roman" w:cs="Calibri"/>
        </w:rPr>
        <w:t xml:space="preserve">campaigns </w:t>
      </w:r>
      <w:r w:rsidRPr="00D443AC">
        <w:rPr>
          <w:rFonts w:eastAsia="Times New Roman" w:cs="Calibri"/>
        </w:rPr>
        <w:t xml:space="preserve">during the </w:t>
      </w:r>
      <w:r w:rsidR="00102B68" w:rsidRPr="00D443AC">
        <w:rPr>
          <w:rFonts w:eastAsia="Times New Roman" w:cs="Calibri"/>
        </w:rPr>
        <w:t>wet</w:t>
      </w:r>
      <w:r w:rsidRPr="00D443AC">
        <w:rPr>
          <w:rFonts w:eastAsia="Times New Roman" w:cs="Calibri"/>
        </w:rPr>
        <w:t xml:space="preserve"> season, as it corresponds to the most complex operating period (i.e. </w:t>
      </w:r>
      <w:r w:rsidR="00E6787D" w:rsidRPr="00D443AC">
        <w:rPr>
          <w:rFonts w:eastAsia="Times New Roman" w:cs="Calibri"/>
        </w:rPr>
        <w:t xml:space="preserve">flow </w:t>
      </w:r>
      <w:r w:rsidRPr="00D443AC">
        <w:rPr>
          <w:rFonts w:eastAsia="Times New Roman" w:cs="Calibri"/>
        </w:rPr>
        <w:t>increase, increase</w:t>
      </w:r>
      <w:r w:rsidR="00E6787D" w:rsidRPr="00D443AC">
        <w:rPr>
          <w:rFonts w:eastAsia="Times New Roman" w:cs="Calibri"/>
        </w:rPr>
        <w:t xml:space="preserve"> of</w:t>
      </w:r>
      <w:r w:rsidRPr="00D443AC">
        <w:rPr>
          <w:rFonts w:eastAsia="Times New Roman" w:cs="Calibri"/>
        </w:rPr>
        <w:t xml:space="preserve"> concentration of dissolved </w:t>
      </w:r>
      <w:r w:rsidRPr="00D443AC">
        <w:rPr>
          <w:rFonts w:eastAsia="Times New Roman" w:cs="Calibri"/>
        </w:rPr>
        <w:lastRenderedPageBreak/>
        <w:t xml:space="preserve">substances in the water). The methodology used was based on SMEWW, method 2350 B (APHA, 2017). Fresh samples were taken directly from the springs, and </w:t>
      </w:r>
      <w:r w:rsidR="00C1795B" w:rsidRPr="00D443AC">
        <w:rPr>
          <w:rFonts w:eastAsia="Times New Roman" w:cs="Calibri"/>
        </w:rPr>
        <w:t>spiked</w:t>
      </w:r>
      <w:r w:rsidRPr="00D443AC">
        <w:rPr>
          <w:rFonts w:eastAsia="Times New Roman" w:cs="Calibri"/>
        </w:rPr>
        <w:t xml:space="preserve"> doses of chlorine were later added with the same type of substance used by CBWMO in its system. Samples were allowed to stand for 30 minutes for the active chlorine to have the minimum contact time recommended by WHO </w:t>
      </w:r>
      <w:r w:rsidRPr="00D443AC">
        <w:rPr>
          <w:rFonts w:eastAsia="Times New Roman" w:cs="Calibri"/>
        </w:rPr>
        <w:fldChar w:fldCharType="begin"/>
      </w:r>
      <w:r w:rsidRPr="00D443AC">
        <w:rPr>
          <w:rFonts w:eastAsia="Times New Roman" w:cs="Calibri"/>
        </w:rPr>
        <w:instrText>MERGEFIELD SlAsHrChAr!ADDIN CSL_CITATION {"citationItems":[{"id":"ITEM-1","itemData":{"ISBN":"9789290225362","abstract":"A guide to strengthening chlorination practices in small-to medium-sized water supplies","author":[{"dropping-particle":"","family":"WHO","given":"","non-dropping-particle":"","parse-names":false,"suffix":""}],"id":"ITEM-1","issueSlAsHrChAr!":"July","issued":{"date-parts":[["2017"]]},"number-of-pages":"1-73","title":"Principles and Practices of Drinking-water Chlorination","type":"book"},"uris":["http://www.mendeley.com/documents/?uuid=a7769732-7821-43e0-9281-a9390ce768ca"]}],"mendeley":{"formattedCitation":"(WHO, SlAsHrChAr!2017)","plainTextFormattedCitation":"(WHO, 2017)","previouslyFormattedCitation":"(WHO, 2017)"},"properties":{"noteIndex":0},"schema":"https://github.com/citation-style-language/schema/raw/master/csl-citation.json"}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(WHO, 2017)</w:t>
      </w:r>
      <w:r w:rsidRPr="00D443AC">
        <w:rPr>
          <w:rFonts w:eastAsia="Times New Roman" w:cs="Calibri"/>
        </w:rPr>
        <w:fldChar w:fldCharType="end"/>
      </w:r>
      <w:r w:rsidRPr="00D443AC">
        <w:rPr>
          <w:rFonts w:eastAsia="Times New Roman" w:cs="Calibri"/>
        </w:rPr>
        <w:t>. The chlorine concentration was later analyzed based on the 4500-Cl G method using a Hanna Instruments HI701 colorimeter (RI, USA).</w:t>
      </w:r>
    </w:p>
    <w:p w14:paraId="209AAB29" w14:textId="554E0387" w:rsidR="000E5799" w:rsidRPr="00D443AC" w:rsidRDefault="000E5799">
      <w:pPr>
        <w:pStyle w:val="Paragraph"/>
        <w:spacing w:line="360" w:lineRule="auto"/>
        <w:ind w:firstLine="720"/>
        <w:jc w:val="both"/>
        <w:rPr>
          <w:rFonts w:eastAsia="Times New Roman" w:cs="Calibri"/>
        </w:rPr>
      </w:pPr>
      <w:r w:rsidRPr="00D443AC">
        <w:rPr>
          <w:rFonts w:eastAsia="Times New Roman" w:cs="Calibri"/>
        </w:rPr>
        <w:t>The concentration of free residual chlorine vs the added dose</w:t>
      </w:r>
      <w:r w:rsidR="00263BBF" w:rsidRPr="00D443AC">
        <w:rPr>
          <w:rFonts w:eastAsia="Times New Roman" w:cs="Calibri"/>
        </w:rPr>
        <w:t>s</w:t>
      </w:r>
      <w:r w:rsidRPr="00D443AC">
        <w:rPr>
          <w:rFonts w:eastAsia="Times New Roman" w:cs="Calibri"/>
        </w:rPr>
        <w:t xml:space="preserve"> of chlorine </w:t>
      </w:r>
      <w:r w:rsidR="00263BBF" w:rsidRPr="00D443AC">
        <w:rPr>
          <w:rFonts w:eastAsia="Times New Roman" w:cs="Calibri"/>
        </w:rPr>
        <w:t>were</w:t>
      </w:r>
      <w:r w:rsidRPr="00D443AC">
        <w:rPr>
          <w:rFonts w:eastAsia="Times New Roman" w:cs="Calibri"/>
        </w:rPr>
        <w:t xml:space="preserve"> plotted to obtain the respective demand curves. In addition, </w:t>
      </w:r>
      <w:r w:rsidR="00263BBF" w:rsidRPr="00D443AC">
        <w:rPr>
          <w:rFonts w:eastAsia="Times New Roman" w:cs="Calibri"/>
        </w:rPr>
        <w:t>to</w:t>
      </w:r>
      <w:r w:rsidRPr="00D443AC">
        <w:rPr>
          <w:rFonts w:eastAsia="Times New Roman" w:cs="Calibri"/>
        </w:rPr>
        <w:t xml:space="preserve"> ensure the homogeneity of the chlorine concentration in the system, the concentration of free chlorine was analyzed in the tanks and in the distribution network, at different times after chlorination (i.e. </w:t>
      </w:r>
      <w:r w:rsidR="00110844" w:rsidRPr="00D443AC">
        <w:rPr>
          <w:rFonts w:eastAsia="Times New Roman" w:cs="Calibri"/>
        </w:rPr>
        <w:t>2 days</w:t>
      </w:r>
      <w:r w:rsidRPr="00D443AC">
        <w:rPr>
          <w:rFonts w:eastAsia="Times New Roman" w:cs="Calibri"/>
        </w:rPr>
        <w:t xml:space="preserve"> and </w:t>
      </w:r>
      <w:r w:rsidR="00110844" w:rsidRPr="00D443AC">
        <w:rPr>
          <w:rFonts w:eastAsia="Times New Roman" w:cs="Calibri"/>
        </w:rPr>
        <w:t>10 days</w:t>
      </w:r>
      <w:r w:rsidRPr="00D443AC">
        <w:rPr>
          <w:rFonts w:eastAsia="Times New Roman" w:cs="Calibri"/>
        </w:rPr>
        <w:t xml:space="preserve">). These results were contrasted using non-parametric inferential statistics. </w:t>
      </w:r>
    </w:p>
    <w:p w14:paraId="68A50215"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t>Disinfection proposal</w:t>
      </w:r>
    </w:p>
    <w:p w14:paraId="1D4DD6B1" w14:textId="3F302167" w:rsidR="000E5799" w:rsidRPr="00D443AC" w:rsidRDefault="000E5799">
      <w:pPr>
        <w:pStyle w:val="Newparagraph"/>
        <w:widowControl/>
        <w:spacing w:line="360" w:lineRule="auto"/>
        <w:jc w:val="both"/>
        <w:rPr>
          <w:rFonts w:eastAsia="Times New Roman" w:cs="Calibri"/>
        </w:rPr>
      </w:pPr>
      <w:r w:rsidRPr="00D443AC">
        <w:rPr>
          <w:rFonts w:eastAsia="Times New Roman" w:cs="Calibri"/>
        </w:rPr>
        <w:t>The disinfection proposal for CBWMO was based on the daily volume of water to be disinfected, the percentage of chlorine available from each tablet</w:t>
      </w:r>
      <w:r w:rsidR="006C78EC">
        <w:rPr>
          <w:rFonts w:eastAsia="Times New Roman" w:cs="Calibri"/>
        </w:rPr>
        <w:t>,</w:t>
      </w:r>
      <w:r w:rsidRPr="00D443AC">
        <w:rPr>
          <w:rFonts w:eastAsia="Times New Roman" w:cs="Calibri"/>
        </w:rPr>
        <w:t xml:space="preserve"> and the concentration defined by the chlorine demand (at the level of residual chlorine concentration desired by the system operator). Thus, using equation 1, an optimal chlorine dose is established in grams:</w:t>
      </w:r>
    </w:p>
    <w:p w14:paraId="4E320FD4" w14:textId="37BBC77B" w:rsidR="000E5799" w:rsidRPr="00D443AC" w:rsidRDefault="003777E0" w:rsidP="003777E0">
      <w:pPr>
        <w:widowControl/>
        <w:autoSpaceDE/>
        <w:autoSpaceDN/>
        <w:adjustRightInd/>
        <w:spacing w:line="360" w:lineRule="auto"/>
        <w:ind w:left="-295" w:firstLine="655"/>
        <w:jc w:val="center"/>
        <w:rPr>
          <w:rFonts w:eastAsia="Times New Roman" w:cs="Calibri"/>
        </w:rPr>
      </w:pPr>
      <w:r w:rsidRPr="00D443AC">
        <w:rPr>
          <w:sz w:val="28"/>
          <w:szCs w:val="28"/>
        </w:rPr>
        <w:t xml:space="preserve">P = </w:t>
      </w:r>
      <m:oMath>
        <m:f>
          <m:fPr>
            <m:ctrlPr>
              <w:rPr>
                <w:rFonts w:ascii="Cambria Math" w:hAnsi="Cambria Math"/>
                <w:i/>
                <w:sz w:val="28"/>
                <w:szCs w:val="28"/>
              </w:rPr>
            </m:ctrlPr>
          </m:fPr>
          <m:num>
            <m:r>
              <w:rPr>
                <w:rFonts w:ascii="Cambria Math" w:hAnsi="Cambria Math"/>
                <w:sz w:val="28"/>
                <w:szCs w:val="28"/>
              </w:rPr>
              <m:t>V*</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n</m:t>
                </m:r>
              </m:sub>
            </m:sSub>
          </m:num>
          <m:den>
            <m:r>
              <w:rPr>
                <w:rFonts w:ascii="Cambria Math" w:hAnsi="Cambria Math"/>
                <w:sz w:val="28"/>
                <w:szCs w:val="28"/>
              </w:rPr>
              <m:t>10* %Cl</m:t>
            </m:r>
          </m:den>
        </m:f>
      </m:oMath>
      <w:r w:rsidR="000E5799" w:rsidRPr="00D443AC">
        <w:rPr>
          <w:rFonts w:eastAsia="Times New Roman"/>
          <w:lang w:eastAsia="en-GB"/>
          <w14:ligatures w14:val="none"/>
        </w:rPr>
        <w:t xml:space="preserve"> </w:t>
      </w:r>
      <w:r w:rsidR="000E5799" w:rsidRPr="00D443AC">
        <w:rPr>
          <w:rFonts w:eastAsia="Times New Roman"/>
          <w:lang w:eastAsia="en-GB"/>
          <w14:ligatures w14:val="none"/>
        </w:rPr>
        <w:fldChar w:fldCharType="begin"/>
      </w:r>
      <w:r w:rsidR="000E5799" w:rsidRPr="00D443AC">
        <w:rPr>
          <w:rFonts w:eastAsia="Times New Roman"/>
          <w:lang w:eastAsia="en-GB"/>
          <w14:ligatures w14:val="none"/>
        </w:rPr>
        <w:instrText>MERGEFIELD SlAsHrChAr!ADDIN CSL_CITATION {"citationItems":[{"id":"ITEM-1","itemData":{"author":[{"dropping-particle":"","family":"Mora","given":"S.","non-dropping-particle":"","parse-names":false,"suffix":""}],"id":"ITEM-1","issued":{"date-parts":[["2011"]]},"number-of-pages":"186","title":"Evaluación SlAsHrChAr!de las principales tecnologíás utilizadas en Costa Rica para la desinfección de agua","type":"thesis"},"uris":["http://www.mendeley.com/documents/?uuid=fa3ef112-0466-4611-b531-9a13e05d1d05"]}],"mendeley":{"formattedCitation":"(S. Mora, 2011)","manualFormatting":"(Mora, SlAsHrChAr!2011)","plainTextFormattedCitation":"(S. Mora, 2011)","previouslyFormattedCitation":"(S. Mora, 2011)"},"properties":{"noteIndex":0},"schema":"https://github.com/citation-style-language/schema/raw/master/csl-citation.json"}</w:instrText>
      </w:r>
      <w:r w:rsidR="000E5799" w:rsidRPr="00D443AC">
        <w:rPr>
          <w:rFonts w:eastAsia="Times New Roman"/>
          <w:lang w:eastAsia="en-GB"/>
          <w14:ligatures w14:val="none"/>
        </w:rPr>
        <w:fldChar w:fldCharType="separate"/>
      </w:r>
      <w:r w:rsidR="000E5799" w:rsidRPr="00D443AC">
        <w:rPr>
          <w:rFonts w:eastAsia="Times New Roman"/>
          <w:lang w:eastAsia="en-GB"/>
          <w14:ligatures w14:val="none"/>
        </w:rPr>
        <w:t>(Mora, 2011)</w:t>
      </w:r>
      <w:r w:rsidR="000E5799" w:rsidRPr="00D443AC">
        <w:rPr>
          <w:rFonts w:eastAsia="Times New Roman"/>
          <w:lang w:eastAsia="en-GB"/>
          <w14:ligatures w14:val="none"/>
        </w:rPr>
        <w:fldChar w:fldCharType="end"/>
      </w:r>
    </w:p>
    <w:p w14:paraId="71961573" w14:textId="77777777" w:rsidR="000E5799" w:rsidRPr="00D443AC" w:rsidRDefault="000E5799">
      <w:pPr>
        <w:widowControl/>
        <w:spacing w:line="360" w:lineRule="auto"/>
        <w:rPr>
          <w:rFonts w:eastAsia="Times New Roman" w:cs="Calibri"/>
        </w:rPr>
      </w:pPr>
      <w:r w:rsidRPr="00D443AC">
        <w:rPr>
          <w:rFonts w:eastAsia="Times New Roman" w:cs="Calibri"/>
        </w:rPr>
        <w:t>Where:</w:t>
      </w:r>
    </w:p>
    <w:p w14:paraId="25C1CA06" w14:textId="77777777" w:rsidR="000E5799" w:rsidRPr="00D443AC" w:rsidRDefault="000E5799">
      <w:pPr>
        <w:widowControl/>
        <w:spacing w:line="276" w:lineRule="auto"/>
        <w:jc w:val="both"/>
        <w:rPr>
          <w:rFonts w:eastAsia="Times New Roman" w:cs="Calibri"/>
        </w:rPr>
      </w:pPr>
      <w:r w:rsidRPr="00D443AC">
        <w:rPr>
          <w:rFonts w:eastAsia="Times New Roman" w:cs="Calibri"/>
        </w:rPr>
        <w:t xml:space="preserve">P = Dose of chlorine added in grams </w:t>
      </w:r>
    </w:p>
    <w:p w14:paraId="16701BBA" w14:textId="77777777" w:rsidR="000E5799" w:rsidRPr="00D443AC" w:rsidRDefault="000E5799">
      <w:pPr>
        <w:widowControl/>
        <w:spacing w:line="276" w:lineRule="auto"/>
        <w:jc w:val="both"/>
        <w:rPr>
          <w:rFonts w:eastAsia="Times New Roman" w:cs="Calibri"/>
        </w:rPr>
      </w:pPr>
      <w:r w:rsidRPr="00D443AC">
        <w:rPr>
          <w:rFonts w:eastAsia="Times New Roman" w:cs="Calibri"/>
        </w:rPr>
        <w:t>V = Volume to be disinfected for one day (L)</w:t>
      </w:r>
    </w:p>
    <w:p w14:paraId="65E4765A" w14:textId="77777777" w:rsidR="000E5799" w:rsidRPr="00D443AC" w:rsidRDefault="000E5799">
      <w:pPr>
        <w:widowControl/>
        <w:spacing w:line="276" w:lineRule="auto"/>
        <w:jc w:val="both"/>
        <w:rPr>
          <w:rFonts w:eastAsia="Times New Roman" w:cs="Calibri"/>
        </w:rPr>
      </w:pPr>
      <w:r w:rsidRPr="00D443AC">
        <w:rPr>
          <w:rFonts w:eastAsia="Times New Roman" w:cs="Calibri"/>
        </w:rPr>
        <w:t>C</w:t>
      </w:r>
      <w:r w:rsidRPr="00D443AC">
        <w:rPr>
          <w:rFonts w:eastAsia="Times New Roman" w:cs="Calibri"/>
          <w:vertAlign w:val="subscript"/>
        </w:rPr>
        <w:t>n</w:t>
      </w:r>
      <w:r w:rsidRPr="00D443AC">
        <w:rPr>
          <w:rFonts w:eastAsia="Times New Roman" w:cs="Calibri"/>
        </w:rPr>
        <w:t xml:space="preserve"> = Chlorine concentration needed according to demand (mg/L) </w:t>
      </w:r>
    </w:p>
    <w:p w14:paraId="089D34FD" w14:textId="77777777" w:rsidR="000E5799" w:rsidRPr="00D443AC" w:rsidRDefault="000E5799">
      <w:pPr>
        <w:widowControl/>
        <w:spacing w:line="276" w:lineRule="auto"/>
        <w:jc w:val="both"/>
        <w:rPr>
          <w:rFonts w:eastAsia="Times New Roman" w:cs="Calibri"/>
        </w:rPr>
      </w:pPr>
      <w:r w:rsidRPr="00D443AC">
        <w:rPr>
          <w:rFonts w:eastAsia="Times New Roman" w:cs="Calibri"/>
        </w:rPr>
        <w:t xml:space="preserve">%Cl: Percentage of chlorine in the tablets </w:t>
      </w:r>
    </w:p>
    <w:p w14:paraId="12067CAB"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t xml:space="preserve">Result analysis </w:t>
      </w:r>
    </w:p>
    <w:p w14:paraId="1DE96CC9" w14:textId="6FE569D0"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To ensure the quality of the results obtained, blank samples were prepared in all analytical procedures and analyzed simultaneously with the samples. Control samples were also analyzed to verify and calibrate the equipment used. They were prepared using reference materials traceable to the National Institute of Standards and Technology (NIST). In addition, the ion balance (CBE) was calculated using an acceptable limit of ±10% as a general criterion since </w:t>
      </w:r>
      <w:r w:rsidRPr="00D443AC">
        <w:rPr>
          <w:rFonts w:eastAsia="Times New Roman" w:cs="Calibri"/>
        </w:rPr>
        <w:lastRenderedPageBreak/>
        <w:t>sample</w:t>
      </w:r>
      <w:r w:rsidR="00642D4B" w:rsidRPr="00D443AC">
        <w:rPr>
          <w:rFonts w:eastAsia="Times New Roman" w:cs="Calibri"/>
        </w:rPr>
        <w:t xml:space="preserve"> </w:t>
      </w:r>
      <w:r w:rsidRPr="00D443AC">
        <w:rPr>
          <w:rFonts w:eastAsia="Times New Roman" w:cs="Calibri"/>
        </w:rPr>
        <w:t>conductivities</w:t>
      </w:r>
      <w:r w:rsidR="00184B9E" w:rsidRPr="00D443AC">
        <w:rPr>
          <w:rFonts w:eastAsia="Times New Roman" w:cs="Calibri"/>
        </w:rPr>
        <w:t xml:space="preserve"> </w:t>
      </w:r>
      <w:r w:rsidR="00881923" w:rsidRPr="00D443AC">
        <w:rPr>
          <w:rFonts w:eastAsia="Times New Roman" w:cs="Calibri"/>
        </w:rPr>
        <w:t>varie</w:t>
      </w:r>
      <w:r w:rsidR="00642D4B" w:rsidRPr="00D443AC">
        <w:rPr>
          <w:rFonts w:eastAsia="Times New Roman" w:cs="Calibri"/>
        </w:rPr>
        <w:t>d</w:t>
      </w:r>
      <w:r w:rsidRPr="00D443AC">
        <w:rPr>
          <w:rFonts w:eastAsia="Times New Roman" w:cs="Calibri"/>
        </w:rPr>
        <w:t xml:space="preserve"> </w:t>
      </w:r>
      <w:r w:rsidR="00642D4B" w:rsidRPr="00D443AC">
        <w:rPr>
          <w:rFonts w:eastAsia="Times New Roman" w:cs="Calibri"/>
        </w:rPr>
        <w:t>from</w:t>
      </w:r>
      <w:r w:rsidRPr="00D443AC">
        <w:rPr>
          <w:rFonts w:eastAsia="Times New Roman" w:cs="Calibri"/>
        </w:rPr>
        <w:t xml:space="preserve"> 50 </w:t>
      </w:r>
      <w:proofErr w:type="spellStart"/>
      <w:r w:rsidRPr="00D443AC">
        <w:rPr>
          <w:rFonts w:eastAsia="Times New Roman" w:cs="Calibri"/>
        </w:rPr>
        <w:t>μS</w:t>
      </w:r>
      <w:proofErr w:type="spellEnd"/>
      <w:r w:rsidRPr="00D443AC">
        <w:rPr>
          <w:rFonts w:eastAsia="Times New Roman" w:cs="Calibri"/>
        </w:rPr>
        <w:t xml:space="preserve">/cm </w:t>
      </w:r>
      <w:r w:rsidR="00642D4B" w:rsidRPr="00D443AC">
        <w:rPr>
          <w:rFonts w:eastAsia="Times New Roman" w:cs="Calibri"/>
        </w:rPr>
        <w:t>to</w:t>
      </w:r>
      <w:r w:rsidRPr="00D443AC">
        <w:rPr>
          <w:rFonts w:eastAsia="Times New Roman" w:cs="Calibri"/>
        </w:rPr>
        <w:t xml:space="preserve"> 200 </w:t>
      </w:r>
      <w:proofErr w:type="spellStart"/>
      <w:r w:rsidRPr="00D443AC">
        <w:rPr>
          <w:rFonts w:eastAsia="Times New Roman" w:cs="Calibri"/>
        </w:rPr>
        <w:t>μS</w:t>
      </w:r>
      <w:proofErr w:type="spellEnd"/>
      <w:r w:rsidRPr="00D443AC">
        <w:rPr>
          <w:rFonts w:eastAsia="Times New Roman" w:cs="Calibri"/>
        </w:rPr>
        <w:t xml:space="preserve">/cm </w:t>
      </w:r>
      <w:r w:rsidRPr="00D443AC">
        <w:rPr>
          <w:rFonts w:eastAsia="Times New Roman" w:cs="Calibri"/>
        </w:rPr>
        <w:fldChar w:fldCharType="begin"/>
      </w:r>
      <w:r w:rsidRPr="00D443AC">
        <w:rPr>
          <w:rFonts w:eastAsia="Times New Roman" w:cs="Calibri"/>
        </w:rPr>
        <w:instrText>MERGEFIELD ADDIN CSL_CITATION {"citationItems":[{"id":"ITEM-1","itemData":{"DOI":"10.1007/s12517-019-4827-9","ISBN":"1251701948279","ISSN":"18667538","abstract":"The SlAsHrChAr!aim of the present work is to evaluate the suitability of Churni River water for irrigation based on major physical and chemical parameters of 83 water samples collected during February 2011–December 2017 (one in every month) at two stations: Majdia SlAsHrChAr!and Ranaghat. The physical parameters measured are electrical conductivity (EC) (204–697 μS/cm for Majdia and 182–731 μS/cm for Ranaghat) and total dissolved solids (TDS) (40–526 mg/L for Majdia and 84–496 mg/L SlAsHrChAr!for Ranaghat). Besides, ion chemistry of four cations (concentration order: Ca2+ &gt; Mg2+ &gt; Na+ &gt; K+) and four anions (HCO3− &gt; CO32− &gt; Cl− &gt; SO42−) depicts good ionic combination (ion balance error within 10%) and suitability SlAsHrChAr!of water for irrigation as indicated by the lower value of sodicity hazard (sodium absorption ratio (SAR) of 0.07–0.52 for Majdia and 0.05–0.52 for Ranaghat), alkalinity hazard (residual sodium carbonate of 2–10 for Majdia and 2–SlAsHrChAr!13 for Ranaghat) and permeability hazard (permeability index of 39–74 for Majdia and 40–139 for Ranaghat). Similarly, the compound ranking method locates the water samples of both the stations at 1.57 on a 1–3 scale when 1, 2 and SlAsHrChAr!3 indicate good, permissible and unsuitable, respectively. Finally, ANOVA shows no significant difference in water quality except SAR between the upstream (Majdia) and downstream (Ranaghat) areas of the river.","author":[{"dropping-particle":"","family":"Sarkar","given":"Biplab","non-dropping-particle":"","parse-names":false,"suffiSlAsHrChAr!x":""},{"dropping-particle":"","family":"Islam","given":"Aznarul","non-dropping-particle":"","parse-names":false,"suffix":""}],"container-title":"Arabian Journal of Geosciences","id":"ITEM-1","issue":"20","issued":{"date-parts":[["2019"]]},"publisher":"Arabian SlAsHrChAr!Journal of Geosciences","title":"Assessing the suitability of water for irrigation using major physical parameters and ion chemistry: a study of the Churni River, India","type":"article-journal","volume":"12"},"uris":["http://www.mendeley.com/documents/?uuid=bb76e411-5d9d-4fc9-ac37-93f924a2742a"]},{"id":"ITEM-2","itemData":{"ISSSlAsHrChAr!N":"09751033","abstract":"This paper provides an insight into the reliability checking options through error assessment for analytical water quality data with a case study, which will be useful for the researchers working on the analytical chemistry. SlAsHrChAr!The reliability of chemical analysis has to be verified in a scientific manner before the data is used for further interpretation. The distributions of data values were presented using box plots. The four ion balancing methods, namely anion-cation balance, SlAsHrChAr!measured total dissolved solids (TDS) Vs calculated TDS, measured electrical conductivity (EC) Vs ion sums and calculated TDS to EC ratio were applied on the surface water quality data of Cauvery River in Erode region, Tamil Nadu, India. It was found SlAsHrChAr!that the errors of the analysis were within the acceptable limits except 14 samples in percentage difference calculations.","author":[{"dropping-particle":"","family":"Mageshkumar","given":"P.","non-dropping-particle":"","parse-names":false,"suffix":""},{"dropping-particle":"","family":"Vennila","given":"G.","non-dropping-particlSlAsHrChAr!e":"","parse-names":false,"suffix":""}],"container-title":"Indian Journal of Geo-Marine Sciences","id":"ITEM-2","issue":"1","issued":{"date-parts":[["2020"]]},"page":"57-62","title":"Assessment of errors in water quality data using ion balancing methods SlAsHrChAr!- A case study from Cauvery River, South India","type":"article-journal","volume":"49"},"uris":["http://www.mendeley.com/documents/?uuid=359b1d6e-6f6a-48e9-878d-16ef34263c34"]}],"mendeley":{"formattedCitation":"(Mageshkumar &amp; Vennila, 2020; Sarkar SlAsHrChAr!&amp; Islam, 2019)","manualFormatting":"(Mageshkumar y Vennila, 2020; Sarkar y Islam, 2019)","plainTextFormattedCitation":"(Mageshkumar &amp; Vennila, 2020; Sarkar &amp; Islam, 2019)","previouslyFormattedCitation":"(Mageshkumar &amp; Vennila, 2020; Sarkar &amp; Islam, 2019)"},"properties":{"noteIndex":0},"schema":"https://github.com/citation-style-lSlAsHrChAr!anguage/schema/raw/master/csl-citation.json"}</w:instrText>
      </w:r>
      <w:r w:rsidRPr="00D443AC">
        <w:rPr>
          <w:rFonts w:eastAsia="Times New Roman" w:cs="Calibri"/>
        </w:rPr>
        <w:fldChar w:fldCharType="separate"/>
      </w:r>
      <w:r w:rsidRPr="00D443AC">
        <w:rPr>
          <w:rFonts w:eastAsia="Times New Roman" w:cs="Calibri"/>
        </w:rPr>
        <w:t>(Mageshkumar &amp; Vennila, 2020; Sarkar &amp; Islam, 2019)</w:t>
      </w:r>
      <w:r w:rsidRPr="00D443AC">
        <w:rPr>
          <w:rFonts w:eastAsia="Times New Roman" w:cs="Calibri"/>
        </w:rPr>
        <w:fldChar w:fldCharType="end"/>
      </w:r>
      <w:r w:rsidRPr="00D443AC">
        <w:rPr>
          <w:rFonts w:eastAsia="Times New Roman" w:cs="Calibri"/>
        </w:rPr>
        <w:t>.</w:t>
      </w:r>
    </w:p>
    <w:p w14:paraId="1EFF2B7F" w14:textId="77777777"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The values obtained for each variable were compared with current national regulations (RCAP) and WHO standards (WHO, 2011) for drinking water. In addition, in order to determine the risk to people's health, the Costa Rican Drinking Water Quality Risk Index (IRCACH) </w:t>
      </w:r>
      <w:r w:rsidRPr="00D443AC">
        <w:rPr>
          <w:rFonts w:eastAsia="Times New Roman" w:cs="Calibri"/>
        </w:rPr>
        <w:fldChar w:fldCharType="begin"/>
      </w:r>
      <w:r w:rsidRPr="00D443AC">
        <w:rPr>
          <w:rFonts w:eastAsia="Times New Roman" w:cs="Calibri"/>
        </w:rPr>
        <w:instrText>MERGEFIELD ADDIN CSL_CITATION {"citationItems":[{"id":"ITEM-1","itemData":{"abstract":"Indice SlAsHrChAr!de calidad de agua","author":[{"dropping-particle":"","family":"Mora-Alvarado","given":"D","non-dropping-particle":"","parse-names":false,"suffix":""},{"dropping-particle":"","family":"Orozco-Gutiérrez","given":"J","non-dropping-particle":"","parse-names":false,"suffix":""},{"dropping-particle":"","family":"Rivera-Navarro","SlAsHrChAr!given":"P","non-dropping-particle":"","parse-names":false,"suffix":""},{"dropping-particle":"","family":"Solís-Castro","given":"Y","non-dropping-particle":"","parse-names":false,"suffix":""},{"dropping-particle":"","family":"Zúñiga-Zuñiga","given":"L","non-dropping-particle":"","parse-names":false,"suffix":""},{"drSlAsHrChAr!opping-particle":"","family":"Cambronero-Bolaños","given":"D","non-dropping-particle":"","parse-names":false,"suffix":""},{"dropping-particle":"","family":"Urbina-Campos","given":"A","non-dropping-particle":"","parse-names":false,"suffix":""}],"id":"ITEM-1","issued":{"date-parts":[["2018"]]},"title":"Índice SlAsHrChAr!de Riesgo de la Calidad del Agua para Consumo Humano en Costa Rica (IRCACH)","type":"report","volume":"2"},"uris":["http://www.mendeley.com/documents/?uuid=a0eb1f52-22d6-4c2e-a09f-fe7a0aaba2e7"]}],"mendeley":{"formattedCitation":"(Mora-Alvarado et SlAsHrChAr!al., 2018)","manualFormatting":"(OMS, 2006; Mora-Alvarado et al., 2018)","plainTextFormattedCitation":"(Mora-Alvarado et al., 2018)","previouslyFormattedCitation":"(Mora-Alvarado et al., 2018)"},"properties":{"noteIndex":0},"schema":"https://github.com/citation-style-language/schema/raw/master/csl-citation.json"}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(Mora-Alvarado et al., 2018)</w:t>
      </w:r>
      <w:r w:rsidRPr="00D443AC">
        <w:rPr>
          <w:rFonts w:eastAsia="Times New Roman" w:cs="Calibri"/>
        </w:rPr>
        <w:fldChar w:fldCharType="end"/>
      </w:r>
      <w:r w:rsidRPr="00D443AC">
        <w:rPr>
          <w:rFonts w:eastAsia="Times New Roman" w:cs="Calibri"/>
        </w:rPr>
        <w:t xml:space="preserve"> was applied in cases where there was no compliance with one or more variables according to the maximum admissible values (MAV) established by RCAP.</w:t>
      </w:r>
    </w:p>
    <w:p w14:paraId="3E345DC3" w14:textId="77777777"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The descriptive and inferential statistical analysis of the measured variables was conducted using the R programming language, version 4.0.3 (R Core Team, 2022). </w:t>
      </w:r>
    </w:p>
    <w:p w14:paraId="79FDC546" w14:textId="77777777" w:rsidR="000E5799" w:rsidRPr="00D443AC" w:rsidRDefault="000E5799">
      <w:pPr>
        <w:pStyle w:val="Ttulo1"/>
        <w:widowControl/>
        <w:jc w:val="both"/>
        <w:rPr>
          <w:rFonts w:eastAsia="Times New Roman" w:cs="Calibri"/>
          <w:bCs w:val="0"/>
        </w:rPr>
      </w:pPr>
      <w:r w:rsidRPr="00D443AC">
        <w:rPr>
          <w:rFonts w:eastAsia="Times New Roman" w:cs="Calibri"/>
          <w:bCs w:val="0"/>
        </w:rPr>
        <w:t>Results</w:t>
      </w:r>
    </w:p>
    <w:p w14:paraId="1785FA8E" w14:textId="77777777" w:rsidR="000E5799" w:rsidRPr="00D443AC" w:rsidRDefault="000E5799">
      <w:pPr>
        <w:pStyle w:val="Ttulo2"/>
        <w:widowControl/>
        <w:jc w:val="both"/>
        <w:rPr>
          <w:rFonts w:eastAsia="Times New Roman" w:cs="Calibri"/>
          <w:b w:val="0"/>
          <w:bCs w:val="0"/>
          <w:i w:val="0"/>
          <w:iCs w:val="0"/>
        </w:rPr>
      </w:pPr>
      <w:r w:rsidRPr="00D443AC">
        <w:rPr>
          <w:rFonts w:eastAsia="Times New Roman" w:cs="Calibri"/>
          <w:bCs w:val="0"/>
          <w:iCs w:val="0"/>
        </w:rPr>
        <w:t>Status of disinfection systems</w:t>
      </w:r>
    </w:p>
    <w:p w14:paraId="09E9D143" w14:textId="34986136"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For the subsystems studied, </w:t>
      </w:r>
      <w:r w:rsidR="00110844" w:rsidRPr="00D443AC">
        <w:rPr>
          <w:rFonts w:eastAsia="Times New Roman" w:cs="Calibri"/>
        </w:rPr>
        <w:t>we identified the use of a</w:t>
      </w:r>
      <w:r w:rsidRPr="00D443AC">
        <w:rPr>
          <w:rFonts w:eastAsia="Times New Roman" w:cs="Calibri"/>
        </w:rPr>
        <w:t xml:space="preserve"> Rainbow HC 3315 chlorinator (Pentair, USA)</w:t>
      </w:r>
      <w:r w:rsidR="00110844" w:rsidRPr="00D443AC">
        <w:rPr>
          <w:rFonts w:eastAsia="Times New Roman" w:cs="Calibri"/>
        </w:rPr>
        <w:t>,</w:t>
      </w:r>
      <w:r w:rsidRPr="00D443AC">
        <w:rPr>
          <w:rFonts w:eastAsia="Times New Roman" w:cs="Calibri"/>
        </w:rPr>
        <w:t xml:space="preserve"> which is optimal with disinfectant tablets since it operates under the erosion principle in a humid chamber. In addition, this system is in line with the flow of the spring water </w:t>
      </w:r>
      <w:r w:rsidRPr="00D443AC">
        <w:rPr>
          <w:rFonts w:eastAsia="Times New Roman" w:cs="Calibri"/>
        </w:rPr>
        <w:fldChar w:fldCharType="begin"/>
      </w:r>
      <w:r w:rsidRPr="00D443AC">
        <w:rPr>
          <w:rFonts w:eastAsia="Times New Roman" w:cs="Calibri"/>
        </w:rPr>
        <w:instrText>MERGEFIELD SlAsHrChAr!ADDIN CSL_CITATION {"citationItems":[{"id":"ITEM-1","itemData":{"abstract":"Se entiende por cloración la operación que consiste en añadir cloro al agua con el propósito de desinfectarla y se puede realizar mediante la aplicación de cloro SlAsHrChAr!gas, soluciones de hipoclorito sódico o calcio.El ácido hipocloroso, HOCl, es el desinfectante más efectivo mientras que el ion hipoclorito OCles relativamente inefectivo en comparación con este; por ello la desinfección más letal con SlAsHrChAr!cloro ocurre a pH bajo, o sea en medio ácido. Es por eso que se considera que el HOCl es 80 a 100 veces más efectivo que el OClpara exterminar E. coli.","author":[{"dropping-particle":"","family":"Chauca","given":"Chicaiza Alex Fernando","non-dropping-particle":"","parse-names":false,"suffix":""},{"dropping-particle":"","faSlAsHrChAr!mily":"Orozco","given":"Cantos Lenin Santiago","non-dropping-particle":"","parse-names":false,"suffix":""}],"id":"ITEM-1","issued":{"date-parts":[["2012"]]},"number-of-pages":"166","title":"\"Diseño E Implementación De Un Sistema Automatizado SlAsHrChAr!Para La Dosificación De Cloro En El Tratamiento De Agua Potable En La Comunidad San Vicente De Lacas\".","type":"thesis"},"uris":["http://www.mendeley.com/documents/?uuid=a8aa802a-4896-4ea3-a2f8-1f6202afbe7f"]},{"id":"ITEM-2","itemData":{"author":[{"dropping-particle":"","family":"Pentair","given":"","non-dropping-particle"SlAsHrChAr!:"","parse-names":false,"suffix":""}],"id":"ITEM-2","issued":{"date-parts":[["2020"]]},"page":"2","title":"CHLORINE/BROMINE FEEDERS","type":"article"},"uris":["http://www.mendeley.com/documents/?uuid=29cd4263-b08a-420d-918e-abbae8d59ce7"]}],"mendeley":{"formattedCitation":"(Chauca SlAsHrChAr!&amp; Orozco, 2012; Pentair, 2020)","manualFormatting":"(Chauca &amp; Orozco, 2012; Pentair, 2020)","plainTextFormattedCitation":"(Chauca &amp; Orozco, 2012; Pentair, 2020)","previouslyFormattedCitation":"(Chauca &amp; Orozco, 2012; Pentair, 2020)"},"properties":{"noteIndex":0},"schema":"https://github.com/citation-style-language/schema/raw/mastSlAsHrChAr!er/csl-citation.json"}</w:instrText>
      </w:r>
      <w:r w:rsidRPr="00D443AC">
        <w:rPr>
          <w:rFonts w:eastAsia="Times New Roman" w:cs="Calibri"/>
        </w:rPr>
        <w:fldChar w:fldCharType="separate"/>
      </w:r>
      <w:r w:rsidRPr="00D443AC">
        <w:rPr>
          <w:rFonts w:eastAsia="Times New Roman" w:cs="Calibri"/>
        </w:rPr>
        <w:t>(Chauca &amp; Orozco, 2012; Pentair, 2020)</w:t>
      </w:r>
      <w:r w:rsidRPr="00D443AC">
        <w:rPr>
          <w:rFonts w:eastAsia="Times New Roman" w:cs="Calibri"/>
        </w:rPr>
        <w:fldChar w:fldCharType="end"/>
      </w:r>
      <w:r w:rsidRPr="00D443AC">
        <w:rPr>
          <w:rFonts w:eastAsia="Times New Roman" w:cs="Calibri"/>
        </w:rPr>
        <w:t>. ACL®90 tablets (</w:t>
      </w:r>
      <w:proofErr w:type="spellStart"/>
      <w:r w:rsidRPr="00D443AC">
        <w:rPr>
          <w:rFonts w:eastAsia="Times New Roman" w:cs="Calibri"/>
        </w:rPr>
        <w:t>OxyChem</w:t>
      </w:r>
      <w:proofErr w:type="spellEnd"/>
      <w:r w:rsidRPr="00D443AC">
        <w:rPr>
          <w:rFonts w:eastAsia="Times New Roman" w:cs="Calibri"/>
        </w:rPr>
        <w:t>, USA) were used, which utilize trichloro-s-</w:t>
      </w:r>
      <w:proofErr w:type="spellStart"/>
      <w:r w:rsidRPr="00D443AC">
        <w:rPr>
          <w:rFonts w:eastAsia="Times New Roman" w:cs="Calibri"/>
        </w:rPr>
        <w:t>triazinetrione</w:t>
      </w:r>
      <w:proofErr w:type="spellEnd"/>
      <w:r w:rsidRPr="00D443AC">
        <w:rPr>
          <w:rFonts w:eastAsia="Times New Roman" w:cs="Calibri"/>
        </w:rPr>
        <w:t xml:space="preserve"> acid (C</w:t>
      </w:r>
      <w:r w:rsidRPr="00D443AC">
        <w:rPr>
          <w:rFonts w:eastAsia="Times New Roman" w:cs="Calibri"/>
          <w:vertAlign w:val="subscript"/>
        </w:rPr>
        <w:t>3</w:t>
      </w:r>
      <w:r w:rsidRPr="00D443AC">
        <w:rPr>
          <w:rFonts w:eastAsia="Times New Roman" w:cs="Calibri"/>
        </w:rPr>
        <w:t>N</w:t>
      </w:r>
      <w:r w:rsidRPr="00D443AC">
        <w:rPr>
          <w:rFonts w:eastAsia="Times New Roman" w:cs="Calibri"/>
          <w:vertAlign w:val="subscript"/>
        </w:rPr>
        <w:t>3</w:t>
      </w:r>
      <w:r w:rsidRPr="00D443AC">
        <w:rPr>
          <w:rFonts w:eastAsia="Times New Roman" w:cs="Calibri"/>
        </w:rPr>
        <w:t>O</w:t>
      </w:r>
      <w:r w:rsidRPr="00D443AC">
        <w:rPr>
          <w:rFonts w:eastAsia="Times New Roman" w:cs="Calibri"/>
          <w:vertAlign w:val="subscript"/>
        </w:rPr>
        <w:t>3</w:t>
      </w:r>
      <w:r w:rsidRPr="00D443AC">
        <w:rPr>
          <w:rFonts w:eastAsia="Times New Roman" w:cs="Calibri"/>
        </w:rPr>
        <w:t>Cl</w:t>
      </w:r>
      <w:r w:rsidRPr="00D443AC">
        <w:rPr>
          <w:rFonts w:eastAsia="Times New Roman" w:cs="Calibri"/>
          <w:vertAlign w:val="subscript"/>
        </w:rPr>
        <w:t>3</w:t>
      </w:r>
      <w:r w:rsidRPr="00D443AC">
        <w:rPr>
          <w:rFonts w:eastAsia="Times New Roman" w:cs="Calibri"/>
        </w:rPr>
        <w:t xml:space="preserve">) as the active ingredient, a chemical compound belonging to the family commonly referred to as chlorinated </w:t>
      </w:r>
      <w:proofErr w:type="spellStart"/>
      <w:r w:rsidRPr="00D443AC">
        <w:rPr>
          <w:rFonts w:eastAsia="Times New Roman" w:cs="Calibri"/>
        </w:rPr>
        <w:t>isocyanurates</w:t>
      </w:r>
      <w:proofErr w:type="spellEnd"/>
      <w:r w:rsidRPr="00D443AC">
        <w:rPr>
          <w:rFonts w:eastAsia="Times New Roman" w:cs="Calibri"/>
        </w:rPr>
        <w:t>, and which, according to the manufacturer contain an approximate concentration of 90% of available chlorine as well as slow-dissolving tablets, suitable for th</w:t>
      </w:r>
      <w:r w:rsidR="00B47FE4" w:rsidRPr="00D443AC">
        <w:rPr>
          <w:rFonts w:eastAsia="Times New Roman" w:cs="Calibri"/>
        </w:rPr>
        <w:t>ese</w:t>
      </w:r>
      <w:r w:rsidRPr="00D443AC">
        <w:rPr>
          <w:rFonts w:eastAsia="Times New Roman" w:cs="Calibri"/>
        </w:rPr>
        <w:t xml:space="preserve"> type</w:t>
      </w:r>
      <w:r w:rsidR="00B47FE4" w:rsidRPr="00D443AC">
        <w:rPr>
          <w:rFonts w:eastAsia="Times New Roman" w:cs="Calibri"/>
        </w:rPr>
        <w:t>s</w:t>
      </w:r>
      <w:r w:rsidRPr="00D443AC">
        <w:rPr>
          <w:rFonts w:eastAsia="Times New Roman" w:cs="Calibri"/>
        </w:rPr>
        <w:t xml:space="preserve"> of feeders </w:t>
      </w:r>
      <w:r w:rsidRPr="00D443AC">
        <w:rPr>
          <w:rFonts w:eastAsia="Times New Roman" w:cs="Calibri"/>
        </w:rPr>
        <w:fldChar w:fldCharType="begin"/>
      </w:r>
      <w:r w:rsidRPr="00D443AC">
        <w:rPr>
          <w:rFonts w:eastAsia="Times New Roman" w:cs="Calibri"/>
        </w:rPr>
        <w:instrText>MERGEFIELD ADDIN CSL_CITATION SlAsHrChAr!{"citationItems":[{"id":"ITEM-1","itemData":{"author":[{"dropping-particle":"","family":"Rodríguez","given":"Iago R","non-dropping-particle":"","parse-names":false,"suffix":""}],"id":"ITEM-1","issued":{"date-parts":[["2019"]]},"publisher":"Universidad SlAsHrChAr!politécnica de madrid","title":"Proyecto constructivo del sistema de abastecimiento de agua a la comunidad de matapalo en el sur pacífico de Costa Rica","type":"thesis"},"uris":["http://www.mendeley.com/documents/?uuid=8f50fbbb-ca9c-4536-bcce-fefdbd6492be"]},{"id":"ITEM-2","itemData":{"author":[{"dropping-particle":"","faSlAsHrChAr!mily":"Pentair","given":"","non-dropping-particle":"","parse-names":false,"suffix":""}],"id":"ITEM-2","issued":{"date-parts":[["2020"]]},"page":"2","title":"CHLORINE/BROMINE FEEDERS","type":"article"},"uris":["http://www.mendeley.com/documents/?uuid=29cd4263-b08a-420d-918e-abbae8d59ce7"]}],"mendeley":{"formattedCitation":"(PenSlAsHrChAr!tair, 2020; Rodríguez, 2019)","plainTextFormattedCitation":"(Pentair, 2020; Rodríguez, 2019)","previouslyFormattedCitation":"(Pentair, 2020; Rodríguez, 2019)"},"properties":{"noteIndex":0},"schema":"https://github.com/citation-style-language/schema/raw/master/csl-citation.json"}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(Pentair, 2020; Rodríguez, 2019)</w:t>
      </w:r>
      <w:r w:rsidRPr="00D443AC">
        <w:rPr>
          <w:rFonts w:eastAsia="Times New Roman" w:cs="Calibri"/>
        </w:rPr>
        <w:fldChar w:fldCharType="end"/>
      </w:r>
      <w:r w:rsidRPr="00D443AC">
        <w:rPr>
          <w:rFonts w:eastAsia="Times New Roman" w:cs="Calibri"/>
        </w:rPr>
        <w:t>.</w:t>
      </w:r>
    </w:p>
    <w:p w14:paraId="6A0DA93D" w14:textId="481F1F42"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According to the results derived from the instrument, it was determined that the chlorination system </w:t>
      </w:r>
      <w:r w:rsidR="00642D4B" w:rsidRPr="00D443AC">
        <w:rPr>
          <w:rFonts w:eastAsia="Times New Roman" w:cs="Calibri"/>
        </w:rPr>
        <w:t>had</w:t>
      </w:r>
      <w:r w:rsidRPr="00D443AC">
        <w:rPr>
          <w:rFonts w:eastAsia="Times New Roman" w:cs="Calibri"/>
        </w:rPr>
        <w:t xml:space="preserve"> been installed for more than 5 years and that, before its installation, the process was conducted in an artisanal manner with an instrument made by CBWMO. The chlorinator has been operated continuously since then, only with the initial calibration and weekly maintenance operations (adding tablets according to the recommended dose in the initial calibration, i.e. 7-8 tablets every 8 days), without additional evaluations or calibrations on its operation. </w:t>
      </w:r>
    </w:p>
    <w:p w14:paraId="29228851" w14:textId="1C11197F" w:rsidR="000E5799" w:rsidRPr="00D443AC" w:rsidRDefault="000E5799">
      <w:pPr>
        <w:pStyle w:val="Newparagraph"/>
        <w:widowControl/>
        <w:spacing w:line="360" w:lineRule="auto"/>
        <w:jc w:val="both"/>
        <w:rPr>
          <w:rFonts w:eastAsia="Times New Roman" w:cs="Calibri"/>
        </w:rPr>
      </w:pPr>
      <w:r w:rsidRPr="00D443AC">
        <w:rPr>
          <w:rFonts w:eastAsia="Times New Roman" w:cs="Calibri"/>
        </w:rPr>
        <w:t>The disinfection process is conducted once a week by a trained operator, who records the number of table</w:t>
      </w:r>
      <w:r w:rsidR="00837267" w:rsidRPr="00D443AC">
        <w:rPr>
          <w:rFonts w:eastAsia="Times New Roman" w:cs="Calibri"/>
        </w:rPr>
        <w:t>t</w:t>
      </w:r>
      <w:r w:rsidRPr="00D443AC">
        <w:rPr>
          <w:rFonts w:eastAsia="Times New Roman" w:cs="Calibri"/>
        </w:rPr>
        <w:t xml:space="preserve">s added. Handling and storage of disinfectant tablets was inadequate, as they were stored in a warehouse without the optimal and necessary ventilation and safety conditions. </w:t>
      </w:r>
      <w:r w:rsidRPr="00D443AC">
        <w:rPr>
          <w:rFonts w:eastAsia="Times New Roman" w:cs="Calibri"/>
        </w:rPr>
        <w:lastRenderedPageBreak/>
        <w:t xml:space="preserve">In addition, the operator did not use the personal protective equipment (PPE) necessary for their handling. </w:t>
      </w:r>
    </w:p>
    <w:p w14:paraId="2CD44845" w14:textId="743FA90E" w:rsidR="000E5799" w:rsidRPr="00D443AC" w:rsidRDefault="000E5799" w:rsidP="004E752B">
      <w:pPr>
        <w:pStyle w:val="Newparagraph"/>
        <w:widowControl/>
        <w:spacing w:line="360" w:lineRule="auto"/>
        <w:jc w:val="both"/>
        <w:rPr>
          <w:rFonts w:eastAsia="Times New Roman" w:cs="Calibri"/>
          <w:sz w:val="23"/>
        </w:rPr>
      </w:pPr>
      <w:r w:rsidRPr="00D443AC">
        <w:rPr>
          <w:rFonts w:eastAsia="Times New Roman" w:cs="Calibri"/>
        </w:rPr>
        <w:t>When applying the SERSA inspection guidelines to assess the level of infrastructural and operational risk, it was eviden</w:t>
      </w:r>
      <w:r w:rsidR="00DE2AB9" w:rsidRPr="00D443AC">
        <w:rPr>
          <w:rFonts w:eastAsia="Times New Roman" w:cs="Calibri"/>
        </w:rPr>
        <w:t>t</w:t>
      </w:r>
      <w:r w:rsidRPr="00D443AC">
        <w:rPr>
          <w:rFonts w:eastAsia="Times New Roman" w:cs="Calibri"/>
        </w:rPr>
        <w:t xml:space="preserve"> that both systems lack an adequate site to store chemical products and </w:t>
      </w:r>
      <w:r w:rsidR="00B47FE4" w:rsidRPr="00D443AC">
        <w:rPr>
          <w:rFonts w:eastAsia="Times New Roman" w:cs="Calibri"/>
        </w:rPr>
        <w:t>a</w:t>
      </w:r>
      <w:r w:rsidR="00DE2AB9" w:rsidRPr="00D443AC">
        <w:rPr>
          <w:rFonts w:eastAsia="Times New Roman" w:cs="Calibri"/>
        </w:rPr>
        <w:t xml:space="preserve"> system for </w:t>
      </w:r>
      <w:r w:rsidRPr="00D443AC">
        <w:rPr>
          <w:rFonts w:eastAsia="Times New Roman" w:cs="Calibri"/>
        </w:rPr>
        <w:t>their appropriate handling (i.e. chlorine tablets and use of PPE).</w:t>
      </w:r>
      <w:r w:rsidRPr="00D443AC">
        <w:rPr>
          <w:rFonts w:eastAsia="Times New Roman" w:cs="Calibri"/>
          <w:sz w:val="23"/>
        </w:rPr>
        <w:t xml:space="preserve"> There were no documented records of dosing flow rates and levels of free residual chlorine in tanks and distribution network or temperature and pH parameters. Derived from this instrument, 6 of the 10 possible critical points contemplated by the instrument were assigned, and both disinfection systems were classified </w:t>
      </w:r>
      <w:r w:rsidR="00DE2AB9" w:rsidRPr="00D443AC">
        <w:rPr>
          <w:rFonts w:eastAsia="Times New Roman" w:cs="Calibri"/>
          <w:sz w:val="23"/>
        </w:rPr>
        <w:t>at</w:t>
      </w:r>
      <w:r w:rsidRPr="00D443AC">
        <w:rPr>
          <w:rFonts w:eastAsia="Times New Roman" w:cs="Calibri"/>
          <w:sz w:val="23"/>
        </w:rPr>
        <w:t xml:space="preserve"> a </w:t>
      </w:r>
      <w:r w:rsidR="00326526" w:rsidRPr="00D443AC">
        <w:rPr>
          <w:rFonts w:eastAsia="Times New Roman" w:cs="Calibri"/>
          <w:sz w:val="23"/>
        </w:rPr>
        <w:t>high-risk</w:t>
      </w:r>
      <w:r w:rsidRPr="00D443AC">
        <w:rPr>
          <w:rFonts w:eastAsia="Times New Roman" w:cs="Calibri"/>
          <w:sz w:val="23"/>
        </w:rPr>
        <w:t xml:space="preserve"> level.</w:t>
      </w:r>
    </w:p>
    <w:p w14:paraId="66E5456C" w14:textId="77777777" w:rsidR="000E5799" w:rsidRPr="00D443AC" w:rsidRDefault="000E5799" w:rsidP="004E752B">
      <w:pPr>
        <w:pStyle w:val="Ttulo2"/>
        <w:widowControl/>
        <w:spacing w:before="0" w:after="0"/>
        <w:jc w:val="both"/>
        <w:rPr>
          <w:rFonts w:eastAsia="Times New Roman" w:cs="Calibri"/>
          <w:bCs w:val="0"/>
          <w:iCs w:val="0"/>
        </w:rPr>
      </w:pPr>
      <w:r w:rsidRPr="00D443AC">
        <w:rPr>
          <w:rFonts w:eastAsia="Times New Roman" w:cs="Calibri"/>
          <w:bCs w:val="0"/>
          <w:iCs w:val="0"/>
        </w:rPr>
        <w:t xml:space="preserve">Physical, chemical, and microbiological parameters </w:t>
      </w:r>
    </w:p>
    <w:p w14:paraId="04A52F95" w14:textId="62A79E8E"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Table 1 presents the results of the main physical, chemical, and microbiological parameters analyzed in contrast to the limits recommended according to the </w:t>
      </w:r>
      <w:r w:rsidR="00A3195D" w:rsidRPr="00D443AC">
        <w:rPr>
          <w:rFonts w:eastAsia="Times New Roman" w:cs="Calibri"/>
        </w:rPr>
        <w:t>standa</w:t>
      </w:r>
      <w:r w:rsidR="00F20689" w:rsidRPr="00D443AC">
        <w:rPr>
          <w:rFonts w:eastAsia="Times New Roman" w:cs="Calibri"/>
        </w:rPr>
        <w:t>r</w:t>
      </w:r>
      <w:r w:rsidR="00A3195D" w:rsidRPr="00D443AC">
        <w:rPr>
          <w:rFonts w:eastAsia="Times New Roman" w:cs="Calibri"/>
        </w:rPr>
        <w:t>ds</w:t>
      </w:r>
      <w:r w:rsidRPr="00D443AC">
        <w:rPr>
          <w:rFonts w:eastAsia="Times New Roman" w:cs="Calibri"/>
        </w:rPr>
        <w:t xml:space="preserve"> from Costa Rica and the World Health Organization (WHO). </w:t>
      </w:r>
    </w:p>
    <w:p w14:paraId="501F1775" w14:textId="77777777" w:rsidR="000E5799" w:rsidRPr="00D443AC" w:rsidRDefault="000E5799">
      <w:pPr>
        <w:pStyle w:val="Newparagraph"/>
        <w:widowControl/>
        <w:spacing w:line="360" w:lineRule="auto"/>
        <w:ind w:firstLine="0"/>
        <w:jc w:val="both"/>
        <w:rPr>
          <w:rFonts w:eastAsia="Times New Roman" w:cs="Calibri"/>
          <w:b/>
        </w:rPr>
      </w:pPr>
      <w:r w:rsidRPr="00D443AC">
        <w:rPr>
          <w:rFonts w:eastAsia="Times New Roman" w:cs="Calibri"/>
          <w:b/>
        </w:rPr>
        <w:t xml:space="preserve">Table 1. </w:t>
      </w:r>
      <w:r w:rsidRPr="00D443AC">
        <w:rPr>
          <w:rFonts w:eastAsia="Times New Roman" w:cs="Calibri"/>
          <w:i/>
        </w:rPr>
        <w:t>Summary of physical, chemical, and microbiological parameters of the water supply system of the Santa Rosa CBWMO.</w:t>
      </w:r>
    </w:p>
    <w:tbl>
      <w:tblPr>
        <w:tblW w:w="8412" w:type="dxa"/>
        <w:tblInd w:w="378" w:type="dxa"/>
        <w:tblLayout w:type="fixed"/>
        <w:tblLook w:val="0000" w:firstRow="0" w:lastRow="0" w:firstColumn="0" w:lastColumn="0" w:noHBand="0" w:noVBand="0"/>
      </w:tblPr>
      <w:tblGrid>
        <w:gridCol w:w="1664"/>
        <w:gridCol w:w="1126"/>
        <w:gridCol w:w="992"/>
        <w:gridCol w:w="850"/>
        <w:gridCol w:w="990"/>
        <w:gridCol w:w="947"/>
        <w:gridCol w:w="948"/>
        <w:gridCol w:w="895"/>
      </w:tblGrid>
      <w:tr w:rsidR="004F1946" w:rsidRPr="00D443AC" w14:paraId="7E06BE18" w14:textId="77777777" w:rsidTr="00404CD1">
        <w:trPr>
          <w:trHeight w:val="27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3D3C369" w14:textId="77777777" w:rsidR="000E5799" w:rsidRPr="00A34E32" w:rsidRDefault="000E5799">
            <w:pPr>
              <w:jc w:val="center"/>
              <w:rPr>
                <w:rFonts w:eastAsia="Times New Roman"/>
                <w:b/>
                <w:sz w:val="16"/>
              </w:rPr>
            </w:pPr>
            <w:r w:rsidRPr="00A34E32">
              <w:rPr>
                <w:rFonts w:eastAsia="Times New Roman"/>
                <w:b/>
                <w:sz w:val="16"/>
              </w:rPr>
              <w:t>Parameter</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DFC8029" w14:textId="77777777" w:rsidR="000E5799" w:rsidRPr="00A34E32" w:rsidRDefault="000E5799">
            <w:pPr>
              <w:jc w:val="center"/>
              <w:rPr>
                <w:rFonts w:eastAsia="Times New Roman"/>
                <w:b/>
                <w:sz w:val="16"/>
              </w:rPr>
            </w:pPr>
            <w:r w:rsidRPr="00A34E32">
              <w:rPr>
                <w:rFonts w:eastAsia="Times New Roman"/>
                <w:b/>
                <w:sz w:val="16"/>
              </w:rPr>
              <w:t>Unit</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ACDB01C" w14:textId="0F98C832" w:rsidR="000E5799" w:rsidRPr="00A34E32" w:rsidRDefault="0070172A">
            <w:pPr>
              <w:jc w:val="center"/>
              <w:rPr>
                <w:rFonts w:eastAsia="Times New Roman"/>
                <w:b/>
                <w:sz w:val="16"/>
              </w:rPr>
            </w:pPr>
            <w:r w:rsidRPr="00A34E32">
              <w:rPr>
                <w:rFonts w:eastAsia="Times New Roman"/>
                <w:b/>
                <w:sz w:val="16"/>
              </w:rPr>
              <w:t>Mean</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FEA0EE5" w14:textId="4AD50A45" w:rsidR="000E5799" w:rsidRPr="00A34E32" w:rsidRDefault="000E5799" w:rsidP="00404CD1">
            <w:pPr>
              <w:jc w:val="center"/>
              <w:rPr>
                <w:rFonts w:eastAsia="Times New Roman"/>
                <w:b/>
                <w:sz w:val="16"/>
              </w:rPr>
            </w:pPr>
            <w:r w:rsidRPr="00A34E32">
              <w:rPr>
                <w:rFonts w:eastAsia="Times New Roman"/>
                <w:b/>
                <w:sz w:val="16"/>
              </w:rPr>
              <w:t>S.D</w:t>
            </w:r>
            <w:r w:rsidR="00111E63" w:rsidRPr="00A34E32">
              <w:rPr>
                <w:rFonts w:eastAsia="Times New Roman"/>
                <w:b/>
                <w:sz w:val="16"/>
              </w:rPr>
              <w:t>.</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14A302B" w14:textId="77777777" w:rsidR="000E5799" w:rsidRPr="00A34E32" w:rsidRDefault="000E5799">
            <w:pPr>
              <w:jc w:val="center"/>
              <w:rPr>
                <w:rFonts w:eastAsia="Times New Roman"/>
                <w:b/>
                <w:sz w:val="16"/>
              </w:rPr>
            </w:pPr>
            <w:r w:rsidRPr="00A34E32">
              <w:rPr>
                <w:rFonts w:eastAsia="Times New Roman"/>
                <w:b/>
                <w:sz w:val="16"/>
              </w:rPr>
              <w:t>Minimum</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626DEAD" w14:textId="77777777" w:rsidR="000E5799" w:rsidRPr="00A34E32" w:rsidRDefault="000E5799">
            <w:pPr>
              <w:jc w:val="center"/>
              <w:rPr>
                <w:rFonts w:eastAsia="Times New Roman"/>
                <w:b/>
                <w:sz w:val="16"/>
              </w:rPr>
            </w:pPr>
            <w:r w:rsidRPr="00A34E32">
              <w:rPr>
                <w:rFonts w:eastAsia="Times New Roman"/>
                <w:b/>
                <w:sz w:val="16"/>
              </w:rPr>
              <w:t>Maximum</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3972D4" w14:textId="77777777" w:rsidR="000E5799" w:rsidRPr="00A34E32" w:rsidRDefault="000E5799">
            <w:pPr>
              <w:jc w:val="center"/>
              <w:rPr>
                <w:rFonts w:eastAsia="Times New Roman"/>
                <w:b/>
                <w:sz w:val="16"/>
                <w:vertAlign w:val="superscript"/>
              </w:rPr>
            </w:pPr>
            <w:proofErr w:type="spellStart"/>
            <w:r w:rsidRPr="00A34E32">
              <w:rPr>
                <w:rFonts w:eastAsia="Times New Roman"/>
                <w:b/>
                <w:sz w:val="16"/>
              </w:rPr>
              <w:t>CR</w:t>
            </w:r>
            <w:r w:rsidRPr="00A34E32">
              <w:rPr>
                <w:rFonts w:eastAsia="Times New Roman"/>
                <w:b/>
                <w:sz w:val="16"/>
                <w:vertAlign w:val="superscript"/>
              </w:rPr>
              <w:t>b</w:t>
            </w:r>
            <w:proofErr w:type="spellEnd"/>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2F72302" w14:textId="77777777" w:rsidR="000E5799" w:rsidRPr="00A34E32" w:rsidRDefault="000E5799">
            <w:pPr>
              <w:jc w:val="center"/>
              <w:rPr>
                <w:rFonts w:eastAsia="Times New Roman"/>
                <w:b/>
                <w:sz w:val="16"/>
                <w:vertAlign w:val="superscript"/>
              </w:rPr>
            </w:pPr>
            <w:proofErr w:type="spellStart"/>
            <w:r w:rsidRPr="00A34E32">
              <w:rPr>
                <w:rFonts w:eastAsia="Times New Roman"/>
                <w:b/>
                <w:sz w:val="16"/>
              </w:rPr>
              <w:t>WHO</w:t>
            </w:r>
            <w:r w:rsidRPr="00A34E32">
              <w:rPr>
                <w:rFonts w:eastAsia="Times New Roman"/>
                <w:b/>
                <w:sz w:val="16"/>
                <w:vertAlign w:val="superscript"/>
              </w:rPr>
              <w:t>c</w:t>
            </w:r>
            <w:proofErr w:type="spellEnd"/>
          </w:p>
        </w:tc>
      </w:tr>
      <w:tr w:rsidR="004F1946" w:rsidRPr="00D443AC" w14:paraId="07857EA7"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3B78BAA" w14:textId="77777777" w:rsidR="000E5799" w:rsidRPr="00A34E32" w:rsidRDefault="000E5799">
            <w:pPr>
              <w:jc w:val="center"/>
              <w:rPr>
                <w:rFonts w:eastAsia="Times New Roman"/>
                <w:sz w:val="16"/>
              </w:rPr>
            </w:pPr>
            <w:r w:rsidRPr="00A34E32">
              <w:rPr>
                <w:rFonts w:eastAsia="Times New Roman"/>
                <w:sz w:val="16"/>
              </w:rPr>
              <w:t>pH</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375D6CC" w14:textId="77777777" w:rsidR="000E5799" w:rsidRPr="00A34E32" w:rsidRDefault="000E5799">
            <w:pPr>
              <w:jc w:val="center"/>
              <w:rPr>
                <w:rFonts w:eastAsia="Times New Roman"/>
                <w:sz w:val="16"/>
              </w:rPr>
            </w:pPr>
            <w:r w:rsidRPr="00A34E32">
              <w:rPr>
                <w:rFonts w:eastAsia="Times New Roman"/>
                <w:sz w:val="16"/>
              </w:rPr>
              <w:t>-</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ABE0203" w14:textId="77777777" w:rsidR="000E5799" w:rsidRPr="00A34E32" w:rsidRDefault="000E5799">
            <w:pPr>
              <w:jc w:val="center"/>
              <w:rPr>
                <w:rFonts w:eastAsia="Times New Roman"/>
                <w:sz w:val="16"/>
              </w:rPr>
            </w:pPr>
            <w:r w:rsidRPr="00A34E32">
              <w:rPr>
                <w:rFonts w:eastAsia="Times New Roman"/>
                <w:sz w:val="16"/>
              </w:rPr>
              <w:t>6.79</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6005E1" w14:textId="77777777" w:rsidR="000E5799" w:rsidRPr="00A34E32" w:rsidRDefault="000E5799">
            <w:pPr>
              <w:jc w:val="center"/>
              <w:rPr>
                <w:rFonts w:eastAsia="Times New Roman"/>
                <w:sz w:val="16"/>
              </w:rPr>
            </w:pPr>
            <w:r w:rsidRPr="00A34E32">
              <w:rPr>
                <w:rFonts w:eastAsia="Times New Roman"/>
                <w:sz w:val="16"/>
              </w:rPr>
              <w:t>0.12</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CE6BF2" w14:textId="77777777" w:rsidR="000E5799" w:rsidRPr="00A34E32" w:rsidRDefault="000E5799">
            <w:pPr>
              <w:jc w:val="center"/>
              <w:rPr>
                <w:rFonts w:eastAsia="Times New Roman"/>
                <w:sz w:val="16"/>
              </w:rPr>
            </w:pPr>
            <w:r w:rsidRPr="00A34E32">
              <w:rPr>
                <w:rFonts w:eastAsia="Times New Roman"/>
                <w:sz w:val="16"/>
              </w:rPr>
              <w:t>6.51</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0FE945" w14:textId="77777777" w:rsidR="000E5799" w:rsidRPr="00A34E32" w:rsidRDefault="000E5799">
            <w:pPr>
              <w:jc w:val="center"/>
              <w:rPr>
                <w:rFonts w:eastAsia="Times New Roman"/>
                <w:sz w:val="16"/>
              </w:rPr>
            </w:pPr>
            <w:r w:rsidRPr="00A34E32">
              <w:rPr>
                <w:rFonts w:eastAsia="Times New Roman"/>
                <w:sz w:val="16"/>
              </w:rPr>
              <w:t>7.02</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B74EB69" w14:textId="77777777" w:rsidR="000E5799" w:rsidRPr="00A34E32" w:rsidRDefault="000E5799">
            <w:pPr>
              <w:jc w:val="center"/>
              <w:rPr>
                <w:rFonts w:eastAsia="Times New Roman"/>
                <w:sz w:val="16"/>
              </w:rPr>
            </w:pPr>
            <w:r w:rsidRPr="00A34E32">
              <w:rPr>
                <w:rFonts w:eastAsia="Times New Roman"/>
                <w:sz w:val="16"/>
              </w:rPr>
              <w:t>6.0-8.0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F77F1D7" w14:textId="77777777" w:rsidR="000E5799" w:rsidRPr="00A34E32" w:rsidRDefault="000E5799">
            <w:pPr>
              <w:jc w:val="center"/>
              <w:rPr>
                <w:rFonts w:eastAsia="Times New Roman"/>
                <w:sz w:val="16"/>
              </w:rPr>
            </w:pPr>
            <w:r w:rsidRPr="00A34E32">
              <w:rPr>
                <w:rFonts w:eastAsia="Times New Roman"/>
                <w:sz w:val="16"/>
              </w:rPr>
              <w:t>6.5-9.5</w:t>
            </w:r>
          </w:p>
        </w:tc>
      </w:tr>
      <w:tr w:rsidR="004F1946" w:rsidRPr="00D443AC" w14:paraId="3D955FF0"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7589354" w14:textId="77777777" w:rsidR="000E5799" w:rsidRPr="00A34E32" w:rsidRDefault="000E5799">
            <w:pPr>
              <w:jc w:val="center"/>
              <w:rPr>
                <w:rFonts w:eastAsia="Times New Roman"/>
                <w:sz w:val="16"/>
              </w:rPr>
            </w:pPr>
            <w:r w:rsidRPr="00A34E32">
              <w:rPr>
                <w:rFonts w:eastAsia="Times New Roman"/>
                <w:sz w:val="16"/>
              </w:rPr>
              <w:t>Turbidity</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18BC02" w14:textId="77777777" w:rsidR="000E5799" w:rsidRPr="00A34E32" w:rsidRDefault="000E5799">
            <w:pPr>
              <w:jc w:val="center"/>
              <w:rPr>
                <w:rFonts w:eastAsia="Times New Roman"/>
                <w:sz w:val="16"/>
              </w:rPr>
            </w:pPr>
            <w:r w:rsidRPr="00A34E32">
              <w:rPr>
                <w:rFonts w:eastAsia="Times New Roman"/>
                <w:sz w:val="16"/>
              </w:rPr>
              <w:t>NTU</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F15EF0" w14:textId="77777777" w:rsidR="000E5799" w:rsidRPr="00A34E32" w:rsidRDefault="000E5799">
            <w:pPr>
              <w:jc w:val="center"/>
              <w:rPr>
                <w:rFonts w:eastAsia="Times New Roman"/>
                <w:sz w:val="16"/>
              </w:rPr>
            </w:pPr>
            <w:r w:rsidRPr="00A34E32">
              <w:rPr>
                <w:rFonts w:eastAsia="Times New Roman"/>
                <w:sz w:val="16"/>
              </w:rPr>
              <w:t>0.07</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5D3D83B" w14:textId="77777777" w:rsidR="000E5799" w:rsidRPr="00A34E32" w:rsidRDefault="000E5799">
            <w:pPr>
              <w:jc w:val="center"/>
              <w:rPr>
                <w:rFonts w:eastAsia="Times New Roman"/>
                <w:sz w:val="16"/>
              </w:rPr>
            </w:pPr>
            <w:r w:rsidRPr="00A34E32">
              <w:rPr>
                <w:rFonts w:eastAsia="Times New Roman"/>
                <w:sz w:val="16"/>
              </w:rPr>
              <w:t>0.26</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B1B2E5F" w14:textId="77777777" w:rsidR="000E5799" w:rsidRPr="00A34E32" w:rsidRDefault="000E5799">
            <w:pPr>
              <w:jc w:val="center"/>
              <w:rPr>
                <w:rFonts w:eastAsia="Times New Roman"/>
                <w:sz w:val="16"/>
              </w:rPr>
            </w:pPr>
            <w:r w:rsidRPr="00A34E32">
              <w:rPr>
                <w:rFonts w:eastAsia="Times New Roman"/>
                <w:sz w:val="16"/>
              </w:rPr>
              <w:t>0.00</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CCEAB4F" w14:textId="77777777" w:rsidR="000E5799" w:rsidRPr="00A34E32" w:rsidRDefault="000E5799">
            <w:pPr>
              <w:jc w:val="center"/>
              <w:rPr>
                <w:rFonts w:eastAsia="Times New Roman"/>
                <w:sz w:val="16"/>
              </w:rPr>
            </w:pPr>
            <w:r w:rsidRPr="00A34E32">
              <w:rPr>
                <w:rFonts w:eastAsia="Times New Roman"/>
                <w:sz w:val="16"/>
              </w:rPr>
              <w:t>1.38</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F8EC367" w14:textId="77777777" w:rsidR="000E5799" w:rsidRPr="00A34E32" w:rsidRDefault="000E5799">
            <w:pPr>
              <w:jc w:val="center"/>
              <w:rPr>
                <w:rFonts w:eastAsia="Times New Roman"/>
                <w:sz w:val="16"/>
              </w:rPr>
            </w:pPr>
            <w:r w:rsidRPr="00A34E32">
              <w:rPr>
                <w:rFonts w:eastAsia="Times New Roman"/>
                <w:sz w:val="16"/>
              </w:rPr>
              <w:t>5</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2EB07C1"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09AB4092" w14:textId="77777777" w:rsidTr="004E752B">
        <w:trPr>
          <w:trHeight w:val="206"/>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68E5886" w14:textId="77777777" w:rsidR="000E5799" w:rsidRPr="00A34E32" w:rsidRDefault="000E5799">
            <w:pPr>
              <w:jc w:val="center"/>
              <w:rPr>
                <w:rFonts w:eastAsia="Times New Roman"/>
                <w:sz w:val="16"/>
              </w:rPr>
            </w:pPr>
            <w:r w:rsidRPr="00A34E32">
              <w:rPr>
                <w:rFonts w:eastAsia="Times New Roman"/>
                <w:sz w:val="16"/>
              </w:rPr>
              <w:t>Conductivity</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E6DA75" w14:textId="77777777" w:rsidR="000E5799" w:rsidRPr="00A34E32" w:rsidRDefault="000E5799">
            <w:pPr>
              <w:jc w:val="center"/>
              <w:rPr>
                <w:rFonts w:eastAsia="Times New Roman"/>
                <w:sz w:val="16"/>
              </w:rPr>
            </w:pPr>
            <w:r w:rsidRPr="00A34E32">
              <w:rPr>
                <w:rFonts w:eastAsia="Times New Roman"/>
                <w:sz w:val="16"/>
              </w:rPr>
              <w:t>µS/cm</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5782CF" w14:textId="77777777" w:rsidR="000E5799" w:rsidRPr="00A34E32" w:rsidRDefault="000E5799">
            <w:pPr>
              <w:jc w:val="center"/>
              <w:rPr>
                <w:rFonts w:eastAsia="Times New Roman"/>
                <w:sz w:val="16"/>
              </w:rPr>
            </w:pPr>
            <w:r w:rsidRPr="00A34E32">
              <w:rPr>
                <w:rFonts w:eastAsia="Times New Roman"/>
                <w:sz w:val="16"/>
              </w:rPr>
              <w:t>149.4</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44223E8" w14:textId="77777777" w:rsidR="000E5799" w:rsidRPr="00A34E32" w:rsidRDefault="000E5799">
            <w:pPr>
              <w:jc w:val="center"/>
              <w:rPr>
                <w:rFonts w:eastAsia="Times New Roman"/>
                <w:sz w:val="16"/>
              </w:rPr>
            </w:pPr>
            <w:r w:rsidRPr="00A34E32">
              <w:rPr>
                <w:rFonts w:eastAsia="Times New Roman"/>
                <w:sz w:val="16"/>
              </w:rPr>
              <w:t>43.5</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868338E" w14:textId="77777777" w:rsidR="000E5799" w:rsidRPr="00A34E32" w:rsidRDefault="000E5799">
            <w:pPr>
              <w:jc w:val="center"/>
              <w:rPr>
                <w:rFonts w:eastAsia="Times New Roman"/>
                <w:sz w:val="16"/>
              </w:rPr>
            </w:pPr>
            <w:r w:rsidRPr="00A34E32">
              <w:rPr>
                <w:rFonts w:eastAsia="Times New Roman"/>
                <w:sz w:val="16"/>
              </w:rPr>
              <w:t>102.0</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08E91DE" w14:textId="77777777" w:rsidR="000E5799" w:rsidRPr="00A34E32" w:rsidRDefault="000E5799">
            <w:pPr>
              <w:jc w:val="center"/>
              <w:rPr>
                <w:rFonts w:eastAsia="Times New Roman"/>
                <w:sz w:val="16"/>
              </w:rPr>
            </w:pPr>
            <w:r w:rsidRPr="00A34E32">
              <w:rPr>
                <w:rFonts w:eastAsia="Times New Roman"/>
                <w:sz w:val="16"/>
              </w:rPr>
              <w:t>255.0</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87EF633" w14:textId="77777777" w:rsidR="000E5799" w:rsidRPr="00A34E32" w:rsidRDefault="000E5799">
            <w:pPr>
              <w:jc w:val="center"/>
              <w:rPr>
                <w:rFonts w:eastAsia="Times New Roman"/>
                <w:sz w:val="16"/>
              </w:rPr>
            </w:pPr>
            <w:r w:rsidRPr="00A34E32">
              <w:rPr>
                <w:rFonts w:eastAsia="Times New Roman"/>
                <w:sz w:val="16"/>
              </w:rPr>
              <w:t>400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B7C271"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0DA39B45"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9D8DA83" w14:textId="77777777" w:rsidR="000E5799" w:rsidRPr="00A34E32" w:rsidRDefault="000E5799">
            <w:pPr>
              <w:jc w:val="center"/>
              <w:rPr>
                <w:rFonts w:eastAsia="Times New Roman"/>
                <w:sz w:val="16"/>
              </w:rPr>
            </w:pPr>
            <w:r w:rsidRPr="00A34E32">
              <w:rPr>
                <w:rFonts w:eastAsia="Times New Roman"/>
                <w:sz w:val="16"/>
              </w:rPr>
              <w:t>Temperature</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F439347" w14:textId="77777777" w:rsidR="000E5799" w:rsidRPr="00A34E32" w:rsidRDefault="000E5799">
            <w:pPr>
              <w:jc w:val="center"/>
              <w:rPr>
                <w:rFonts w:eastAsia="Times New Roman"/>
                <w:sz w:val="16"/>
              </w:rPr>
            </w:pPr>
            <w:r w:rsidRPr="00A34E32">
              <w:rPr>
                <w:rFonts w:eastAsia="Times New Roman"/>
                <w:sz w:val="16"/>
              </w:rPr>
              <w:t>°C</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E75F3C5" w14:textId="77777777" w:rsidR="000E5799" w:rsidRPr="00A34E32" w:rsidRDefault="000E5799">
            <w:pPr>
              <w:jc w:val="center"/>
              <w:rPr>
                <w:rFonts w:eastAsia="Times New Roman"/>
                <w:sz w:val="16"/>
              </w:rPr>
            </w:pPr>
            <w:r w:rsidRPr="00A34E32">
              <w:rPr>
                <w:rFonts w:eastAsia="Times New Roman"/>
                <w:sz w:val="16"/>
              </w:rPr>
              <w:t>20.57</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E159266" w14:textId="77777777" w:rsidR="000E5799" w:rsidRPr="00A34E32" w:rsidRDefault="000E5799">
            <w:pPr>
              <w:jc w:val="center"/>
              <w:rPr>
                <w:rFonts w:eastAsia="Times New Roman"/>
                <w:sz w:val="16"/>
              </w:rPr>
            </w:pPr>
            <w:r w:rsidRPr="00A34E32">
              <w:rPr>
                <w:rFonts w:eastAsia="Times New Roman"/>
                <w:sz w:val="16"/>
              </w:rPr>
              <w:t>0.95</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C9E37FC" w14:textId="77777777" w:rsidR="000E5799" w:rsidRPr="00A34E32" w:rsidRDefault="000E5799">
            <w:pPr>
              <w:jc w:val="center"/>
              <w:rPr>
                <w:rFonts w:eastAsia="Times New Roman"/>
                <w:sz w:val="16"/>
              </w:rPr>
            </w:pPr>
            <w:r w:rsidRPr="00A34E32">
              <w:rPr>
                <w:rFonts w:eastAsia="Times New Roman"/>
                <w:sz w:val="16"/>
              </w:rPr>
              <w:t>19.38</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D68BB9" w14:textId="77777777" w:rsidR="000E5799" w:rsidRPr="00A34E32" w:rsidRDefault="000E5799">
            <w:pPr>
              <w:jc w:val="center"/>
              <w:rPr>
                <w:rFonts w:eastAsia="Times New Roman"/>
                <w:sz w:val="16"/>
              </w:rPr>
            </w:pPr>
            <w:r w:rsidRPr="00A34E32">
              <w:rPr>
                <w:rFonts w:eastAsia="Times New Roman"/>
                <w:sz w:val="16"/>
              </w:rPr>
              <w:t>23.81</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DBB157E" w14:textId="77777777" w:rsidR="000E5799" w:rsidRPr="00A34E32" w:rsidRDefault="000E5799">
            <w:pPr>
              <w:jc w:val="center"/>
              <w:rPr>
                <w:rFonts w:eastAsia="Times New Roman"/>
                <w:sz w:val="16"/>
              </w:rPr>
            </w:pPr>
            <w:r w:rsidRPr="00A34E32">
              <w:rPr>
                <w:rFonts w:eastAsia="Times New Roman"/>
                <w:sz w:val="16"/>
              </w:rPr>
              <w:t>30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D346214" w14:textId="77777777" w:rsidR="000E5799" w:rsidRPr="00A34E32" w:rsidRDefault="000E5799">
            <w:pPr>
              <w:jc w:val="center"/>
              <w:rPr>
                <w:rFonts w:eastAsia="Times New Roman"/>
                <w:sz w:val="16"/>
              </w:rPr>
            </w:pPr>
            <w:r w:rsidRPr="00A34E32">
              <w:rPr>
                <w:rFonts w:eastAsia="Times New Roman"/>
                <w:sz w:val="16"/>
              </w:rPr>
              <w:t>25</w:t>
            </w:r>
          </w:p>
        </w:tc>
      </w:tr>
      <w:tr w:rsidR="004F1946" w:rsidRPr="00D443AC" w14:paraId="4C21DBC2"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885F3C" w14:textId="77777777" w:rsidR="000E5799" w:rsidRPr="00A34E32" w:rsidRDefault="000E5799">
            <w:pPr>
              <w:jc w:val="center"/>
              <w:rPr>
                <w:rFonts w:eastAsia="Times New Roman"/>
                <w:sz w:val="16"/>
              </w:rPr>
            </w:pPr>
            <w:r w:rsidRPr="00A34E32">
              <w:rPr>
                <w:rFonts w:eastAsia="Times New Roman"/>
                <w:sz w:val="16"/>
              </w:rPr>
              <w:t>ORP</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2BA7158" w14:textId="77777777" w:rsidR="000E5799" w:rsidRPr="00A34E32" w:rsidRDefault="000E5799">
            <w:pPr>
              <w:jc w:val="center"/>
              <w:rPr>
                <w:rFonts w:eastAsia="Times New Roman"/>
                <w:sz w:val="16"/>
              </w:rPr>
            </w:pPr>
            <w:r w:rsidRPr="00A34E32">
              <w:rPr>
                <w:rFonts w:eastAsia="Times New Roman"/>
                <w:sz w:val="16"/>
              </w:rPr>
              <w:t>mV</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59AE9B3" w14:textId="77777777" w:rsidR="000E5799" w:rsidRPr="00A34E32" w:rsidRDefault="000E5799">
            <w:pPr>
              <w:jc w:val="center"/>
              <w:rPr>
                <w:rFonts w:eastAsia="Times New Roman"/>
                <w:sz w:val="16"/>
              </w:rPr>
            </w:pPr>
            <w:r w:rsidRPr="00A34E32">
              <w:rPr>
                <w:rFonts w:eastAsia="Times New Roman"/>
                <w:sz w:val="16"/>
              </w:rPr>
              <w:t>502.4</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30462BA" w14:textId="77777777" w:rsidR="000E5799" w:rsidRPr="00A34E32" w:rsidRDefault="000E5799">
            <w:pPr>
              <w:jc w:val="center"/>
              <w:rPr>
                <w:rFonts w:eastAsia="Times New Roman"/>
                <w:sz w:val="16"/>
              </w:rPr>
            </w:pPr>
            <w:r w:rsidRPr="00A34E32">
              <w:rPr>
                <w:rFonts w:eastAsia="Times New Roman"/>
                <w:sz w:val="16"/>
              </w:rPr>
              <w:t>185.2</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4C5D3A" w14:textId="77777777" w:rsidR="000E5799" w:rsidRPr="00A34E32" w:rsidRDefault="000E5799">
            <w:pPr>
              <w:jc w:val="center"/>
              <w:rPr>
                <w:rFonts w:eastAsia="Times New Roman"/>
                <w:sz w:val="16"/>
              </w:rPr>
            </w:pPr>
            <w:r w:rsidRPr="00A34E32">
              <w:rPr>
                <w:rFonts w:eastAsia="Times New Roman"/>
                <w:sz w:val="16"/>
              </w:rPr>
              <w:t>116.3</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A143E1" w14:textId="77777777" w:rsidR="000E5799" w:rsidRPr="00A34E32" w:rsidRDefault="000E5799">
            <w:pPr>
              <w:jc w:val="center"/>
              <w:rPr>
                <w:rFonts w:eastAsia="Times New Roman"/>
                <w:sz w:val="16"/>
              </w:rPr>
            </w:pPr>
            <w:r w:rsidRPr="00A34E32">
              <w:rPr>
                <w:rFonts w:eastAsia="Times New Roman"/>
                <w:sz w:val="16"/>
              </w:rPr>
              <w:t>706.2</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B5BEFE" w14:textId="77777777" w:rsidR="000E5799" w:rsidRPr="00A34E32" w:rsidRDefault="000E5799">
            <w:pPr>
              <w:jc w:val="center"/>
              <w:rPr>
                <w:rFonts w:eastAsia="Times New Roman"/>
                <w:sz w:val="16"/>
              </w:rPr>
            </w:pPr>
            <w:r w:rsidRPr="00A34E32">
              <w:rPr>
                <w:rFonts w:eastAsia="Times New Roman"/>
                <w:sz w:val="16"/>
              </w:rPr>
              <w:t>-</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66CEF36"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7DC9CD1F"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9F8861B" w14:textId="77777777" w:rsidR="000E5799" w:rsidRPr="00A34E32" w:rsidRDefault="000E5799">
            <w:pPr>
              <w:jc w:val="center"/>
              <w:rPr>
                <w:rFonts w:eastAsia="Times New Roman"/>
                <w:sz w:val="16"/>
              </w:rPr>
            </w:pPr>
            <w:r w:rsidRPr="00A34E32">
              <w:rPr>
                <w:rFonts w:eastAsia="Times New Roman"/>
                <w:sz w:val="16"/>
              </w:rPr>
              <w:t>DO</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E3D9179"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B02BCB9" w14:textId="77777777" w:rsidR="000E5799" w:rsidRPr="00A34E32" w:rsidRDefault="000E5799">
            <w:pPr>
              <w:jc w:val="center"/>
              <w:rPr>
                <w:rFonts w:eastAsia="Times New Roman"/>
                <w:sz w:val="16"/>
              </w:rPr>
            </w:pPr>
            <w:r w:rsidRPr="00A34E32">
              <w:rPr>
                <w:rFonts w:eastAsia="Times New Roman"/>
                <w:sz w:val="16"/>
              </w:rPr>
              <w:t>7,44</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30F0962" w14:textId="77777777" w:rsidR="000E5799" w:rsidRPr="00A34E32" w:rsidRDefault="000E5799">
            <w:pPr>
              <w:jc w:val="center"/>
              <w:rPr>
                <w:rFonts w:eastAsia="Times New Roman"/>
                <w:sz w:val="16"/>
              </w:rPr>
            </w:pPr>
            <w:r w:rsidRPr="00A34E32">
              <w:rPr>
                <w:rFonts w:eastAsia="Times New Roman"/>
                <w:sz w:val="16"/>
              </w:rPr>
              <w:t>1,44</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2E7B7F6" w14:textId="77777777" w:rsidR="000E5799" w:rsidRPr="00A34E32" w:rsidRDefault="000E5799">
            <w:pPr>
              <w:jc w:val="center"/>
              <w:rPr>
                <w:rFonts w:eastAsia="Times New Roman"/>
                <w:sz w:val="16"/>
              </w:rPr>
            </w:pPr>
            <w:r w:rsidRPr="00A34E32">
              <w:rPr>
                <w:rFonts w:eastAsia="Times New Roman"/>
                <w:sz w:val="16"/>
              </w:rPr>
              <w:t>3.83</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893D85" w14:textId="77777777" w:rsidR="000E5799" w:rsidRPr="00A34E32" w:rsidRDefault="000E5799">
            <w:pPr>
              <w:jc w:val="center"/>
              <w:rPr>
                <w:rFonts w:eastAsia="Times New Roman"/>
                <w:sz w:val="16"/>
              </w:rPr>
            </w:pPr>
            <w:r w:rsidRPr="00A34E32">
              <w:rPr>
                <w:rFonts w:eastAsia="Times New Roman"/>
                <w:sz w:val="16"/>
              </w:rPr>
              <w:t>9,59</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209F966" w14:textId="77777777" w:rsidR="000E5799" w:rsidRPr="00A34E32" w:rsidRDefault="000E5799">
            <w:pPr>
              <w:jc w:val="center"/>
              <w:rPr>
                <w:rFonts w:eastAsia="Times New Roman"/>
                <w:sz w:val="16"/>
              </w:rPr>
            </w:pPr>
            <w:r w:rsidRPr="00A34E32">
              <w:rPr>
                <w:rFonts w:eastAsia="Times New Roman"/>
                <w:sz w:val="16"/>
              </w:rPr>
              <w:t>-</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B18F0D"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6E4C06D9" w14:textId="77777777" w:rsidTr="004E752B">
        <w:trPr>
          <w:trHeight w:val="195"/>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CF1194" w14:textId="3669BD16" w:rsidR="000E5799" w:rsidRPr="00A34E32" w:rsidRDefault="000E5799">
            <w:pPr>
              <w:jc w:val="center"/>
              <w:rPr>
                <w:rFonts w:eastAsia="Times New Roman"/>
                <w:sz w:val="16"/>
              </w:rPr>
            </w:pPr>
            <w:r w:rsidRPr="00A34E32">
              <w:rPr>
                <w:rFonts w:eastAsia="Times New Roman"/>
                <w:sz w:val="16"/>
              </w:rPr>
              <w:t>OSP</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FE22339" w14:textId="77777777" w:rsidR="000E5799" w:rsidRPr="00A34E32" w:rsidRDefault="000E5799">
            <w:pPr>
              <w:jc w:val="center"/>
              <w:rPr>
                <w:rFonts w:eastAsia="Times New Roman"/>
                <w:sz w:val="16"/>
              </w:rPr>
            </w:pPr>
            <w:r w:rsidRPr="00A34E32">
              <w:rPr>
                <w:rFonts w:eastAsia="Times New Roman"/>
                <w:sz w:val="16"/>
              </w:rPr>
              <w:t>%</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6E0DFB" w14:textId="77777777" w:rsidR="000E5799" w:rsidRPr="00A34E32" w:rsidRDefault="000E5799">
            <w:pPr>
              <w:jc w:val="center"/>
              <w:rPr>
                <w:rFonts w:eastAsia="Times New Roman"/>
                <w:sz w:val="16"/>
              </w:rPr>
            </w:pPr>
            <w:r w:rsidRPr="00A34E32">
              <w:rPr>
                <w:rFonts w:eastAsia="Times New Roman"/>
                <w:sz w:val="16"/>
              </w:rPr>
              <w:t>95.56</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1B52F0" w14:textId="77777777" w:rsidR="000E5799" w:rsidRPr="00A34E32" w:rsidRDefault="000E5799">
            <w:pPr>
              <w:jc w:val="center"/>
              <w:rPr>
                <w:rFonts w:eastAsia="Times New Roman"/>
                <w:sz w:val="16"/>
              </w:rPr>
            </w:pPr>
            <w:r w:rsidRPr="00A34E32">
              <w:rPr>
                <w:rFonts w:eastAsia="Times New Roman"/>
                <w:sz w:val="16"/>
              </w:rPr>
              <w:t>18.78</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149AB95" w14:textId="77777777" w:rsidR="000E5799" w:rsidRPr="00A34E32" w:rsidRDefault="000E5799">
            <w:pPr>
              <w:jc w:val="center"/>
              <w:rPr>
                <w:rFonts w:eastAsia="Times New Roman"/>
                <w:sz w:val="16"/>
              </w:rPr>
            </w:pPr>
            <w:r w:rsidRPr="00A34E32">
              <w:rPr>
                <w:rFonts w:eastAsia="Times New Roman"/>
                <w:sz w:val="16"/>
              </w:rPr>
              <w:t>49.45</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24870A3" w14:textId="77777777" w:rsidR="000E5799" w:rsidRPr="00A34E32" w:rsidRDefault="000E5799">
            <w:pPr>
              <w:jc w:val="center"/>
              <w:rPr>
                <w:rFonts w:eastAsia="Times New Roman"/>
                <w:sz w:val="16"/>
              </w:rPr>
            </w:pPr>
            <w:r w:rsidRPr="00A34E32">
              <w:rPr>
                <w:rFonts w:eastAsia="Times New Roman"/>
                <w:sz w:val="16"/>
              </w:rPr>
              <w:t>122.05</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015DA49" w14:textId="77777777" w:rsidR="000E5799" w:rsidRPr="00A34E32" w:rsidRDefault="000E5799">
            <w:pPr>
              <w:jc w:val="center"/>
              <w:rPr>
                <w:rFonts w:eastAsia="Times New Roman"/>
                <w:sz w:val="16"/>
              </w:rPr>
            </w:pPr>
            <w:r w:rsidRPr="00A34E32">
              <w:rPr>
                <w:rFonts w:eastAsia="Times New Roman"/>
                <w:sz w:val="16"/>
              </w:rPr>
              <w:t>-</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63D76C"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5ED7C1C3"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5AFB102" w14:textId="77777777" w:rsidR="000E5799" w:rsidRPr="00A34E32" w:rsidRDefault="000E5799">
            <w:pPr>
              <w:jc w:val="center"/>
              <w:rPr>
                <w:rFonts w:eastAsia="Times New Roman"/>
                <w:sz w:val="16"/>
              </w:rPr>
            </w:pPr>
            <w:r w:rsidRPr="00A34E32">
              <w:rPr>
                <w:rFonts w:eastAsia="Times New Roman"/>
                <w:sz w:val="16"/>
              </w:rPr>
              <w:t>Free residual chlorine</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026A0F8"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4FA450E" w14:textId="77777777" w:rsidR="000E5799" w:rsidRPr="00A34E32" w:rsidRDefault="000E5799">
            <w:pPr>
              <w:jc w:val="center"/>
              <w:rPr>
                <w:rFonts w:eastAsia="Times New Roman"/>
                <w:sz w:val="16"/>
              </w:rPr>
            </w:pPr>
            <w:r w:rsidRPr="00A34E32">
              <w:rPr>
                <w:rFonts w:eastAsia="Times New Roman"/>
                <w:sz w:val="16"/>
              </w:rPr>
              <w:t>0.27</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037E068" w14:textId="77777777" w:rsidR="000E5799" w:rsidRPr="00A34E32" w:rsidRDefault="000E5799">
            <w:pPr>
              <w:jc w:val="center"/>
              <w:rPr>
                <w:rFonts w:eastAsia="Times New Roman"/>
                <w:sz w:val="16"/>
              </w:rPr>
            </w:pPr>
            <w:r w:rsidRPr="00A34E32">
              <w:rPr>
                <w:rFonts w:eastAsia="Times New Roman"/>
                <w:sz w:val="16"/>
              </w:rPr>
              <w:t>0.25</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AA8EA12" w14:textId="77777777" w:rsidR="000E5799" w:rsidRPr="00A34E32" w:rsidRDefault="000E5799">
            <w:pPr>
              <w:jc w:val="center"/>
              <w:rPr>
                <w:rFonts w:eastAsia="Times New Roman"/>
                <w:sz w:val="16"/>
              </w:rPr>
            </w:pPr>
            <w:r w:rsidRPr="00A34E32">
              <w:rPr>
                <w:rFonts w:eastAsia="Times New Roman"/>
                <w:sz w:val="16"/>
              </w:rPr>
              <w:t>0.02</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288AC9" w14:textId="77777777" w:rsidR="000E5799" w:rsidRPr="00A34E32" w:rsidRDefault="000E5799">
            <w:pPr>
              <w:jc w:val="center"/>
              <w:rPr>
                <w:rFonts w:eastAsia="Times New Roman"/>
                <w:sz w:val="16"/>
              </w:rPr>
            </w:pPr>
            <w:r w:rsidRPr="00A34E32">
              <w:rPr>
                <w:rFonts w:eastAsia="Times New Roman"/>
                <w:sz w:val="16"/>
              </w:rPr>
              <w:t>0.71</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760F71E" w14:textId="77777777" w:rsidR="000E5799" w:rsidRPr="00A34E32" w:rsidRDefault="000E5799">
            <w:pPr>
              <w:jc w:val="center"/>
              <w:rPr>
                <w:rFonts w:eastAsia="Times New Roman"/>
                <w:sz w:val="16"/>
              </w:rPr>
            </w:pPr>
            <w:r w:rsidRPr="00A34E32">
              <w:rPr>
                <w:rFonts w:eastAsia="Times New Roman"/>
                <w:sz w:val="16"/>
              </w:rPr>
              <w:t>0.3-0.6</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F51949" w14:textId="77777777" w:rsidR="000E5799" w:rsidRPr="00A34E32" w:rsidRDefault="000E5799">
            <w:pPr>
              <w:jc w:val="center"/>
              <w:rPr>
                <w:rFonts w:eastAsia="Times New Roman"/>
                <w:sz w:val="16"/>
              </w:rPr>
            </w:pPr>
            <w:r w:rsidRPr="00A34E32">
              <w:rPr>
                <w:rFonts w:eastAsia="Times New Roman"/>
                <w:sz w:val="16"/>
              </w:rPr>
              <w:t>5</w:t>
            </w:r>
          </w:p>
        </w:tc>
      </w:tr>
      <w:tr w:rsidR="004F1946" w:rsidRPr="00D443AC" w14:paraId="385AC7B8"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31312E" w14:textId="77777777" w:rsidR="000E5799" w:rsidRPr="00A34E32" w:rsidRDefault="000E5799">
            <w:pPr>
              <w:jc w:val="center"/>
              <w:rPr>
                <w:rFonts w:eastAsia="Times New Roman"/>
                <w:sz w:val="16"/>
              </w:rPr>
            </w:pPr>
            <w:r w:rsidRPr="00A34E32">
              <w:rPr>
                <w:rFonts w:eastAsia="Times New Roman"/>
                <w:sz w:val="16"/>
              </w:rPr>
              <w:t>Alkalinity</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838754B" w14:textId="77777777" w:rsidR="000E5799" w:rsidRPr="00A34E32" w:rsidRDefault="000E5799">
            <w:pPr>
              <w:jc w:val="center"/>
              <w:rPr>
                <w:rFonts w:eastAsia="Times New Roman"/>
                <w:sz w:val="16"/>
              </w:rPr>
            </w:pPr>
            <w:r w:rsidRPr="00A34E32">
              <w:rPr>
                <w:rFonts w:eastAsia="Times New Roman"/>
                <w:sz w:val="16"/>
              </w:rPr>
              <w:t>mg/L CaCO</w:t>
            </w:r>
            <w:r w:rsidRPr="00A34E32">
              <w:rPr>
                <w:rFonts w:eastAsia="Times New Roman"/>
                <w:sz w:val="16"/>
                <w:vertAlign w:val="subscript"/>
              </w:rPr>
              <w:t>3</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8F8B84E" w14:textId="77777777" w:rsidR="000E5799" w:rsidRPr="00A34E32" w:rsidRDefault="000E5799">
            <w:pPr>
              <w:jc w:val="center"/>
              <w:rPr>
                <w:rFonts w:eastAsia="Times New Roman"/>
                <w:sz w:val="16"/>
              </w:rPr>
            </w:pPr>
            <w:r w:rsidRPr="00A34E32">
              <w:rPr>
                <w:rFonts w:eastAsia="Times New Roman"/>
                <w:sz w:val="16"/>
              </w:rPr>
              <w:t>48.6</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8C35E20" w14:textId="77777777" w:rsidR="000E5799" w:rsidRPr="00A34E32" w:rsidRDefault="000E5799">
            <w:pPr>
              <w:jc w:val="center"/>
              <w:rPr>
                <w:rFonts w:eastAsia="Times New Roman"/>
                <w:sz w:val="16"/>
              </w:rPr>
            </w:pPr>
            <w:r w:rsidRPr="00A34E32">
              <w:rPr>
                <w:rFonts w:eastAsia="Times New Roman"/>
                <w:sz w:val="16"/>
              </w:rPr>
              <w:t>6.5</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FEF101" w14:textId="77777777" w:rsidR="000E5799" w:rsidRPr="00A34E32" w:rsidRDefault="000E5799">
            <w:pPr>
              <w:jc w:val="center"/>
              <w:rPr>
                <w:rFonts w:eastAsia="Times New Roman"/>
                <w:sz w:val="16"/>
              </w:rPr>
            </w:pPr>
            <w:r w:rsidRPr="00A34E32">
              <w:rPr>
                <w:rFonts w:eastAsia="Times New Roman"/>
                <w:sz w:val="16"/>
              </w:rPr>
              <w:t>41.5</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70851C" w14:textId="77777777" w:rsidR="000E5799" w:rsidRPr="00A34E32" w:rsidRDefault="000E5799">
            <w:pPr>
              <w:jc w:val="center"/>
              <w:rPr>
                <w:rFonts w:eastAsia="Times New Roman"/>
                <w:sz w:val="16"/>
              </w:rPr>
            </w:pPr>
            <w:r w:rsidRPr="00A34E32">
              <w:rPr>
                <w:rFonts w:eastAsia="Times New Roman"/>
                <w:sz w:val="16"/>
              </w:rPr>
              <w:t>68.5</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BAF6387" w14:textId="77777777" w:rsidR="000E5799" w:rsidRPr="00A34E32" w:rsidRDefault="000E5799">
            <w:pPr>
              <w:jc w:val="center"/>
              <w:rPr>
                <w:rFonts w:eastAsia="Times New Roman"/>
                <w:sz w:val="16"/>
              </w:rPr>
            </w:pPr>
            <w:r w:rsidRPr="00A34E32">
              <w:rPr>
                <w:rFonts w:eastAsia="Times New Roman"/>
                <w:sz w:val="16"/>
              </w:rPr>
              <w:t>-</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28A2282"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17D9842C" w14:textId="77777777" w:rsidTr="004E752B">
        <w:trPr>
          <w:trHeight w:val="251"/>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ACA64E" w14:textId="77777777" w:rsidR="000E5799" w:rsidRPr="00A34E32" w:rsidRDefault="000E5799">
            <w:pPr>
              <w:jc w:val="center"/>
              <w:rPr>
                <w:rFonts w:eastAsia="Times New Roman"/>
                <w:sz w:val="16"/>
              </w:rPr>
            </w:pPr>
            <w:r w:rsidRPr="00A34E32">
              <w:rPr>
                <w:rFonts w:eastAsia="Times New Roman"/>
                <w:sz w:val="16"/>
              </w:rPr>
              <w:t>Hardness</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374A440" w14:textId="77777777" w:rsidR="000E5799" w:rsidRPr="00A34E32" w:rsidRDefault="000E5799">
            <w:pPr>
              <w:jc w:val="center"/>
              <w:rPr>
                <w:rFonts w:eastAsia="Times New Roman"/>
                <w:sz w:val="16"/>
              </w:rPr>
            </w:pPr>
            <w:r w:rsidRPr="00A34E32">
              <w:rPr>
                <w:rFonts w:eastAsia="Times New Roman"/>
                <w:sz w:val="16"/>
              </w:rPr>
              <w:t>mg/L CaCO</w:t>
            </w:r>
            <w:r w:rsidRPr="00A34E32">
              <w:rPr>
                <w:rFonts w:eastAsia="Times New Roman"/>
                <w:sz w:val="16"/>
                <w:vertAlign w:val="subscript"/>
              </w:rPr>
              <w:t>3</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CCE01A5" w14:textId="77777777" w:rsidR="000E5799" w:rsidRPr="00A34E32" w:rsidRDefault="000E5799">
            <w:pPr>
              <w:jc w:val="center"/>
              <w:rPr>
                <w:rFonts w:eastAsia="Times New Roman"/>
                <w:sz w:val="16"/>
              </w:rPr>
            </w:pPr>
            <w:r w:rsidRPr="00A34E32">
              <w:rPr>
                <w:rFonts w:eastAsia="Times New Roman"/>
                <w:sz w:val="16"/>
              </w:rPr>
              <w:t>55.3</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621DAFA" w14:textId="77777777" w:rsidR="000E5799" w:rsidRPr="00A34E32" w:rsidRDefault="000E5799">
            <w:pPr>
              <w:jc w:val="center"/>
              <w:rPr>
                <w:rFonts w:eastAsia="Times New Roman"/>
                <w:sz w:val="16"/>
              </w:rPr>
            </w:pPr>
            <w:r w:rsidRPr="00A34E32">
              <w:rPr>
                <w:rFonts w:eastAsia="Times New Roman"/>
                <w:sz w:val="16"/>
              </w:rPr>
              <w:t>13.4</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BDA7FF5" w14:textId="77777777" w:rsidR="000E5799" w:rsidRPr="00A34E32" w:rsidRDefault="000E5799">
            <w:pPr>
              <w:jc w:val="center"/>
              <w:rPr>
                <w:rFonts w:eastAsia="Times New Roman"/>
                <w:sz w:val="16"/>
              </w:rPr>
            </w:pPr>
            <w:r w:rsidRPr="00A34E32">
              <w:rPr>
                <w:rFonts w:eastAsia="Times New Roman"/>
                <w:sz w:val="16"/>
              </w:rPr>
              <w:t>44.2</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86BE3BA" w14:textId="77777777" w:rsidR="000E5799" w:rsidRPr="00A34E32" w:rsidRDefault="000E5799">
            <w:pPr>
              <w:jc w:val="center"/>
              <w:rPr>
                <w:rFonts w:eastAsia="Times New Roman"/>
                <w:sz w:val="16"/>
              </w:rPr>
            </w:pPr>
            <w:r w:rsidRPr="00A34E32">
              <w:rPr>
                <w:rFonts w:eastAsia="Times New Roman"/>
                <w:sz w:val="16"/>
              </w:rPr>
              <w:t>86.1</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E0C04A7" w14:textId="77777777" w:rsidR="000E5799" w:rsidRPr="00A34E32" w:rsidRDefault="000E5799">
            <w:pPr>
              <w:jc w:val="center"/>
              <w:rPr>
                <w:rFonts w:eastAsia="Times New Roman"/>
                <w:sz w:val="16"/>
              </w:rPr>
            </w:pPr>
            <w:r w:rsidRPr="00A34E32">
              <w:rPr>
                <w:rFonts w:eastAsia="Times New Roman"/>
                <w:sz w:val="16"/>
              </w:rPr>
              <w:t>400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1B4958"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715D8C3D"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EB03F3D" w14:textId="77777777" w:rsidR="000E5799" w:rsidRPr="00A34E32" w:rsidRDefault="000E5799">
            <w:pPr>
              <w:jc w:val="center"/>
              <w:rPr>
                <w:rFonts w:eastAsia="Times New Roman"/>
                <w:sz w:val="16"/>
              </w:rPr>
            </w:pPr>
            <w:r w:rsidRPr="00A34E32">
              <w:rPr>
                <w:rFonts w:eastAsia="Times New Roman"/>
                <w:sz w:val="16"/>
              </w:rPr>
              <w:t>TDS</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76C3EE"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4740D9" w14:textId="77777777" w:rsidR="000E5799" w:rsidRPr="00A34E32" w:rsidRDefault="000E5799">
            <w:pPr>
              <w:jc w:val="center"/>
              <w:rPr>
                <w:rFonts w:eastAsia="Times New Roman"/>
                <w:sz w:val="16"/>
              </w:rPr>
            </w:pPr>
            <w:r w:rsidRPr="00A34E32">
              <w:rPr>
                <w:rFonts w:eastAsia="Times New Roman"/>
                <w:sz w:val="16"/>
              </w:rPr>
              <w:t>126.1</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8FB84D" w14:textId="77777777" w:rsidR="000E5799" w:rsidRPr="00A34E32" w:rsidRDefault="000E5799">
            <w:pPr>
              <w:jc w:val="center"/>
              <w:rPr>
                <w:rFonts w:eastAsia="Times New Roman"/>
                <w:sz w:val="16"/>
              </w:rPr>
            </w:pPr>
            <w:r w:rsidRPr="00A34E32">
              <w:rPr>
                <w:rFonts w:eastAsia="Times New Roman"/>
                <w:sz w:val="16"/>
              </w:rPr>
              <w:t>24.6</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D9E11EE" w14:textId="77777777" w:rsidR="000E5799" w:rsidRPr="00A34E32" w:rsidRDefault="000E5799">
            <w:pPr>
              <w:jc w:val="center"/>
              <w:rPr>
                <w:rFonts w:eastAsia="Times New Roman"/>
                <w:sz w:val="16"/>
              </w:rPr>
            </w:pPr>
            <w:r w:rsidRPr="00A34E32">
              <w:rPr>
                <w:rFonts w:eastAsia="Times New Roman"/>
                <w:sz w:val="16"/>
              </w:rPr>
              <w:t>87.0</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4229488" w14:textId="77777777" w:rsidR="000E5799" w:rsidRPr="00A34E32" w:rsidRDefault="000E5799">
            <w:pPr>
              <w:jc w:val="center"/>
              <w:rPr>
                <w:rFonts w:eastAsia="Times New Roman"/>
                <w:sz w:val="16"/>
              </w:rPr>
            </w:pPr>
            <w:r w:rsidRPr="00A34E32">
              <w:rPr>
                <w:rFonts w:eastAsia="Times New Roman"/>
                <w:sz w:val="16"/>
              </w:rPr>
              <w:t>178.0</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DA8DA4E" w14:textId="77777777" w:rsidR="000E5799" w:rsidRPr="00A34E32" w:rsidRDefault="000E5799">
            <w:pPr>
              <w:jc w:val="center"/>
              <w:rPr>
                <w:rFonts w:eastAsia="Times New Roman"/>
                <w:sz w:val="16"/>
              </w:rPr>
            </w:pPr>
            <w:r w:rsidRPr="00A34E32">
              <w:rPr>
                <w:rFonts w:eastAsia="Times New Roman"/>
                <w:sz w:val="16"/>
              </w:rPr>
              <w:t>1000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CBC551" w14:textId="77777777" w:rsidR="000E5799" w:rsidRPr="00A34E32" w:rsidRDefault="000E5799">
            <w:pPr>
              <w:jc w:val="center"/>
              <w:rPr>
                <w:rFonts w:eastAsia="Times New Roman"/>
                <w:sz w:val="16"/>
              </w:rPr>
            </w:pPr>
            <w:r w:rsidRPr="00A34E32">
              <w:rPr>
                <w:rFonts w:eastAsia="Times New Roman"/>
                <w:sz w:val="16"/>
              </w:rPr>
              <w:t>1000</w:t>
            </w:r>
          </w:p>
        </w:tc>
      </w:tr>
      <w:tr w:rsidR="004F1946" w:rsidRPr="00D443AC" w14:paraId="0C1247F8"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CD9FBDE" w14:textId="77777777" w:rsidR="000E5799" w:rsidRPr="00A34E32" w:rsidRDefault="000E5799">
            <w:pPr>
              <w:jc w:val="center"/>
              <w:rPr>
                <w:rFonts w:eastAsia="Times New Roman"/>
                <w:sz w:val="16"/>
              </w:rPr>
            </w:pPr>
            <w:r w:rsidRPr="00A34E32">
              <w:rPr>
                <w:rFonts w:eastAsia="Times New Roman"/>
                <w:sz w:val="16"/>
              </w:rPr>
              <w:t>Fluoride</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A0494B"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288D53" w14:textId="77777777" w:rsidR="000E5799" w:rsidRPr="00A34E32" w:rsidRDefault="000E5799">
            <w:pPr>
              <w:jc w:val="center"/>
              <w:rPr>
                <w:rFonts w:eastAsia="Times New Roman"/>
                <w:sz w:val="16"/>
              </w:rPr>
            </w:pPr>
            <w:r w:rsidRPr="00A34E32">
              <w:rPr>
                <w:rFonts w:eastAsia="Times New Roman"/>
                <w:sz w:val="16"/>
              </w:rPr>
              <w:t>0.061</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C28324" w14:textId="77777777" w:rsidR="000E5799" w:rsidRPr="00A34E32" w:rsidRDefault="000E5799">
            <w:pPr>
              <w:jc w:val="center"/>
              <w:rPr>
                <w:rFonts w:eastAsia="Times New Roman"/>
                <w:sz w:val="16"/>
              </w:rPr>
            </w:pPr>
            <w:r w:rsidRPr="00A34E32">
              <w:rPr>
                <w:rFonts w:eastAsia="Times New Roman"/>
                <w:sz w:val="16"/>
              </w:rPr>
              <w:t>0.020</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2DDBAF" w14:textId="77777777" w:rsidR="000E5799" w:rsidRPr="00A34E32" w:rsidRDefault="000E5799">
            <w:pPr>
              <w:jc w:val="center"/>
              <w:rPr>
                <w:rFonts w:eastAsia="Times New Roman"/>
                <w:sz w:val="16"/>
              </w:rPr>
            </w:pPr>
            <w:r w:rsidRPr="00A34E32">
              <w:rPr>
                <w:rFonts w:eastAsia="Times New Roman"/>
                <w:sz w:val="16"/>
              </w:rPr>
              <w:t>0.049</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651C015" w14:textId="77777777" w:rsidR="000E5799" w:rsidRPr="00A34E32" w:rsidRDefault="000E5799">
            <w:pPr>
              <w:jc w:val="center"/>
              <w:rPr>
                <w:rFonts w:eastAsia="Times New Roman"/>
                <w:sz w:val="16"/>
              </w:rPr>
            </w:pPr>
            <w:r w:rsidRPr="00A34E32">
              <w:rPr>
                <w:rFonts w:eastAsia="Times New Roman"/>
                <w:sz w:val="16"/>
              </w:rPr>
              <w:t>0.156</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942DAF7" w14:textId="77777777" w:rsidR="000E5799" w:rsidRPr="00A34E32" w:rsidRDefault="000E5799">
            <w:pPr>
              <w:jc w:val="center"/>
              <w:rPr>
                <w:rFonts w:eastAsia="Times New Roman"/>
                <w:sz w:val="16"/>
              </w:rPr>
            </w:pPr>
            <w:r w:rsidRPr="00A34E32">
              <w:rPr>
                <w:rFonts w:eastAsia="Times New Roman"/>
                <w:sz w:val="16"/>
              </w:rPr>
              <w:t>0.7</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4D720CE" w14:textId="77777777" w:rsidR="000E5799" w:rsidRPr="00A34E32" w:rsidRDefault="000E5799">
            <w:pPr>
              <w:jc w:val="center"/>
              <w:rPr>
                <w:rFonts w:eastAsia="Times New Roman"/>
                <w:sz w:val="16"/>
              </w:rPr>
            </w:pPr>
            <w:r w:rsidRPr="00A34E32">
              <w:rPr>
                <w:rFonts w:eastAsia="Times New Roman"/>
                <w:sz w:val="16"/>
              </w:rPr>
              <w:t>1.5</w:t>
            </w:r>
          </w:p>
        </w:tc>
      </w:tr>
      <w:tr w:rsidR="004F1946" w:rsidRPr="00D443AC" w14:paraId="11751B01"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5FB35C" w14:textId="77777777" w:rsidR="000E5799" w:rsidRPr="00A34E32" w:rsidRDefault="000E5799">
            <w:pPr>
              <w:jc w:val="center"/>
              <w:rPr>
                <w:rFonts w:eastAsia="Times New Roman"/>
                <w:sz w:val="16"/>
              </w:rPr>
            </w:pPr>
            <w:r w:rsidRPr="00A34E32">
              <w:rPr>
                <w:rFonts w:eastAsia="Times New Roman"/>
                <w:sz w:val="16"/>
              </w:rPr>
              <w:t>Chloride</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70A816"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ED41C3" w14:textId="77777777" w:rsidR="000E5799" w:rsidRPr="00A34E32" w:rsidRDefault="000E5799">
            <w:pPr>
              <w:jc w:val="center"/>
              <w:rPr>
                <w:rFonts w:eastAsia="Times New Roman"/>
                <w:sz w:val="16"/>
              </w:rPr>
            </w:pPr>
            <w:r w:rsidRPr="00A34E32">
              <w:rPr>
                <w:rFonts w:eastAsia="Times New Roman"/>
                <w:sz w:val="16"/>
              </w:rPr>
              <w:t>2.547</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B00B3A7" w14:textId="77777777" w:rsidR="000E5799" w:rsidRPr="00A34E32" w:rsidRDefault="000E5799">
            <w:pPr>
              <w:jc w:val="center"/>
              <w:rPr>
                <w:rFonts w:eastAsia="Times New Roman"/>
                <w:sz w:val="16"/>
              </w:rPr>
            </w:pPr>
            <w:r w:rsidRPr="00A34E32">
              <w:rPr>
                <w:rFonts w:eastAsia="Times New Roman"/>
                <w:sz w:val="16"/>
              </w:rPr>
              <w:t>0.969</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4F8D108" w14:textId="77777777" w:rsidR="000E5799" w:rsidRPr="00A34E32" w:rsidRDefault="000E5799">
            <w:pPr>
              <w:jc w:val="center"/>
              <w:rPr>
                <w:rFonts w:eastAsia="Times New Roman"/>
                <w:sz w:val="16"/>
              </w:rPr>
            </w:pPr>
            <w:r w:rsidRPr="00A34E32">
              <w:rPr>
                <w:rFonts w:eastAsia="Times New Roman"/>
                <w:sz w:val="16"/>
              </w:rPr>
              <w:t>1.701</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877DEB1" w14:textId="77777777" w:rsidR="000E5799" w:rsidRPr="00A34E32" w:rsidRDefault="000E5799">
            <w:pPr>
              <w:jc w:val="center"/>
              <w:rPr>
                <w:rFonts w:eastAsia="Times New Roman"/>
                <w:sz w:val="16"/>
              </w:rPr>
            </w:pPr>
            <w:r w:rsidRPr="00A34E32">
              <w:rPr>
                <w:rFonts w:eastAsia="Times New Roman"/>
                <w:sz w:val="16"/>
              </w:rPr>
              <w:t>4.703</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A734BF" w14:textId="77777777" w:rsidR="000E5799" w:rsidRPr="00A34E32" w:rsidRDefault="000E5799">
            <w:pPr>
              <w:jc w:val="center"/>
              <w:rPr>
                <w:rFonts w:eastAsia="Times New Roman"/>
                <w:sz w:val="16"/>
              </w:rPr>
            </w:pPr>
            <w:r w:rsidRPr="00A34E32">
              <w:rPr>
                <w:rFonts w:eastAsia="Times New Roman"/>
                <w:sz w:val="16"/>
              </w:rPr>
              <w:t>250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E9F5463" w14:textId="77777777" w:rsidR="000E5799" w:rsidRPr="00A34E32" w:rsidRDefault="000E5799">
            <w:pPr>
              <w:jc w:val="center"/>
              <w:rPr>
                <w:rFonts w:eastAsia="Times New Roman"/>
                <w:sz w:val="16"/>
              </w:rPr>
            </w:pPr>
            <w:r w:rsidRPr="00A34E32">
              <w:rPr>
                <w:rFonts w:eastAsia="Times New Roman"/>
                <w:sz w:val="16"/>
              </w:rPr>
              <w:t>250</w:t>
            </w:r>
          </w:p>
        </w:tc>
      </w:tr>
      <w:tr w:rsidR="004F1946" w:rsidRPr="00D443AC" w14:paraId="61FCCB03"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499C250" w14:textId="77777777" w:rsidR="000E5799" w:rsidRPr="00A34E32" w:rsidRDefault="000E5799">
            <w:pPr>
              <w:jc w:val="center"/>
              <w:rPr>
                <w:rFonts w:eastAsia="Times New Roman"/>
                <w:sz w:val="16"/>
                <w:vertAlign w:val="superscript"/>
              </w:rPr>
            </w:pPr>
            <w:proofErr w:type="spellStart"/>
            <w:r w:rsidRPr="00A34E32">
              <w:rPr>
                <w:rFonts w:eastAsia="Times New Roman"/>
                <w:sz w:val="16"/>
              </w:rPr>
              <w:t>Bromide</w:t>
            </w:r>
            <w:r w:rsidRPr="00A34E32">
              <w:rPr>
                <w:rFonts w:eastAsia="Times New Roman"/>
                <w:sz w:val="16"/>
                <w:vertAlign w:val="superscript"/>
              </w:rPr>
              <w:t>a</w:t>
            </w:r>
            <w:proofErr w:type="spellEnd"/>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C065CF"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50E7B82" w14:textId="77777777" w:rsidR="000E5799" w:rsidRPr="00A34E32" w:rsidRDefault="000E5799">
            <w:pPr>
              <w:jc w:val="center"/>
              <w:rPr>
                <w:rFonts w:eastAsia="Times New Roman"/>
                <w:sz w:val="16"/>
              </w:rPr>
            </w:pPr>
            <w:r w:rsidRPr="00A34E32">
              <w:rPr>
                <w:rFonts w:eastAsia="Times New Roman"/>
                <w:sz w:val="16"/>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7A504BE" w14:textId="77777777" w:rsidR="000E5799" w:rsidRPr="00A34E32" w:rsidRDefault="000E5799">
            <w:pPr>
              <w:jc w:val="center"/>
              <w:rPr>
                <w:rFonts w:eastAsia="Times New Roman"/>
                <w:sz w:val="16"/>
              </w:rPr>
            </w:pPr>
            <w:r w:rsidRPr="00A34E32">
              <w:rPr>
                <w:rFonts w:eastAsia="Times New Roman"/>
                <w:sz w:val="16"/>
              </w:rPr>
              <w:t>-</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0B3B0B0" w14:textId="77777777" w:rsidR="000E5799" w:rsidRPr="00A34E32" w:rsidRDefault="000E5799">
            <w:pPr>
              <w:jc w:val="center"/>
              <w:rPr>
                <w:rFonts w:eastAsia="Times New Roman"/>
                <w:sz w:val="16"/>
              </w:rPr>
            </w:pPr>
            <w:r w:rsidRPr="00A34E32">
              <w:rPr>
                <w:rFonts w:eastAsia="Times New Roman"/>
                <w:sz w:val="16"/>
              </w:rPr>
              <w:t>-</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88E043E" w14:textId="77777777" w:rsidR="000E5799" w:rsidRPr="00A34E32" w:rsidRDefault="000E5799">
            <w:pPr>
              <w:jc w:val="center"/>
              <w:rPr>
                <w:rFonts w:eastAsia="Times New Roman"/>
                <w:sz w:val="16"/>
              </w:rPr>
            </w:pPr>
            <w:r w:rsidRPr="00A34E32">
              <w:rPr>
                <w:rFonts w:eastAsia="Times New Roman"/>
                <w:sz w:val="16"/>
              </w:rPr>
              <w:t>&lt; 0.077</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B4569C2" w14:textId="77777777" w:rsidR="000E5799" w:rsidRPr="00A34E32" w:rsidRDefault="000E5799">
            <w:pPr>
              <w:jc w:val="center"/>
              <w:rPr>
                <w:rFonts w:eastAsia="Times New Roman"/>
                <w:sz w:val="16"/>
              </w:rPr>
            </w:pPr>
            <w:r w:rsidRPr="00A34E32">
              <w:rPr>
                <w:rFonts w:eastAsia="Times New Roman"/>
                <w:sz w:val="16"/>
              </w:rPr>
              <w:t>-</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0F71566"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05681791"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050D94" w14:textId="77777777" w:rsidR="000E5799" w:rsidRPr="00A34E32" w:rsidRDefault="000E5799">
            <w:pPr>
              <w:jc w:val="center"/>
              <w:rPr>
                <w:rFonts w:eastAsia="Times New Roman"/>
                <w:sz w:val="16"/>
                <w:vertAlign w:val="superscript"/>
              </w:rPr>
            </w:pPr>
            <w:proofErr w:type="spellStart"/>
            <w:r w:rsidRPr="00A34E32">
              <w:rPr>
                <w:rFonts w:eastAsia="Times New Roman"/>
                <w:sz w:val="16"/>
              </w:rPr>
              <w:t>Nitrite</w:t>
            </w:r>
            <w:r w:rsidRPr="00A34E32">
              <w:rPr>
                <w:rFonts w:eastAsia="Times New Roman"/>
                <w:sz w:val="16"/>
                <w:vertAlign w:val="superscript"/>
              </w:rPr>
              <w:t>a</w:t>
            </w:r>
            <w:proofErr w:type="spellEnd"/>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E6B849"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438BA56" w14:textId="77777777" w:rsidR="000E5799" w:rsidRPr="00A34E32" w:rsidRDefault="000E5799">
            <w:pPr>
              <w:jc w:val="center"/>
              <w:rPr>
                <w:rFonts w:eastAsia="Times New Roman"/>
                <w:sz w:val="16"/>
              </w:rPr>
            </w:pPr>
            <w:r w:rsidRPr="00A34E32">
              <w:rPr>
                <w:rFonts w:eastAsia="Times New Roman"/>
                <w:sz w:val="16"/>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514BC9" w14:textId="77777777" w:rsidR="000E5799" w:rsidRPr="00A34E32" w:rsidRDefault="000E5799">
            <w:pPr>
              <w:jc w:val="center"/>
              <w:rPr>
                <w:rFonts w:eastAsia="Times New Roman"/>
                <w:sz w:val="16"/>
              </w:rPr>
            </w:pPr>
            <w:r w:rsidRPr="00A34E32">
              <w:rPr>
                <w:rFonts w:eastAsia="Times New Roman"/>
                <w:sz w:val="16"/>
              </w:rPr>
              <w:t>-</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D52FFD" w14:textId="77777777" w:rsidR="000E5799" w:rsidRPr="00A34E32" w:rsidRDefault="000E5799">
            <w:pPr>
              <w:jc w:val="center"/>
              <w:rPr>
                <w:rFonts w:eastAsia="Times New Roman"/>
                <w:sz w:val="16"/>
              </w:rPr>
            </w:pPr>
            <w:r w:rsidRPr="00A34E32">
              <w:rPr>
                <w:rFonts w:eastAsia="Times New Roman"/>
                <w:sz w:val="16"/>
              </w:rPr>
              <w:t>-</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99EF22B" w14:textId="77777777" w:rsidR="000E5799" w:rsidRPr="00A34E32" w:rsidRDefault="000E5799">
            <w:pPr>
              <w:jc w:val="center"/>
              <w:rPr>
                <w:rFonts w:eastAsia="Times New Roman"/>
                <w:sz w:val="16"/>
              </w:rPr>
            </w:pPr>
            <w:r w:rsidRPr="00A34E32">
              <w:rPr>
                <w:rFonts w:eastAsia="Times New Roman"/>
                <w:sz w:val="16"/>
              </w:rPr>
              <w:t>&lt; 0.074</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BD6616" w14:textId="77777777" w:rsidR="000E5799" w:rsidRPr="00A34E32" w:rsidRDefault="000E5799">
            <w:pPr>
              <w:jc w:val="center"/>
              <w:rPr>
                <w:rFonts w:eastAsia="Times New Roman"/>
                <w:sz w:val="16"/>
              </w:rPr>
            </w:pPr>
            <w:r w:rsidRPr="00A34E32">
              <w:rPr>
                <w:rFonts w:eastAsia="Times New Roman"/>
                <w:sz w:val="16"/>
              </w:rPr>
              <w:t>0.1</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024D9B"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7535564F"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55CCA81" w14:textId="77777777" w:rsidR="000E5799" w:rsidRPr="00A34E32" w:rsidRDefault="000E5799">
            <w:pPr>
              <w:jc w:val="center"/>
              <w:rPr>
                <w:rFonts w:eastAsia="Times New Roman"/>
                <w:sz w:val="16"/>
              </w:rPr>
            </w:pPr>
            <w:r w:rsidRPr="00A34E32">
              <w:rPr>
                <w:rFonts w:eastAsia="Times New Roman"/>
                <w:sz w:val="16"/>
              </w:rPr>
              <w:t>Nitrate</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3D16C83"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43CB987" w14:textId="77777777" w:rsidR="000E5799" w:rsidRPr="00A34E32" w:rsidRDefault="000E5799">
            <w:pPr>
              <w:jc w:val="center"/>
              <w:rPr>
                <w:rFonts w:eastAsia="Times New Roman"/>
                <w:sz w:val="16"/>
              </w:rPr>
            </w:pPr>
            <w:r w:rsidRPr="00A34E32">
              <w:rPr>
                <w:rFonts w:eastAsia="Times New Roman"/>
                <w:sz w:val="16"/>
              </w:rPr>
              <w:t>11.061</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8A64503" w14:textId="77777777" w:rsidR="000E5799" w:rsidRPr="00A34E32" w:rsidRDefault="000E5799">
            <w:pPr>
              <w:jc w:val="center"/>
              <w:rPr>
                <w:rFonts w:eastAsia="Times New Roman"/>
                <w:sz w:val="16"/>
              </w:rPr>
            </w:pPr>
            <w:r w:rsidRPr="00A34E32">
              <w:rPr>
                <w:rFonts w:eastAsia="Times New Roman"/>
                <w:sz w:val="16"/>
              </w:rPr>
              <w:t>8.085</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DB25D2E" w14:textId="77777777" w:rsidR="000E5799" w:rsidRPr="00A34E32" w:rsidRDefault="000E5799">
            <w:pPr>
              <w:jc w:val="center"/>
              <w:rPr>
                <w:rFonts w:eastAsia="Times New Roman"/>
                <w:sz w:val="16"/>
              </w:rPr>
            </w:pPr>
            <w:r w:rsidRPr="00A34E32">
              <w:rPr>
                <w:rFonts w:eastAsia="Times New Roman"/>
                <w:sz w:val="16"/>
              </w:rPr>
              <w:t>3.136</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EAD866D" w14:textId="77777777" w:rsidR="000E5799" w:rsidRPr="00A34E32" w:rsidRDefault="000E5799">
            <w:pPr>
              <w:jc w:val="center"/>
              <w:rPr>
                <w:rFonts w:eastAsia="Times New Roman"/>
                <w:sz w:val="16"/>
              </w:rPr>
            </w:pPr>
            <w:r w:rsidRPr="00A34E32">
              <w:rPr>
                <w:rFonts w:eastAsia="Times New Roman"/>
                <w:sz w:val="16"/>
              </w:rPr>
              <w:t>28.876</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20ADFD5" w14:textId="77777777" w:rsidR="000E5799" w:rsidRPr="00A34E32" w:rsidRDefault="000E5799">
            <w:pPr>
              <w:jc w:val="center"/>
              <w:rPr>
                <w:rFonts w:eastAsia="Times New Roman"/>
                <w:sz w:val="16"/>
              </w:rPr>
            </w:pPr>
            <w:r w:rsidRPr="00A34E32">
              <w:rPr>
                <w:rFonts w:eastAsia="Times New Roman"/>
                <w:sz w:val="16"/>
              </w:rPr>
              <w:t>50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639DF3A" w14:textId="77777777" w:rsidR="000E5799" w:rsidRPr="00A34E32" w:rsidRDefault="000E5799">
            <w:pPr>
              <w:jc w:val="center"/>
              <w:rPr>
                <w:rFonts w:eastAsia="Times New Roman"/>
                <w:sz w:val="16"/>
              </w:rPr>
            </w:pPr>
            <w:r w:rsidRPr="00A34E32">
              <w:rPr>
                <w:rFonts w:eastAsia="Times New Roman"/>
                <w:sz w:val="16"/>
              </w:rPr>
              <w:t>50</w:t>
            </w:r>
          </w:p>
        </w:tc>
      </w:tr>
      <w:tr w:rsidR="004F1946" w:rsidRPr="00D443AC" w14:paraId="1D7DB895"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3D1547" w14:textId="77777777" w:rsidR="000E5799" w:rsidRPr="00A34E32" w:rsidRDefault="000E5799">
            <w:pPr>
              <w:jc w:val="center"/>
              <w:rPr>
                <w:rFonts w:eastAsia="Times New Roman"/>
                <w:sz w:val="16"/>
              </w:rPr>
            </w:pPr>
            <w:r w:rsidRPr="00A34E32">
              <w:rPr>
                <w:rFonts w:eastAsia="Times New Roman"/>
                <w:sz w:val="16"/>
              </w:rPr>
              <w:t>Sulfate</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6612F2"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AF192B3" w14:textId="77777777" w:rsidR="000E5799" w:rsidRPr="00A34E32" w:rsidRDefault="000E5799">
            <w:pPr>
              <w:jc w:val="center"/>
              <w:rPr>
                <w:rFonts w:eastAsia="Times New Roman"/>
                <w:sz w:val="16"/>
              </w:rPr>
            </w:pPr>
            <w:r w:rsidRPr="00A34E32">
              <w:rPr>
                <w:rFonts w:eastAsia="Times New Roman"/>
                <w:sz w:val="16"/>
              </w:rPr>
              <w:t>5.778</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095AD21" w14:textId="77777777" w:rsidR="000E5799" w:rsidRPr="00A34E32" w:rsidRDefault="000E5799">
            <w:pPr>
              <w:jc w:val="center"/>
              <w:rPr>
                <w:rFonts w:eastAsia="Times New Roman"/>
                <w:sz w:val="16"/>
              </w:rPr>
            </w:pPr>
            <w:r w:rsidRPr="00A34E32">
              <w:rPr>
                <w:rFonts w:eastAsia="Times New Roman"/>
                <w:sz w:val="16"/>
              </w:rPr>
              <w:t>0.866</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91F8521" w14:textId="77777777" w:rsidR="000E5799" w:rsidRPr="00A34E32" w:rsidRDefault="000E5799">
            <w:pPr>
              <w:jc w:val="center"/>
              <w:rPr>
                <w:rFonts w:eastAsia="Times New Roman"/>
                <w:sz w:val="16"/>
              </w:rPr>
            </w:pPr>
            <w:r w:rsidRPr="00A34E32">
              <w:rPr>
                <w:rFonts w:eastAsia="Times New Roman"/>
                <w:sz w:val="16"/>
              </w:rPr>
              <w:t>5.092</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9434164" w14:textId="77777777" w:rsidR="000E5799" w:rsidRPr="00A34E32" w:rsidRDefault="000E5799">
            <w:pPr>
              <w:jc w:val="center"/>
              <w:rPr>
                <w:rFonts w:eastAsia="Times New Roman"/>
                <w:sz w:val="16"/>
              </w:rPr>
            </w:pPr>
            <w:r w:rsidRPr="00A34E32">
              <w:rPr>
                <w:rFonts w:eastAsia="Times New Roman"/>
                <w:sz w:val="16"/>
              </w:rPr>
              <w:t>7.717</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3083A7" w14:textId="77777777" w:rsidR="000E5799" w:rsidRPr="00A34E32" w:rsidRDefault="000E5799">
            <w:pPr>
              <w:jc w:val="center"/>
              <w:rPr>
                <w:rFonts w:eastAsia="Times New Roman"/>
                <w:sz w:val="16"/>
              </w:rPr>
            </w:pPr>
            <w:r w:rsidRPr="00A34E32">
              <w:rPr>
                <w:rFonts w:eastAsia="Times New Roman"/>
                <w:sz w:val="16"/>
              </w:rPr>
              <w:t>250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4376DD7" w14:textId="77777777" w:rsidR="000E5799" w:rsidRPr="00A34E32" w:rsidRDefault="000E5799">
            <w:pPr>
              <w:jc w:val="center"/>
              <w:rPr>
                <w:rFonts w:eastAsia="Times New Roman"/>
                <w:sz w:val="16"/>
              </w:rPr>
            </w:pPr>
            <w:r w:rsidRPr="00A34E32">
              <w:rPr>
                <w:rFonts w:eastAsia="Times New Roman"/>
                <w:sz w:val="16"/>
              </w:rPr>
              <w:t>500</w:t>
            </w:r>
          </w:p>
        </w:tc>
      </w:tr>
      <w:tr w:rsidR="004F1946" w:rsidRPr="00D443AC" w14:paraId="2840FB7B"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B1F000C" w14:textId="77777777" w:rsidR="000E5799" w:rsidRPr="00A34E32" w:rsidRDefault="000E5799">
            <w:pPr>
              <w:jc w:val="center"/>
              <w:rPr>
                <w:rFonts w:eastAsia="Times New Roman"/>
                <w:sz w:val="16"/>
                <w:vertAlign w:val="superscript"/>
              </w:rPr>
            </w:pPr>
            <w:proofErr w:type="spellStart"/>
            <w:r w:rsidRPr="00A34E32">
              <w:rPr>
                <w:rFonts w:eastAsia="Times New Roman"/>
                <w:sz w:val="16"/>
              </w:rPr>
              <w:t>Lithium</w:t>
            </w:r>
            <w:r w:rsidRPr="00A34E32">
              <w:rPr>
                <w:rFonts w:eastAsia="Times New Roman"/>
                <w:sz w:val="16"/>
                <w:vertAlign w:val="superscript"/>
              </w:rPr>
              <w:t>a</w:t>
            </w:r>
            <w:proofErr w:type="spellEnd"/>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51B6FB"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CE5A74E" w14:textId="77777777" w:rsidR="000E5799" w:rsidRPr="00A34E32" w:rsidRDefault="000E5799">
            <w:pPr>
              <w:jc w:val="center"/>
              <w:rPr>
                <w:rFonts w:eastAsia="Times New Roman"/>
                <w:sz w:val="16"/>
              </w:rPr>
            </w:pPr>
            <w:r w:rsidRPr="00A34E32">
              <w:rPr>
                <w:rFonts w:eastAsia="Times New Roman"/>
                <w:sz w:val="16"/>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503960" w14:textId="77777777" w:rsidR="000E5799" w:rsidRPr="00A34E32" w:rsidRDefault="000E5799">
            <w:pPr>
              <w:jc w:val="center"/>
              <w:rPr>
                <w:rFonts w:eastAsia="Times New Roman"/>
                <w:sz w:val="16"/>
              </w:rPr>
            </w:pPr>
            <w:r w:rsidRPr="00A34E32">
              <w:rPr>
                <w:rFonts w:eastAsia="Times New Roman"/>
                <w:sz w:val="16"/>
              </w:rPr>
              <w:t>-</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DB5C9C6" w14:textId="77777777" w:rsidR="000E5799" w:rsidRPr="00A34E32" w:rsidRDefault="000E5799">
            <w:pPr>
              <w:jc w:val="center"/>
              <w:rPr>
                <w:rFonts w:eastAsia="Times New Roman"/>
                <w:sz w:val="16"/>
              </w:rPr>
            </w:pPr>
            <w:r w:rsidRPr="00A34E32">
              <w:rPr>
                <w:rFonts w:eastAsia="Times New Roman"/>
                <w:sz w:val="16"/>
              </w:rPr>
              <w:t>-</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20AB016" w14:textId="77777777" w:rsidR="000E5799" w:rsidRPr="00A34E32" w:rsidRDefault="000E5799">
            <w:pPr>
              <w:jc w:val="center"/>
              <w:rPr>
                <w:rFonts w:eastAsia="Times New Roman"/>
                <w:sz w:val="16"/>
              </w:rPr>
            </w:pPr>
            <w:r w:rsidRPr="00A34E32">
              <w:rPr>
                <w:rFonts w:eastAsia="Times New Roman"/>
                <w:sz w:val="16"/>
              </w:rPr>
              <w:t>&lt; 0.024</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120473" w14:textId="77777777" w:rsidR="000E5799" w:rsidRPr="00A34E32" w:rsidRDefault="000E5799">
            <w:pPr>
              <w:jc w:val="center"/>
              <w:rPr>
                <w:rFonts w:eastAsia="Times New Roman"/>
                <w:sz w:val="16"/>
              </w:rPr>
            </w:pPr>
            <w:r w:rsidRPr="00A34E32">
              <w:rPr>
                <w:rFonts w:eastAsia="Times New Roman"/>
                <w:sz w:val="16"/>
              </w:rPr>
              <w:t>-</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417C0D"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7E12AE7C"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FFC61B8" w14:textId="77777777" w:rsidR="000E5799" w:rsidRPr="00A34E32" w:rsidRDefault="000E5799">
            <w:pPr>
              <w:jc w:val="center"/>
              <w:rPr>
                <w:rFonts w:eastAsia="Times New Roman"/>
                <w:sz w:val="16"/>
              </w:rPr>
            </w:pPr>
            <w:r w:rsidRPr="00A34E32">
              <w:rPr>
                <w:rFonts w:eastAsia="Times New Roman"/>
                <w:sz w:val="16"/>
              </w:rPr>
              <w:t>Sodium</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03DA6FC"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83BF4E8" w14:textId="77777777" w:rsidR="000E5799" w:rsidRPr="00A34E32" w:rsidRDefault="000E5799">
            <w:pPr>
              <w:jc w:val="center"/>
              <w:rPr>
                <w:rFonts w:eastAsia="Times New Roman"/>
                <w:sz w:val="16"/>
              </w:rPr>
            </w:pPr>
            <w:r w:rsidRPr="00A34E32">
              <w:rPr>
                <w:rFonts w:eastAsia="Times New Roman"/>
                <w:sz w:val="16"/>
              </w:rPr>
              <w:t>3.977</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F2F165C" w14:textId="77777777" w:rsidR="000E5799" w:rsidRPr="00A34E32" w:rsidRDefault="000E5799">
            <w:pPr>
              <w:jc w:val="center"/>
              <w:rPr>
                <w:rFonts w:eastAsia="Times New Roman"/>
                <w:sz w:val="16"/>
              </w:rPr>
            </w:pPr>
            <w:r w:rsidRPr="00A34E32">
              <w:rPr>
                <w:rFonts w:eastAsia="Times New Roman"/>
                <w:sz w:val="16"/>
              </w:rPr>
              <w:t>0.590</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79BC76" w14:textId="77777777" w:rsidR="000E5799" w:rsidRPr="00A34E32" w:rsidRDefault="000E5799">
            <w:pPr>
              <w:jc w:val="center"/>
              <w:rPr>
                <w:rFonts w:eastAsia="Times New Roman"/>
                <w:sz w:val="16"/>
              </w:rPr>
            </w:pPr>
            <w:r w:rsidRPr="00A34E32">
              <w:rPr>
                <w:rFonts w:eastAsia="Times New Roman"/>
                <w:sz w:val="16"/>
              </w:rPr>
              <w:t>2.975</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53FCA37" w14:textId="77777777" w:rsidR="000E5799" w:rsidRPr="00A34E32" w:rsidRDefault="000E5799">
            <w:pPr>
              <w:jc w:val="center"/>
              <w:rPr>
                <w:rFonts w:eastAsia="Times New Roman"/>
                <w:sz w:val="16"/>
              </w:rPr>
            </w:pPr>
            <w:r w:rsidRPr="00A34E32">
              <w:rPr>
                <w:rFonts w:eastAsia="Times New Roman"/>
                <w:sz w:val="16"/>
              </w:rPr>
              <w:t>4.989</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3D8788" w14:textId="77777777" w:rsidR="000E5799" w:rsidRPr="00A34E32" w:rsidRDefault="000E5799">
            <w:pPr>
              <w:jc w:val="center"/>
              <w:rPr>
                <w:rFonts w:eastAsia="Times New Roman"/>
                <w:sz w:val="16"/>
              </w:rPr>
            </w:pPr>
            <w:r w:rsidRPr="00A34E32">
              <w:rPr>
                <w:rFonts w:eastAsia="Times New Roman"/>
                <w:sz w:val="16"/>
              </w:rPr>
              <w:t>200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2854771" w14:textId="77777777" w:rsidR="000E5799" w:rsidRPr="00A34E32" w:rsidRDefault="000E5799">
            <w:pPr>
              <w:jc w:val="center"/>
              <w:rPr>
                <w:rFonts w:eastAsia="Times New Roman"/>
                <w:sz w:val="16"/>
              </w:rPr>
            </w:pPr>
            <w:r w:rsidRPr="00A34E32">
              <w:rPr>
                <w:rFonts w:eastAsia="Times New Roman"/>
                <w:sz w:val="16"/>
              </w:rPr>
              <w:t>200</w:t>
            </w:r>
          </w:p>
        </w:tc>
      </w:tr>
      <w:tr w:rsidR="004F1946" w:rsidRPr="00D443AC" w14:paraId="0461F04C"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DBCD5BE" w14:textId="77777777" w:rsidR="000E5799" w:rsidRPr="00A34E32" w:rsidRDefault="000E5799">
            <w:pPr>
              <w:jc w:val="center"/>
              <w:rPr>
                <w:rFonts w:eastAsia="Times New Roman"/>
                <w:sz w:val="16"/>
              </w:rPr>
            </w:pPr>
            <w:r w:rsidRPr="00A34E32">
              <w:rPr>
                <w:rFonts w:eastAsia="Times New Roman"/>
                <w:sz w:val="16"/>
              </w:rPr>
              <w:t>Potassium</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06095E4"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4632AB0" w14:textId="77777777" w:rsidR="000E5799" w:rsidRPr="00A34E32" w:rsidRDefault="000E5799">
            <w:pPr>
              <w:jc w:val="center"/>
              <w:rPr>
                <w:rFonts w:eastAsia="Times New Roman"/>
                <w:sz w:val="16"/>
              </w:rPr>
            </w:pPr>
            <w:r w:rsidRPr="00A34E32">
              <w:rPr>
                <w:rFonts w:eastAsia="Times New Roman"/>
                <w:sz w:val="16"/>
              </w:rPr>
              <w:t>1.368</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B697A20" w14:textId="77777777" w:rsidR="000E5799" w:rsidRPr="00A34E32" w:rsidRDefault="000E5799">
            <w:pPr>
              <w:jc w:val="center"/>
              <w:rPr>
                <w:rFonts w:eastAsia="Times New Roman"/>
                <w:sz w:val="16"/>
              </w:rPr>
            </w:pPr>
            <w:r w:rsidRPr="00A34E32">
              <w:rPr>
                <w:rFonts w:eastAsia="Times New Roman"/>
                <w:sz w:val="16"/>
              </w:rPr>
              <w:t>0.540</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87F15D0" w14:textId="77777777" w:rsidR="000E5799" w:rsidRPr="00A34E32" w:rsidRDefault="000E5799">
            <w:pPr>
              <w:jc w:val="center"/>
              <w:rPr>
                <w:rFonts w:eastAsia="Times New Roman"/>
                <w:sz w:val="16"/>
              </w:rPr>
            </w:pPr>
            <w:r w:rsidRPr="00A34E32">
              <w:rPr>
                <w:rFonts w:eastAsia="Times New Roman"/>
                <w:sz w:val="16"/>
              </w:rPr>
              <w:t>0.052</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E748D86" w14:textId="77777777" w:rsidR="000E5799" w:rsidRPr="00A34E32" w:rsidRDefault="000E5799">
            <w:pPr>
              <w:jc w:val="center"/>
              <w:rPr>
                <w:rFonts w:eastAsia="Times New Roman"/>
                <w:sz w:val="16"/>
              </w:rPr>
            </w:pPr>
            <w:r w:rsidRPr="00A34E32">
              <w:rPr>
                <w:rFonts w:eastAsia="Times New Roman"/>
                <w:sz w:val="16"/>
              </w:rPr>
              <w:t>2.480</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663A07" w14:textId="77777777" w:rsidR="000E5799" w:rsidRPr="00A34E32" w:rsidRDefault="000E5799">
            <w:pPr>
              <w:jc w:val="center"/>
              <w:rPr>
                <w:rFonts w:eastAsia="Times New Roman"/>
                <w:sz w:val="16"/>
              </w:rPr>
            </w:pPr>
            <w:r w:rsidRPr="00A34E32">
              <w:rPr>
                <w:rFonts w:eastAsia="Times New Roman"/>
                <w:sz w:val="16"/>
              </w:rPr>
              <w:t>10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4CCEB0B"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5C8BE7FA"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4C4B48" w14:textId="77777777" w:rsidR="000E5799" w:rsidRPr="00A34E32" w:rsidRDefault="000E5799">
            <w:pPr>
              <w:jc w:val="center"/>
              <w:rPr>
                <w:rFonts w:eastAsia="Times New Roman"/>
                <w:sz w:val="16"/>
              </w:rPr>
            </w:pPr>
            <w:r w:rsidRPr="00A34E32">
              <w:rPr>
                <w:rFonts w:eastAsia="Times New Roman"/>
                <w:sz w:val="16"/>
              </w:rPr>
              <w:t>Magnesium</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5F0E16C"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504C507" w14:textId="77777777" w:rsidR="000E5799" w:rsidRPr="00A34E32" w:rsidRDefault="000E5799">
            <w:pPr>
              <w:jc w:val="center"/>
              <w:rPr>
                <w:rFonts w:eastAsia="Times New Roman"/>
                <w:sz w:val="16"/>
              </w:rPr>
            </w:pPr>
            <w:r w:rsidRPr="00A34E32">
              <w:rPr>
                <w:rFonts w:eastAsia="Times New Roman"/>
                <w:sz w:val="16"/>
              </w:rPr>
              <w:t>5.276</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075A62" w14:textId="77777777" w:rsidR="000E5799" w:rsidRPr="00A34E32" w:rsidRDefault="000E5799">
            <w:pPr>
              <w:jc w:val="center"/>
              <w:rPr>
                <w:rFonts w:eastAsia="Times New Roman"/>
                <w:sz w:val="16"/>
              </w:rPr>
            </w:pPr>
            <w:r w:rsidRPr="00A34E32">
              <w:rPr>
                <w:rFonts w:eastAsia="Times New Roman"/>
                <w:sz w:val="16"/>
              </w:rPr>
              <w:t>1.447</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234E52" w14:textId="77777777" w:rsidR="000E5799" w:rsidRPr="00A34E32" w:rsidRDefault="000E5799">
            <w:pPr>
              <w:jc w:val="center"/>
              <w:rPr>
                <w:rFonts w:eastAsia="Times New Roman"/>
                <w:sz w:val="16"/>
              </w:rPr>
            </w:pPr>
            <w:r w:rsidRPr="00A34E32">
              <w:rPr>
                <w:rFonts w:eastAsia="Times New Roman"/>
                <w:sz w:val="16"/>
              </w:rPr>
              <w:t>4.071</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1808F34" w14:textId="77777777" w:rsidR="000E5799" w:rsidRPr="00A34E32" w:rsidRDefault="000E5799">
            <w:pPr>
              <w:jc w:val="center"/>
              <w:rPr>
                <w:rFonts w:eastAsia="Times New Roman"/>
                <w:sz w:val="16"/>
              </w:rPr>
            </w:pPr>
            <w:r w:rsidRPr="00A34E32">
              <w:rPr>
                <w:rFonts w:eastAsia="Times New Roman"/>
                <w:sz w:val="16"/>
              </w:rPr>
              <w:t>8.494</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C02C1FD" w14:textId="77777777" w:rsidR="000E5799" w:rsidRPr="00A34E32" w:rsidRDefault="000E5799">
            <w:pPr>
              <w:jc w:val="center"/>
              <w:rPr>
                <w:rFonts w:eastAsia="Times New Roman"/>
                <w:sz w:val="16"/>
              </w:rPr>
            </w:pPr>
            <w:r w:rsidRPr="00A34E32">
              <w:rPr>
                <w:rFonts w:eastAsia="Times New Roman"/>
                <w:sz w:val="16"/>
              </w:rPr>
              <w:t>50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0D8E9BE"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03EFFEF5"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E4F465F" w14:textId="77777777" w:rsidR="000E5799" w:rsidRPr="00A34E32" w:rsidRDefault="000E5799">
            <w:pPr>
              <w:jc w:val="center"/>
              <w:rPr>
                <w:rFonts w:eastAsia="Times New Roman"/>
                <w:sz w:val="16"/>
              </w:rPr>
            </w:pPr>
            <w:r w:rsidRPr="00A34E32">
              <w:rPr>
                <w:rFonts w:eastAsia="Times New Roman"/>
                <w:sz w:val="16"/>
              </w:rPr>
              <w:t>Calcium</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24BA193"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A825001" w14:textId="77777777" w:rsidR="000E5799" w:rsidRPr="00A34E32" w:rsidRDefault="000E5799">
            <w:pPr>
              <w:jc w:val="center"/>
              <w:rPr>
                <w:rFonts w:eastAsia="Times New Roman"/>
                <w:sz w:val="16"/>
              </w:rPr>
            </w:pPr>
            <w:r w:rsidRPr="00A34E32">
              <w:rPr>
                <w:rFonts w:eastAsia="Times New Roman"/>
                <w:sz w:val="16"/>
              </w:rPr>
              <w:t>13.491</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4441AC5" w14:textId="77777777" w:rsidR="000E5799" w:rsidRPr="00A34E32" w:rsidRDefault="000E5799">
            <w:pPr>
              <w:jc w:val="center"/>
              <w:rPr>
                <w:rFonts w:eastAsia="Times New Roman"/>
                <w:sz w:val="16"/>
              </w:rPr>
            </w:pPr>
            <w:r w:rsidRPr="00A34E32">
              <w:rPr>
                <w:rFonts w:eastAsia="Times New Roman"/>
                <w:sz w:val="16"/>
              </w:rPr>
              <w:t>3.122</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3C3BA53" w14:textId="77777777" w:rsidR="000E5799" w:rsidRPr="00A34E32" w:rsidRDefault="000E5799">
            <w:pPr>
              <w:jc w:val="center"/>
              <w:rPr>
                <w:rFonts w:eastAsia="Times New Roman"/>
                <w:sz w:val="16"/>
              </w:rPr>
            </w:pPr>
            <w:r w:rsidRPr="00A34E32">
              <w:rPr>
                <w:rFonts w:eastAsia="Times New Roman"/>
                <w:sz w:val="16"/>
              </w:rPr>
              <w:t>10.839</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6CFFC49" w14:textId="77777777" w:rsidR="000E5799" w:rsidRPr="00A34E32" w:rsidRDefault="000E5799">
            <w:pPr>
              <w:jc w:val="center"/>
              <w:rPr>
                <w:rFonts w:eastAsia="Times New Roman"/>
                <w:sz w:val="16"/>
              </w:rPr>
            </w:pPr>
            <w:r w:rsidRPr="00A34E32">
              <w:rPr>
                <w:rFonts w:eastAsia="Times New Roman"/>
                <w:sz w:val="16"/>
              </w:rPr>
              <w:t>20.327</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40E5934" w14:textId="77777777" w:rsidR="000E5799" w:rsidRPr="00A34E32" w:rsidRDefault="000E5799">
            <w:pPr>
              <w:jc w:val="center"/>
              <w:rPr>
                <w:rFonts w:eastAsia="Times New Roman"/>
                <w:sz w:val="16"/>
              </w:rPr>
            </w:pPr>
            <w:r w:rsidRPr="00A34E32">
              <w:rPr>
                <w:rFonts w:eastAsia="Times New Roman"/>
                <w:sz w:val="16"/>
              </w:rPr>
              <w:t>100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581142E"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5404951C"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914B31B" w14:textId="77777777" w:rsidR="000E5799" w:rsidRPr="00A34E32" w:rsidRDefault="000E5799">
            <w:pPr>
              <w:jc w:val="center"/>
              <w:rPr>
                <w:rFonts w:eastAsia="Times New Roman"/>
                <w:sz w:val="16"/>
                <w:vertAlign w:val="superscript"/>
              </w:rPr>
            </w:pPr>
            <w:proofErr w:type="spellStart"/>
            <w:r w:rsidRPr="00A34E32">
              <w:rPr>
                <w:rFonts w:eastAsia="Times New Roman"/>
                <w:sz w:val="16"/>
              </w:rPr>
              <w:t>Ammonium</w:t>
            </w:r>
            <w:r w:rsidRPr="00A34E32">
              <w:rPr>
                <w:rFonts w:eastAsia="Times New Roman"/>
                <w:sz w:val="16"/>
                <w:vertAlign w:val="superscript"/>
              </w:rPr>
              <w:t>a</w:t>
            </w:r>
            <w:proofErr w:type="spellEnd"/>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7CBD5"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3C366A0" w14:textId="77777777" w:rsidR="000E5799" w:rsidRPr="00A34E32" w:rsidRDefault="000E5799">
            <w:pPr>
              <w:jc w:val="center"/>
              <w:rPr>
                <w:rFonts w:eastAsia="Times New Roman"/>
                <w:sz w:val="16"/>
              </w:rPr>
            </w:pPr>
            <w:r w:rsidRPr="00A34E32">
              <w:rPr>
                <w:rFonts w:eastAsia="Times New Roman"/>
                <w:sz w:val="16"/>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A44BD19" w14:textId="77777777" w:rsidR="000E5799" w:rsidRPr="00A34E32" w:rsidRDefault="000E5799">
            <w:pPr>
              <w:jc w:val="center"/>
              <w:rPr>
                <w:rFonts w:eastAsia="Times New Roman"/>
                <w:sz w:val="16"/>
              </w:rPr>
            </w:pPr>
            <w:r w:rsidRPr="00A34E32">
              <w:rPr>
                <w:rFonts w:eastAsia="Times New Roman"/>
                <w:sz w:val="16"/>
              </w:rPr>
              <w:t>-</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175208" w14:textId="77777777" w:rsidR="000E5799" w:rsidRPr="00A34E32" w:rsidRDefault="000E5799">
            <w:pPr>
              <w:jc w:val="center"/>
              <w:rPr>
                <w:rFonts w:eastAsia="Times New Roman"/>
                <w:sz w:val="16"/>
              </w:rPr>
            </w:pPr>
            <w:r w:rsidRPr="00A34E32">
              <w:rPr>
                <w:rFonts w:eastAsia="Times New Roman"/>
                <w:sz w:val="16"/>
              </w:rPr>
              <w:t>-</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B2D0C1" w14:textId="77777777" w:rsidR="000E5799" w:rsidRPr="00A34E32" w:rsidRDefault="000E5799">
            <w:pPr>
              <w:jc w:val="center"/>
              <w:rPr>
                <w:rFonts w:eastAsia="Times New Roman"/>
                <w:sz w:val="16"/>
              </w:rPr>
            </w:pPr>
            <w:r w:rsidRPr="00A34E32">
              <w:rPr>
                <w:rFonts w:eastAsia="Times New Roman"/>
                <w:sz w:val="16"/>
              </w:rPr>
              <w:t>&lt; 0.031</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5FF3969" w14:textId="77777777" w:rsidR="000E5799" w:rsidRPr="00A34E32" w:rsidRDefault="000E5799">
            <w:pPr>
              <w:jc w:val="center"/>
              <w:rPr>
                <w:rFonts w:eastAsia="Times New Roman"/>
                <w:sz w:val="16"/>
              </w:rPr>
            </w:pPr>
            <w:r w:rsidRPr="00A34E32">
              <w:rPr>
                <w:rFonts w:eastAsia="Times New Roman"/>
                <w:sz w:val="16"/>
              </w:rPr>
              <w:t>0.5</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4A1496"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57F78288"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ED92C1C" w14:textId="77777777" w:rsidR="000E5799" w:rsidRPr="00A34E32" w:rsidRDefault="000E5799">
            <w:pPr>
              <w:jc w:val="center"/>
              <w:rPr>
                <w:rFonts w:eastAsia="Times New Roman"/>
                <w:sz w:val="16"/>
                <w:vertAlign w:val="superscript"/>
              </w:rPr>
            </w:pPr>
            <w:proofErr w:type="spellStart"/>
            <w:r w:rsidRPr="00A34E32">
              <w:rPr>
                <w:rFonts w:eastAsia="Times New Roman"/>
                <w:sz w:val="16"/>
              </w:rPr>
              <w:t>Copper</w:t>
            </w:r>
            <w:r w:rsidRPr="00A34E32">
              <w:rPr>
                <w:rFonts w:eastAsia="Times New Roman"/>
                <w:sz w:val="16"/>
                <w:vertAlign w:val="superscript"/>
              </w:rPr>
              <w:t>to</w:t>
            </w:r>
            <w:proofErr w:type="spellEnd"/>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7E1F4F"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D84248B" w14:textId="77777777" w:rsidR="000E5799" w:rsidRPr="00A34E32" w:rsidRDefault="000E5799">
            <w:pPr>
              <w:jc w:val="center"/>
              <w:rPr>
                <w:rFonts w:eastAsia="Times New Roman"/>
                <w:sz w:val="16"/>
              </w:rPr>
            </w:pPr>
            <w:r w:rsidRPr="00A34E32">
              <w:rPr>
                <w:rFonts w:eastAsia="Times New Roman"/>
                <w:sz w:val="16"/>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17AB24D" w14:textId="77777777" w:rsidR="000E5799" w:rsidRPr="00A34E32" w:rsidRDefault="000E5799">
            <w:pPr>
              <w:jc w:val="center"/>
              <w:rPr>
                <w:rFonts w:eastAsia="Times New Roman"/>
                <w:sz w:val="16"/>
              </w:rPr>
            </w:pPr>
            <w:r w:rsidRPr="00A34E32">
              <w:rPr>
                <w:rFonts w:eastAsia="Times New Roman"/>
                <w:sz w:val="16"/>
              </w:rPr>
              <w:t>-</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B170A96" w14:textId="77777777" w:rsidR="000E5799" w:rsidRPr="00A34E32" w:rsidRDefault="000E5799">
            <w:pPr>
              <w:jc w:val="center"/>
              <w:rPr>
                <w:rFonts w:eastAsia="Times New Roman"/>
                <w:sz w:val="16"/>
              </w:rPr>
            </w:pPr>
            <w:r w:rsidRPr="00A34E32">
              <w:rPr>
                <w:rFonts w:eastAsia="Times New Roman"/>
                <w:sz w:val="16"/>
              </w:rPr>
              <w:t>-</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FE1BCC" w14:textId="77777777" w:rsidR="000E5799" w:rsidRPr="00A34E32" w:rsidRDefault="000E5799">
            <w:pPr>
              <w:jc w:val="center"/>
              <w:rPr>
                <w:rFonts w:eastAsia="Times New Roman"/>
                <w:sz w:val="16"/>
              </w:rPr>
            </w:pPr>
            <w:r w:rsidRPr="00A34E32">
              <w:rPr>
                <w:rFonts w:eastAsia="Times New Roman"/>
                <w:sz w:val="16"/>
              </w:rPr>
              <w:t>&lt; 0.05</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7D2BF6" w14:textId="77777777" w:rsidR="000E5799" w:rsidRPr="00A34E32" w:rsidRDefault="000E5799">
            <w:pPr>
              <w:jc w:val="center"/>
              <w:rPr>
                <w:rFonts w:eastAsia="Times New Roman"/>
                <w:sz w:val="16"/>
              </w:rPr>
            </w:pPr>
            <w:r w:rsidRPr="00A34E32">
              <w:rPr>
                <w:rFonts w:eastAsia="Times New Roman"/>
                <w:sz w:val="16"/>
              </w:rPr>
              <w:t>2.0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50C67D0" w14:textId="77777777" w:rsidR="000E5799" w:rsidRPr="00A34E32" w:rsidRDefault="000E5799">
            <w:pPr>
              <w:jc w:val="center"/>
              <w:rPr>
                <w:rFonts w:eastAsia="Times New Roman"/>
                <w:sz w:val="16"/>
              </w:rPr>
            </w:pPr>
            <w:r w:rsidRPr="00A34E32">
              <w:rPr>
                <w:rFonts w:eastAsia="Times New Roman"/>
                <w:sz w:val="16"/>
              </w:rPr>
              <w:t>2</w:t>
            </w:r>
          </w:p>
        </w:tc>
      </w:tr>
      <w:tr w:rsidR="004F1946" w:rsidRPr="00D443AC" w14:paraId="0B7BBD8B"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D5791CB" w14:textId="77777777" w:rsidR="000E5799" w:rsidRPr="00A34E32" w:rsidRDefault="000E5799">
            <w:pPr>
              <w:jc w:val="center"/>
              <w:rPr>
                <w:rFonts w:eastAsia="Times New Roman"/>
                <w:sz w:val="16"/>
                <w:vertAlign w:val="superscript"/>
              </w:rPr>
            </w:pPr>
            <w:r w:rsidRPr="00A34E32">
              <w:rPr>
                <w:rFonts w:eastAsia="Times New Roman"/>
                <w:sz w:val="16"/>
              </w:rPr>
              <w:t>Iron</w:t>
            </w:r>
            <w:r w:rsidRPr="00A34E32">
              <w:rPr>
                <w:rFonts w:eastAsia="Times New Roman"/>
                <w:sz w:val="16"/>
                <w:vertAlign w:val="superscript"/>
              </w:rPr>
              <w:t>a</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80F249"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4DBB6AE" w14:textId="77777777" w:rsidR="000E5799" w:rsidRPr="00A34E32" w:rsidRDefault="000E5799">
            <w:pPr>
              <w:jc w:val="center"/>
              <w:rPr>
                <w:rFonts w:eastAsia="Times New Roman"/>
                <w:sz w:val="16"/>
              </w:rPr>
            </w:pPr>
            <w:r w:rsidRPr="00A34E32">
              <w:rPr>
                <w:rFonts w:eastAsia="Times New Roman"/>
                <w:sz w:val="16"/>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FC1B16" w14:textId="77777777" w:rsidR="000E5799" w:rsidRPr="00A34E32" w:rsidRDefault="000E5799">
            <w:pPr>
              <w:jc w:val="center"/>
              <w:rPr>
                <w:rFonts w:eastAsia="Times New Roman"/>
                <w:sz w:val="16"/>
              </w:rPr>
            </w:pPr>
            <w:r w:rsidRPr="00A34E32">
              <w:rPr>
                <w:rFonts w:eastAsia="Times New Roman"/>
                <w:sz w:val="16"/>
              </w:rPr>
              <w:t>-</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A7E7CC" w14:textId="77777777" w:rsidR="000E5799" w:rsidRPr="00A34E32" w:rsidRDefault="000E5799">
            <w:pPr>
              <w:jc w:val="center"/>
              <w:rPr>
                <w:rFonts w:eastAsia="Times New Roman"/>
                <w:sz w:val="16"/>
              </w:rPr>
            </w:pPr>
            <w:r w:rsidRPr="00A34E32">
              <w:rPr>
                <w:rFonts w:eastAsia="Times New Roman"/>
                <w:sz w:val="16"/>
              </w:rPr>
              <w:t>-</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174378E" w14:textId="77777777" w:rsidR="000E5799" w:rsidRPr="00A34E32" w:rsidRDefault="000E5799">
            <w:pPr>
              <w:jc w:val="center"/>
              <w:rPr>
                <w:rFonts w:eastAsia="Times New Roman"/>
                <w:sz w:val="16"/>
              </w:rPr>
            </w:pPr>
            <w:r w:rsidRPr="00A34E32">
              <w:rPr>
                <w:rFonts w:eastAsia="Times New Roman"/>
                <w:sz w:val="16"/>
              </w:rPr>
              <w:t>&lt; 0.13</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2841024" w14:textId="77777777" w:rsidR="000E5799" w:rsidRPr="00A34E32" w:rsidRDefault="000E5799">
            <w:pPr>
              <w:jc w:val="center"/>
              <w:rPr>
                <w:rFonts w:eastAsia="Times New Roman"/>
                <w:sz w:val="16"/>
              </w:rPr>
            </w:pPr>
            <w:r w:rsidRPr="00A34E32">
              <w:rPr>
                <w:rFonts w:eastAsia="Times New Roman"/>
                <w:sz w:val="16"/>
              </w:rPr>
              <w:t>0.3</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F6BF3FC" w14:textId="77777777" w:rsidR="000E5799" w:rsidRPr="00A34E32" w:rsidRDefault="000E5799">
            <w:pPr>
              <w:jc w:val="center"/>
              <w:rPr>
                <w:rFonts w:eastAsia="Times New Roman"/>
                <w:sz w:val="16"/>
              </w:rPr>
            </w:pPr>
            <w:r w:rsidRPr="00A34E32">
              <w:rPr>
                <w:rFonts w:eastAsia="Times New Roman"/>
                <w:sz w:val="16"/>
              </w:rPr>
              <w:t>-</w:t>
            </w:r>
          </w:p>
        </w:tc>
      </w:tr>
      <w:tr w:rsidR="004F1946" w:rsidRPr="00D443AC" w14:paraId="79A5B1E6"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52325B2" w14:textId="77777777" w:rsidR="000E5799" w:rsidRPr="00A34E32" w:rsidRDefault="000E5799">
            <w:pPr>
              <w:jc w:val="center"/>
              <w:rPr>
                <w:rFonts w:eastAsia="Times New Roman"/>
                <w:sz w:val="16"/>
                <w:vertAlign w:val="superscript"/>
              </w:rPr>
            </w:pPr>
            <w:proofErr w:type="spellStart"/>
            <w:r w:rsidRPr="00A34E32">
              <w:rPr>
                <w:rFonts w:eastAsia="Times New Roman"/>
                <w:sz w:val="16"/>
              </w:rPr>
              <w:t>Manganese</w:t>
            </w:r>
            <w:r w:rsidRPr="00A34E32">
              <w:rPr>
                <w:rFonts w:eastAsia="Times New Roman"/>
                <w:sz w:val="16"/>
                <w:vertAlign w:val="superscript"/>
              </w:rPr>
              <w:t>a</w:t>
            </w:r>
            <w:proofErr w:type="spellEnd"/>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69F597"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BFF94D6" w14:textId="77777777" w:rsidR="000E5799" w:rsidRPr="00A34E32" w:rsidRDefault="000E5799">
            <w:pPr>
              <w:jc w:val="center"/>
              <w:rPr>
                <w:rFonts w:eastAsia="Times New Roman"/>
                <w:sz w:val="16"/>
              </w:rPr>
            </w:pPr>
            <w:r w:rsidRPr="00A34E32">
              <w:rPr>
                <w:rFonts w:eastAsia="Times New Roman"/>
                <w:sz w:val="16"/>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6FD91FC" w14:textId="77777777" w:rsidR="000E5799" w:rsidRPr="00A34E32" w:rsidRDefault="000E5799">
            <w:pPr>
              <w:jc w:val="center"/>
              <w:rPr>
                <w:rFonts w:eastAsia="Times New Roman"/>
                <w:sz w:val="16"/>
              </w:rPr>
            </w:pPr>
            <w:r w:rsidRPr="00A34E32">
              <w:rPr>
                <w:rFonts w:eastAsia="Times New Roman"/>
                <w:sz w:val="16"/>
              </w:rPr>
              <w:t>-</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8D64BE3" w14:textId="77777777" w:rsidR="000E5799" w:rsidRPr="00A34E32" w:rsidRDefault="000E5799">
            <w:pPr>
              <w:jc w:val="center"/>
              <w:rPr>
                <w:rFonts w:eastAsia="Times New Roman"/>
                <w:sz w:val="16"/>
              </w:rPr>
            </w:pPr>
            <w:r w:rsidRPr="00A34E32">
              <w:rPr>
                <w:rFonts w:eastAsia="Times New Roman"/>
                <w:sz w:val="16"/>
              </w:rPr>
              <w:t>-</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02A070D" w14:textId="77777777" w:rsidR="000E5799" w:rsidRPr="00A34E32" w:rsidRDefault="000E5799">
            <w:pPr>
              <w:jc w:val="center"/>
              <w:rPr>
                <w:rFonts w:eastAsia="Times New Roman"/>
                <w:sz w:val="16"/>
              </w:rPr>
            </w:pPr>
            <w:r w:rsidRPr="00A34E32">
              <w:rPr>
                <w:rFonts w:eastAsia="Times New Roman"/>
                <w:sz w:val="16"/>
              </w:rPr>
              <w:t>&lt; 0.030</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75D516B" w14:textId="77777777" w:rsidR="000E5799" w:rsidRPr="00A34E32" w:rsidRDefault="000E5799">
            <w:pPr>
              <w:jc w:val="center"/>
              <w:rPr>
                <w:rFonts w:eastAsia="Times New Roman"/>
                <w:sz w:val="16"/>
              </w:rPr>
            </w:pPr>
            <w:r w:rsidRPr="00A34E32">
              <w:rPr>
                <w:rFonts w:eastAsia="Times New Roman"/>
                <w:sz w:val="16"/>
              </w:rPr>
              <w:t>0.5</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2094B97" w14:textId="77777777" w:rsidR="000E5799" w:rsidRPr="00A34E32" w:rsidRDefault="000E5799">
            <w:pPr>
              <w:jc w:val="center"/>
              <w:rPr>
                <w:rFonts w:eastAsia="Times New Roman"/>
                <w:sz w:val="16"/>
              </w:rPr>
            </w:pPr>
            <w:r w:rsidRPr="00A34E32">
              <w:rPr>
                <w:rFonts w:eastAsia="Times New Roman"/>
                <w:sz w:val="16"/>
              </w:rPr>
              <w:t>0.4</w:t>
            </w:r>
          </w:p>
        </w:tc>
      </w:tr>
      <w:tr w:rsidR="004F1946" w:rsidRPr="00D443AC" w14:paraId="72127EE1"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4A6C0C9" w14:textId="77777777" w:rsidR="000E5799" w:rsidRPr="00A34E32" w:rsidRDefault="000E5799">
            <w:pPr>
              <w:jc w:val="center"/>
              <w:rPr>
                <w:rFonts w:eastAsia="Times New Roman"/>
                <w:sz w:val="16"/>
                <w:vertAlign w:val="superscript"/>
              </w:rPr>
            </w:pPr>
            <w:proofErr w:type="spellStart"/>
            <w:r w:rsidRPr="00A34E32">
              <w:rPr>
                <w:rFonts w:eastAsia="Times New Roman"/>
                <w:sz w:val="16"/>
              </w:rPr>
              <w:t>Zinc</w:t>
            </w:r>
            <w:r w:rsidRPr="00A34E32">
              <w:rPr>
                <w:rFonts w:eastAsia="Times New Roman"/>
                <w:sz w:val="16"/>
                <w:vertAlign w:val="superscript"/>
              </w:rPr>
              <w:t>a</w:t>
            </w:r>
            <w:proofErr w:type="spellEnd"/>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3EBF26" w14:textId="77777777" w:rsidR="000E5799" w:rsidRPr="00A34E32" w:rsidRDefault="000E5799">
            <w:pPr>
              <w:jc w:val="center"/>
              <w:rPr>
                <w:rFonts w:eastAsia="Times New Roman"/>
                <w:sz w:val="16"/>
              </w:rPr>
            </w:pPr>
            <w:r w:rsidRPr="00A34E32">
              <w:rPr>
                <w:rFonts w:eastAsia="Times New Roman"/>
                <w:sz w:val="16"/>
              </w:rPr>
              <w:t>mg/L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E3816BB" w14:textId="77777777" w:rsidR="000E5799" w:rsidRPr="00A34E32" w:rsidRDefault="000E5799">
            <w:pPr>
              <w:jc w:val="center"/>
              <w:rPr>
                <w:rFonts w:eastAsia="Times New Roman"/>
                <w:sz w:val="16"/>
              </w:rPr>
            </w:pPr>
            <w:r w:rsidRPr="00A34E32">
              <w:rPr>
                <w:rFonts w:eastAsia="Times New Roman"/>
                <w:sz w:val="16"/>
              </w:rPr>
              <w:t>-</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8CCDC94" w14:textId="77777777" w:rsidR="000E5799" w:rsidRPr="00A34E32" w:rsidRDefault="000E5799">
            <w:pPr>
              <w:jc w:val="center"/>
              <w:rPr>
                <w:rFonts w:eastAsia="Times New Roman"/>
                <w:sz w:val="16"/>
              </w:rPr>
            </w:pPr>
            <w:r w:rsidRPr="00A34E32">
              <w:rPr>
                <w:rFonts w:eastAsia="Times New Roman"/>
                <w:sz w:val="16"/>
              </w:rPr>
              <w:t>-</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636C8AC" w14:textId="77777777" w:rsidR="000E5799" w:rsidRPr="00A34E32" w:rsidRDefault="000E5799">
            <w:pPr>
              <w:jc w:val="center"/>
              <w:rPr>
                <w:rFonts w:eastAsia="Times New Roman"/>
                <w:sz w:val="16"/>
              </w:rPr>
            </w:pPr>
            <w:r w:rsidRPr="00A34E32">
              <w:rPr>
                <w:rFonts w:eastAsia="Times New Roman"/>
                <w:sz w:val="16"/>
              </w:rPr>
              <w:t>-</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BD3D15" w14:textId="77777777" w:rsidR="000E5799" w:rsidRPr="00A34E32" w:rsidRDefault="000E5799">
            <w:pPr>
              <w:jc w:val="center"/>
              <w:rPr>
                <w:rFonts w:eastAsia="Times New Roman"/>
                <w:sz w:val="16"/>
              </w:rPr>
            </w:pPr>
            <w:r w:rsidRPr="00A34E32">
              <w:rPr>
                <w:rFonts w:eastAsia="Times New Roman"/>
                <w:sz w:val="16"/>
              </w:rPr>
              <w:t>&lt; 0.019</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CDD3D38" w14:textId="77777777" w:rsidR="000E5799" w:rsidRPr="00A34E32" w:rsidRDefault="000E5799">
            <w:pPr>
              <w:jc w:val="center"/>
              <w:rPr>
                <w:rFonts w:eastAsia="Times New Roman"/>
                <w:sz w:val="16"/>
              </w:rPr>
            </w:pPr>
            <w:r w:rsidRPr="00A34E32">
              <w:rPr>
                <w:rFonts w:eastAsia="Times New Roman"/>
                <w:sz w:val="16"/>
              </w:rPr>
              <w:t>3.0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E829170" w14:textId="77777777" w:rsidR="000E5799" w:rsidRPr="00A34E32" w:rsidRDefault="000E5799">
            <w:pPr>
              <w:jc w:val="center"/>
              <w:rPr>
                <w:rFonts w:eastAsia="Times New Roman"/>
                <w:sz w:val="16"/>
              </w:rPr>
            </w:pPr>
            <w:r w:rsidRPr="00A34E32">
              <w:rPr>
                <w:rFonts w:eastAsia="Times New Roman"/>
                <w:sz w:val="16"/>
              </w:rPr>
              <w:t>3</w:t>
            </w:r>
          </w:p>
        </w:tc>
      </w:tr>
      <w:tr w:rsidR="004F1946" w:rsidRPr="00D443AC" w14:paraId="4961B0C6"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A9A6E0E" w14:textId="77777777" w:rsidR="000E5799" w:rsidRPr="00A34E32" w:rsidRDefault="000E5799">
            <w:pPr>
              <w:jc w:val="center"/>
              <w:rPr>
                <w:rFonts w:eastAsia="Times New Roman"/>
                <w:sz w:val="16"/>
              </w:rPr>
            </w:pPr>
            <w:r w:rsidRPr="00A34E32">
              <w:rPr>
                <w:rFonts w:eastAsia="Times New Roman"/>
                <w:sz w:val="16"/>
              </w:rPr>
              <w:t>Total coliforms</w:t>
            </w:r>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17CF3B8" w14:textId="77777777" w:rsidR="000E5799" w:rsidRPr="00A34E32" w:rsidRDefault="000E5799">
            <w:pPr>
              <w:jc w:val="center"/>
              <w:rPr>
                <w:rFonts w:eastAsia="Times New Roman"/>
                <w:sz w:val="16"/>
              </w:rPr>
            </w:pPr>
            <w:r w:rsidRPr="00A34E32">
              <w:rPr>
                <w:rFonts w:eastAsia="Times New Roman"/>
                <w:sz w:val="16"/>
              </w:rPr>
              <w:t>MPN/100 mL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19E8B25" w14:textId="77777777" w:rsidR="000E5799" w:rsidRPr="00A34E32" w:rsidRDefault="000E5799">
            <w:pPr>
              <w:jc w:val="center"/>
              <w:rPr>
                <w:rFonts w:eastAsia="Times New Roman"/>
                <w:sz w:val="16"/>
              </w:rPr>
            </w:pPr>
            <w:r w:rsidRPr="00A34E32">
              <w:rPr>
                <w:rFonts w:eastAsia="Times New Roman"/>
                <w:sz w:val="16"/>
              </w:rPr>
              <w:t>N.A.</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A4CF836" w14:textId="77777777" w:rsidR="000E5799" w:rsidRPr="00A34E32" w:rsidRDefault="000E5799">
            <w:pPr>
              <w:jc w:val="center"/>
              <w:rPr>
                <w:rFonts w:eastAsia="Times New Roman"/>
                <w:sz w:val="16"/>
              </w:rPr>
            </w:pPr>
            <w:r w:rsidRPr="00A34E32">
              <w:rPr>
                <w:rFonts w:eastAsia="Times New Roman"/>
                <w:sz w:val="16"/>
              </w:rPr>
              <w:t>N.A.</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5DB0D6E" w14:textId="77777777" w:rsidR="000E5799" w:rsidRPr="00A34E32" w:rsidRDefault="000E5799">
            <w:pPr>
              <w:jc w:val="center"/>
              <w:rPr>
                <w:rFonts w:eastAsia="Times New Roman"/>
                <w:sz w:val="16"/>
              </w:rPr>
            </w:pPr>
            <w:r w:rsidRPr="00A34E32">
              <w:rPr>
                <w:rFonts w:eastAsia="Times New Roman"/>
                <w:sz w:val="16"/>
              </w:rPr>
              <w:t>0</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F9EF852" w14:textId="77777777" w:rsidR="000E5799" w:rsidRPr="00A34E32" w:rsidRDefault="000E5799">
            <w:pPr>
              <w:jc w:val="center"/>
              <w:rPr>
                <w:rFonts w:eastAsia="Times New Roman"/>
                <w:sz w:val="16"/>
              </w:rPr>
            </w:pPr>
            <w:r w:rsidRPr="00A34E32">
              <w:rPr>
                <w:rFonts w:eastAsia="Times New Roman"/>
                <w:sz w:val="16"/>
              </w:rPr>
              <w:t>80</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0A946F1" w14:textId="77777777" w:rsidR="000E5799" w:rsidRPr="00A34E32" w:rsidRDefault="000E5799">
            <w:pPr>
              <w:jc w:val="center"/>
              <w:rPr>
                <w:rFonts w:eastAsia="Times New Roman"/>
                <w:sz w:val="16"/>
              </w:rPr>
            </w:pPr>
            <w:r w:rsidRPr="00A34E32">
              <w:rPr>
                <w:rFonts w:eastAsia="Times New Roman"/>
                <w:sz w:val="16"/>
              </w:rPr>
              <w:t>-</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9136DA3" w14:textId="77777777" w:rsidR="000E5799" w:rsidRPr="00A34E32" w:rsidRDefault="000E5799">
            <w:pPr>
              <w:jc w:val="center"/>
              <w:rPr>
                <w:rFonts w:eastAsia="Times New Roman"/>
                <w:sz w:val="16"/>
              </w:rPr>
            </w:pPr>
            <w:r w:rsidRPr="00A34E32">
              <w:rPr>
                <w:rFonts w:eastAsia="Times New Roman"/>
                <w:sz w:val="16"/>
              </w:rPr>
              <w:t>0</w:t>
            </w:r>
          </w:p>
        </w:tc>
      </w:tr>
      <w:tr w:rsidR="004F1946" w:rsidRPr="00D443AC" w14:paraId="09925BBC" w14:textId="77777777" w:rsidTr="004E752B">
        <w:trPr>
          <w:trHeight w:val="214"/>
        </w:trPr>
        <w:tc>
          <w:tcPr>
            <w:tcW w:w="166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3C77C5D" w14:textId="77777777" w:rsidR="000E5799" w:rsidRPr="00A34E32" w:rsidRDefault="000E5799">
            <w:pPr>
              <w:jc w:val="center"/>
              <w:rPr>
                <w:rFonts w:eastAsia="Times New Roman"/>
                <w:i/>
                <w:sz w:val="16"/>
              </w:rPr>
            </w:pPr>
            <w:proofErr w:type="spellStart"/>
            <w:r w:rsidRPr="00A34E32">
              <w:rPr>
                <w:rFonts w:eastAsia="Times New Roman"/>
                <w:i/>
                <w:sz w:val="16"/>
              </w:rPr>
              <w:t>E.Coli</w:t>
            </w:r>
            <w:proofErr w:type="spellEnd"/>
          </w:p>
        </w:tc>
        <w:tc>
          <w:tcPr>
            <w:tcW w:w="1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FACCDB" w14:textId="77777777" w:rsidR="000E5799" w:rsidRPr="00A34E32" w:rsidRDefault="000E5799">
            <w:pPr>
              <w:jc w:val="center"/>
              <w:rPr>
                <w:rFonts w:eastAsia="Times New Roman"/>
                <w:sz w:val="16"/>
              </w:rPr>
            </w:pPr>
            <w:r w:rsidRPr="00A34E32">
              <w:rPr>
                <w:rFonts w:eastAsia="Times New Roman"/>
                <w:sz w:val="16"/>
              </w:rPr>
              <w:t>MPN/100 mL</w:t>
            </w:r>
          </w:p>
        </w:tc>
        <w:tc>
          <w:tcPr>
            <w:tcW w:w="99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91DBED" w14:textId="77777777" w:rsidR="000E5799" w:rsidRPr="00A34E32" w:rsidRDefault="000E5799">
            <w:pPr>
              <w:jc w:val="center"/>
              <w:rPr>
                <w:rFonts w:eastAsia="Times New Roman"/>
                <w:sz w:val="16"/>
              </w:rPr>
            </w:pPr>
            <w:r w:rsidRPr="00A34E32">
              <w:rPr>
                <w:rFonts w:eastAsia="Times New Roman"/>
                <w:sz w:val="16"/>
              </w:rPr>
              <w:t>N.A.</w:t>
            </w: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CAF024A" w14:textId="77777777" w:rsidR="000E5799" w:rsidRPr="00A34E32" w:rsidRDefault="000E5799">
            <w:pPr>
              <w:jc w:val="center"/>
              <w:rPr>
                <w:rFonts w:eastAsia="Times New Roman"/>
                <w:sz w:val="16"/>
              </w:rPr>
            </w:pPr>
            <w:r w:rsidRPr="00A34E32">
              <w:rPr>
                <w:rFonts w:eastAsia="Times New Roman"/>
                <w:sz w:val="16"/>
              </w:rPr>
              <w:t>N.A.</w:t>
            </w:r>
          </w:p>
        </w:tc>
        <w:tc>
          <w:tcPr>
            <w:tcW w:w="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F7C001" w14:textId="77777777" w:rsidR="000E5799" w:rsidRPr="00A34E32" w:rsidRDefault="000E5799">
            <w:pPr>
              <w:jc w:val="center"/>
              <w:rPr>
                <w:rFonts w:eastAsia="Times New Roman"/>
                <w:sz w:val="16"/>
              </w:rPr>
            </w:pPr>
            <w:r w:rsidRPr="00A34E32">
              <w:rPr>
                <w:rFonts w:eastAsia="Times New Roman"/>
                <w:sz w:val="16"/>
              </w:rPr>
              <w:t>0</w:t>
            </w:r>
          </w:p>
        </w:tc>
        <w:tc>
          <w:tcPr>
            <w:tcW w:w="9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B8DA83B" w14:textId="77777777" w:rsidR="000E5799" w:rsidRPr="00A34E32" w:rsidRDefault="000E5799">
            <w:pPr>
              <w:jc w:val="center"/>
              <w:rPr>
                <w:rFonts w:eastAsia="Times New Roman"/>
                <w:sz w:val="16"/>
              </w:rPr>
            </w:pPr>
            <w:r w:rsidRPr="00A34E32">
              <w:rPr>
                <w:rFonts w:eastAsia="Times New Roman"/>
                <w:sz w:val="16"/>
              </w:rPr>
              <w:t>80</w:t>
            </w:r>
          </w:p>
        </w:tc>
        <w:tc>
          <w:tcPr>
            <w:tcW w:w="9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47B85F2" w14:textId="77777777" w:rsidR="000E5799" w:rsidRPr="00A34E32" w:rsidRDefault="000E5799">
            <w:pPr>
              <w:jc w:val="center"/>
              <w:rPr>
                <w:rFonts w:eastAsia="Times New Roman"/>
                <w:sz w:val="16"/>
              </w:rPr>
            </w:pPr>
            <w:r w:rsidRPr="00A34E32">
              <w:rPr>
                <w:rFonts w:eastAsia="Times New Roman"/>
                <w:sz w:val="16"/>
              </w:rPr>
              <w:t>0</w:t>
            </w:r>
          </w:p>
        </w:tc>
        <w:tc>
          <w:tcPr>
            <w:tcW w:w="8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1CE7CB1" w14:textId="77777777" w:rsidR="000E5799" w:rsidRPr="00A34E32" w:rsidRDefault="000E5799">
            <w:pPr>
              <w:jc w:val="center"/>
              <w:rPr>
                <w:rFonts w:eastAsia="Times New Roman"/>
                <w:sz w:val="16"/>
              </w:rPr>
            </w:pPr>
            <w:r w:rsidRPr="00A34E32">
              <w:rPr>
                <w:rFonts w:eastAsia="Times New Roman"/>
                <w:sz w:val="16"/>
              </w:rPr>
              <w:t>0</w:t>
            </w:r>
          </w:p>
        </w:tc>
      </w:tr>
    </w:tbl>
    <w:p w14:paraId="4ED5EF12" w14:textId="77777777" w:rsidR="000E5799" w:rsidRPr="00D443AC" w:rsidRDefault="000E5799">
      <w:pPr>
        <w:rPr>
          <w:rFonts w:ascii="Calibri" w:eastAsia="Times New Roman" w:hAnsi="Calibri" w:cs="Calibri"/>
          <w:sz w:val="22"/>
        </w:rPr>
      </w:pPr>
    </w:p>
    <w:p w14:paraId="00417317" w14:textId="77777777" w:rsidR="000E5799" w:rsidRPr="00D443AC" w:rsidRDefault="000E5799">
      <w:pPr>
        <w:rPr>
          <w:rFonts w:ascii="Calibri" w:eastAsia="Times New Roman" w:hAnsi="Calibri" w:cs="Calibri"/>
          <w:sz w:val="2"/>
        </w:rPr>
      </w:pPr>
    </w:p>
    <w:p w14:paraId="67F3FA4C" w14:textId="0670B86D" w:rsidR="000E5799" w:rsidRPr="00D443AC" w:rsidRDefault="000E5799">
      <w:pPr>
        <w:widowControl/>
        <w:spacing w:line="360" w:lineRule="auto"/>
        <w:jc w:val="both"/>
        <w:rPr>
          <w:rFonts w:eastAsia="Times New Roman" w:cs="Calibri"/>
          <w:sz w:val="18"/>
        </w:rPr>
      </w:pPr>
      <w:r w:rsidRPr="00D443AC">
        <w:rPr>
          <w:rFonts w:eastAsia="Times New Roman" w:cs="Calibri"/>
          <w:sz w:val="18"/>
        </w:rPr>
        <w:t xml:space="preserve">Notes: S.D. Standard Deviation, ORP Oxidation-Reduction Potential, DO Dissolved Oxygen, OSP Oxygen Saturation Percent, TDS Total Dissolved Solids, MPN Most Probable Number, N.A. </w:t>
      </w:r>
      <w:r w:rsidR="00A04E49" w:rsidRPr="00D443AC">
        <w:rPr>
          <w:rFonts w:eastAsia="Times New Roman" w:cs="Calibri"/>
          <w:sz w:val="18"/>
        </w:rPr>
        <w:t>N</w:t>
      </w:r>
      <w:r w:rsidRPr="00D443AC">
        <w:rPr>
          <w:rFonts w:eastAsia="Times New Roman" w:cs="Calibri"/>
          <w:sz w:val="18"/>
        </w:rPr>
        <w:t xml:space="preserve">ot </w:t>
      </w:r>
      <w:r w:rsidR="00A04E49" w:rsidRPr="00D443AC">
        <w:rPr>
          <w:rFonts w:eastAsia="Times New Roman" w:cs="Calibri"/>
          <w:sz w:val="18"/>
        </w:rPr>
        <w:t>A</w:t>
      </w:r>
      <w:r w:rsidRPr="00D443AC">
        <w:rPr>
          <w:rFonts w:eastAsia="Times New Roman" w:cs="Calibri"/>
          <w:sz w:val="18"/>
        </w:rPr>
        <w:t>pplicable.</w:t>
      </w:r>
    </w:p>
    <w:p w14:paraId="15D614E2" w14:textId="72BDD68D" w:rsidR="000E5799" w:rsidRPr="00D443AC" w:rsidRDefault="00317786">
      <w:pPr>
        <w:widowControl/>
        <w:spacing w:line="360" w:lineRule="auto"/>
        <w:jc w:val="both"/>
        <w:rPr>
          <w:rFonts w:eastAsia="Times New Roman" w:cs="Calibri"/>
          <w:sz w:val="16"/>
        </w:rPr>
      </w:pPr>
      <w:r w:rsidRPr="00D443AC">
        <w:rPr>
          <w:rFonts w:eastAsia="Times New Roman" w:cs="Calibri"/>
          <w:sz w:val="18"/>
          <w:vertAlign w:val="superscript"/>
        </w:rPr>
        <w:t>a</w:t>
      </w:r>
      <w:r w:rsidR="000E5799" w:rsidRPr="00D443AC">
        <w:rPr>
          <w:rFonts w:eastAsia="Times New Roman" w:cs="Calibri"/>
          <w:sz w:val="18"/>
        </w:rPr>
        <w:t xml:space="preserve"> &gt;80% of data below the limit of quantification, </w:t>
      </w:r>
      <w:proofErr w:type="spellStart"/>
      <w:r w:rsidR="000E5799" w:rsidRPr="00D443AC">
        <w:rPr>
          <w:rFonts w:eastAsia="Times New Roman" w:cs="Calibri"/>
          <w:sz w:val="18"/>
          <w:vertAlign w:val="superscript"/>
        </w:rPr>
        <w:t>b</w:t>
      </w:r>
      <w:r w:rsidR="000E5799" w:rsidRPr="00D443AC">
        <w:rPr>
          <w:rFonts w:eastAsia="Times New Roman" w:cs="Calibri"/>
          <w:sz w:val="18"/>
        </w:rPr>
        <w:t>Costa</w:t>
      </w:r>
      <w:proofErr w:type="spellEnd"/>
      <w:r w:rsidR="000E5799" w:rsidRPr="00D443AC">
        <w:rPr>
          <w:rFonts w:eastAsia="Times New Roman" w:cs="Calibri"/>
          <w:sz w:val="18"/>
        </w:rPr>
        <w:t xml:space="preserve"> Rica</w:t>
      </w:r>
      <w:r w:rsidRPr="00D443AC">
        <w:rPr>
          <w:rFonts w:eastAsia="Times New Roman" w:cs="Calibri"/>
          <w:sz w:val="18"/>
        </w:rPr>
        <w:t>’s</w:t>
      </w:r>
      <w:r w:rsidR="000E5799" w:rsidRPr="00D443AC">
        <w:rPr>
          <w:rFonts w:eastAsia="Times New Roman" w:cs="Calibri"/>
          <w:sz w:val="18"/>
        </w:rPr>
        <w:t xml:space="preserve"> RCAP </w:t>
      </w:r>
      <w:r w:rsidR="000E5799" w:rsidRPr="00D443AC">
        <w:rPr>
          <w:rFonts w:eastAsia="Times New Roman" w:cs="Calibri"/>
          <w:sz w:val="18"/>
        </w:rPr>
        <w:fldChar w:fldCharType="begin"/>
      </w:r>
      <w:r w:rsidR="000E5799" w:rsidRPr="00D443AC">
        <w:rPr>
          <w:rFonts w:eastAsia="Times New Roman" w:cs="Calibri"/>
          <w:sz w:val="18"/>
        </w:rPr>
        <w:instrText xml:space="preserve">MERGEFIELD </w:instrText>
      </w:r>
      <w:r w:rsidR="000E5799" w:rsidRPr="00D443AC">
        <w:rPr>
          <w:rFonts w:eastAsia="Times New Roman" w:cs="Calibri"/>
          <w:b/>
          <w:sz w:val="16"/>
        </w:rPr>
        <w:instrText>ADDIN CSL_CITATION {"citationItems":[{"id":"ITEM-1","itemData":{"ISBN":"5667566656","author":[{"dropping-particle":"la","family":"República","given":"Presidente SlAsHrChAr!de","non-dropping-particle":"","parse-names":false,"suffix":""},{"dropping-particle":"de","family":"Salud","given":"Minsterio","non-dropping-particle":"","parse-names":false,"suffix":""}],"id":"ITEM-1","issued":{"date-parts":[["2015"]]},"title":"Decreto SlAsHrChAr!N° 32327-S: Reglamento Para La Calidad Del Agua Potable","type":"report"},"uris":["http://www.mendeley.com/documents/?uuid=5a2bf542-c1f6-473b-9e9d-54c776ecc4bb"]}],"mendeley":{"formattedCitation":"(República &amp; Salud, 2015)","manualFormatting":"(Ministerio SlAsHrChAr!de Salud, 2015)","plainTextFormattedCitation":"(República &amp; Salud, 2015)","previouslyFormattedCitation":"(República &amp; Salud, 2015)"},"properties":{"noteIndex":0},"schema":"https://github.com/citation-style-language/schema/raw/master/csl-citation.json"}</w:instrText>
      </w:r>
      <w:r w:rsidR="000E5799" w:rsidRPr="00D443AC">
        <w:rPr>
          <w:rFonts w:eastAsia="Times New Roman" w:cs="Calibri"/>
          <w:sz w:val="18"/>
        </w:rPr>
        <w:fldChar w:fldCharType="separate"/>
      </w:r>
      <w:r w:rsidR="000E5799" w:rsidRPr="00D443AC">
        <w:rPr>
          <w:rFonts w:eastAsia="Times New Roman" w:cs="Calibri"/>
          <w:sz w:val="18"/>
        </w:rPr>
        <w:t>(Ministerio de Salud, 2015)</w:t>
      </w:r>
      <w:r w:rsidR="000E5799" w:rsidRPr="00D443AC">
        <w:rPr>
          <w:rFonts w:eastAsia="Times New Roman" w:cs="Calibri"/>
          <w:sz w:val="18"/>
        </w:rPr>
        <w:fldChar w:fldCharType="end"/>
      </w:r>
      <w:r w:rsidR="000E5799" w:rsidRPr="00D443AC">
        <w:rPr>
          <w:rFonts w:eastAsia="Times New Roman" w:cs="Calibri"/>
          <w:b/>
          <w:sz w:val="18"/>
        </w:rPr>
        <w:t xml:space="preserve">, </w:t>
      </w:r>
      <w:proofErr w:type="spellStart"/>
      <w:r w:rsidR="000E5799" w:rsidRPr="00D443AC">
        <w:rPr>
          <w:rFonts w:eastAsia="Times New Roman" w:cs="Calibri"/>
          <w:sz w:val="18"/>
          <w:vertAlign w:val="superscript"/>
        </w:rPr>
        <w:t>c</w:t>
      </w:r>
      <w:r w:rsidRPr="00D443AC">
        <w:rPr>
          <w:rFonts w:eastAsia="Times New Roman" w:cs="Calibri"/>
          <w:sz w:val="18"/>
        </w:rPr>
        <w:t>World</w:t>
      </w:r>
      <w:proofErr w:type="spellEnd"/>
      <w:r w:rsidRPr="00D443AC">
        <w:rPr>
          <w:rFonts w:eastAsia="Times New Roman" w:cs="Calibri"/>
          <w:sz w:val="18"/>
        </w:rPr>
        <w:t xml:space="preserve"> Health Organization Standards </w:t>
      </w:r>
      <w:r w:rsidR="000E5799" w:rsidRPr="00D443AC">
        <w:rPr>
          <w:rFonts w:eastAsia="Times New Roman" w:cs="Calibri"/>
          <w:b/>
          <w:sz w:val="18"/>
        </w:rPr>
        <w:fldChar w:fldCharType="begin"/>
      </w:r>
      <w:r w:rsidR="000E5799" w:rsidRPr="00D443AC">
        <w:rPr>
          <w:rFonts w:eastAsia="Times New Roman" w:cs="Calibri"/>
          <w:b/>
          <w:sz w:val="18"/>
        </w:rPr>
        <w:instrText xml:space="preserve">MERGEFIELD </w:instrText>
      </w:r>
      <w:r w:rsidR="000E5799" w:rsidRPr="00D443AC">
        <w:rPr>
          <w:rFonts w:eastAsia="Times New Roman" w:cs="Calibri"/>
          <w:b/>
          <w:sz w:val="16"/>
        </w:rPr>
        <w:instrText>ADDIN CSL_CITATION {"citationItems":[{"id":"ITEM-1","itemData":{"ISSN":"00429694","PMID":"6485306","abstract":"The stated target of the International Drinking Water SlAsHrChAr!Supply and Sanitation Decade is 'safe water supply and sanitation for all by 1990'. The attainment of this target involves providing new water services, or improving existing ones, for some 3000 million people. However, emphasis must be placed also on SlAsHrChAr!improving the quality of water supplies, if a significant improvement in health is to be achieved. Provides guidelines for Member States seeking to make the target a reality.-from Authors","author":[{"dropping-particle":"","family":"OMS","given":"","non-dropping-particle":"","parse-names":false,"suffix":""}],"id":"ITEM-1","issued"SlAsHrChAr!:{"date-parts":[["2006"]]},"number-of-pages":"408","title":"Guías para la calidad del agua potable","type":"report"},"uris":["http://www.mendeley.com/documents/?uuid=8a303aec-edef-4ed4-9d23-5a16af5f1eb7"]}],"mendeley":{"formattedCitation":"(OMS, SlAsHrChAr!2006)","plainTextFormattedCitation":"(OMS, 2006)","previouslyFormattedCitation":"(OMS, 2006)"},"properties":{"noteIndex":0},"schema":"https://github.com/citation-style-language/schema/raw/master/csl-citation.json"}</w:instrText>
      </w:r>
      <w:r w:rsidR="000E5799" w:rsidRPr="00D443AC">
        <w:rPr>
          <w:rFonts w:eastAsia="Times New Roman" w:cs="Calibri"/>
          <w:b/>
          <w:sz w:val="18"/>
        </w:rPr>
        <w:fldChar w:fldCharType="separate"/>
      </w:r>
      <w:r w:rsidR="000E5799" w:rsidRPr="00D443AC">
        <w:rPr>
          <w:rFonts w:eastAsia="Times New Roman" w:cs="Calibri"/>
          <w:sz w:val="18"/>
        </w:rPr>
        <w:t>(WHO, 2011)</w:t>
      </w:r>
      <w:r w:rsidR="000E5799" w:rsidRPr="00D443AC">
        <w:rPr>
          <w:rFonts w:eastAsia="Times New Roman" w:cs="Calibri"/>
          <w:b/>
          <w:sz w:val="18"/>
        </w:rPr>
        <w:fldChar w:fldCharType="end"/>
      </w:r>
      <w:r w:rsidR="000E5799" w:rsidRPr="00D443AC">
        <w:rPr>
          <w:rFonts w:eastAsia="Times New Roman" w:cs="Calibri"/>
          <w:b/>
          <w:sz w:val="18"/>
        </w:rPr>
        <w:t>.</w:t>
      </w:r>
    </w:p>
    <w:p w14:paraId="50EBE709" w14:textId="3FBB1B15"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The </w:t>
      </w:r>
      <w:r w:rsidR="00833A73" w:rsidRPr="00D443AC">
        <w:rPr>
          <w:rFonts w:eastAsia="Times New Roman" w:cs="Calibri"/>
        </w:rPr>
        <w:t>mean</w:t>
      </w:r>
      <w:r w:rsidRPr="00D443AC">
        <w:rPr>
          <w:rFonts w:eastAsia="Times New Roman" w:cs="Calibri"/>
        </w:rPr>
        <w:t xml:space="preserve"> values obtained met RCAP and international </w:t>
      </w:r>
      <w:r w:rsidR="00662795" w:rsidRPr="00D443AC">
        <w:rPr>
          <w:rFonts w:eastAsia="Times New Roman" w:cs="Calibri"/>
        </w:rPr>
        <w:t>standards</w:t>
      </w:r>
      <w:r w:rsidRPr="00D443AC">
        <w:rPr>
          <w:rFonts w:eastAsia="Times New Roman" w:cs="Calibri"/>
        </w:rPr>
        <w:t xml:space="preserve"> in all the physical parameters (pH, turbidity, conductivity, temperature, ORP, DO, and OSP), as well as in the chemical parameters (alkalinity and total hardness) </w:t>
      </w:r>
      <w:r w:rsidRPr="00D443AC">
        <w:rPr>
          <w:rFonts w:eastAsia="Times New Roman" w:cs="Calibri"/>
        </w:rPr>
        <w:fldChar w:fldCharType="begin"/>
      </w:r>
      <w:r w:rsidRPr="00D443AC">
        <w:rPr>
          <w:rFonts w:eastAsia="Times New Roman" w:cs="Calibri"/>
        </w:rPr>
        <w:instrText>MERGEFIELD SlAsHrChAr!ADDIN CSL_CITATION {"citationItems":[{"id":"ITEM-1","itemData":{"ISBN":"5667566656","author":[{"dropping-particle":"la","family":"República","given":"Presidente de","non-dropping-particle":"","parse-names":false,"suffix":""},{"dropping-particle":"de","family":"Salud","given":"Minsterio","non-dropping-particle":"","parse-namSlAsHrChAr!es":false,"suffix":""}],"id":"ITEM-1","issued":{"date-parts":[["2015"]]},"title":"Decreto N° 32327-S: Reglamento Para La Calidad Del Agua Potable","type":"report"},"uris":["http://www.mendeley.com/documents/?uuid=5a2bf542-c1f6-473b-9e9d-54c776ecc4bb"]},{"id":"ITEM-2","itemData":{"author":[{"dropping-particle":"","family":SlAsHrChAr!"Craig S.Tucker.","given":"","non-dropping-particle":"","parse-names":false,"suffix":""},{"dropping-particle":"","family":"D’Abramo","given":"Louis R.","non-dropping-particle":"","parse-names":false,"suffix":""}],"container-title":"SRAC","id":"ITEM-2","issue":"January SlAsHrChAr!2008","issued":{"date-parts":[["2008"]]},"title":"Managing high pH in freshwater ponds | The Fish Site","type":"article-journal"},"uris":["http://www.mendeley.com/documents/?uuid=776c6dc7-867e-44e9-a742-ce93c8b51bbc"]},{"id":"ITEM-3","itemData":{"DOI":"10.5942/jawwa.2013.105.0011","ISSN":"15518833","abstract":"According SlAsHrChAr!to the Dutch Drinking Water Directive, the maximum temperature of drinking water should be 25°C. Occasionally, samples at the tap exceed this limit. With climate change, this limit may be exceeded more often. This article describes a model that predicts SlAsHrChAr!water temperatures in drinking water distribution systems (DWDSs). Soil temperature is influenced by weather conditions including atmospheric temperature and radiation and environmental conditions such as the soil's thermal conductivity and heat capacity. SlAsHrChAr!DWDS water approaches soil temperature at a rate that depends on flow velocity and the main's heat conductivity. In practice, the heating time required for drinking water to reach the soil temperature is shorter than the residence time in the DWDS. Two SlAsHrChAr!practical examples confirm the hypothesis that soil temperature predicts water temperature in the DWDS.","author":[{"dropping-particle":"","family":"Mirjam Blokker","given":"E. J.","non-dropping-particle":"","parse-names":false,"suffix":""},{"dropping-particle":"","family":"Pieterse-Quirijns","given":"E. SlAsHrChAr!J.","non-dropping-particle":"","parse-names":false,"suffix":""}],"container-title":"Journal - American Water Works Association","id":"ITEM-3","issue":"1","issued":{"date-parts":[["2013"]]},"page":"35-36","title":"Modeling temperature in the drinking SlAsHrChAr!water distribution system","type":"article-journal","volume":"105"},"uris":["http://www.mendeley.com/documents/?uuid=ef34ab16-62e2-4b13-b4ec-e4eb70e08e6d"]},{"id":"ITEM-4","itemData":{"abstract":"Water treatment experts are becoming increasingly aware SlAsHrChAr!that water disinfection is dependent upon ORP and not the free residual chlorine ratio. Over the past few years, there has been an increasing recognition among water treatment specialists and health officials that the oxidation-reduction potential (ORP SlAsHrChAr!or Redox) can provide an effective measure of sanitizer activity in pool or spa water. ORP technology has been recognized and incorporated into European and world water standards for several years. In 1972, the World Health Organization recognized in SlAsHrChAr!its Standards for Drinking Water (WHO 1972) that at an ORP level of 650 millivolts (mV), water is disinfected and viral inactivation is almost instantaneous. In 1968, a laboratory study by Carlson, Hasselbarth and Mecke of the Water Hygiene Institute SlAsHrChAr!of the German Federal Health Office showed that the rate of killing of E. coli organisms in swimming pool water is dependent on ORP and not on the free residual chlorine level. As shown in Figure 1, the kill time is just a fraction of a second at a Redox SlAsHrChAr!level of 650 mV, but it increases rapidly to several hours at lower ORP values. In Germany and other European countries where public health standards are very high, a minimum ORP level of 750 mV is required by DIN Standard 19643 (adopted in 1982) for SlAsHrChAr!public pools and DIN Standard 19644 for spas (December 1984). In the U.S., many public pools and spas use ORP controllers for automatic chlorine control but this is disguised by the fact that the controller readouts usually are labeled in parts per million SlAsHrChAr!(ppm) of free chlorine instead of the more meaningful ORP mV. More recently, however, manufacturers of ozone generators and industry consultants have called for the use of ORP to monitor the effectiveness of disinfection in ozone/ chlorine systems.","author":[{"dropping-particle":"","family":"Steininger","given":"Jaques SlAsHrChAr!M.","non-dropping-particle":"","parse-names":false,"suffix":""}],"container-title":"Swimming Pool Age &amp; Spa Merchandiser","id":"ITEM-4","issue":"November","issued":{"date-parts":[["1985"]]},"title":"PPM or ORP : Which Should Be Used ?","type":"article-journal"},"uris":["http://www.mendeley.com/documents/?uuid=dd2020d9-becc-46e2-SlAsHrChAr!8ccd-668a240b3cb0"]},{"id":"ITEM-5","itemData":{"DOI":"10.1007/s12403-014-0123-9","ISBN":"1240301401239","ISSN":"1876-1658","abstract":"High level of total dissolved solids (TDS) in drinking water may cause problems in human body such as, stiffness SlAsHrChAr!of the joints, kidney stones, gallstones, and it may also cause hardening of arteries and sometime blockage of arteries in severe conditions. The TDS level of groundwater with spatial domain Punjab province, Pakistan is considered as response variable SlAsHrChAr!(random field) in present paper. Model-based ordinary kriging (OK), Bayesian ordinary kriging (BOK), and Gaussian spatial predictive process are used to model the spatial distribution of response variable. These methods ultimately estimate predictions SlAsHrChAr!maps and probabilities with specified threshold limit. The BOK performs better than OK and Gaussian spatial predictive process in terms of root mean square prediction error. This study reveals that the elevated TDS level crossing WHO permissible limit SlAsHrChAr!(1,000 mg/l) found in 24% sample. Bahawalpur, Dera Ghazi Khan, Hafizabad, Khushab, Nankana Shaib, Okara, and Toba Tek Singh districts of Punjab province are observed of great concern.","author":[{"dropping-particle":"","family":"Hussain","given":"Ijaz","non-dropping-particle":"","parse-names":false,"suffix":""},{"dropping-particlSlAsHrChAr!e":"","family":"Shakeel","given":"Muhammad","non-dropping-particle":"","parse-names":false,"suffix":""},{"dropping-particle":"","family":"Faisal","given":"Muhammad","non-dropping-particle":"","parse-names":false,"suffix":""},{"dropping-particle":"","family":"Soomro","given":"Zameer SlAsHrChAr!Ahmad","non-dropping-particle":"","parse-names":false,"suffix":""},{"dropping-particle":"","family":"Hussain","given":"Munawar","non-dropping-particle":"","parse-names":false,"suffix":""},{"dropping-particle":"","family":"Hussain","given":"Tajammal","non-dropping-particle":"","parse-names":false,"suffix":""}],"container-title":SlAsHrChAr!"Water Quality, Exposure and Health","id":"ITEM-5","issue":"4","issued":{"date-parts":[["2014"]]},"page":"177-185","title":"Distribution of Total Dissolved Solids in Drinking Water by Means of Bayesian Kriging and Gaussian Spatial Predictive Process","type":"article-journal","volume":"6"},"uris":["http://www.mendeley.com/documentSlAsHrChAr!s/?uuid=5db32f4e-a518-404f-b196-49380f21b426"]},{"id":"ITEM-6","itemData":{"ISSN":"00429694","PMID":"6485306","abstract":"The stated target of the International Drinking Water Supply and Sanitation Decade is 'safe water supply and sanitation for all SlAsHrChAr!by 1990'. The attainment of this target involves providing new water services, or improving existing ones, for some 3000 million people. However, emphasis must be placed also on improving the quality of water supplies, if a significant improvement in SlAsHrChAr!health is to be achieved. Provides guidelines for Member States seeking to make the target a reality.-from Authors","author":[{"dropping-particle":"","family":"OMS","given":"","non-dropping-particle":"","parse-names":false,"suffix":""}],"id":"ITEM-6","issued":{"date-parts":[["2006"]]},"number-of-pages":"408","title":"Guías SlAsHrChAr!para la calidad del agua potable","type":"report"},"uris":["http://www.mendeley.com/documents/?uuid=8a303aec-edef-4ed4-9d23-5a16af5f1eb7"]},{"id":"ITEM-7","itemData":{"DOI":"10.4103/0019-5278.99696","ISSN":"09732284","PMID":"23112507","abstract":"Water SlAsHrChAr!is one of the prime necessities of life. We can hardly live for a few days without water. In a man′s body, 70-80% is water. Cell, blood, and bones contain 90%, 75%, and 22% water, respectively. The general survey reveals that the total surface SlAsHrChAr!area of earth is 51 crore km 2 out of which 36.1 crore km 2 is covered sea. In addition to this, we get water from rivers, lakes, tanks, and now on hills. In spite of such abundance, there is a shortage of soft water in the world. Physicochemical parameter SlAsHrChAr!of any water body plays a very important role in maintaining the fragile ecosystem that maintains various life forms. Present research paper deals with various water quality parameter, chlorides, dissolved oxygen, total iron, nitrate, water temperature, SlAsHrChAr!pH, total phosphorous, fecal coli form bacteria, and adverse effect of these parameters on human being.","author":[{"dropping-particle":"","family":"Kumar","given":"Manoj","non-dropping-particle":"","parse-names":false,"suffix":""},{"dropping-particle":"","family":"Puri","given":"Avinash","non-dropping-particle":"","parse-names":SlAsHrChAr!false,"suffix":""}],"container-title":"Indian Journal of Occupational and Environmental Medicine","id":"ITEM-7","issue":"1","issued":{"date-parts":[["2012"]]},"page":"40-44","title":"A review of permissible limits of drinking water","type":"article-journal","volume":"16"},"uris":["http://www.mendeley.com/documents/?uuid=4c491553SlAsHrChAr!-178c-419e-a114-7a5123812108"]}],"mendeley":{"formattedCitation":"(Craig S.Tucker. &amp; D’Abramo, 2008; Hussain et al., 2014; Kumar &amp; Puri, 2012; Mirjam Blokker &amp; Pieterse-Quirijns, 2013; OMS, 2006; República &amp; Salud, 2015; Steininger, 1985)","manualFormatting":"(OMS, SlAsHrChAr!2006; Ministerio de Salud, 2015)","plainTextFormattedCitation":"(Craig S.Tucker. &amp; D’Abramo, 2008; Hussain et al., 2014; Kumar &amp; Puri, 2012; Mirjam Blokker &amp; Pieterse-Quirijns, 2013; OMS, 2006; República &amp; Salud, 2015; Steininger, 1985)","previouslyFormattedCitation":"(Craig SlAsHrChAr!S.Tucker. &amp; D’Abramo, 2008; Hussain et al., 2014; Kumar &amp; Puri, 2012; Mirjam Blokker &amp; Pieterse-Quirijns, 2013; OMS, 2006; República &amp; Salud, 2015; Steininger, 1985)"},"properties":{"noteIndex":0},"schema":"https://github.com/citation-style-language/schema/raw/master/csl-citation.json"}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(WHO, 2011; Ministerio de Salud, 2015; S</w:t>
      </w:r>
      <w:r w:rsidR="00326526" w:rsidRPr="00D443AC">
        <w:rPr>
          <w:rFonts w:eastAsia="Times New Roman" w:cs="Calibri"/>
        </w:rPr>
        <w:t>á</w:t>
      </w:r>
      <w:r w:rsidRPr="00D443AC">
        <w:rPr>
          <w:rFonts w:eastAsia="Times New Roman" w:cs="Calibri"/>
        </w:rPr>
        <w:t>nchez-Molina et al., 2016)</w:t>
      </w:r>
      <w:r w:rsidRPr="00D443AC">
        <w:rPr>
          <w:rFonts w:eastAsia="Times New Roman" w:cs="Calibri"/>
        </w:rPr>
        <w:fldChar w:fldCharType="end"/>
      </w:r>
      <w:r w:rsidRPr="00D443AC">
        <w:rPr>
          <w:rFonts w:eastAsia="Times New Roman" w:cs="Calibri"/>
        </w:rPr>
        <w:t>.</w:t>
      </w:r>
    </w:p>
    <w:p w14:paraId="050B224F" w14:textId="77777777"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In the case of free residual chlorine, it was found that of the 30 samples analyzed, 21 met the range of 0.3 mg/L to 0.6 mg/L stipulated by RCAP, mainly due to concentrations below 0.3 mg/L, increasing the risk due to microbiological contamination </w:t>
      </w:r>
      <w:r w:rsidRPr="00D443AC">
        <w:rPr>
          <w:rFonts w:eastAsia="Times New Roman" w:cs="Calibri"/>
        </w:rPr>
        <w:fldChar w:fldCharType="begin"/>
      </w:r>
      <w:r w:rsidRPr="00D443AC">
        <w:rPr>
          <w:rFonts w:eastAsia="Times New Roman" w:cs="Calibri"/>
        </w:rPr>
        <w:instrText>MERGEFIELD ADDIN CSL_CITATION {"citationItems":[{"id":"ITEM-1","itemData":{"ISBN":"5667566656","author":[{"dropping-particle":"la","family":"República","given":"Presidente SlAsHrChAr!de","non-dropping-particle":"","parse-names":false,"suffix":""},{"dropping-particle":"de","family":"Salud","given":"Minsterio","non-dropping-particle":"","parse-names":false,"suffix":""}],"id":"ITEM-1","issued":{"date-parts":[["2015"]]},"title":"Decreto SlAsHrChAr!N° 32327-S: Reglamento Para La Calidad Del Agua Potable","type":"report"},"uris":["http://www.mendeley.com/documents/?uuid=5a2bf542-c1f6-473b-9e9d-54c776ecc4bb"]}],"mendeley":{"formattedCitation":"(República &amp; Salud, 2015)","manualFormatting":"(Ministerio SlAsHrChAr!de Salud, 2015)","plainTextFormattedCitation":"(República &amp; Salud, 2015)","previouslyFormattedCitation":"(República &amp; Salud, 2015)"},"properties":{"noteIndex":0},"schema":"https://github.com/citation-style-language/schema/raw/master/csl-citation.json"}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(Ministerio de Salud, 2015)</w:t>
      </w:r>
      <w:r w:rsidRPr="00D443AC">
        <w:rPr>
          <w:rFonts w:eastAsia="Times New Roman" w:cs="Calibri"/>
        </w:rPr>
        <w:fldChar w:fldCharType="end"/>
      </w:r>
      <w:r w:rsidRPr="00D443AC">
        <w:rPr>
          <w:rFonts w:eastAsia="Times New Roman" w:cs="Calibri"/>
        </w:rPr>
        <w:t xml:space="preserve">.  </w:t>
      </w:r>
    </w:p>
    <w:p w14:paraId="172FE29B" w14:textId="1DD3B431"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For the majority ionic content, anions have a distribution with the following concentration trend: HCO</w:t>
      </w:r>
      <w:r w:rsidRPr="00D443AC">
        <w:rPr>
          <w:rFonts w:eastAsia="Times New Roman" w:cs="Calibri"/>
          <w:vertAlign w:val="subscript"/>
        </w:rPr>
        <w:t>3</w:t>
      </w:r>
      <w:r w:rsidRPr="00D443AC">
        <w:rPr>
          <w:rFonts w:eastAsia="Times New Roman" w:cs="Calibri"/>
          <w:vertAlign w:val="superscript"/>
        </w:rPr>
        <w:t>-</w:t>
      </w:r>
      <w:r w:rsidRPr="00D443AC">
        <w:rPr>
          <w:rFonts w:eastAsia="Times New Roman" w:cs="Calibri"/>
        </w:rPr>
        <w:t xml:space="preserve"> &gt; NO</w:t>
      </w:r>
      <w:r w:rsidRPr="00D443AC">
        <w:rPr>
          <w:rFonts w:eastAsia="Times New Roman" w:cs="Calibri"/>
          <w:vertAlign w:val="subscript"/>
        </w:rPr>
        <w:t>3</w:t>
      </w:r>
      <w:r w:rsidRPr="00D443AC">
        <w:rPr>
          <w:rFonts w:eastAsia="Times New Roman" w:cs="Calibri"/>
          <w:vertAlign w:val="superscript"/>
        </w:rPr>
        <w:t xml:space="preserve">- </w:t>
      </w:r>
      <w:r w:rsidRPr="00D443AC">
        <w:rPr>
          <w:rFonts w:eastAsia="Times New Roman" w:cs="Calibri"/>
        </w:rPr>
        <w:t>&gt; SO</w:t>
      </w:r>
      <w:r w:rsidRPr="00D443AC">
        <w:rPr>
          <w:rFonts w:eastAsia="Times New Roman" w:cs="Calibri"/>
          <w:vertAlign w:val="subscript"/>
        </w:rPr>
        <w:t>4</w:t>
      </w:r>
      <w:r w:rsidRPr="00D443AC">
        <w:rPr>
          <w:rFonts w:eastAsia="Times New Roman" w:cs="Calibri"/>
          <w:vertAlign w:val="superscript"/>
        </w:rPr>
        <w:t>2-</w:t>
      </w:r>
      <w:r w:rsidRPr="00D443AC">
        <w:rPr>
          <w:rFonts w:eastAsia="Times New Roman" w:cs="Calibri"/>
        </w:rPr>
        <w:t xml:space="preserve"> &gt; Cl</w:t>
      </w:r>
      <w:r w:rsidRPr="00D443AC">
        <w:rPr>
          <w:rFonts w:eastAsia="Times New Roman" w:cs="Calibri"/>
          <w:vertAlign w:val="superscript"/>
        </w:rPr>
        <w:t>-</w:t>
      </w:r>
      <w:r w:rsidRPr="00D443AC">
        <w:rPr>
          <w:rFonts w:eastAsia="Times New Roman" w:cs="Calibri"/>
        </w:rPr>
        <w:t xml:space="preserve"> &gt; F</w:t>
      </w:r>
      <w:r w:rsidRPr="00D443AC">
        <w:rPr>
          <w:rFonts w:eastAsia="Times New Roman" w:cs="Calibri"/>
          <w:vertAlign w:val="superscript"/>
        </w:rPr>
        <w:t>-</w:t>
      </w:r>
      <w:r w:rsidRPr="00D443AC">
        <w:rPr>
          <w:rFonts w:eastAsia="Times New Roman" w:cs="Calibri"/>
        </w:rPr>
        <w:t>, while with cations the observed trend was as follows: Ca</w:t>
      </w:r>
      <w:r w:rsidRPr="00D443AC">
        <w:rPr>
          <w:rFonts w:eastAsia="Times New Roman" w:cs="Calibri"/>
          <w:vertAlign w:val="superscript"/>
        </w:rPr>
        <w:t>2+</w:t>
      </w:r>
      <w:r w:rsidRPr="00D443AC">
        <w:rPr>
          <w:rFonts w:eastAsia="Times New Roman" w:cs="Calibri"/>
        </w:rPr>
        <w:t xml:space="preserve"> &gt; Mg</w:t>
      </w:r>
      <w:r w:rsidRPr="00D443AC">
        <w:rPr>
          <w:rFonts w:eastAsia="Times New Roman" w:cs="Calibri"/>
          <w:vertAlign w:val="superscript"/>
        </w:rPr>
        <w:t>2+</w:t>
      </w:r>
      <w:r w:rsidRPr="00D443AC">
        <w:rPr>
          <w:rFonts w:eastAsia="Times New Roman" w:cs="Calibri"/>
        </w:rPr>
        <w:t xml:space="preserve"> &gt; Na</w:t>
      </w:r>
      <w:r w:rsidRPr="00D443AC">
        <w:rPr>
          <w:rFonts w:eastAsia="Times New Roman" w:cs="Calibri"/>
          <w:vertAlign w:val="superscript"/>
        </w:rPr>
        <w:t>+</w:t>
      </w:r>
      <w:r w:rsidRPr="00D443AC">
        <w:rPr>
          <w:rFonts w:eastAsia="Times New Roman" w:cs="Calibri"/>
        </w:rPr>
        <w:t xml:space="preserve"> &gt; K</w:t>
      </w:r>
      <w:r w:rsidRPr="00D443AC">
        <w:rPr>
          <w:rFonts w:eastAsia="Times New Roman" w:cs="Calibri"/>
          <w:vertAlign w:val="superscript"/>
        </w:rPr>
        <w:t>+</w:t>
      </w:r>
      <w:r w:rsidRPr="00D443AC">
        <w:rPr>
          <w:rFonts w:eastAsia="Times New Roman" w:cs="Calibri"/>
        </w:rPr>
        <w:t>. No sample exceeded the respective limits of quantification for minority metals (Cu, Fe, Mn, and Zn)</w:t>
      </w:r>
      <w:r w:rsidR="00662795" w:rsidRPr="00D443AC">
        <w:rPr>
          <w:rFonts w:eastAsia="Times New Roman" w:cs="Calibri"/>
        </w:rPr>
        <w:t>;</w:t>
      </w:r>
      <w:r w:rsidRPr="00D443AC">
        <w:rPr>
          <w:rFonts w:eastAsia="Times New Roman" w:cs="Calibri"/>
        </w:rPr>
        <w:t xml:space="preserve"> consequently, no statistical treatment was conducted.</w:t>
      </w:r>
    </w:p>
    <w:p w14:paraId="231506BD" w14:textId="48D90EBB"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Most of these ions did not represent a health risk or breached RCAP limits, except for nitrate anion, which although its </w:t>
      </w:r>
      <w:r w:rsidR="00833A73" w:rsidRPr="00D443AC">
        <w:rPr>
          <w:rFonts w:eastAsia="Times New Roman" w:cs="Calibri"/>
        </w:rPr>
        <w:t>mean</w:t>
      </w:r>
      <w:r w:rsidRPr="00D443AC">
        <w:rPr>
          <w:rFonts w:eastAsia="Times New Roman" w:cs="Calibri"/>
        </w:rPr>
        <w:t xml:space="preserve"> value did not breach national regulations, one of the supply sources (ASR-02) consistently showed values above 25 mg/L, being a health alert according to current national </w:t>
      </w:r>
      <w:r w:rsidR="00662795" w:rsidRPr="00D443AC">
        <w:rPr>
          <w:rFonts w:eastAsia="Times New Roman" w:cs="Calibri"/>
        </w:rPr>
        <w:t>standards</w:t>
      </w:r>
      <w:r w:rsidRPr="00D443AC">
        <w:rPr>
          <w:rFonts w:eastAsia="Times New Roman" w:cs="Calibri"/>
        </w:rPr>
        <w:t xml:space="preserve">, as well as an indicator of possible anthropogenic contamination </w:t>
      </w:r>
      <w:r w:rsidRPr="00D443AC">
        <w:rPr>
          <w:rFonts w:eastAsia="Times New Roman" w:cs="Calibri"/>
        </w:rPr>
        <w:fldChar w:fldCharType="begin"/>
      </w:r>
      <w:r w:rsidRPr="00D443AC">
        <w:rPr>
          <w:rFonts w:eastAsia="Times New Roman" w:cs="Calibri"/>
        </w:rPr>
        <w:instrText>MERGEFIELD SlAsHrChAr!ADDIN CSL_CITATION {"citationItems":[{"id":"ITEM-1","itemData":{"ISBN":"5667566656","author":[{"dropping-particle":"la","family":"República","given":"Presidente de","non-dropping-particle":"","parse-names":false,"suffix":""},{"dropping-particle":"de","family":"Salud","given":"Minsterio","non-dropping-particle":"","parse-namSlAsHrChAr!es":false,"suffix":""}],"id":"ITEM-1","issued":{"date-parts":[["2015"]]},"title":"Decreto N° 32327-S: Reglamento Para La Calidad Del Agua Potable","type":"report"},"uris":["http://www.mendeley.com/documents/?uuid=5a2bf542-c1f6-473b-9e9d-54c776ecc4bb"]},{"id":"ITEM-2","itemData":{"DOI":"10.1111/j.1745-6584.2003.tb02415.x","SlAsHrChAr!ISSN":"0017467X","PMID":"14649857","abstract":"AQUIPRO, a PC-based method, was used to assess aquifer vulnerability using digital water well logs. The AQUIPRO model is a parameter/factor weighting system for rating the pollution potential of an aquifer. SlAsHrChAr!This method uses the well depth, as well as the clay and partial clay thickness in a well, to generate pollution potential scores. In this model, aquifer protection increases as the AQUIPRO vulnerability scores increase and ground water pollution potential SlAsHrChAr!decreases. Computerized water well records of 2435 domestic wells with partial chemistry data were used to determine the ground water pollution potential of Kalamazoo County, Michigan. Theoretically, low AQUIPRO pollution potential scores should have SlAsHrChAr!more frequent occurrences of ground water contamination events than areas with high AQUIPRO scores with similar land-use, well construction, and well densities. The relative AQUIPRO scores were compared with the frequency of occurrences of nitrate-N in SlAsHrChAr!ground water wells. The average nitrate-N concentrations within each relative AQUIPRO vulnerability scores category were also compared. The results indicate that domestic wells containing 5 mg/L or more nitrate-N showed a positive correlation between SlAsHrChAr!the frequency of occurrences of nitrate-N and relative decrease of AQUIPRO (r2 = 0.99) vulnerability scores. In other words, as the ground water pollution potential increases, the occurrence frequency of nitrate-N also increases. Furthermore, the results SlAsHrChAr!show that as the relative AQUIPRO (r2 = 0.96) vulnerability scores decrease, the mean nitrate-N concentrations also increase.","author":[{"dropping-particle":"","family":"Chowdhury","given":"Shafiul H.","non-dropping-particle":"","parse-names":false,"suffix":""},{"dropping-particle":"","family":"Kehew","given":"Alan SlAsHrChAr!E.","non-dropping-particle":"","parse-names":false,"suffix":""},{"dropping-particle":"","family":"Passero","given":"Richard N.","non-dropping-particle":"","parse-names":false,"suffix":""}],"container-title":"Ground Water","id":"ITEM-2","issue":"6","issued":{"date-parts":[["2003"]]},"page":"735-745","title":"Correlation SlAsHrChAr!between Nitrate Contamination and Ground Water Pollution Potential","type":"article","volume":"41"},"uris":["http://www.mendeley.com/documents/?uuid=737b5437-92be-4d76-8b0f-ccf38b752a42"]}],"mendeley":{"formattedCitation":"(Chowdhury et al., 2003; SlAsHrChAr!República &amp; Salud, 2015)","manualFormatting":"(Chowdhury et al., 2003; Ministerio de Salud, 2015)","plainTextFormattedCitation":"(Chowdhury et al., 2003; República &amp; Salud, 2015)","previouslyFormattedCitation":"(Chowdhury et al., 2003; República SlAsHrChAr!&amp; Salud, 2015)"},"properties":{"noteIndex":0},"schema":"https://github.com/citation-style-language/schema/raw/master/csl-citation.json"}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(Chowdhury et al., 2003; Ministerio de Salud, 2015)</w:t>
      </w:r>
      <w:r w:rsidRPr="00D443AC">
        <w:rPr>
          <w:rFonts w:eastAsia="Times New Roman" w:cs="Calibri"/>
        </w:rPr>
        <w:fldChar w:fldCharType="end"/>
      </w:r>
      <w:r w:rsidRPr="00D443AC">
        <w:rPr>
          <w:rFonts w:eastAsia="Times New Roman" w:cs="Calibri"/>
        </w:rPr>
        <w:t>.</w:t>
      </w:r>
    </w:p>
    <w:p w14:paraId="78B03D80" w14:textId="77777777"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sz w:val="23"/>
        </w:rPr>
        <w:t xml:space="preserve">Finally, as part of the microbiological analysis, the presence of total coliforms (TC) and </w:t>
      </w:r>
      <w:r w:rsidRPr="00D443AC">
        <w:rPr>
          <w:rFonts w:eastAsia="Times New Roman" w:cs="Calibri"/>
          <w:i/>
          <w:sz w:val="23"/>
        </w:rPr>
        <w:t xml:space="preserve">E. Coli </w:t>
      </w:r>
      <w:r w:rsidRPr="00D443AC">
        <w:rPr>
          <w:rFonts w:eastAsia="Times New Roman" w:cs="Calibri"/>
          <w:sz w:val="23"/>
        </w:rPr>
        <w:t xml:space="preserve">was analyzed. Results confirmed microbiological contamination in the water from the three water springs (ASR-01, ASR-02, ASR-03), since, according to RCAP, there must be an absence of microorganisms in drinking water. Therefore, these points from where the positive samples were taken are not suitable for human consumption, evidencing the need for a chlorination system that operates in optimal conditions to ensure consumers’ health </w:t>
      </w:r>
      <w:r w:rsidRPr="00D443AC">
        <w:rPr>
          <w:rFonts w:eastAsia="Times New Roman" w:cs="Calibri"/>
          <w:sz w:val="23"/>
        </w:rPr>
        <w:fldChar w:fldCharType="begin"/>
      </w:r>
      <w:r w:rsidRPr="00D443AC">
        <w:rPr>
          <w:rFonts w:eastAsia="Times New Roman" w:cs="Calibri"/>
          <w:sz w:val="23"/>
        </w:rPr>
        <w:instrText xml:space="preserve">MERGEFIELD </w:instrText>
      </w:r>
      <w:r w:rsidRPr="00D443AC">
        <w:rPr>
          <w:rFonts w:eastAsia="Times New Roman" w:cs="Calibri"/>
        </w:rPr>
        <w:instrText>SlAsHrChAr!ADDIN CSL_CITATION {"citationItems":[{"id":"ITEM-1","itemData":{"ISBN":"5667566656","author":[{"dropping-particle":"la","family":"República","given":"Presidente de","non-dropping-particle":"","parse-names":false,"suffix":""},{"dropping-particle":"de","family":"Salud","given":"Minsterio","non-dropping-particle":"","parse-namSlAsHrChAr!es":false,"suffix":""}],"id":"ITEM-1","issued":{"date-parts":[["2015"]]},"title":"Decreto N° 32327-S: Reglamento Para La Calidad Del Agua Potable","type":"report"},"uris":["http://www.mendeley.com/documents/?uuid=5a2bf542-c1f6-473b-9e9d-54c776ecc4bb"]}],"mendeley":{"formattedCitation":"(República SlAsHrChAr!&amp; Salud, 2015)","manualFormatting":"(Ministerio de Salud, 2015)","plainTextFormattedCitation":"(República &amp; Salud, 2015)","previouslyFormattedCitation":"(República &amp; Salud, 2015)"},"properties":{"noteIndex":0},"schema":"https://github.com/citation-style-language/schema/raw/master/csl-citation.json"}</w:instrText>
      </w:r>
      <w:r w:rsidRPr="00D443AC">
        <w:rPr>
          <w:rFonts w:eastAsia="Times New Roman" w:cs="Calibri"/>
          <w:sz w:val="23"/>
        </w:rPr>
        <w:fldChar w:fldCharType="separate"/>
      </w:r>
      <w:r w:rsidRPr="00D443AC">
        <w:rPr>
          <w:rFonts w:eastAsia="Times New Roman" w:cs="Calibri"/>
        </w:rPr>
        <w:t>(Minist</w:t>
      </w:r>
      <w:r w:rsidRPr="00D443AC">
        <w:rPr>
          <w:rFonts w:eastAsia="Times New Roman" w:cs="Calibri"/>
          <w:sz w:val="23"/>
        </w:rPr>
        <w:t>erio de Salud, 2015)</w:t>
      </w:r>
      <w:r w:rsidRPr="00D443AC">
        <w:rPr>
          <w:rFonts w:eastAsia="Times New Roman" w:cs="Calibri"/>
          <w:sz w:val="23"/>
        </w:rPr>
        <w:fldChar w:fldCharType="end"/>
      </w:r>
      <w:r w:rsidRPr="00D443AC">
        <w:rPr>
          <w:rFonts w:eastAsia="Times New Roman" w:cs="Calibri"/>
          <w:sz w:val="23"/>
        </w:rPr>
        <w:t>.</w:t>
      </w:r>
      <w:r w:rsidRPr="00D443AC">
        <w:rPr>
          <w:rFonts w:eastAsia="Times New Roman" w:cs="Calibri"/>
        </w:rPr>
        <w:t xml:space="preserve"> </w:t>
      </w:r>
    </w:p>
    <w:p w14:paraId="1C344439"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t>IRCACH regulatory compliance</w:t>
      </w:r>
    </w:p>
    <w:p w14:paraId="1C2A07C4" w14:textId="442AB386" w:rsidR="000E5799" w:rsidRPr="00D443AC" w:rsidRDefault="000E5799">
      <w:pPr>
        <w:pStyle w:val="Newparagraph"/>
        <w:widowControl/>
        <w:spacing w:line="360" w:lineRule="auto"/>
        <w:ind w:firstLine="708"/>
        <w:jc w:val="both"/>
        <w:rPr>
          <w:rFonts w:eastAsia="Times New Roman" w:cs="Calibri"/>
          <w:i/>
        </w:rPr>
      </w:pPr>
      <w:r w:rsidRPr="00D443AC">
        <w:rPr>
          <w:rFonts w:eastAsia="Times New Roman" w:cs="Calibri"/>
        </w:rPr>
        <w:t xml:space="preserve">Applying a risk index for drinking water allows us to identify that 3 of the evaluated sites present moderate and high risks to the water supply </w:t>
      </w:r>
      <w:r w:rsidRPr="00D443AC">
        <w:rPr>
          <w:rFonts w:eastAsia="Times New Roman" w:cs="Calibri"/>
        </w:rPr>
        <w:fldChar w:fldCharType="begin"/>
      </w:r>
      <w:r w:rsidRPr="00D443AC">
        <w:rPr>
          <w:rFonts w:eastAsia="Times New Roman" w:cs="Calibri"/>
        </w:rPr>
        <w:instrText>MERGEFIELD ADDIN CSL_CITATION {"citationItems":[{"id":"ITEM-1","itemData":{"abstract":"Indice de calidad de agua","author":[{"dropping-particle":"","family":"Mora-Alvarado","given":"D","non-dropping-particle":"","parse-nSlAsHrChAr!ames":false,"suffix":""},{"dropping-particle":"","family":"Orozco-Gutiérrez","given":"J","non-dropping-particle":"","parse-names":false,"suffix":""},{"dropping-particle":"","family":"Rivera-Navarro","given":"P","non-dropping-particle":"","parse-names":false,"suffix":""},{"dropping-particle":"","family":"Solís-Castro","giSlAsHrChAr!ven":"Y","non-dropping-particle":"","parse-names":false,"suffix":""},{"dropping-particle":"","family":"Zúñiga-Zuñiga","given":"L","non-dropping-particle":"","parse-names":false,"suffix":""},{"dropping-particle":"","family":"Cambronero-Bolaños","given":"D","non-dropping-particle":"","parse-names":false,"suffix":""},{SlAsHrChAr!"dropping-particle":"","family":"Urbina-Campos","given":"A","non-dropping-particle":"","parse-names":false,"suffix":""}],"id":"ITEM-1","issued":{"date-parts":[["2018"]]},"title":"Índice de Riesgo de la Calidad del Agua para Consumo Humano en Costa SlAsHrChAr!Rica (IRCACH)","type":"report","volume":"2"},"uris":["http://www.mendeley.com/documents/?uuid=a0eb1f52-22d6-4c2e-a09f-fe7a0aaba2e7"]}],"mendeley":{"formattedCitation":"(Mora-Alvarado et al., 2018)","plainTextFormattedCitation":"(Mora-Alvarado et al., SlAsHrChAr!2018)","previouslyFormattedCitation":"(Mora-Alvarado et al., 2018)"},"properties":{"noteIndex":0},"schema":"https://github.com/citation-style-language/schema/raw/master/csl-citation.json"}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(Mora-Alvarado et al., 2018)</w:t>
      </w:r>
      <w:r w:rsidRPr="00D443AC">
        <w:rPr>
          <w:rFonts w:eastAsia="Times New Roman" w:cs="Calibri"/>
        </w:rPr>
        <w:fldChar w:fldCharType="end"/>
      </w:r>
      <w:r w:rsidRPr="00D443AC">
        <w:rPr>
          <w:rFonts w:eastAsia="Times New Roman" w:cs="Calibri"/>
        </w:rPr>
        <w:t>. Specifically, the variables that associate these sources with medium and high risks are the deficient amount of chlorine and the presence of microbiological contamination (</w:t>
      </w:r>
      <w:r w:rsidRPr="00D443AC">
        <w:rPr>
          <w:rFonts w:eastAsia="Times New Roman" w:cs="Calibri"/>
          <w:i/>
        </w:rPr>
        <w:t>E. coli</w:t>
      </w:r>
      <w:r w:rsidRPr="00D443AC">
        <w:rPr>
          <w:rFonts w:eastAsia="Times New Roman" w:cs="Calibri"/>
        </w:rPr>
        <w:t xml:space="preserve">). This causes negative </w:t>
      </w:r>
      <w:r w:rsidRPr="00D443AC">
        <w:rPr>
          <w:rFonts w:eastAsia="Times New Roman" w:cs="Calibri"/>
        </w:rPr>
        <w:lastRenderedPageBreak/>
        <w:t xml:space="preserve">effects on </w:t>
      </w:r>
      <w:r w:rsidR="00642D4B" w:rsidRPr="00D443AC">
        <w:rPr>
          <w:rFonts w:eastAsia="Times New Roman" w:cs="Calibri"/>
        </w:rPr>
        <w:t xml:space="preserve">the </w:t>
      </w:r>
      <w:r w:rsidRPr="00D443AC">
        <w:rPr>
          <w:rFonts w:eastAsia="Times New Roman" w:cs="Calibri"/>
        </w:rPr>
        <w:t>consumer’</w:t>
      </w:r>
      <w:r w:rsidR="00A55917" w:rsidRPr="00D443AC">
        <w:rPr>
          <w:rFonts w:eastAsia="Times New Roman" w:cs="Calibri"/>
        </w:rPr>
        <w:t>s</w:t>
      </w:r>
      <w:r w:rsidRPr="00D443AC">
        <w:rPr>
          <w:rFonts w:eastAsia="Times New Roman" w:cs="Calibri"/>
        </w:rPr>
        <w:t xml:space="preserve"> health and constitutes additional evidence that justifies the need to optimize the water chlorination system </w:t>
      </w:r>
      <w:r w:rsidRPr="00D443AC">
        <w:rPr>
          <w:rFonts w:eastAsia="Times New Roman" w:cs="Calibri"/>
        </w:rPr>
        <w:fldChar w:fldCharType="begin"/>
      </w:r>
      <w:r w:rsidRPr="00D443AC">
        <w:rPr>
          <w:rFonts w:eastAsia="Times New Roman" w:cs="Calibri"/>
        </w:rPr>
        <w:instrText>MERGEFIELD ADDIN CSL_CITATION {"citationItems":[{"id":"ITEM-1","itemData":{"author":[{"dropping-particle":"","family":"Morales","given":"Samperio Hugo","non-dropping-particle":"","parse-names":false,"suffix":""},{"dropping-particle":"","family":"ZuñSlAsHrChAr!iga","given":"Carrasco Iván Renato","non-dropping-particle":"","parse-names":false,"suffix":""}],"container-title":"ENF INF MICROBIO","id":"ITEM-1","issue":"3","issued":{"date-parts":[["2019"]]},"page":"86-92","title":"Importancia de la cloración SlAsHrChAr!del agua : sitios de abastecimiento con presencia de bacterias patógenas","type":"article-journal","volume":"39"},"uris":["http://www.mendeley.com/documents/?uuid=d93b20de-4e52-47c2-a87f-b5bbc998d640"]}],"mendeley":{"formattedCitation":"(Morales SlAsHrChAr!&amp; Zuñiga, 2019)","plainTextFormattedCitation":"(Morales &amp; Zuñiga, 2019)","previouslyFormattedCitation":"(Morales &amp; Zuñiga, 2019)"},"properties":{"noteIndex":0},"schema":"https://github.com/citation-style-language/schema/raw/master/csl-citation.json"}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(Morales &amp; Zúñiga, 2019)</w:t>
      </w:r>
      <w:r w:rsidRPr="00D443AC">
        <w:rPr>
          <w:rFonts w:eastAsia="Times New Roman" w:cs="Calibri"/>
        </w:rPr>
        <w:fldChar w:fldCharType="end"/>
      </w:r>
      <w:r w:rsidRPr="00D443AC">
        <w:rPr>
          <w:rFonts w:eastAsia="Times New Roman" w:cs="Calibri"/>
        </w:rPr>
        <w:t xml:space="preserve">.  Figure 2 shows </w:t>
      </w:r>
      <w:r w:rsidR="00833A73" w:rsidRPr="00D443AC">
        <w:rPr>
          <w:rFonts w:eastAsia="Times New Roman" w:cs="Calibri"/>
        </w:rPr>
        <w:t>mean</w:t>
      </w:r>
      <w:r w:rsidRPr="00D443AC">
        <w:rPr>
          <w:rFonts w:eastAsia="Times New Roman" w:cs="Calibri"/>
        </w:rPr>
        <w:t xml:space="preserve"> risk scores and levels obtained for each sample analyzed.</w:t>
      </w:r>
      <w:r w:rsidRPr="00D443AC">
        <w:rPr>
          <w:rFonts w:eastAsia="Times New Roman" w:cs="Calibri"/>
          <w:i/>
        </w:rPr>
        <w:t xml:space="preserve"> </w:t>
      </w:r>
    </w:p>
    <w:p w14:paraId="1378A181" w14:textId="77777777" w:rsidR="000E5799" w:rsidRPr="00D443AC" w:rsidRDefault="000E5799">
      <w:pPr>
        <w:pStyle w:val="Newparagraph"/>
        <w:widowControl/>
        <w:spacing w:line="360" w:lineRule="auto"/>
        <w:ind w:firstLine="0"/>
        <w:jc w:val="both"/>
        <w:rPr>
          <w:rFonts w:eastAsia="Times New Roman" w:cs="Calibri"/>
          <w:i/>
        </w:rPr>
      </w:pPr>
    </w:p>
    <w:p w14:paraId="15D8874A" w14:textId="77777777" w:rsidR="000E5799" w:rsidRPr="00D443AC" w:rsidRDefault="000E5799">
      <w:pPr>
        <w:pStyle w:val="Newparagraph"/>
        <w:widowControl/>
        <w:spacing w:line="360" w:lineRule="auto"/>
        <w:ind w:firstLine="0"/>
        <w:jc w:val="center"/>
        <w:rPr>
          <w:rFonts w:eastAsia="Times New Roman" w:cs="Calibri"/>
        </w:rPr>
      </w:pPr>
      <w:r w:rsidRPr="00D443AC">
        <w:rPr>
          <w:rFonts w:ascii="Calibri" w:eastAsia="Times New Roman" w:hAnsi="Calibri" w:cs="Calibri"/>
          <w:noProof/>
        </w:rPr>
        <w:drawing>
          <wp:inline distT="0" distB="0" distL="0" distR="0" wp14:anchorId="30EF67D2" wp14:editId="6B6EA4C6">
            <wp:extent cx="4572000" cy="3257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t="5275"/>
                    <a:stretch>
                      <a:fillRect/>
                    </a:stretch>
                  </pic:blipFill>
                  <pic:spPr bwMode="auto">
                    <a:xfrm>
                      <a:off x="0" y="0"/>
                      <a:ext cx="4572000" cy="3257550"/>
                    </a:xfrm>
                    <a:prstGeom prst="rect">
                      <a:avLst/>
                    </a:prstGeom>
                    <a:noFill/>
                    <a:ln>
                      <a:noFill/>
                    </a:ln>
                  </pic:spPr>
                </pic:pic>
              </a:graphicData>
            </a:graphic>
          </wp:inline>
        </w:drawing>
      </w:r>
    </w:p>
    <w:p w14:paraId="2ECAE8EB" w14:textId="77777777" w:rsidR="000E5799" w:rsidRPr="00D443AC" w:rsidRDefault="000E5799">
      <w:pPr>
        <w:pStyle w:val="Newparagraph"/>
        <w:widowControl/>
        <w:spacing w:line="360" w:lineRule="auto"/>
        <w:ind w:firstLine="0"/>
        <w:jc w:val="center"/>
        <w:rPr>
          <w:rFonts w:eastAsia="Times New Roman" w:cs="Calibri"/>
        </w:rPr>
      </w:pPr>
      <w:r w:rsidRPr="00D443AC">
        <w:rPr>
          <w:rFonts w:eastAsia="Times New Roman" w:cs="Calibri"/>
          <w:b/>
        </w:rPr>
        <w:t xml:space="preserve">Figure 2. </w:t>
      </w:r>
      <w:r w:rsidRPr="00D443AC">
        <w:rPr>
          <w:rFonts w:eastAsia="Times New Roman" w:cs="Calibri"/>
          <w:i/>
        </w:rPr>
        <w:t>Risk score and classification for each sample according to IRCACH</w:t>
      </w:r>
    </w:p>
    <w:p w14:paraId="39563A57" w14:textId="77777777" w:rsidR="000E5799" w:rsidRPr="00D443AC" w:rsidRDefault="000E5799">
      <w:pPr>
        <w:pStyle w:val="Ttulo2"/>
        <w:widowControl/>
        <w:jc w:val="both"/>
        <w:rPr>
          <w:rFonts w:eastAsia="Times New Roman" w:cs="Calibri"/>
          <w:b w:val="0"/>
          <w:bCs w:val="0"/>
          <w:i w:val="0"/>
          <w:iCs w:val="0"/>
        </w:rPr>
      </w:pPr>
      <w:r w:rsidRPr="00D443AC">
        <w:rPr>
          <w:rFonts w:eastAsia="Times New Roman" w:cs="Calibri"/>
          <w:bCs w:val="0"/>
          <w:iCs w:val="0"/>
        </w:rPr>
        <w:t>Chlorine demand</w:t>
      </w:r>
    </w:p>
    <w:p w14:paraId="3C08F392" w14:textId="77777777" w:rsidR="000E5799" w:rsidRPr="00D443AC" w:rsidRDefault="000E5799">
      <w:pPr>
        <w:pStyle w:val="Newparagraph"/>
        <w:widowControl/>
        <w:spacing w:line="360" w:lineRule="auto"/>
        <w:jc w:val="both"/>
        <w:rPr>
          <w:rFonts w:eastAsia="Times New Roman" w:cs="Calibri"/>
        </w:rPr>
      </w:pPr>
      <w:r w:rsidRPr="00D443AC">
        <w:rPr>
          <w:rFonts w:eastAsia="Times New Roman" w:cs="Calibri"/>
        </w:rPr>
        <w:t>Figure 3 shows the results obtained for the chlorine demand of the studied water springs in the three samplings conducted:</w:t>
      </w:r>
    </w:p>
    <w:p w14:paraId="3E750B52" w14:textId="77777777" w:rsidR="000E5799" w:rsidRPr="00D443AC" w:rsidRDefault="000E5799">
      <w:pPr>
        <w:pStyle w:val="Newparagraph"/>
        <w:widowControl/>
        <w:spacing w:line="360" w:lineRule="auto"/>
        <w:ind w:firstLine="0"/>
        <w:jc w:val="center"/>
        <w:rPr>
          <w:rFonts w:eastAsia="Times New Roman" w:cs="Calibri"/>
          <w:b/>
        </w:rPr>
      </w:pPr>
      <w:r w:rsidRPr="00D443AC">
        <w:rPr>
          <w:rFonts w:ascii="Calibri" w:eastAsia="Times New Roman" w:hAnsi="Calibri" w:cs="Calibri"/>
          <w:noProof/>
        </w:rPr>
        <w:lastRenderedPageBreak/>
        <w:drawing>
          <wp:inline distT="0" distB="0" distL="0" distR="0" wp14:anchorId="0EB436B2" wp14:editId="32A2FA65">
            <wp:extent cx="3486150" cy="34861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86150" cy="3486150"/>
                    </a:xfrm>
                    <a:prstGeom prst="rect">
                      <a:avLst/>
                    </a:prstGeom>
                    <a:noFill/>
                    <a:ln>
                      <a:noFill/>
                    </a:ln>
                  </pic:spPr>
                </pic:pic>
              </a:graphicData>
            </a:graphic>
          </wp:inline>
        </w:drawing>
      </w:r>
    </w:p>
    <w:p w14:paraId="2B40161E" w14:textId="77777777" w:rsidR="000E5799" w:rsidRPr="00D443AC" w:rsidRDefault="000E5799">
      <w:pPr>
        <w:pStyle w:val="Newparagraph"/>
        <w:widowControl/>
        <w:spacing w:line="360" w:lineRule="auto"/>
        <w:ind w:firstLine="0"/>
        <w:jc w:val="both"/>
        <w:rPr>
          <w:rFonts w:eastAsia="Times New Roman" w:cs="Calibri"/>
          <w:b/>
        </w:rPr>
      </w:pPr>
      <w:r w:rsidRPr="00D443AC">
        <w:rPr>
          <w:rFonts w:eastAsia="Times New Roman" w:cs="Calibri"/>
          <w:b/>
        </w:rPr>
        <w:t xml:space="preserve">Figure 3. </w:t>
      </w:r>
      <w:r w:rsidRPr="00D443AC">
        <w:rPr>
          <w:rFonts w:eastAsia="Times New Roman" w:cs="Calibri"/>
          <w:i/>
        </w:rPr>
        <w:t xml:space="preserve">Chlorine demand from the ASR-02 and ASR-03 springs in the Santa Rosa </w:t>
      </w:r>
      <w:r w:rsidRPr="00D443AC">
        <w:rPr>
          <w:rFonts w:eastAsia="Times New Roman" w:cs="Calibri"/>
        </w:rPr>
        <w:t>CBWMO</w:t>
      </w:r>
      <w:r w:rsidRPr="00D443AC">
        <w:rPr>
          <w:rFonts w:eastAsia="Times New Roman" w:cs="Calibri"/>
          <w:i/>
        </w:rPr>
        <w:t>.</w:t>
      </w:r>
    </w:p>
    <w:p w14:paraId="549D41C2" w14:textId="400FFF1D"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An increase in the concentration of residual free chlorine was observed </w:t>
      </w:r>
      <w:r w:rsidR="00326526" w:rsidRPr="00D443AC">
        <w:rPr>
          <w:rFonts w:eastAsia="Times New Roman" w:cs="Calibri"/>
        </w:rPr>
        <w:t>in comparison</w:t>
      </w:r>
      <w:r w:rsidRPr="00D443AC">
        <w:rPr>
          <w:rFonts w:eastAsia="Times New Roman" w:cs="Calibri"/>
        </w:rPr>
        <w:t xml:space="preserve"> to the initial chlorine dose, which allowed </w:t>
      </w:r>
      <w:r w:rsidR="00133D10" w:rsidRPr="00D443AC">
        <w:rPr>
          <w:rFonts w:eastAsia="Times New Roman" w:cs="Calibri"/>
        </w:rPr>
        <w:t>the establishment</w:t>
      </w:r>
      <w:r w:rsidRPr="00D443AC">
        <w:rPr>
          <w:rFonts w:eastAsia="Times New Roman" w:cs="Calibri"/>
        </w:rPr>
        <w:t xml:space="preserve"> </w:t>
      </w:r>
      <w:r w:rsidR="00133D10" w:rsidRPr="00D443AC">
        <w:rPr>
          <w:rFonts w:eastAsia="Times New Roman" w:cs="Calibri"/>
        </w:rPr>
        <w:t xml:space="preserve">of </w:t>
      </w:r>
      <w:r w:rsidRPr="00D443AC">
        <w:rPr>
          <w:rFonts w:eastAsia="Times New Roman" w:cs="Calibri"/>
        </w:rPr>
        <w:t>a high correlation between both variables described by statistically significant linear regression models (p&lt;0.001). In addition, based on the slopes of both curves, it is suggested that approximately 78% and 72% of added chlorine is converted into free residual chlorine, respectively.</w:t>
      </w:r>
    </w:p>
    <w:p w14:paraId="2FF0868B" w14:textId="589EFB80"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It can be deduced from the above curves that the breakpoint, commonly shown by the literature, is not observed in the water sources studied. This is consistent with the low concentrations of ammonium, nitrite, iron, and manganese found, which represent an important contribution to chlorine demand </w:t>
      </w:r>
      <w:r w:rsidRPr="00D443AC">
        <w:rPr>
          <w:rFonts w:eastAsia="Times New Roman" w:cs="Calibri"/>
        </w:rPr>
        <w:fldChar w:fldCharType="begin"/>
      </w:r>
      <w:r w:rsidRPr="00D443AC">
        <w:rPr>
          <w:rFonts w:eastAsia="Times New Roman" w:cs="Calibri"/>
        </w:rPr>
        <w:instrText>MERGEFIELD ADDIN CSL_CITATION {"citationItems":[{"id":"ITEM-1","itemData":{"author":[{"dropping-particle":"","family":"Laky","given":"Dóra","non-dropping-particle":"","parse-namesSlAsHrChAr!":false,"suffix":""},{"dropping-particle":"","family":"Neguez","given":"Souha","non-dropping-particle":"","parse-names":false,"suffix":""}],"container-title":"Periodica Polytechnica Civil Engineering","id":"ITEM-1","issue":"5","issued":{"date-parts":[["2024"]]},"page":"1-12","title":"Optimization SlAsHrChAr!of Breakpoint Chlorination Technologies for Drinking Water Treatment : a Hungarian Case Study","type":"article-journal","volume":"3023"},"uris":["http://www.mendeley.com/documents/?uuid=46f5ee11-89b0-4c5d-8ff1-9450fedf926f"]}],"mendeley":{"formattedCitation":"(Laky SlAsHrChAr!&amp; Neguez, 2024)","plainTextFormattedCitation":"(Laky &amp; Neguez, 2024)","previouslyFormattedCitation":"(Laky &amp; Neguez, 2024)"},"properties":{"noteIndex":0},"schema":"https://github.com/citation-style-language/schema/raw/master/csl-citation.json"}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(Laky &amp; Neguez, 2024)</w:t>
      </w:r>
      <w:r w:rsidRPr="00D443AC">
        <w:rPr>
          <w:rFonts w:eastAsia="Times New Roman" w:cs="Calibri"/>
        </w:rPr>
        <w:fldChar w:fldCharType="end"/>
      </w:r>
      <w:r w:rsidRPr="00D443AC">
        <w:rPr>
          <w:rFonts w:eastAsia="Times New Roman" w:cs="Calibri"/>
        </w:rPr>
        <w:t xml:space="preserve">. In addition, based on the results obtained for water organoleptic characteristics, as well as DO and turbidity concentrations, it is possible to suggest low or no contents of organic matter in the water; therefore, the risk of microbiological contamination detected could be controlled with </w:t>
      </w:r>
      <w:r w:rsidR="00675FA5" w:rsidRPr="00D443AC">
        <w:rPr>
          <w:rFonts w:eastAsia="Times New Roman" w:cs="Calibri"/>
        </w:rPr>
        <w:t xml:space="preserve">the </w:t>
      </w:r>
      <w:r w:rsidRPr="00D443AC">
        <w:rPr>
          <w:rFonts w:eastAsia="Times New Roman" w:cs="Calibri"/>
        </w:rPr>
        <w:t xml:space="preserve">proper management of the disinfection system. </w:t>
      </w:r>
    </w:p>
    <w:p w14:paraId="39665EE2" w14:textId="77777777"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Finally, due to the different characteristics obtained in each curve (i.e. slope, initial residual chlorine), a statistical contrast of estimated marginal means was conducted (Games et al., 1981; Searle et al., 1980) for the slopes in each curve. The above confirms that the chlorine </w:t>
      </w:r>
      <w:r w:rsidRPr="00D443AC">
        <w:rPr>
          <w:rFonts w:eastAsia="Times New Roman" w:cs="Calibri"/>
        </w:rPr>
        <w:lastRenderedPageBreak/>
        <w:t>requirements are different for each supply source, which represents a valuable finding for the proposal of individualized chlorine dosing protocols.</w:t>
      </w:r>
    </w:p>
    <w:p w14:paraId="2752DC85" w14:textId="77777777" w:rsidR="000E5799" w:rsidRPr="00D443AC" w:rsidRDefault="000E5799">
      <w:pPr>
        <w:pStyle w:val="Ttulo2"/>
        <w:widowControl/>
        <w:jc w:val="both"/>
        <w:rPr>
          <w:rFonts w:eastAsia="Times New Roman" w:cs="Calibri"/>
          <w:b w:val="0"/>
          <w:bCs w:val="0"/>
          <w:i w:val="0"/>
          <w:iCs w:val="0"/>
        </w:rPr>
      </w:pPr>
      <w:r w:rsidRPr="00D443AC">
        <w:rPr>
          <w:rFonts w:eastAsia="Times New Roman" w:cs="Calibri"/>
          <w:bCs w:val="0"/>
          <w:iCs w:val="0"/>
        </w:rPr>
        <w:t>Variability of residual chlorine in the system</w:t>
      </w:r>
    </w:p>
    <w:p w14:paraId="30E29AAE" w14:textId="77777777"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To validate the homogeneity in the concentration of residual chlorine throughout the aqueduct, the concentrations of free residual chlorine in the tanks and in the distribution networks (including the most distant sites) of the subsystem were studied, varying the post-chlorination analysis interval (i.e. 2-day and 10-day, Fig. 4). This sampling periodicity was selected to study the system under conditions of high and low concentration of free residual chlorine.</w:t>
      </w:r>
    </w:p>
    <w:p w14:paraId="0054E02E" w14:textId="77777777" w:rsidR="000E5799" w:rsidRPr="00D443AC" w:rsidRDefault="000E5799">
      <w:pPr>
        <w:pStyle w:val="NormalWeb"/>
        <w:widowControl/>
        <w:rPr>
          <w:rFonts w:eastAsia="Times New Roman" w:cs="Calibri"/>
        </w:rPr>
      </w:pPr>
      <w:r w:rsidRPr="00D443AC">
        <w:rPr>
          <w:rFonts w:ascii="Calibri" w:eastAsia="Times New Roman" w:hAnsi="Calibri" w:cs="Calibri"/>
          <w:noProof/>
        </w:rPr>
        <w:drawing>
          <wp:inline distT="0" distB="0" distL="0" distR="0" wp14:anchorId="316CC338" wp14:editId="3489FC9B">
            <wp:extent cx="5610225" cy="42100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0225" cy="4210050"/>
                    </a:xfrm>
                    <a:prstGeom prst="rect">
                      <a:avLst/>
                    </a:prstGeom>
                    <a:noFill/>
                    <a:ln>
                      <a:noFill/>
                    </a:ln>
                  </pic:spPr>
                </pic:pic>
              </a:graphicData>
            </a:graphic>
          </wp:inline>
        </w:drawing>
      </w:r>
    </w:p>
    <w:p w14:paraId="5328E574" w14:textId="77777777" w:rsidR="000E5799" w:rsidRPr="00D443AC" w:rsidRDefault="000E5799">
      <w:pPr>
        <w:pStyle w:val="Newparagraph"/>
        <w:widowControl/>
        <w:spacing w:line="360" w:lineRule="auto"/>
        <w:ind w:firstLine="0"/>
        <w:jc w:val="both"/>
        <w:rPr>
          <w:rFonts w:eastAsia="Times New Roman" w:cs="Calibri"/>
          <w:b/>
        </w:rPr>
      </w:pPr>
      <w:r w:rsidRPr="00D443AC">
        <w:rPr>
          <w:rFonts w:eastAsia="Times New Roman" w:cs="Calibri"/>
          <w:b/>
        </w:rPr>
        <w:t xml:space="preserve">Figure 4. </w:t>
      </w:r>
      <w:r w:rsidRPr="00D443AC">
        <w:rPr>
          <w:rFonts w:eastAsia="Times New Roman" w:cs="Calibri"/>
          <w:i/>
        </w:rPr>
        <w:t>Behavior of residual chlorine at different points fed by springs ASR-02 and ASR-03</w:t>
      </w:r>
    </w:p>
    <w:p w14:paraId="62F77B71" w14:textId="372BA64E"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According to </w:t>
      </w:r>
      <w:r w:rsidR="00675FA5" w:rsidRPr="00D443AC">
        <w:rPr>
          <w:rFonts w:eastAsia="Times New Roman" w:cs="Calibri"/>
        </w:rPr>
        <w:t>F</w:t>
      </w:r>
      <w:r w:rsidRPr="00D443AC">
        <w:rPr>
          <w:rFonts w:eastAsia="Times New Roman" w:cs="Calibri"/>
        </w:rPr>
        <w:t>igure</w:t>
      </w:r>
      <w:r w:rsidR="00675FA5" w:rsidRPr="00D443AC">
        <w:rPr>
          <w:rFonts w:eastAsia="Times New Roman" w:cs="Calibri"/>
        </w:rPr>
        <w:t xml:space="preserve"> 4</w:t>
      </w:r>
      <w:r w:rsidRPr="00D443AC">
        <w:rPr>
          <w:rFonts w:eastAsia="Times New Roman" w:cs="Calibri"/>
        </w:rPr>
        <w:t xml:space="preserve">, the </w:t>
      </w:r>
      <w:r w:rsidR="00833A73" w:rsidRPr="00D443AC">
        <w:rPr>
          <w:rFonts w:eastAsia="Times New Roman" w:cs="Calibri"/>
        </w:rPr>
        <w:t>mean</w:t>
      </w:r>
      <w:r w:rsidRPr="00D443AC">
        <w:rPr>
          <w:rFonts w:eastAsia="Times New Roman" w:cs="Calibri"/>
        </w:rPr>
        <w:t xml:space="preserve"> values of free residual chlorine are slightly lower at the distribution sites compared to the </w:t>
      </w:r>
      <w:r w:rsidR="00675FA5" w:rsidRPr="00D443AC">
        <w:rPr>
          <w:rFonts w:eastAsia="Times New Roman" w:cs="Calibri"/>
        </w:rPr>
        <w:t xml:space="preserve">values at the </w:t>
      </w:r>
      <w:r w:rsidRPr="00D443AC">
        <w:rPr>
          <w:rFonts w:eastAsia="Times New Roman" w:cs="Calibri"/>
        </w:rPr>
        <w:t xml:space="preserve">storage tanks. This is the case for </w:t>
      </w:r>
      <w:r w:rsidR="004C3AD6" w:rsidRPr="00D443AC">
        <w:rPr>
          <w:rFonts w:eastAsia="Times New Roman" w:cs="Calibri"/>
        </w:rPr>
        <w:t>both</w:t>
      </w:r>
      <w:r w:rsidRPr="00D443AC">
        <w:rPr>
          <w:rFonts w:eastAsia="Times New Roman" w:cs="Calibri"/>
        </w:rPr>
        <w:t xml:space="preserve"> supply sources and both time intervals studied. However, there is no statistically significant difference between these mean values (p&gt;0.05), which suggests a relatively homogeneous chlorine </w:t>
      </w:r>
      <w:r w:rsidRPr="00D443AC">
        <w:rPr>
          <w:rFonts w:eastAsia="Times New Roman" w:cs="Calibri"/>
        </w:rPr>
        <w:lastRenderedPageBreak/>
        <w:t>concentration for both systems. Therefore, it was not necessary to consider chlorine decay as a relevant factor in the disinfection proposal.</w:t>
      </w:r>
    </w:p>
    <w:p w14:paraId="4B478048" w14:textId="77777777" w:rsidR="000E5799" w:rsidRPr="00D443AC" w:rsidRDefault="000E5799">
      <w:pPr>
        <w:pStyle w:val="Ttulo2"/>
        <w:widowControl/>
        <w:jc w:val="both"/>
        <w:rPr>
          <w:rFonts w:eastAsia="Times New Roman" w:cs="Calibri"/>
          <w:b w:val="0"/>
          <w:bCs w:val="0"/>
          <w:i w:val="0"/>
          <w:iCs w:val="0"/>
        </w:rPr>
      </w:pPr>
      <w:r w:rsidRPr="00D443AC">
        <w:rPr>
          <w:rFonts w:eastAsia="Times New Roman" w:cs="Calibri"/>
          <w:bCs w:val="0"/>
          <w:iCs w:val="0"/>
        </w:rPr>
        <w:t xml:space="preserve">Disinfection proposal </w:t>
      </w:r>
    </w:p>
    <w:p w14:paraId="11112905" w14:textId="77777777" w:rsidR="000E5799" w:rsidRPr="00D443AC" w:rsidRDefault="000E5799">
      <w:pPr>
        <w:pStyle w:val="Newparagraph"/>
        <w:widowControl/>
        <w:spacing w:line="360" w:lineRule="auto"/>
        <w:jc w:val="both"/>
        <w:rPr>
          <w:rFonts w:eastAsia="Times New Roman" w:cs="Calibri"/>
        </w:rPr>
      </w:pPr>
      <w:r w:rsidRPr="00D443AC">
        <w:rPr>
          <w:rFonts w:eastAsia="Times New Roman" w:cs="Calibri"/>
        </w:rPr>
        <w:t>Based on the suggested dose of chlorine (Fig. 3) for the desired free residual chlorine concentration levels, the number of tablets to be added to the chlorinators was estimated according to the flow rate of the supply sources. Figure 5 shows the proposed model for each source, as well as the comparison with the current scenario.</w:t>
      </w:r>
    </w:p>
    <w:p w14:paraId="5A5F56A4" w14:textId="77777777" w:rsidR="000E5799" w:rsidRPr="00D443AC" w:rsidRDefault="000E5799">
      <w:pPr>
        <w:pStyle w:val="Newparagraph"/>
        <w:widowControl/>
        <w:spacing w:line="360" w:lineRule="auto"/>
        <w:ind w:firstLine="0"/>
        <w:jc w:val="center"/>
        <w:rPr>
          <w:rFonts w:eastAsia="Times New Roman" w:cs="Calibri"/>
        </w:rPr>
      </w:pPr>
      <w:r w:rsidRPr="00D443AC">
        <w:rPr>
          <w:rFonts w:ascii="Calibri" w:eastAsia="Times New Roman" w:hAnsi="Calibri" w:cs="Calibri"/>
          <w:noProof/>
        </w:rPr>
        <w:drawing>
          <wp:inline distT="0" distB="0" distL="0" distR="0" wp14:anchorId="2CACA82B" wp14:editId="76BC35A3">
            <wp:extent cx="4105275" cy="30765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05275" cy="3076575"/>
                    </a:xfrm>
                    <a:prstGeom prst="rect">
                      <a:avLst/>
                    </a:prstGeom>
                    <a:noFill/>
                    <a:ln>
                      <a:noFill/>
                    </a:ln>
                  </pic:spPr>
                </pic:pic>
              </a:graphicData>
            </a:graphic>
          </wp:inline>
        </w:drawing>
      </w:r>
    </w:p>
    <w:p w14:paraId="168BC9C4" w14:textId="4000EB2C" w:rsidR="000E5799" w:rsidRPr="00D443AC" w:rsidRDefault="000E5799">
      <w:pPr>
        <w:pStyle w:val="Newparagraph"/>
        <w:widowControl/>
        <w:spacing w:line="360" w:lineRule="auto"/>
        <w:ind w:firstLine="0"/>
        <w:jc w:val="both"/>
        <w:rPr>
          <w:rFonts w:eastAsia="Times New Roman" w:cs="Calibri"/>
          <w:b/>
        </w:rPr>
      </w:pPr>
      <w:r w:rsidRPr="00D443AC">
        <w:rPr>
          <w:rFonts w:eastAsia="Times New Roman" w:cs="Calibri"/>
          <w:b/>
        </w:rPr>
        <w:t xml:space="preserve">Figure 5. </w:t>
      </w:r>
      <w:r w:rsidRPr="00D443AC">
        <w:rPr>
          <w:rFonts w:eastAsia="Times New Roman" w:cs="Calibri"/>
          <w:i/>
        </w:rPr>
        <w:t xml:space="preserve">Comparison of suggested consumption vs. </w:t>
      </w:r>
      <w:r w:rsidR="00B63525" w:rsidRPr="00D443AC">
        <w:rPr>
          <w:rFonts w:eastAsia="Times New Roman" w:cs="Calibri"/>
          <w:i/>
        </w:rPr>
        <w:t>currently</w:t>
      </w:r>
      <w:r w:rsidRPr="00D443AC">
        <w:rPr>
          <w:rFonts w:eastAsia="Times New Roman" w:cs="Calibri"/>
          <w:i/>
        </w:rPr>
        <w:t xml:space="preserve"> added consumption of tablets per week</w:t>
      </w:r>
      <w:r w:rsidRPr="00D443AC">
        <w:rPr>
          <w:rFonts w:eastAsia="Times New Roman" w:cs="Calibri"/>
        </w:rPr>
        <w:t xml:space="preserve"> </w:t>
      </w:r>
    </w:p>
    <w:p w14:paraId="0BC8252B" w14:textId="3D965F7B" w:rsidR="000E5799" w:rsidRPr="00D443AC" w:rsidRDefault="000E5799">
      <w:pPr>
        <w:pStyle w:val="Newparagraph"/>
        <w:widowControl/>
        <w:spacing w:line="360" w:lineRule="auto"/>
        <w:jc w:val="both"/>
        <w:rPr>
          <w:rFonts w:eastAsia="Times New Roman" w:cs="Calibri"/>
        </w:rPr>
      </w:pPr>
      <w:r w:rsidRPr="00D443AC">
        <w:rPr>
          <w:rFonts w:eastAsia="Times New Roman" w:cs="Calibri"/>
        </w:rPr>
        <w:t>The range of flow values used was obtained in the survey instrument applied for the identification of the disinfection system since due to the hydroclimate variations inherent to tropical areas (i.e. El Niño phenomenon), this flow can show seasonal variations for both sources. The model developed for different flow rates also shows CBWMO management that the system currently operates with the correct amounts of chlorine if the flow rates at their sources are less than 2.5 L/min and 3.5 L/min, respectively, which poses an inherent risk for the times of year (i.e. wet season) when the flow rate increases.</w:t>
      </w:r>
    </w:p>
    <w:p w14:paraId="1846A89B"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lastRenderedPageBreak/>
        <w:t>Results discussion</w:t>
      </w:r>
    </w:p>
    <w:p w14:paraId="69BF0ECF"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t>Water quality and risk index for human consumption</w:t>
      </w:r>
    </w:p>
    <w:p w14:paraId="61A8067F" w14:textId="77777777" w:rsidR="000E5799" w:rsidRPr="00D443AC" w:rsidRDefault="000E5799">
      <w:pPr>
        <w:pStyle w:val="Newparagraph"/>
        <w:widowControl/>
        <w:spacing w:line="360" w:lineRule="auto"/>
        <w:ind w:firstLine="0"/>
        <w:jc w:val="both"/>
        <w:rPr>
          <w:rFonts w:eastAsia="Times New Roman" w:cs="Calibri"/>
        </w:rPr>
      </w:pPr>
      <w:r w:rsidRPr="00D443AC">
        <w:rPr>
          <w:rFonts w:eastAsia="Times New Roman" w:cs="Calibri"/>
        </w:rPr>
        <w:tab/>
        <w:t xml:space="preserve">The concentration of free residual chlorine was outside the recommended range in most of the samples. This behavior can be attributed to the concentration differences in the system resulting from the variation of water flows, thus affecting the permanence of chlorine in the storage tanks and the distribution network </w:t>
      </w:r>
      <w:r w:rsidRPr="00D443AC">
        <w:rPr>
          <w:rFonts w:eastAsia="Times New Roman" w:cs="Calibri"/>
        </w:rPr>
        <w:fldChar w:fldCharType="begin"/>
      </w:r>
      <w:r w:rsidRPr="00D443AC">
        <w:rPr>
          <w:rFonts w:eastAsia="Times New Roman" w:cs="Calibri"/>
        </w:rPr>
        <w:instrText>MERGEFIELD SlAsHrChAr!ADDIN CSL_CITATION {"citationItems":[{"id":"ITEM-1","itemData":{"DOI":"10.17230/ingciencia.8.15.1","ISSN":"17949165","abstract":"Se llevó a cabo una evaluación a escala real de las condiciones de mezcla y su influencia sobre la calidad del agua SlAsHrChAr!en un tanque de compensación del sistema de distribución de agua potable de la ciudad de Cali (Colombia). El estudio hidrodinámico con aplicación continua de trazador y mediciones de temperatura y de cloro residual libre para identificar el SlAsHrChAr!régimen de mezcla en su interior, tiempos de residencia, estratificación térmica y la variación del cloro en el agua almacenada, evidenciaron el comportamiento propio de un tanque de compensación. Se encontró además que la recirculación SlAsHrChAr!y el intercambio insuficiente de agua, los bajos de flujo de momento asociados a caudales pequeños y la estratificación térmica puntual pueden causar elevados tiempos de residencia en el tanque, altas edades del agua, mezcla insuficiente y pérdida SlAsHrChAr!importante del cloro residual libre. La metodología aplicada en este estudio es apropiada para la evaluación y optimización de tanques de compensación en sistemas de distribución de agua potable.","author":[{"dropping-particle":"","family":"Montoya","given":"C","non-dropping-particle":"","parse-names":false,"suffix":SlAsHrChAr!""},{"dropping-particle":"","family":"Cruz","given":"C","non-dropping-particle":"","parse-names":false,"suffix":""},{"dropping-particle":"","family":"Torres","given":"P","non-dropping-particle":"","parse-names":false,"suffix":""},{"dropping-particle":"","family":"Laín","given":"Santiago","non-dropping-particle":"","parse-naSlAsHrChAr!mes":false,"suffix":""},{"dropping-particle":"","family":"Escobar","given":"J","non-dropping-particle":"","parse-names":false,"suffix":""}],"container-title":"Ingeniería y Ciencia","id":"ITEM-1","issue":"15","issued":{"date-parts":[["2012"]]},"page":"9-30","title":"Evaluación SlAsHrChAr!de las condiciones de mezcla y su influencia sobre el cloro residual entanques de compensación de un sistema de distribución de agua potable","type":"article-journal","volume":"8"},"uris":["http://www.mendeley.com/documents/?uuid=18ecb215-0759-4afb-97d5-7f81960da6a2"]}],"mendeley":{"formattedCitation":"(Montoya SlAsHrChAr!et al., 2012)","plainTextFormattedCitation":"(Montoya et al., 2012)","previouslyFormattedCitation":"(Montoya et al., 2012)"},"properties":{"noteIndex":0},"schema":"https://github.com/citation-style-language/schema/raw/master/csl-citation.json"}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(Montoya et al., 2012)</w:t>
      </w:r>
      <w:r w:rsidRPr="00D443AC">
        <w:rPr>
          <w:rFonts w:eastAsia="Times New Roman" w:cs="Calibri"/>
        </w:rPr>
        <w:fldChar w:fldCharType="end"/>
      </w:r>
      <w:r w:rsidRPr="00D443AC">
        <w:rPr>
          <w:rFonts w:eastAsia="Times New Roman" w:cs="Calibri"/>
        </w:rPr>
        <w:t>.</w:t>
      </w:r>
    </w:p>
    <w:p w14:paraId="060E142D" w14:textId="5E3A5824" w:rsidR="000E5799" w:rsidRPr="00D443AC" w:rsidRDefault="000E5799">
      <w:pPr>
        <w:pStyle w:val="Newparagraph"/>
        <w:widowControl/>
        <w:spacing w:line="360" w:lineRule="auto"/>
        <w:ind w:firstLine="0"/>
        <w:jc w:val="both"/>
        <w:rPr>
          <w:rFonts w:eastAsia="Times New Roman" w:cs="Calibri"/>
          <w:sz w:val="23"/>
        </w:rPr>
      </w:pPr>
      <w:r w:rsidRPr="00D443AC">
        <w:rPr>
          <w:rFonts w:eastAsia="Times New Roman" w:cs="Calibri"/>
        </w:rPr>
        <w:tab/>
        <w:t xml:space="preserve">The increase in nitrate in water is usually related to human activities such as the use of fertilizers, sewers, wastewater effluents, and animal waste, due to the infiltration of fluids with high concentrations of nitrate in the soil that subsequently end up in aquifers causing contamination </w:t>
      </w:r>
      <w:r w:rsidRPr="00D443AC">
        <w:rPr>
          <w:rFonts w:eastAsia="Times New Roman" w:cs="Calibri"/>
        </w:rPr>
        <w:fldChar w:fldCharType="begin"/>
      </w:r>
      <w:r w:rsidRPr="00D443AC">
        <w:rPr>
          <w:rFonts w:eastAsia="Times New Roman" w:cs="Calibri"/>
        </w:rPr>
        <w:instrText>MERGEFIELD ADDIN CSL_CITATION {"citationItems":[{"id":"ITEM-1","itemData":{"author":[{"dropping-particle":"","family":"Sallenave","given":"Rossana","non-dropping-parSlAsHrChAr!ticle":"","parse-names":false,"suffix":""}],"id":"ITEM-1","issued":{"date-parts":[["2017"]]},"number-of-pages":"1-8","title":"Nitrate in Drinking Water","type":"report"},"uris":["http://www.mendeley.com/documents/?uuid=0892e434-a21b-4f11-864a-98aa42d94b2e"]}],"mendeley":{"formattedCitation":"(Sallenave, SlAsHrChAr!2017)","plainTextFormattedCitation":"(Sallenave, 2017)","previouslyFormattedCitation":"(Sallenave, 2017)"},"properties":{"noteIndex":0},"schema":"https://github.com/citation-style-language/schema/raw/master/csl-citation.json"}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(Sallenave, 2017)</w:t>
      </w:r>
      <w:r w:rsidRPr="00D443AC">
        <w:rPr>
          <w:rFonts w:eastAsia="Times New Roman" w:cs="Calibri"/>
        </w:rPr>
        <w:fldChar w:fldCharType="end"/>
      </w:r>
      <w:r w:rsidRPr="00D443AC">
        <w:rPr>
          <w:rFonts w:eastAsia="Times New Roman" w:cs="Calibri"/>
        </w:rPr>
        <w:t>. In the case of Costa Rica, according to</w:t>
      </w:r>
      <w:r w:rsidRPr="00D443AC">
        <w:rPr>
          <w:rFonts w:eastAsia="Times New Roman" w:cs="Calibri"/>
        </w:rPr>
        <w:fldChar w:fldCharType="begin"/>
      </w:r>
      <w:r w:rsidRPr="00D443AC">
        <w:rPr>
          <w:rFonts w:eastAsia="Times New Roman" w:cs="Calibri"/>
        </w:rPr>
        <w:instrText xml:space="preserve">MERGEFIELD ADDIN CSL_CITATION {"citationItems":[{"id":"ITEM-1","itemData":{"DOI":"10.1029/2023JG007554","ISSN":"21698961","abstract":"Nitrate SlAsHrChAr!legacy is affecting groundwater sources across the tropics. This study describes isotopic and ionic spatial trends across a tropical, fractured, volcanic multi-aquifer system in central Costa Rica in relation to land use change over four decades. Springs SlAsHrChAr!and wells (from 800 to 2,400 m asl) were sampled for NO3− and Cl− concentrations, δ18Owater, δ15NNO3, and δ18ONO3. A Bayesian isotope mixing model was used to estimate potential source contributions to the nitrate legacy SlAsHrChAr!in groundwater. Land use change was evaluated using satellite imagery from 1979 to 2019. The lower nitrate concentrations (&lt;1 mg/L NO3−N) were reported in headwater springs near protected forested areas, while greater concentrations (up to </w:instrText>
      </w:r>
      <w:r w:rsidRPr="00D443AC">
        <w:rPr>
          <w:rFonts w:ascii="Cambria Math" w:eastAsia="Times New Roman" w:hAnsi="Cambria Math" w:cs="Cambria Math"/>
        </w:rPr>
        <w:instrText>∼</w:instrText>
      </w:r>
      <w:r w:rsidRPr="00D443AC">
        <w:rPr>
          <w:rFonts w:eastAsia="Times New Roman" w:cs="Calibri"/>
        </w:rPr>
        <w:instrText>lAsHrChAr!?63 mg/L) were reported in wells (mid- and low-elevation sites in the unconfined unit) and low-elevation springs. High-elevation springs were characterized by low Cl− and moderate NO3−/Cl− ratios, indicating the potential influence SlAsHrChAr!of soil nitrogen (SN) inputs. Wells and low-elevation springs exhibited greater NO3−/Cl− ratios and Cl− concentrations above 100 μmol/L. Bayesian calculations suggest a mixture of sewage (domestic septic tanks), SN (forested SlAsHrChAr!recharge areas), and chemical fertilizers (coffee plantations), as a direct result of abrupt land use change in the last 40 years. Our results confirm the incipient trend in increasing groundwater nitrogen and highlight the urgent need for a multi-municipal SlAsHrChAr!plan to transition from domestic septic tanks to regional sewage treatment and sustainable agricultural practices to prevent future groundwater quality degradation effectively.","author":[{"dropping-particle":"","family":"Sánchez-Gutiérrez","given":"R.","non-dropping-particle":"","parse-names":false,"suffix":""},{"dropping-SlAsHrChAr!particle":"","family":"Sánchez-Murillo","given":"R.","non-dropping-particle":"","parse-names":false,"suffix":""},{"dropping-particle":"","family":"Esquivel-Hernández","given":"G.","non-dropping-particle":"","parse-names":false,"suffix":""},{"dropping-particle":"","family":"Birkel","given":"C.","non-dropping-particle":"","pSlAsHrChAr!arse-names":false,"suffix":""},{"dropping-particle":"","family":"Boll","given":"J.","non-dropping-particle":"","parse-names":false,"suffix":""},{"dropping-particle":"","family":"Rojas-Jiménez","given":"L. D.","non-dropping-particle":"","parse-names":false,"suffix":""},{"dropping-particle":"","family":"Castro-Chacón","givSlAsHrChAr!en":"L.","non-dropping-particle":"","parse-names":false,"suffix":""}],"container-title":"Journal of Geophysical Research: Biogeosciences","id":"ITEM-1","issue":"8","issued":{"date-parts":[["2023"]]},"title":"Nitrate Legacy in a Tropical and Complex SlAsHrChAr!Fractured Volcanic Aquifer System","type":"article-journal","volume":"128"},"uris":["http://www.mendeley.com/documents/?uuid=5ab56d49-4270-4f40-aba2-e3d91edb7555"]}],"mendeley":{"formattedCitation":"(Sánchez-Gutiérrez et al., 2023)","manualFormatting":"Sánchez-Gutiérrez SlAsHrChAr!et al. (2023)","plainTextFormattedCitation":"(Sánchez-Gutiérrez et al., 2023)","previouslyFormattedCitation":"(Sánchez-Gutiérrez et al., 2023)"},"properties":{"noteIndex":0},"schema":"https://github.com/citation-style-language/schema/raw/master/csl-citation.json"}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 xml:space="preserve"> Sánchez-Gutiérrez et al. (2023)</w:t>
      </w:r>
      <w:r w:rsidRPr="00D443AC">
        <w:rPr>
          <w:rFonts w:eastAsia="Times New Roman" w:cs="Calibri"/>
        </w:rPr>
        <w:fldChar w:fldCharType="end"/>
      </w:r>
      <w:r w:rsidRPr="00D443AC">
        <w:rPr>
          <w:rFonts w:eastAsia="Times New Roman" w:cs="Calibri"/>
        </w:rPr>
        <w:t xml:space="preserve"> based on </w:t>
      </w:r>
      <w:r w:rsidR="00FD10D2" w:rsidRPr="00D443AC">
        <w:rPr>
          <w:rFonts w:eastAsia="Times New Roman" w:cs="Calibri"/>
        </w:rPr>
        <w:t>an isotopic analysis</w:t>
      </w:r>
      <w:r w:rsidRPr="00D443AC">
        <w:rPr>
          <w:rFonts w:eastAsia="Times New Roman" w:cs="Calibri"/>
        </w:rPr>
        <w:t xml:space="preserve"> of water, decadal changes have been demonstrated in the use of soils linked to the increase of nitrate in groundwater, as well as changes in nitrate sources, with the anthropogenic </w:t>
      </w:r>
      <w:r w:rsidR="002401BF" w:rsidRPr="00D443AC">
        <w:rPr>
          <w:rFonts w:eastAsia="Times New Roman" w:cs="Calibri"/>
        </w:rPr>
        <w:t>pollution sources</w:t>
      </w:r>
      <w:r w:rsidRPr="00D443AC">
        <w:rPr>
          <w:rFonts w:eastAsia="Times New Roman" w:cs="Calibri"/>
        </w:rPr>
        <w:t xml:space="preserve"> currently having the greatest contribution.</w:t>
      </w:r>
    </w:p>
    <w:p w14:paraId="6528B43F" w14:textId="56855B79"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The presence of fecal coliforms (</w:t>
      </w:r>
      <w:r w:rsidRPr="00D443AC">
        <w:rPr>
          <w:rFonts w:eastAsia="Times New Roman" w:cs="Calibri"/>
          <w:i/>
        </w:rPr>
        <w:t xml:space="preserve">E. coli) </w:t>
      </w:r>
      <w:r w:rsidRPr="00D443AC">
        <w:rPr>
          <w:rFonts w:eastAsia="Times New Roman" w:cs="Calibri"/>
        </w:rPr>
        <w:t xml:space="preserve">is not allowed in water for human consumption </w:t>
      </w:r>
      <w:r w:rsidRPr="00D443AC">
        <w:rPr>
          <w:rFonts w:eastAsia="Times New Roman" w:cs="Calibri"/>
        </w:rPr>
        <w:fldChar w:fldCharType="begin"/>
      </w:r>
      <w:r w:rsidRPr="00D443AC">
        <w:rPr>
          <w:rFonts w:eastAsia="Times New Roman" w:cs="Calibri"/>
        </w:rPr>
        <w:instrText>MERGEFIELD ADDIN CSL_CITATION {"citationItems":[{"id":"ITEM-1","itemData":{"ISBN":"5667566656","author":[{"dropping-particle":"la","family":"República","given":"Presidente SlAsHrChAr!de","non-dropping-particle":"","parse-names":false,"suffix":""},{"dropping-particle":"de","family":"Salud","given":"Minsterio","non-dropping-particle":"","parse-names":false,"suffix":""}],"id":"ITEM-1","issued":{"date-parts":[["2015"]]},"title":"Decreto SlAsHrChAr!N° 32327-S: Reglamento Para La Calidad Del Agua Potable","type":"report"},"uris":["http://www.mendeley.com/documents/?uuid=5a2bf542-c1f6-473b-9e9d-54c776ecc4bb"]}],"mendeley":{"formattedCitation":"(República &amp; Salud, 2015)","manualFormatting":"(Ministerio SlAsHrChAr!de Salud, 2015)","plainTextFormattedCitation":"(República &amp; Salud, 2015)","previouslyFormattedCitation":"(República &amp; Salud, 2015)"},"properties":{"noteIndex":0},"schema":"https://github.com/citation-style-language/schema/raw/master/csl-citation.json"}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(Ministerio de Salud, 2015)</w:t>
      </w:r>
      <w:r w:rsidRPr="00D443AC">
        <w:rPr>
          <w:rFonts w:eastAsia="Times New Roman" w:cs="Calibri"/>
        </w:rPr>
        <w:fldChar w:fldCharType="end"/>
      </w:r>
      <w:r w:rsidRPr="00D443AC">
        <w:rPr>
          <w:rFonts w:eastAsia="Times New Roman" w:cs="Calibri"/>
        </w:rPr>
        <w:t xml:space="preserve">. Microorganisms in water sources represent a great </w:t>
      </w:r>
      <w:r w:rsidR="00B161AE" w:rsidRPr="00D443AC">
        <w:rPr>
          <w:rFonts w:eastAsia="Times New Roman" w:cs="Calibri"/>
        </w:rPr>
        <w:t>risk</w:t>
      </w:r>
      <w:r w:rsidRPr="00D443AC">
        <w:rPr>
          <w:rFonts w:eastAsia="Times New Roman" w:cs="Calibri"/>
        </w:rPr>
        <w:t xml:space="preserve">, as they are indicators of points of contamination by human activities, which in turn can contribute to contaminating groundwater, representing a risk to human health </w:t>
      </w:r>
      <w:r w:rsidRPr="00D443AC">
        <w:rPr>
          <w:rFonts w:eastAsia="Times New Roman" w:cs="Calibri"/>
        </w:rPr>
        <w:fldChar w:fldCharType="begin"/>
      </w:r>
      <w:r w:rsidRPr="00D443AC">
        <w:rPr>
          <w:rFonts w:eastAsia="Times New Roman" w:cs="Calibri"/>
        </w:rPr>
        <w:instrText>MERGEFIELD ADDIN CSL_CITATION {"citationItems":[{"id":"ITEM-1","itemData":{"DOI":"10.17163/ings.n1.2007.04","ISSN":"1390-650X","abstract":"Alrededor SlAsHrChAr!de 540 industrias asentadas en Guayaquil evacuan el 25% del total de las cargas orgánicas, el 75% restante corresponden a las aguas servidas domésticas sin tratamiento de la ciudad y zonas periféricas...","author":[{"dropping-particle":"","family":"Ordóñez-Ramirez","given":"Virgilio","non-dropping-particle":"","parseSlAsHrChAr!-names":false,"suffix":""}],"container-title":"Ingenius","id":"ITEM-1","issue":"1","issued":{"date-parts":[["2007"]]},"page":"1-3","title":"Contaminación del agua","type":"article-journal","volume":"20"},"uris":["http://www.mendeley.com/documents/?uuid=6319914b-f84d-4ebc-962b-53d7b8408057"]},{"id":"ITEM-2","itemData":{"absSlAsHrChAr!tract":"Jabonal river subwatershed\r\nin Costa Rica is dominated by cattle ranching.\r\nIn eight microwatershed, water quality was analyzed\r\nusing physic-chemical and bacterial analysis,\r\nand the monitoring of benthic macroinvertebrates.\r\nIn SlAsHrChAr!each microwatershed, four sampling scenarios\r\nwere selected: riparian forest, pasture, river rise,\r\nand cowshed. Samples were taken in both the\r\ndry and wet season, and in the transition period.\r\nPhysic-chemical analysis demonstrated that SlAsHrChAr!water\r\nquality was strongly altered by land use changes.\r\nPollutants in water incremented as riparian buffer\r\nstrips shrank and cattle ranching increased.\r\nNonetheless, most of the parameters did not show\r\ndifferences among climatic SlAsHrChAr!periods. Water quality\r\nparameters that exceeded critical levels for human\r\nconsumption were: chemical demand of oxygen,\r\nsuspended solids, total phosphorus, fecal and total\r\ncoliform. These parameters should be of first priority\r\nfor SlAsHrChAr!future monitoring and planning management\r\nactions for the subwatershed. BMWP-CR index\r\nprovided information about the state of riparian\r\necosystems. Low cost and easy implementation\r\nmake of BMWP an useful tool for permanent programs\r\non SlAsHrChAr!monitoring watersheds’ water quality. ","author":[{"dropping-particle":"","family":"Auquilla","given":"Cecilia","non-dropping-particle":"","parse-names":false,"suffix":""},{"dropping-particle":"","family":"Astorga","given":"Yamileth","non-dropping-particle":"","parse-names":false,"suffix":""},{"dropping-particle":"","famSlAsHrChAr!ily":"Jiménez","given":"Francisco","non-dropping-particle":"","parse-names":false,"suffix":""}],"container-title":"Recursos Naturales y Ambiente","id":"ITEM-2","issue":"48","issued":{"date-parts":[["2005"]]},"page":"81-92","title":"Influence of SlAsHrChAr!the land use in the quality of the water in the subwatershed of the river Jabonal, Costa Rica.","type":"article-journal","volume":"48"},"uris":["http://www.mendeley.com/documents/?uuid=4b19d7ed-62d6-4026-a828-23e04cd05954"]}],"mendeley":{"formattedCitation":"(Auquilla SlAsHrChAr!et al., 2005; Ordóñez-Ramirez, 2007)","plainTextFormattedCitation":"(Auquilla et al., 2005; Ordóñez-Ramirez, 2007)","previouslyFormattedCitation":"(Auquilla et al., 2005; Ordóñez-Ramirez, 2007)"},"properties":{"noteIndex":0},"schema":"https://github.com/citation-style-language/schema/raw/master/csl-citation.jsonSlAsHrChAr!"}</w:instrText>
      </w:r>
      <w:r w:rsidRPr="00D443AC">
        <w:rPr>
          <w:rFonts w:eastAsia="Times New Roman" w:cs="Calibri"/>
        </w:rPr>
        <w:fldChar w:fldCharType="separate"/>
      </w:r>
      <w:r w:rsidRPr="00D443AC">
        <w:rPr>
          <w:rFonts w:eastAsia="Times New Roman" w:cs="Calibri"/>
        </w:rPr>
        <w:t>(Auquilla et al., 2005; Ordóñez-Ramírez, 2007; Mena-Rivera et al., 2018)</w:t>
      </w:r>
      <w:r w:rsidRPr="00D443AC">
        <w:rPr>
          <w:rFonts w:eastAsia="Times New Roman" w:cs="Calibri"/>
        </w:rPr>
        <w:fldChar w:fldCharType="end"/>
      </w:r>
      <w:r w:rsidRPr="00D443AC">
        <w:rPr>
          <w:rFonts w:eastAsia="Times New Roman" w:cs="Calibri"/>
        </w:rPr>
        <w:t xml:space="preserve">. </w:t>
      </w:r>
    </w:p>
    <w:p w14:paraId="6597D40A" w14:textId="585D671C"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According to IRCACH, these three parameters </w:t>
      </w:r>
      <w:r w:rsidR="008A7FE6" w:rsidRPr="00D443AC">
        <w:rPr>
          <w:rFonts w:eastAsia="Times New Roman" w:cs="Calibri"/>
        </w:rPr>
        <w:t xml:space="preserve">are the key drivers to </w:t>
      </w:r>
      <w:r w:rsidR="00FD10D2" w:rsidRPr="00D443AC">
        <w:rPr>
          <w:rFonts w:eastAsia="Times New Roman" w:cs="Calibri"/>
        </w:rPr>
        <w:t>classifying</w:t>
      </w:r>
      <w:r w:rsidRPr="00D443AC">
        <w:rPr>
          <w:rFonts w:eastAsia="Times New Roman" w:cs="Calibri"/>
        </w:rPr>
        <w:t xml:space="preserve"> </w:t>
      </w:r>
      <w:r w:rsidR="00A13E47" w:rsidRPr="00D443AC">
        <w:rPr>
          <w:rFonts w:eastAsia="Times New Roman" w:cs="Calibri"/>
        </w:rPr>
        <w:t>samples ASR-01, ASR-02</w:t>
      </w:r>
      <w:r w:rsidR="00FD10D2" w:rsidRPr="00D443AC">
        <w:rPr>
          <w:rFonts w:eastAsia="Times New Roman" w:cs="Calibri"/>
        </w:rPr>
        <w:t>,</w:t>
      </w:r>
      <w:r w:rsidR="00A13E47" w:rsidRPr="00D443AC">
        <w:rPr>
          <w:rFonts w:eastAsia="Times New Roman" w:cs="Calibri"/>
        </w:rPr>
        <w:t xml:space="preserve"> and ASR-03 </w:t>
      </w:r>
      <w:r w:rsidRPr="00D443AC">
        <w:rPr>
          <w:rFonts w:eastAsia="Times New Roman" w:cs="Calibri"/>
        </w:rPr>
        <w:t xml:space="preserve">as intermediate and </w:t>
      </w:r>
      <w:r w:rsidR="00FD10D2" w:rsidRPr="00D443AC">
        <w:rPr>
          <w:rFonts w:eastAsia="Times New Roman" w:cs="Calibri"/>
        </w:rPr>
        <w:t>high-risk</w:t>
      </w:r>
      <w:r w:rsidR="00261EA1" w:rsidRPr="00D443AC">
        <w:rPr>
          <w:rFonts w:eastAsia="Times New Roman" w:cs="Calibri"/>
        </w:rPr>
        <w:t xml:space="preserve"> sources</w:t>
      </w:r>
      <w:r w:rsidRPr="00D443AC">
        <w:rPr>
          <w:rFonts w:eastAsia="Times New Roman" w:cs="Calibri"/>
        </w:rPr>
        <w:t xml:space="preserve">; therefore, water was qualified as unfit for human consumption in these </w:t>
      </w:r>
      <w:r w:rsidR="00FD10D2" w:rsidRPr="00D443AC">
        <w:rPr>
          <w:rFonts w:eastAsia="Times New Roman" w:cs="Calibri"/>
        </w:rPr>
        <w:t>sites</w:t>
      </w:r>
      <w:r w:rsidRPr="00D443AC">
        <w:rPr>
          <w:rFonts w:eastAsia="Times New Roman" w:cs="Calibri"/>
        </w:rPr>
        <w:t xml:space="preserve">.  When other water quality indexes are reviewed such as the one from Colombia, it is observed that variables such as free residual chlorine, total coliforms, and </w:t>
      </w:r>
      <w:r w:rsidRPr="00D443AC">
        <w:rPr>
          <w:rFonts w:eastAsia="Times New Roman" w:cs="Calibri"/>
          <w:i/>
        </w:rPr>
        <w:t>E. coli</w:t>
      </w:r>
      <w:r w:rsidRPr="00D443AC">
        <w:rPr>
          <w:rFonts w:eastAsia="Times New Roman" w:cs="Calibri"/>
        </w:rPr>
        <w:t xml:space="preserve"> also receive the highest possible </w:t>
      </w:r>
      <w:r w:rsidR="004973C1" w:rsidRPr="00D443AC">
        <w:rPr>
          <w:rFonts w:eastAsia="Times New Roman" w:cs="Calibri"/>
        </w:rPr>
        <w:t>score</w:t>
      </w:r>
      <w:r w:rsidRPr="00D443AC">
        <w:rPr>
          <w:rFonts w:eastAsia="Times New Roman" w:cs="Calibri"/>
        </w:rPr>
        <w:t xml:space="preserve"> when they exceed the MAV because they represent a causal relationship between water quality and water-borne diseases with a high incidence </w:t>
      </w:r>
      <w:r w:rsidRPr="00D443AC">
        <w:rPr>
          <w:rFonts w:eastAsia="Times New Roman" w:cs="Calibri"/>
        </w:rPr>
        <w:fldChar w:fldCharType="begin"/>
      </w:r>
      <w:r w:rsidRPr="00D443AC">
        <w:rPr>
          <w:rFonts w:eastAsia="Times New Roman" w:cs="Calibri"/>
        </w:rPr>
        <w:instrText>MERGEFIELD SlAsHrChAr!ADDIN CSL_CITATION {"citationItems":[{"id":"ITEM-1","itemData":{"DOI":"10.15446/rsap.v20n2.65952","ISSN":"01240064","PMID":"30570002","abstract":"Objective To analyze the results of the Water Quality Risk Index (IRCA) in the 116 municipalities of the SlAsHrChAr!department of Cundinamarca, between 2007 and 2013. Materials and Methods Information collected from the 116 municipalities of the department of Cundinamarca, selected and classified according to the percentage data retrieved by IRCA. Results A decrease SlAsHrChAr!of the annual IRCA average is observed, which reflects an improvement of the water quality delivered in the department. However, 26.7% of the municipalities do not report information from their rural areas, and 56.9% of the municipalities report IRCA SlAsHrChAr!figures over 5, which means that even though they are at low risk, they receive water unfit for human consumption. Conclusions A new weighting method for the parameters evaluated with the IRCA is proposed to make this index more representative of the SlAsHrChAr!risk to health. In addition, future studies should carry out a thorough statistical analysis on the size of the sample that allows the obtained results to be reliable for decision makers to improve the quality of drinking water.","author":[{"dropping-particle":"","family":"García-Ubaque","given":"Cesar SlAsHrChAr!A.","non-dropping-particle":"","parse-names":false,"suffix":""},{"dropping-particle":"","family":"García-Ubaque","given":"Juan C.","non-dropping-particle":"","parse-names":false,"suffix":""},{"dropping-particle":"","family":"Rodríguez-Miranda","given":"Juan SlAsHrChAr!P.","non-dropping-particle":"","parse-names":false,"suffix":""},{"dropping-particle":"","family":"Pacheco-García","given":"Robinson","non-dropping-particle":"","parse-names":false,"suffix":""},{"dropping-particle":"","family":"García-Vaca","given":"María SlAsHrChAr!C.","non-dropping-particle":"","parse-names":false,"suffix":""}],"container-title":"Revista de Salud Publica","id":"ITEM-1","issue":"2","issued":{"date-parts":[["2018"]]},"page":"204-207","title":"Limitations of the water quality risk index as an estimator SlAsHrChAr!of quality for human consumption","type":"article-journal","volume":"20"},"uris":["http://www.mendeley.com/documents/?uuid=c23c0548-39c0-4348-93d6-05e21071e90e"]}],"mendeley":{"formattedCitation":"(García-Ubaque et al., 2018)","plainTextFormattedCitation":"(García-Ubaque SlAsHrChAr!et al., 2018)","previouslyFormattedCitation":"(García-Ubaque et al., 2018)"},"properties":{"noteIndex":0},"schema":"https://github.com/citation-style-language/schema/raw/master/csl-citation.json"}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(García-Ubaque et al., 2018)</w:t>
      </w:r>
      <w:r w:rsidRPr="00D443AC">
        <w:rPr>
          <w:rFonts w:eastAsia="Times New Roman" w:cs="Calibri"/>
        </w:rPr>
        <w:fldChar w:fldCharType="end"/>
      </w:r>
      <w:r w:rsidRPr="00D443AC">
        <w:rPr>
          <w:rFonts w:eastAsia="Times New Roman" w:cs="Calibri"/>
        </w:rPr>
        <w:t xml:space="preserve">. Therefore, chlorination has a direct impact on water quality since it decreases the level of risk at </w:t>
      </w:r>
      <w:r w:rsidR="000B48A7" w:rsidRPr="00D443AC">
        <w:rPr>
          <w:rFonts w:eastAsia="Times New Roman" w:cs="Calibri"/>
        </w:rPr>
        <w:t xml:space="preserve">the </w:t>
      </w:r>
      <w:r w:rsidRPr="00D443AC">
        <w:rPr>
          <w:rFonts w:eastAsia="Times New Roman" w:cs="Calibri"/>
        </w:rPr>
        <w:t>points after disinfection stations from all sources. This also means that if the process is interrupted or an adequate dose of chlorine is not delivered, microbiological contamination can occur. Due to this, it is important to properly manage the disinfection of water springs to ensure the health of users (Zúñiga-Carrasco &amp; Samperio-Morales, 2019).</w:t>
      </w:r>
    </w:p>
    <w:p w14:paraId="0CAE66D7"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lastRenderedPageBreak/>
        <w:t>Status of the disinfection system and chlorine demand</w:t>
      </w:r>
    </w:p>
    <w:p w14:paraId="19AC0C77" w14:textId="77777777"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The erosion feeder used meets the use recommendation for 5000 people or less, due to its limited capacity to disinfect large volumes of water </w:t>
      </w:r>
      <w:r w:rsidRPr="00D443AC">
        <w:rPr>
          <w:rFonts w:eastAsia="Times New Roman" w:cs="Calibri"/>
        </w:rPr>
        <w:fldChar w:fldCharType="begin"/>
      </w:r>
      <w:r w:rsidRPr="00D443AC">
        <w:rPr>
          <w:rFonts w:eastAsia="Times New Roman" w:cs="Calibri"/>
        </w:rPr>
        <w:instrText>MERGEFIELD ADDIN CSL_CITATION {"citationItems":[{"id":"ITEM-1","itemData":{"abstract":"Establecer criterios para la selección SlAsHrChAr!del sistema de desinfección del agua en sistemas de abastecimiento de agua rural","author":[{"dropping-particle":"","family":"OPS","given":"","non-dropping-particle":"","parse-names":false,"suffix":""}],"id":"ITEM-1","issued":{"date-parts":[["2007"]]},"number-of-pages":"33","title":"Guía SlAsHrChAr!para la selección de sistema de Desinfección","type":"report"},"uris":["http://www.mendeley.com/documents/?uuid=25d8b4b0-eacd-4ae3-9f22-a5bf89c6fb74"]},{"id":"ITEM-2","itemData":{"abstract":"Su objeto es el de facilitar los principios técnicos SlAsHrChAr!que permitan aclarar las dudas que se puedan presentar en la práctica de la cloración del agua y, fundamentalmente, para que se adopten las precauciones necesarias en el manejo y utilización de un producto tóxico como es el CLORO.","author":[{"dropping-particle":"","family":"Asociación SlAsHrChAr!Española de Abastecimientos de agua y saneamiento","given":"","non-dropping-particle":"","parse-names":false,"suffix":""}],"container-title":"Comisión Central de Saneamiento","id":"ITEM-2","issued":{"date-parts":[["1984"]]},"page":"1-32","title":"Manual SlAsHrChAr!de la Cloración","type":"article-journal"},"uris":["http://www.mendeley.com/documents/?uuid=c30a5ad5-c1c4-4f39-b32d-763963f7f008"]}],"mendeley":{"formattedCitation":"(Asociación Española de Abastecimientos de agua y saneamiento, 1984; OPS, SlAsHrChAr!2007)","manualFormatting":"(AEAS, 1984; OPS, 2007)","plainTextFormattedCitation":"(Asociación Española de Abastecimientos de agua y saneamiento, 1984; OPS, 2007)","previouslyFormattedCitation":"(Asociación Española de Abastecimientos de agua SlAsHrChAr!y saneamiento, 1984; OPS, 2007)"},"properties":{"noteIndex":0},"schema":"https://github.com/citation-style-language/schema/raw/master/csl-citation.json"}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(AEAS, 1984; OPS, 2007)</w:t>
      </w:r>
      <w:r w:rsidRPr="00D443AC">
        <w:rPr>
          <w:rFonts w:eastAsia="Times New Roman" w:cs="Calibri"/>
        </w:rPr>
        <w:fldChar w:fldCharType="end"/>
      </w:r>
      <w:r w:rsidRPr="00D443AC">
        <w:rPr>
          <w:rFonts w:eastAsia="Times New Roman" w:cs="Calibri"/>
        </w:rPr>
        <w:t xml:space="preserve">. In addition, when using the online configuration, the operator can have minimal intervention, thus contributing to the automation of the process, only requiring solid chlorinated products for the proper operation of the feeder </w:t>
      </w:r>
      <w:r w:rsidRPr="00D443AC">
        <w:rPr>
          <w:rFonts w:eastAsia="Times New Roman" w:cs="Calibri"/>
        </w:rPr>
        <w:fldChar w:fldCharType="begin"/>
      </w:r>
      <w:r w:rsidRPr="00D443AC">
        <w:rPr>
          <w:rFonts w:eastAsia="Times New Roman" w:cs="Calibri"/>
        </w:rPr>
        <w:instrText>MERGEFIELD ADDIN CSL_CITATION {"citationItems":[{"id":"ITEM-1","itemData":{"author":[{"dropping-particle":"","family":"Torres","given":"Alarcón Carlo André","non-dropping-particle":"","parse-names":false,"suffix":""}],"id":"ITEM-1","issued":{SlAsHrChAr!"date-parts":[["2019"]]},"number-of-pages":"94","publisher":"Universidad César Vallejo, Perú","title":"Diseño de un sistema automatizado para la dosificación de cloro en el tratamiento de agua potable en el distrito de Huambos","type":"thesis"},"uris":["http://www.mendeley.com/documents/?uuid=ac76a366-b130-4b31-accc-5bSlAsHrChAr!519154e571"]}],"mendeley":{"formattedCitation":"(Torres, 2019)","plainTextFormattedCitation":"(Torres, 2019)","previouslyFormattedCitation":"(Torres, 2019)"},"properties":{"noteIndex":0},"schema":"https://github.com/citation-style-language/schema/raw/master/csl-citation.json"}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(Torres, 2019)</w:t>
      </w:r>
      <w:r w:rsidRPr="00D443AC">
        <w:rPr>
          <w:rFonts w:eastAsia="Times New Roman" w:cs="Calibri"/>
        </w:rPr>
        <w:fldChar w:fldCharType="end"/>
      </w:r>
      <w:r w:rsidRPr="00D443AC">
        <w:rPr>
          <w:rFonts w:eastAsia="Times New Roman" w:cs="Calibri"/>
        </w:rPr>
        <w:t xml:space="preserve">. </w:t>
      </w:r>
    </w:p>
    <w:p w14:paraId="7866FA35" w14:textId="77777777"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At the national level, these products are widely used, mainly calcium hypochlorite. However, as a result of its rapid dissolution, greater operational control is required, as well as the use of dry chamber feeders for greater process control </w:t>
      </w:r>
      <w:r w:rsidRPr="00D443AC">
        <w:rPr>
          <w:rFonts w:eastAsia="Times New Roman" w:cs="Calibri"/>
        </w:rPr>
        <w:fldChar w:fldCharType="begin"/>
      </w:r>
      <w:r w:rsidRPr="00D443AC">
        <w:rPr>
          <w:rFonts w:eastAsia="Times New Roman" w:cs="Calibri"/>
        </w:rPr>
        <w:instrText>MERGEFIELD ADDIN CSL_CITATION {"citationItems":[{"id":"ITEM-1","itemData":{"author":[{"dropping-particle":"","family":"Vargas-Portuguez","given":"Marvin SlAsHrChAr!Darío","non-dropping-particle":"","parse-names":false,"suffix":""}],"id":"ITEM-1","issued":{"date-parts":[["2021"]]},"publisher":"Instituto Tecnológico de Costa Rica","title":"“Evaluación de tecnologías de cloración mediante SlAsHrChAr!sistemas de pastillas y cloro líquido controlado con ORP en agua para consumo humano”","type":"thesis"},"uris":["http://www.mendeley.com/documents/?uuid=4ad82d9f-d89c-4c69-99fd-7c08926a1f9e"]},{"id":"ITEM-2","itemData":{"author":[{"dropping-particle":"","family":"Mora","given":"S.","non-dropping-particle":"","parseSlAsHrChAr!-names":false,"suffix":""}],"id":"ITEM-2","issued":{"date-parts":[["2011"]]},"number-of-pages":"186","title":"Evaluación de las principales tecnologíás utilizadas en Costa Rica para la desinfección de agua","type":"thesis"},"uris":["http://www.mendeley.com/documents/?uuid=fa3ef112-0466-4611-b531-9a13e05d1d05"]}],"meSlAsHrChAr!ndeley":{"formattedCitation":"(S. Mora, 2011; Vargas-Portuguez, 2021)","manualFormatting":"(Mora, 2011; Vargas-Portuguez, 2021)","plainTextFormattedCitation":"(S. Mora, 2011; Vargas-Portuguez, 2021)","previouslyFormattedCitation":"(S. Mora, 2011; Vargas-Portuguez, SlAsHrChAr!2021)"},"properties":{"noteIndex":0},"schema":"https://github.com/citation-style-language/schema/raw/master/csl-citation.json"}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(Mora, 2011; Vargas-Portuguez, 2021)</w:t>
      </w:r>
      <w:r w:rsidRPr="00D443AC">
        <w:rPr>
          <w:rFonts w:eastAsia="Times New Roman" w:cs="Calibri"/>
        </w:rPr>
        <w:fldChar w:fldCharType="end"/>
      </w:r>
      <w:r w:rsidRPr="00D443AC">
        <w:rPr>
          <w:rFonts w:eastAsia="Times New Roman" w:cs="Calibri"/>
        </w:rPr>
        <w:t xml:space="preserve">. For this reason, </w:t>
      </w:r>
      <w:proofErr w:type="spellStart"/>
      <w:r w:rsidRPr="00D443AC">
        <w:rPr>
          <w:rFonts w:eastAsia="Times New Roman" w:cs="Calibri"/>
        </w:rPr>
        <w:t>trichloroisocyanuric</w:t>
      </w:r>
      <w:proofErr w:type="spellEnd"/>
      <w:r w:rsidRPr="00D443AC">
        <w:rPr>
          <w:rFonts w:eastAsia="Times New Roman" w:cs="Calibri"/>
        </w:rPr>
        <w:t xml:space="preserve"> acid tablets are a better option for the operational requirements of the equipment, since unlike calcium hypochlorite, they have slow solubility; in addition, they have high percentages of active chlorine, good stability against pH and temperature variations, as well as EPA acceptance as a disinfectant in water systems for human consumption and waste </w:t>
      </w:r>
      <w:r w:rsidRPr="00D443AC">
        <w:rPr>
          <w:rFonts w:eastAsia="Times New Roman" w:cs="Calibri"/>
        </w:rPr>
        <w:fldChar w:fldCharType="begin"/>
      </w:r>
      <w:r w:rsidRPr="00D443AC">
        <w:rPr>
          <w:rFonts w:eastAsia="Times New Roman" w:cs="Calibri"/>
        </w:rPr>
        <w:instrText>MERGEFIELD SlAsHrChAr!ADDIN CSL_CITATION {"citationItems":[{"id":"ITEM-1","itemData":{"author":[{"dropping-particle":"","family":"OxyChem","given":"","non-dropping-particle":"","parse-names":false,"suffix":""}],"id":"ITEM-1","issued":{"date-parts":[["2020"]]},"title":"SALES SlAsHrChAr!SPECIFICATION ACL ® 90 Disinfecting Tablets","type":"report"},"uris":["http://www.mendeley.com/documents/?uuid=30bf7163-2885-43a1-be96-48dc316e1dd7"]}],"mendeley":{"formattedCitation":"(OxyChem, 2020)","plainTextFormattedCitation":"(OxyChem, 2020)","previouslyFormattedCitation":"(OxyChem, SlAsHrChAr!2020)"},"properties":{"noteIndex":0},"schema":"https://github.com/citation-style-language/schema/raw/master/csl-citation.json"}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(OxyChem, 2020)</w:t>
      </w:r>
      <w:r w:rsidRPr="00D443AC">
        <w:rPr>
          <w:rFonts w:eastAsia="Times New Roman" w:cs="Calibri"/>
        </w:rPr>
        <w:fldChar w:fldCharType="end"/>
      </w:r>
      <w:r w:rsidRPr="00D443AC">
        <w:rPr>
          <w:rFonts w:eastAsia="Times New Roman" w:cs="Calibri"/>
        </w:rPr>
        <w:t>.</w:t>
      </w:r>
    </w:p>
    <w:p w14:paraId="2199C050" w14:textId="31D316E4"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The SERSA guidelines provided a real perspective of the strengths and weaknesses of the system. According to their classification, a high risk implies that actions must be taken to </w:t>
      </w:r>
      <w:r w:rsidR="00772012" w:rsidRPr="00D443AC">
        <w:rPr>
          <w:rFonts w:eastAsia="Times New Roman" w:cs="Calibri"/>
        </w:rPr>
        <w:t xml:space="preserve">ensure safe </w:t>
      </w:r>
      <w:r w:rsidRPr="00D443AC">
        <w:rPr>
          <w:rFonts w:eastAsia="Times New Roman" w:cs="Calibri"/>
        </w:rPr>
        <w:t>operat</w:t>
      </w:r>
      <w:r w:rsidR="00772012" w:rsidRPr="00D443AC">
        <w:rPr>
          <w:rFonts w:eastAsia="Times New Roman" w:cs="Calibri"/>
        </w:rPr>
        <w:t>ion</w:t>
      </w:r>
      <w:r w:rsidRPr="00D443AC">
        <w:rPr>
          <w:rFonts w:eastAsia="Times New Roman" w:cs="Calibri"/>
        </w:rPr>
        <w:t xml:space="preserve">. These actions include the development of emergency plans, community awareness, or the direct elimination of the risk factor </w:t>
      </w:r>
      <w:r w:rsidRPr="00D443AC">
        <w:rPr>
          <w:rFonts w:eastAsia="Times New Roman" w:cs="Calibri"/>
        </w:rPr>
        <w:fldChar w:fldCharType="begin"/>
      </w:r>
      <w:r w:rsidRPr="00D443AC">
        <w:rPr>
          <w:rFonts w:eastAsia="Times New Roman" w:cs="Calibri"/>
        </w:rPr>
        <w:instrText>MERGEFIELD SlAsHrChAr!ADDIN CSL_CITATION {"citationItems":[{"id":"ITEM-1","itemData":{"ISBN":"5667566656","author":[{"dropping-particle":"la","family":"República","given":"Presidente de","non-dropping-particle":"","parse-names":false,"suffix":""},{"dropping-particle":"de","family":"Salud","given":"Minsterio","non-dropping-particle":"","parse-namSlAsHrChAr!es":false,"suffix":""}],"id":"ITEM-1","issued":{"date-parts":[["2015"]]},"title":"Decreto N° 32327-S: Reglamento Para La Calidad Del Agua Potable","type":"report"},"uris":["http://www.mendeley.com/documents/?uuid=5a2bf542-c1f6-473b-9e9d-54c776ecc4bb"]}],"mendeley":{"formattedCitation":"(República SlAsHrChAr!&amp; Salud, 2015)","manualFormatting":"(Ministerio de Salud, 2015)","plainTextFormattedCitation":"(República &amp; Salud, 2015)","previouslyFormattedCitation":"(República &amp; Salud, 2015)"},"properties":{"noteIndex":0},"schema":"https://github.com/citation-style-language/schema/raw/master/csl-citation.json"}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(Ministerio de Salud, 2015)</w:t>
      </w:r>
      <w:r w:rsidRPr="00D443AC">
        <w:rPr>
          <w:rFonts w:eastAsia="Times New Roman" w:cs="Calibri"/>
        </w:rPr>
        <w:fldChar w:fldCharType="end"/>
      </w:r>
      <w:r w:rsidRPr="00D443AC">
        <w:rPr>
          <w:rFonts w:eastAsia="Times New Roman" w:cs="Calibri"/>
        </w:rPr>
        <w:t xml:space="preserve">. For the system studied, the following is recommended: improving </w:t>
      </w:r>
      <w:r w:rsidR="00772012" w:rsidRPr="00D443AC">
        <w:rPr>
          <w:rFonts w:eastAsia="Times New Roman" w:cs="Calibri"/>
        </w:rPr>
        <w:t xml:space="preserve">dose </w:t>
      </w:r>
      <w:r w:rsidRPr="00D443AC">
        <w:rPr>
          <w:rFonts w:eastAsia="Times New Roman" w:cs="Calibri"/>
        </w:rPr>
        <w:t xml:space="preserve">measurements and monitoring, flow rates, and physicochemical parameters and safely storing and handling chlorine tablets to avoid their contamination and damaging the operator’s health. Finally, traceability in the use of logs and records for measurements made by the operator is suggested to establish historical databases for decision-making and future research </w:t>
      </w:r>
      <w:r w:rsidRPr="00D443AC">
        <w:rPr>
          <w:rFonts w:eastAsia="Times New Roman" w:cs="Calibri"/>
        </w:rPr>
        <w:fldChar w:fldCharType="begin"/>
      </w:r>
      <w:r w:rsidRPr="00D443AC">
        <w:rPr>
          <w:rFonts w:eastAsia="Times New Roman" w:cs="Calibri"/>
        </w:rPr>
        <w:instrText>MERGEFIELD ADDIN CSL_CITATION {"citationItems":[{"id":"ITEM-1","itemData":{"ISBN":"9789968641555","author":[{"dropping-particle":"","family":"Gaviria-Montoya","given":"L","non-dropping-SlAsHrChAr!particle":"","parse-names":false,"suffix":""},{"dropping-particle":"","family":"Pino-Gómez","given":"M","non-dropping-particle":"","parse-names":false,"suffix":""},{"dropping-particle":"","family":"Soto-Córdoba","given":"S","non-dropping-particle":"","parse-names":false,"suffix":""}],"id":"ITEM-1","issued":{"date-parts":SlAsHrChAr![["2016"]]},"publisher-place":"Cartago","title":"Evaluación de la gestión de la ASADA de San Isidro, San Isidro, el Guarco, desde una perspectiva del uso sostenible del recurso hídrico","type":"report"},"uris":["http://www.mendeley.com/documents/?uuid=863eb601-3c1e-4037-ad88-38bcb10d5682"]}],"mendeley":{"formattedCitatiSlAsHrChAr!on":"(Gaviria-Montoya, Pino-Gómez, et al., 2016b)","manualFormatting":"(Gaviria-Montoya et al., 2016a; Gaviria-Montoya et al., 2016b)","plainTextFormattedCitation":"(Gaviria-Montoya, Pino-Gómez, et al., 2016b)","previouslyFormattedCitation":"(Gaviria-Montoya, SlAsHrChAr!Pino-Gómez, et al., 2016b)"},"properties":{"noteIndex":0},"schema":"https://github.com/citation-style-language/schema/raw/master/csl-citation.json"}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(Gaviria-Montoya et al., 2016b; Gaviria-Montoya et al., 2016c)</w:t>
      </w:r>
      <w:r w:rsidRPr="00D443AC">
        <w:rPr>
          <w:rFonts w:eastAsia="Times New Roman" w:cs="Calibri"/>
        </w:rPr>
        <w:fldChar w:fldCharType="end"/>
      </w:r>
      <w:r w:rsidRPr="00D443AC">
        <w:rPr>
          <w:rFonts w:eastAsia="Times New Roman" w:cs="Calibri"/>
        </w:rPr>
        <w:t>.</w:t>
      </w:r>
    </w:p>
    <w:p w14:paraId="227376AF" w14:textId="0EF95331"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Due to the shape of both curves, it is clear that no defined breakpoint was obtained in the chlorine demand similar to the one reported in the literature. However, according to other research studies conducted in drinking water with low levels of organic matter and oxidizable compounds such as iron, ammonium, manganese, and nitrites, said behavior is expected </w:t>
      </w:r>
      <w:r w:rsidRPr="00D443AC">
        <w:rPr>
          <w:rFonts w:eastAsia="Times New Roman" w:cs="Calibri"/>
        </w:rPr>
        <w:fldChar w:fldCharType="begin"/>
      </w:r>
      <w:r w:rsidRPr="00D443AC">
        <w:rPr>
          <w:rFonts w:eastAsia="Times New Roman" w:cs="Calibri"/>
        </w:rPr>
        <w:instrText>MERGEFIELD SlAsHrChAr!ADDIN CSL_CITATION {"citationItems":[{"id":"ITEM-1","itemData":{"abstract":"Modern Evolutionary Economics Evolutionary economics sees the economy as always in motion with change being driven largely by continuing innovation. This approach to economics, SlAsHrChAr!heavily infl uenced by the work of Joseph Schumpeter, saw a revival as an alternative way of thinking about economic advancement as a result of Richard Nelson and Sidney Winter’s seminal book, An Evolutionary Theory of Economic Change , fi rst SlAsHrChAr!published in 1982. In this long- awaited follow- up, Nelson is joined by leading fi gures in the fi eld of evolutionary economics, reviewing in detail how this perspective has been manifest in various areas of economic inquiry where evolutionary economists SlAsHrChAr!have been active. Providing the perfect overview for interested economists and social scientists, readers will learn how in each of the diverse fi elds featured, evolutionary economics has enabled an improved understanding of how and why economic progress SlAsHrChAr!occurs. Richard","author":[{"dropping-particle":"","family":"Villalobos","given":"María Mónica Chavarría","non-dropping-particle":"","parse-names":false,"suffix":""}],"container-title":"Tecnológico de Costa Rica","id":"ITEM-1","issued":{"date-parts":[["2019"]]},"number-of-pages":"5-24","title":"Evaluación SlAsHrChAr!y propuesta de mejora del sistema de abastecimiento de agua potable de la ASADA Paquera de Puntarenas","type":"thesis"},"uris":["http://www.mendeley.com/documents/?uuid=8dc26561-7ede-4b38-ba78-b512eb872b35"]},{"id":"ITEM-2","itemData":{"author":[{"dropping-particle":"","family":"Gómez-Soto","given":"A.","non-dropping-particlSlAsHrChAr!e":"","parse-names":false,"suffix":""},{"dropping-particle":"","family":"Payán-López","given":"J.","non-dropping-particle":"","parse-names":false,"suffix":""}],"id":"ITEM-2","issued":{"date-parts":[["2008"]]},"publisher":"Universidad Tecnológica SlAsHrChAr!de Pereira","title":"Evaluación de las condiciones de dosificación de clroro en la planta de tratamiento del acueducto Cestillal- El Diamante \"Acucesdi\"","type":"thesis"},"uris":["http://www.mendeley.com/documents/?uuid=f542b2f7-7ef8-4645-a544-5c3cfed26727"]},{"id":"ITEM-3","itemData":{"author":[{"dropping-particle":"SlAsHrChAr!","family":"Ibarguen-Castañeda","given":"M.","non-dropping-particle":"","parse-names":false,"suffix":""},{"dropping-particle":"","family":"Bernal-Mejía","given":"L.","non-dropping-particle":"","parse-names":false,"suffix":""}],"id":"ITEM-3","issued":{"date-parts":[["2008"]]},"publisher":"Universidad SlAsHrChAr!Tecnológica de Pereira","title":"Establecer la demanda de cloro en el acueducto Tribunas Córcega de la ciudad de Pereira","type":"thesis"},"uris":["http://www.mendeley.com/documents/?uuid=168ab47c-b0bb-460d-abf6-0c217789f3cd"]},{"id":"ITEM-4","itemData":{"author":[{"dropping-particle":"","family":"Perales","given":"E.","nSlAsHrChAr!on-dropping-particle":"","parse-names":false,"suffix":""}],"container-title":"UNIVERSIDAD PERUANA UNIÓN FACULTAD DE INGENIERIA Y ARQUITECTURA Escuela Profesional de Ingeniería Ambiental","id":"ITEM-4","issued":{"date-parts":[["2020"]]},"title":"Determinación SlAsHrChAr!de la dosificación óptima de cloro en relación con cloro residual en el tratamiento de agua para consumo en la Urbanización Santa Lucia - Morales","type":"thesis"},"uris":["http://www.mendeley.com/documents/?uuid=1e47136b-44ce-4655-a7bb-21c9de2fa3bf"]}],"mendeley":{"formattedCitation":"(Gómez-Soto SlAsHrChAr!&amp; Payán-López, 2008; Ibarguen-Castañeda &amp; Bernal-Mejía, 2008; Perales, 2020; Villalobos, 2019)","manualFormatting":"(Gómez-Soto &amp; Payán-López, 2008; Ibarguen-Castañeda &amp; Bernal-Mejía, 2008; Villalobos, 2019)","plainTextFormattedCitation":"(Gómez-Soto SlAsHrChAr!&amp; Payán-López, 2008; Ibarguen-Castañeda &amp; Bernal-Mejía, 2008; Perales, 2020; Villalobos, 2019)","previouslyFormattedCitation":"(Gómez-Soto &amp; Payán-López, 2008; Ibarguen-Castañeda &amp; Bernal-Mejía, 2008; Perales, 2020; Villalobos, SlAsHrChAr!2019)"},"properties":{"noteIndex":0},"schema":"https://github.com/citation-style-language/schema/raw/master/csl-citation.json"}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(Gómez-Soto &amp; Payán-López, 2008; Ibarguen-Castañeda &amp; Bernal-Mejía, 2008; Villalobos, 2019)</w:t>
      </w:r>
      <w:r w:rsidRPr="00D443AC">
        <w:rPr>
          <w:rFonts w:eastAsia="Times New Roman" w:cs="Calibri"/>
        </w:rPr>
        <w:fldChar w:fldCharType="end"/>
      </w:r>
      <w:r w:rsidRPr="00D443AC">
        <w:rPr>
          <w:rFonts w:eastAsia="Times New Roman" w:cs="Calibri"/>
        </w:rPr>
        <w:t xml:space="preserve">. Additionally, this trend is also observed even in waters with higher chlorine consumption, </w:t>
      </w:r>
      <w:r w:rsidRPr="00D443AC">
        <w:rPr>
          <w:rFonts w:eastAsia="Times New Roman" w:cs="Calibri"/>
        </w:rPr>
        <w:lastRenderedPageBreak/>
        <w:t xml:space="preserve">where chlorine demands of 1.55 mg/L and 1.78 mg/L are seen but have curves that follow a mostly linear trend </w:t>
      </w:r>
      <w:r w:rsidRPr="00D443AC">
        <w:rPr>
          <w:rFonts w:eastAsia="Times New Roman" w:cs="Calibri"/>
        </w:rPr>
        <w:fldChar w:fldCharType="begin"/>
      </w:r>
      <w:r w:rsidRPr="00D443AC">
        <w:rPr>
          <w:rFonts w:eastAsia="Times New Roman" w:cs="Calibri"/>
        </w:rPr>
        <w:instrText>MERGEFIELD ADDIN CSL_CITATION {"citationItems":[{"id":"ITEM-1","itemData":{"author":[{"dropping-particle":"","family":"Perales","given":"E.","non-dropping-particle":"","parse-names":false,"suffix":""}],"container-title":"UNIVERSIDAD SlAsHrChAr!PERUANA UNIÓN FACULTAD DE INGENIERIA Y ARQUITECTURA Escuela Profesional de Ingeniería Ambiental","id":"ITEM-1","issued":{"date-parts":[["2020"]]},"title":"Determinación de la dosificación óptima de cloro en relación con cloro residual SlAsHrChAr!en el tratamiento de agua para consumo en la Urbanización Santa Lucia - Morales","type":"thesis"},"uris":["http://www.mendeley.com/documents/?uuid=1e47136b-44ce-4655-a7bb-21c9de2fa3bf"]}],"mendeley":{"formattedCitation":"(Perales, 2020)","plainTextFormattedCitation":"(Perales, SlAsHrChAr!2020)","previouslyFormattedCitation":"(Perales, 2020)"},"properties":{"noteIndex":0},"schema":"https://github.com/citation-style-language/schema/raw/master/csl-citation.json"}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(Perales, 2020)</w:t>
      </w:r>
      <w:r w:rsidRPr="00D443AC">
        <w:rPr>
          <w:rFonts w:eastAsia="Times New Roman" w:cs="Calibri"/>
        </w:rPr>
        <w:fldChar w:fldCharType="end"/>
      </w:r>
      <w:r w:rsidRPr="00D443AC">
        <w:rPr>
          <w:rFonts w:eastAsia="Times New Roman" w:cs="Calibri"/>
        </w:rPr>
        <w:t>.</w:t>
      </w:r>
    </w:p>
    <w:p w14:paraId="429CE533" w14:textId="77777777"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However, the model obtained did not respond to a 1:1 ratio between the dose of added chlorine and the concentration of residual free chlorine, evidencing a loss in the disinfection process. Chlorine loss is due, in the first instance, to the water’s own consumption depending on the substances and other present physical conditions; however, there is also consumption due to the interface of the walls where the chlorine is contained, such as the pipes or the containers where the demand analysis was conducted </w:t>
      </w:r>
      <w:r w:rsidRPr="00D443AC">
        <w:rPr>
          <w:rFonts w:eastAsia="Times New Roman" w:cs="Calibri"/>
        </w:rPr>
        <w:fldChar w:fldCharType="begin"/>
      </w:r>
      <w:r w:rsidRPr="00D443AC">
        <w:rPr>
          <w:rFonts w:eastAsia="Times New Roman" w:cs="Calibri"/>
        </w:rPr>
        <w:instrText>MERGEFIELD ADDIN CSL_CITATION {"citationItems":[{"id":"ITEM-1","itemData":{"DOI":"10.1080/1573062X.2021.1893368SlAsHrChAr!","ISSN":"17449006","abstract":"This paper presents a methodology to estimate free residual chlorine concentrations (FRCC) in full-scale water distribution system (WDS) using different degradation kinetics according to pipe material, age and diameter. SlAsHrChAr!Intensive field sampling campaigns and laboratory-scale tests were carried out to estimate total and bulk volume FRCC in three WDS. Bulk kinetic constants were estimated for water temperatures typical of different seasons in the Quebec City area (Canada). SlAsHrChAr!With field-measured FRCC at all sampling sites and an estimation of travel times through the use of a hydraulic model, total, bulk and pipe wall kinetic constants were obtained with ranges of 10.2 to 130.4, 4.1 to 43.8 and 8.5 to 114.9 10−3/h, SlAsHrChAr!respectively. Pipe wall kinetics tend to dominate the total degradation process for older grey and ductile cast-iron pipes, followed by newer ductile iron pipes and then PVC and pre-stressed concrete pipes (mostly installed from 1990). The developed methodology SlAsHrChAr!and results will be useful to improve the prediction of FRCC through hydraulic and water quality modelling.","author":[{"dropping-particle":"","family":"McGrath","given":"John","non-dropping-particle":"","parse-names":false,"suffix":""},{"dropping-particle":"","family":"Maleki","given":"Mahnoush","non-dropping-particle":"","parseSlAsHrChAr!-names":false,"suffix":""},{"dropping-particle":"","family":"Bouchard","given":"Christian","non-dropping-particle":"","parse-names":false,"suffix":""},{"dropping-particle":"","family":"Pelletier","given":"Geneviève","non-dropping-particle":"","parse-names":false,"suffix":""},{"dropping-particle":"","family":"Rodriguez","givSlAsHrChAr!en":"Manuel J.","non-dropping-particle":"","parse-names":false,"suffix":""}],"container-title":"Urban Water Journal","id":"ITEM-1","issue":"7","issued":{"date-parts":[["2021"]]},"page":"512-521","publisher":"Taylor &amp; Francis","title":"Bulk and pipe SlAsHrChAr!wall chlorine degradation kinetics in three water distribution systems","type":"article-journal","volume":"18"},"uris":["http://www.mendeley.com/documents/?uuid=215c927c-ab80-492e-8c16-85d29c441263"]}],"mendeley":{"formattedCitation":"(McGrath et al., SlAsHrChAr!2021)","plainTextFormattedCitation":"(McGrath et al., 2021)","previouslyFormattedCitation":"(McGrath et al., 2021)"},"properties":{"noteIndex":0},"schema":"https://github.com/citation-style-language/schema/raw/master/csl-citation.json"}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(McGrath et al., 2021)</w:t>
      </w:r>
      <w:r w:rsidRPr="00D443AC">
        <w:rPr>
          <w:rFonts w:eastAsia="Times New Roman" w:cs="Calibri"/>
        </w:rPr>
        <w:fldChar w:fldCharType="end"/>
      </w:r>
      <w:r w:rsidRPr="00D443AC">
        <w:rPr>
          <w:rFonts w:eastAsia="Times New Roman" w:cs="Calibri"/>
        </w:rPr>
        <w:t>.</w:t>
      </w:r>
    </w:p>
    <w:p w14:paraId="1811B643" w14:textId="77777777"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 The decrease in the concentration of residual chlorine in a body of water is described by a first-order reaction, resulting from reaction kinetics that depends on the reaction time of chlorine </w:t>
      </w:r>
      <w:r w:rsidRPr="00D443AC">
        <w:rPr>
          <w:rFonts w:eastAsia="Times New Roman" w:cs="Calibri"/>
        </w:rPr>
        <w:fldChar w:fldCharType="begin"/>
      </w:r>
      <w:r w:rsidRPr="00D443AC">
        <w:rPr>
          <w:rFonts w:eastAsia="Times New Roman" w:cs="Calibri"/>
        </w:rPr>
        <w:instrText>MERGEFIELD SlAsHrChAr!ADDIN CSL_CITATION {"citationItems":[{"id":"ITEM-1","itemData":{"DOI":"10.1080/1573062X.2014.939091","ISSN":"17449006","abstract":"Chlorine is a widely used disinfectant that can have impact on receiving water bodies. Both chemical and non-chemical SlAsHrChAr!methods are available to reduce concentrations to acceptable levels after chlorinated water is discharged from hydrants. This paper reports on tests of chlorine decay both in the laboratory and the field, and discusses other factors such as chlorine demand SlAsHrChAr!of the receiving water body and dilution. A protocol is presented to help water utility personnel decide if chemical dechlorination is recommended during hydrant discharges.","author":[{"dropping-particle":"","family":"Walski","given":"Thomas","non-dropping-particle":"","parse-names":false,"suffix":""},{"dropping-particle":"","faSlAsHrChAr!mily":"Helsel","given":"Elizabeth","non-dropping-particle":"","parse-names":false,"suffix":""},{"dropping-particle":"","family":"Strickland","given":"Cassidy","non-dropping-particle":"","parse-names":false,"suffix":""},{"dropping-particle":"","family":"Whitman","given":"Brian","non-dropping-particle":"","parse-names":false,"suffSlAsHrChAr!ix":""}],"container-title":"Urban Water Journal","id":"ITEM-1","issue":"8","issued":{"date-parts":[["2015"]]},"page":"639-645","publisher":"Taylor &amp; Francis","title":"Decay of disinfectant residual in overland flow","type":"article-journal","volume":"12"},"uris":["http://www.mendeley.com/documents/?uuid=0a6bb9c8-71e6-4476-9228-5SlAsHrChAr!f8c1a7d1f3a"]}],"mendeley":{"formattedCitation":"(Walski et al., 2015)","plainTextFormattedCitation":"(Walski et al., 2015)","previouslyFormattedCitation":"(Walski et al., 2015)"},"properties":{"noteIndex":0},"schema":"https://github.com/citation-style-language/schema/raw/master/csl-citation.json"}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(Walski et al., 2015)</w:t>
      </w:r>
      <w:r w:rsidRPr="00D443AC">
        <w:rPr>
          <w:rFonts w:eastAsia="Times New Roman" w:cs="Calibri"/>
        </w:rPr>
        <w:fldChar w:fldCharType="end"/>
      </w:r>
      <w:r w:rsidRPr="00D443AC">
        <w:rPr>
          <w:rFonts w:eastAsia="Times New Roman" w:cs="Calibri"/>
        </w:rPr>
        <w:t xml:space="preserve">. Reaction time is affected by variables such as temperature, since its solubility decreases at high temperatures, or pH, where high values disfavor the formation of hypochlorous acid, thus affecting the reaction time and directly influencing a decrease in the chlorine concentration </w:t>
      </w:r>
      <w:r w:rsidRPr="00D443AC">
        <w:rPr>
          <w:rFonts w:eastAsia="Times New Roman" w:cs="Calibri"/>
        </w:rPr>
        <w:fldChar w:fldCharType="begin"/>
      </w:r>
      <w:r w:rsidRPr="00D443AC">
        <w:rPr>
          <w:rFonts w:eastAsia="Times New Roman" w:cs="Calibri"/>
        </w:rPr>
        <w:instrText>MERGEFIELD ADDIN CSL_CITATION {"citationItems":[{"id":"ITEM-1","itemData":{"ISBN":"84-933694-3-8","abstract":"Predicting SlAsHrChAr!the binding mode of flexible polypeptides to proteins is an important task that falls outside the domain of applicability of most small molecule and protein−protein docking tools. Here, we test the small molecule flexible ligand docking program SlAsHrChAr!Glide on a set of 19 non-α-helical peptides and systematically improve pose prediction accuracy bynhancing Glide sampling for flexible polypeptides. In addition, scoring of the poses was improved by post-processing with physics-based implicit solvent SlAsHrChAr!MM- GBSA calculations. Using the best RMSD among the top 10 scoring poses as a metric, the success rate (RMSD ≤ 2.0 Å for the interface backbone atoms) increased from 21% with default Glide SP settings to 58% with the enhanced peptide sampling SlAsHrChAr!and scoring protocol in the case of redocking to the native protein structure. This approaches the accuracy of the recently developed Rosetta FlexPepDock method (63% success for these 19 peptides) while being over 100 times faster. Cross-docking was performed SlAsHrChAr!for a subset of cases where an unbound receptor structure was available, and in that case, 40% of peptides were docked successfully. We analyze the results and find that the optimized polypeptide protocol is most accurate for extended peptides of limited SlAsHrChAr!size and number of formal charges, defining a domain of applicability for this approach.","author":[{"dropping-particle":"","family":"Ramírez-Quirós","given":"Francisco","non-dropping-particle":"","parse-names":false,"suffix":""}],"container-title":"Canal SlAsHrChAr!Educa","id":"ITEM-1","issued":{"date-parts":[["2005"]]},"number-of-pages":"132","title":"Tratamiento de Desinfección del Agua Potable","type":"book"},"uris":["http://www.mendeley.com/documents/?uuid=3effdbfe-43f9-4927-908c-c0f783747bb4"]}],"mendeley":{"formattedCitation":"(Ramírez-Quirós, SlAsHrChAr!2005)","plainTextFormattedCitation":"(Ramírez-Quirós, 2005)","previouslyFormattedCitation":"(Ramírez-Quirós, 2005)"},"properties":{"noteIndex":0},"schema":"https://github.com/citation-style-language/schema/raw/master/csl-citation.json"}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(Ramírez-Quirós, 2005)</w:t>
      </w:r>
      <w:r w:rsidRPr="00D443AC">
        <w:rPr>
          <w:rFonts w:eastAsia="Times New Roman" w:cs="Calibri"/>
        </w:rPr>
        <w:fldChar w:fldCharType="end"/>
      </w:r>
      <w:r w:rsidRPr="00D443AC">
        <w:rPr>
          <w:rFonts w:eastAsia="Times New Roman" w:cs="Calibri"/>
        </w:rPr>
        <w:t>.</w:t>
      </w:r>
    </w:p>
    <w:p w14:paraId="7A89EEEB" w14:textId="77777777" w:rsidR="000E5799" w:rsidRPr="00D443AC" w:rsidRDefault="000E5799">
      <w:pPr>
        <w:pStyle w:val="Ttulo2"/>
        <w:widowControl/>
        <w:jc w:val="both"/>
        <w:rPr>
          <w:rFonts w:eastAsia="Times New Roman" w:cs="Calibri"/>
          <w:bCs w:val="0"/>
          <w:iCs w:val="0"/>
        </w:rPr>
      </w:pPr>
      <w:r w:rsidRPr="00D443AC">
        <w:rPr>
          <w:rFonts w:eastAsia="Times New Roman" w:cs="Calibri"/>
          <w:bCs w:val="0"/>
          <w:iCs w:val="0"/>
        </w:rPr>
        <w:t>Optimization of operation and system maintenance</w:t>
      </w:r>
    </w:p>
    <w:p w14:paraId="189FB19F" w14:textId="454D2DD8" w:rsidR="000E5799" w:rsidRPr="00D443AC" w:rsidRDefault="00B47FE4">
      <w:pPr>
        <w:pStyle w:val="Newparagraph"/>
        <w:widowControl/>
        <w:spacing w:line="360" w:lineRule="auto"/>
        <w:ind w:firstLine="708"/>
        <w:jc w:val="both"/>
        <w:rPr>
          <w:rFonts w:eastAsia="Times New Roman" w:cs="Calibri"/>
        </w:rPr>
      </w:pPr>
      <w:r w:rsidRPr="00D443AC">
        <w:rPr>
          <w:rFonts w:eastAsia="Times New Roman" w:cs="Calibri"/>
        </w:rPr>
        <w:t>Consequently</w:t>
      </w:r>
      <w:r w:rsidR="000E5799" w:rsidRPr="00D443AC">
        <w:rPr>
          <w:rFonts w:eastAsia="Times New Roman" w:cs="Calibri"/>
        </w:rPr>
        <w:t xml:space="preserve">, the disinfection proposal presented to the Santa Rosa CBWMO corresponds to an operational improvement, since it is in conjunction with the monitoring of flows and routine physicochemical parameters, allows </w:t>
      </w:r>
      <w:r w:rsidR="00FD10D2" w:rsidRPr="00D443AC">
        <w:rPr>
          <w:rFonts w:eastAsia="Times New Roman" w:cs="Calibri"/>
        </w:rPr>
        <w:t>for</w:t>
      </w:r>
      <w:r w:rsidR="000E5799" w:rsidRPr="00D443AC">
        <w:rPr>
          <w:rFonts w:eastAsia="Times New Roman" w:cs="Calibri"/>
        </w:rPr>
        <w:t xml:space="preserve"> </w:t>
      </w:r>
      <w:r w:rsidR="00FD10D2" w:rsidRPr="00D443AC">
        <w:rPr>
          <w:rFonts w:eastAsia="Times New Roman" w:cs="Calibri"/>
        </w:rPr>
        <w:t>the identification</w:t>
      </w:r>
      <w:r w:rsidR="000E5799" w:rsidRPr="00D443AC">
        <w:rPr>
          <w:rFonts w:eastAsia="Times New Roman" w:cs="Calibri"/>
        </w:rPr>
        <w:t xml:space="preserve"> </w:t>
      </w:r>
      <w:r w:rsidR="00FD10D2" w:rsidRPr="00D443AC">
        <w:rPr>
          <w:rFonts w:eastAsia="Times New Roman" w:cs="Calibri"/>
        </w:rPr>
        <w:t xml:space="preserve">of </w:t>
      </w:r>
      <w:r w:rsidR="000E5799" w:rsidRPr="00D443AC">
        <w:rPr>
          <w:rFonts w:eastAsia="Times New Roman" w:cs="Calibri"/>
        </w:rPr>
        <w:t xml:space="preserve">abnormal behaviors in the processes of drinking water disinfection, and favors their correction in </w:t>
      </w:r>
      <w:r w:rsidR="00FD10D2" w:rsidRPr="00D443AC">
        <w:rPr>
          <w:rFonts w:eastAsia="Times New Roman" w:cs="Calibri"/>
        </w:rPr>
        <w:t>real-time</w:t>
      </w:r>
      <w:r w:rsidR="000E5799" w:rsidRPr="00D443AC">
        <w:rPr>
          <w:rFonts w:eastAsia="Times New Roman" w:cs="Calibri"/>
        </w:rPr>
        <w:t xml:space="preserve">. In addition, as observed in Figure 5, by considering the input flow to the feeder, the necessary dosing can be approximated in a simpler way in </w:t>
      </w:r>
      <w:r w:rsidR="00102B68" w:rsidRPr="00D443AC">
        <w:rPr>
          <w:rFonts w:eastAsia="Times New Roman" w:cs="Calibri"/>
        </w:rPr>
        <w:t>wet</w:t>
      </w:r>
      <w:r w:rsidR="000E5799" w:rsidRPr="00D443AC">
        <w:rPr>
          <w:rFonts w:eastAsia="Times New Roman" w:cs="Calibri"/>
        </w:rPr>
        <w:t xml:space="preserve"> and dry seasons, where flows </w:t>
      </w:r>
      <w:r w:rsidR="00FD10D2" w:rsidRPr="00D443AC">
        <w:rPr>
          <w:rFonts w:eastAsia="Times New Roman" w:cs="Calibri"/>
        </w:rPr>
        <w:t>tend</w:t>
      </w:r>
      <w:r w:rsidR="000E5799" w:rsidRPr="00D443AC">
        <w:rPr>
          <w:rFonts w:eastAsia="Times New Roman" w:cs="Calibri"/>
        </w:rPr>
        <w:t xml:space="preserve"> to increase or decrease, respectively </w:t>
      </w:r>
      <w:r w:rsidR="000E5799" w:rsidRPr="00D443AC">
        <w:rPr>
          <w:rFonts w:eastAsia="Times New Roman" w:cs="Calibri"/>
        </w:rPr>
        <w:fldChar w:fldCharType="begin"/>
      </w:r>
      <w:r w:rsidR="000E5799" w:rsidRPr="00D443AC">
        <w:rPr>
          <w:rFonts w:eastAsia="Times New Roman" w:cs="Calibri"/>
        </w:rPr>
        <w:instrText>MERGEFIELD SlAsHrChAr!MERGEFIELD ADDIN CSL_CITATION {"citationItems":[{"id":"ITEM-1","itemData":{"abstract":"Modern Evolutionary Economics Evolutionary economics sees the economy as always in motion with change being driven SlAsHrChAr!largely by continuing innovation. This approach to economics, heavily infl uenced by the work of Joseph Schumpeter, saw a revival as an alternative way of thinking about economic advancement as a result of Richard Nelson and Sidney Winter’s seminal SlAsHrChAr!book, An Evolutionary Theory of Economic Change , fi rst published in 1982. In this long- awaited follow- up, Nelson is joined by leading fi gures in the fi eld of evolutionary economics, reviewing in detail how this perspective has been manifest in various SlAsHrChAr!areas of economic inquiry where evolutionary economists have been active. Providing the perfect overview for interested economists and social scientists, readers will learn how in each of the diverse fi elds featured, evolutionary economics has enabled SlAsHrChAr!an improved understanding of how and why economic progress occurs. Richard","author":[{"dropping-particle":"","family":"Villalobos","given":"María Mónica Chavarría","non-dropping-particle":"","parse-names":false,"suffix":""}],"container-title":"Tecnológico SlAsHrChAr!de Costa Rica","id":"ITEM-1","issued":{"date-parts":[["2019"]]},"number-of-pages":"5-24","title":"Evaluación y propuesta de mejora del sistema de abastecimiento de agua potable de la ASADA Paquera de Puntarenas","type":"thesis"},"uris":["http://www.mendeley.com/documents/?uuid=8dc26561-7ede-4b38-ba78-b512eb872b35"]}],"mendeleSlAsHrChAr!y":{"formattedCitation":"(Villalobos, 2019)","plainTextFormattedCitation":"(Villalobos, 2019)","previouslyFormattedCitation":"(Villalobos, 2019)"},"properties":{"noteIndex":0},"schema":"https://github.com/citation-style-language/schema/raw/master/csl-citation.json"}</w:instrText>
      </w:r>
      <w:r w:rsidR="000E5799" w:rsidRPr="00D443AC">
        <w:rPr>
          <w:rFonts w:eastAsia="Times New Roman" w:cs="Calibri"/>
        </w:rPr>
        <w:fldChar w:fldCharType="separate"/>
      </w:r>
      <w:r w:rsidR="000E5799" w:rsidRPr="00D443AC">
        <w:rPr>
          <w:rFonts w:eastAsia="Times New Roman" w:cs="Calibri"/>
        </w:rPr>
        <w:t>(Villalobos, 2019)</w:t>
      </w:r>
      <w:r w:rsidR="000E5799" w:rsidRPr="00D443AC">
        <w:rPr>
          <w:rFonts w:eastAsia="Times New Roman" w:cs="Calibri"/>
        </w:rPr>
        <w:fldChar w:fldCharType="end"/>
      </w:r>
      <w:r w:rsidR="000E5799" w:rsidRPr="00D443AC">
        <w:rPr>
          <w:rFonts w:eastAsia="Times New Roman" w:cs="Calibri"/>
        </w:rPr>
        <w:t xml:space="preserve">. At the national level, similar methodologies have been used, where chlorine demand is determined in conjunction with other measurements such as the inflow rates of the disinfection system to evaluate the differences between the current operation of the aqueducts and the theoretical proposals </w:t>
      </w:r>
      <w:r w:rsidR="000E5799" w:rsidRPr="00D443AC">
        <w:rPr>
          <w:rFonts w:eastAsia="Times New Roman" w:cs="Calibri"/>
        </w:rPr>
        <w:fldChar w:fldCharType="begin"/>
      </w:r>
      <w:r w:rsidR="000E5799" w:rsidRPr="00D443AC">
        <w:rPr>
          <w:rFonts w:eastAsia="Times New Roman" w:cs="Calibri"/>
        </w:rPr>
        <w:instrText>MERGEFIELD ADDIN CSL_CITATION {"citationItems":[{"id":"ITEM-1","itemData":{"author":[{"dropping-particle":"","family":"Gonzalez","given":"A","non-droppSlAsHrChAr!ing-particle":"","parse-names":false,"suffix":""}],"id":"ITEM-1","issued":{"date-parts":[["2011"]]},"number-of-pages":"48","publisher":"Instituto tecnológico de Costa Rica","title":"Desinfección del agua, mediante el uso del ácido tricloroisocianúrico","type":"thesis"},"uris":["http://www.mendeley.com/documents/?uuidSlAsHrChAr!=0c23a90f-c496-4efe-9320-4e8af7fe2e64"]}],"mendeley":{"formattedCitation":"(Gonzalez, 2011)","plainTextFormattedCitation":"(Gonzalez, 2011)","previouslyFormattedCitation":"(Gonzalez, 2011)"},"properties":{"noteIndex":0},"schema":"https://github.com/citation-style-language/schema/raw/master/csl-citation.json"}</w:instrText>
      </w:r>
      <w:r w:rsidR="000E5799" w:rsidRPr="00D443AC">
        <w:rPr>
          <w:rFonts w:eastAsia="Times New Roman" w:cs="Calibri"/>
        </w:rPr>
        <w:fldChar w:fldCharType="separate"/>
      </w:r>
      <w:r w:rsidR="000E5799" w:rsidRPr="00D443AC">
        <w:rPr>
          <w:rFonts w:eastAsia="Times New Roman" w:cs="Calibri"/>
        </w:rPr>
        <w:t>(Gonz</w:t>
      </w:r>
      <w:r w:rsidR="009C6D45" w:rsidRPr="00D443AC">
        <w:rPr>
          <w:rFonts w:eastAsia="Times New Roman" w:cs="Calibri"/>
        </w:rPr>
        <w:t>á</w:t>
      </w:r>
      <w:r w:rsidR="000E5799" w:rsidRPr="00D443AC">
        <w:rPr>
          <w:rFonts w:eastAsia="Times New Roman" w:cs="Calibri"/>
        </w:rPr>
        <w:t>lez, 2011)</w:t>
      </w:r>
      <w:r w:rsidR="000E5799" w:rsidRPr="00D443AC">
        <w:rPr>
          <w:rFonts w:eastAsia="Times New Roman" w:cs="Calibri"/>
        </w:rPr>
        <w:fldChar w:fldCharType="end"/>
      </w:r>
      <w:r w:rsidR="000E5799" w:rsidRPr="00D443AC">
        <w:rPr>
          <w:rFonts w:eastAsia="Times New Roman" w:cs="Calibri"/>
        </w:rPr>
        <w:t xml:space="preserve">. </w:t>
      </w:r>
    </w:p>
    <w:p w14:paraId="416DEB2A" w14:textId="77777777" w:rsidR="000E5799" w:rsidRPr="00D443AC" w:rsidRDefault="000E5799">
      <w:pPr>
        <w:pStyle w:val="Newparagraph"/>
        <w:widowControl/>
        <w:spacing w:line="360" w:lineRule="auto"/>
        <w:ind w:firstLine="708"/>
        <w:jc w:val="both"/>
        <w:rPr>
          <w:rFonts w:eastAsia="Times New Roman" w:cs="Calibri"/>
        </w:rPr>
      </w:pPr>
    </w:p>
    <w:p w14:paraId="30E39242" w14:textId="3CE490B5" w:rsidR="000E5799" w:rsidRPr="00D443AC" w:rsidRDefault="000E5799">
      <w:pPr>
        <w:pStyle w:val="Newparagraph"/>
        <w:widowControl/>
        <w:spacing w:line="360" w:lineRule="auto"/>
        <w:ind w:firstLine="708"/>
        <w:jc w:val="both"/>
        <w:rPr>
          <w:rFonts w:eastAsia="Times New Roman" w:cs="Calibri"/>
        </w:rPr>
      </w:pPr>
      <w:r w:rsidRPr="00D443AC">
        <w:rPr>
          <w:rFonts w:eastAsia="Times New Roman" w:cs="Calibri"/>
        </w:rPr>
        <w:t xml:space="preserve">In addition, a functional disinfection system ensures the quality of drinking water for users, preventing water-borne diseases, bad tastes, as well as high concentrations of disinfection by-products </w:t>
      </w:r>
      <w:r w:rsidRPr="00D443AC">
        <w:rPr>
          <w:rFonts w:eastAsia="Times New Roman" w:cs="Calibri"/>
        </w:rPr>
        <w:fldChar w:fldCharType="begin"/>
      </w:r>
      <w:r w:rsidRPr="00D443AC">
        <w:rPr>
          <w:rFonts w:eastAsia="Times New Roman" w:cs="Calibri"/>
        </w:rPr>
        <w:instrText>MERGEFIELD ADDIN CSL_CITATION {"citationItems":[{"id":"ITEM-1","itemData":{"DOI":"10.1016/j.jece.2017.07.002","ISSN":"22133437","abstract":"Chlorination has been employed extensively SlAsHrChAr!for sewage disinfection so that it can be reused, but the health issues related to its disinfection byproducts (DBPs) have forced to search for safer options. The present study focuses on the efficiency of chlorine disinfection on five dominant coliform SlAsHrChAr!bacterial species present in the secondary treated effluent. Resistance to low doses of chlorine was observed by few coliform species, such as Serratia/Hafnia which in turn required much higher doses of chlorine to achieve Total Coliform Count (TCC) within SlAsHrChAr!standards. This consequently increased formation of DBPs. A quadratic model of design of experiments (DOE) softaware was opted as an optimization strategy for chlorination, which was attempted to achieve counts for rest of the species to be brought within SlAsHrChAr!standard except for resistant ones so that the initial disinfection with chlorine could be terminated at this dose. This would then be followed by another disinfectant (UV/Ozone) against which such resistance among those species was not observed. The SlAsHrChAr!optimized results of chlorination (2.5 ppm of CD at 14.83 min/42 mg-min/L) would be useful in designing a hybrid disifection strategy which may help reduce the CD substantially and thereby its byproducts. Analysis of four Trihalomethanes (THMs) was carried SlAsHrChAr!out with the help of Gas chromatography-mass spectrometry and gas chromatography/tandem mass spectrometry (GC-MS/MS) to assess their concentrations due to chlorination of sewage. The effect of chlorine on physiology of bacterial cells was also examined SlAsHrChAr!through scanned electron microscopy (SEM) analysis to get a clue to inactivation mechanism.","author":[{"dropping-particle":"","family":"Verma","given":"Kavita","non-dropping-particle":"","parse-names":false,"suffix":""},{"dropping-particle":"","family":"Gupta","given":"A. SlAsHrChAr!B.","non-dropping-particle":"","parse-names":false,"suffix":""},{"dropping-particle":"","family":"Singh","given":"Amit","non-dropping-particle":"","parse-names":false,"suffix":""}],"container-title":"Journal of Environmental Chemical Engineering","id":"ITEM-1","issue":"4","issued":{"date-parts":[["2017"]]},"page":"3540-3549","pSlAsHrChAr!ublisher":"Elsevier B.V.","title":"Optimization of chlorination process and analysis of THMs to mitigate ill effects of sewage irrigation","type":"article-journal","volume":"5"},"uris":["http://www.mendeley.com/documents/?uuid=09e4aff0-a5f9-4107-9a1e-be6b8d8d74b2"]}],"mendeley":{"formattedCitation":"(Verma SlAsHrChAr!et al., 2017)","plainTextFormattedCitation":"(Verma et al., 2017)","previouslyFormattedCitation":"(Verma et al., 2017)"},"properties":{"noteIndex":0},"schema":"https://github.com/citation-style-language/schema/raw/master/csl-citation.json"}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(Verma et al., 2017)</w:t>
      </w:r>
      <w:r w:rsidRPr="00D443AC">
        <w:rPr>
          <w:rFonts w:eastAsia="Times New Roman" w:cs="Calibri"/>
        </w:rPr>
        <w:fldChar w:fldCharType="end"/>
      </w:r>
      <w:r w:rsidRPr="00D443AC">
        <w:rPr>
          <w:rFonts w:eastAsia="Times New Roman" w:cs="Calibri"/>
        </w:rPr>
        <w:t xml:space="preserve">. Finally, when the chlorine dose is adjusted to the requirements of the system, disinfectant loss is avoided, which becomes a long-term economic benefit for </w:t>
      </w:r>
      <w:r w:rsidRPr="00D443AC">
        <w:rPr>
          <w:rFonts w:eastAsia="Times New Roman" w:cs="Calibri"/>
        </w:rPr>
        <w:lastRenderedPageBreak/>
        <w:t>aqueduct management. An example of this is the aqueduct of a rural community in Peru, which achieved a substantial saving of around 10% in calcium hypochlorite after the chlorine consumption optimization process</w:t>
      </w:r>
      <w:r w:rsidR="00A3195D" w:rsidRPr="00D443AC">
        <w:rPr>
          <w:rFonts w:eastAsia="Times New Roman" w:cs="Calibri"/>
        </w:rPr>
        <w:t xml:space="preserve"> was</w:t>
      </w:r>
      <w:r w:rsidRPr="00D443AC">
        <w:rPr>
          <w:rFonts w:eastAsia="Times New Roman" w:cs="Calibri"/>
        </w:rPr>
        <w:t xml:space="preserve"> implemented </w:t>
      </w:r>
      <w:r w:rsidRPr="00D443AC">
        <w:rPr>
          <w:rFonts w:eastAsia="Times New Roman" w:cs="Calibri"/>
        </w:rPr>
        <w:fldChar w:fldCharType="begin"/>
      </w:r>
      <w:r w:rsidRPr="00D443AC">
        <w:rPr>
          <w:rFonts w:eastAsia="Times New Roman" w:cs="Calibri"/>
        </w:rPr>
        <w:instrText>MERGEFIELD SlAsHrChAr!ADDIN CSL_CITATION {"citationItems":[{"id":"ITEM-1","itemData":{"abstract":"Tesis","author":[{"dropping-particle":"","family":"Horna","given":"David Elías","non-dropping-particle":"","parse-names":false,"suffix":""}],"id":"ITEM-1","issued":{"date-parts":[["2014"]]},"number-of-pages":"105","publisher":"Universidad SlAsHrChAr!Nacional de Cajamarca, Perú","title":"\"Optimización del consumo de cloro en la potabilización del agua, haciendo uso del método del nivel estático en reservorio del sistema de agua potable rural del caserío el Tambo distrito de José SlAsHrChAr!Gálvez - 2014\"","type":"thesis"},"uris":["http://www.mendeley.com/documents/?uuid=08e7924e-183c-415d-99e2-fa4918ce5bac"]}],"mendeley":{"formattedCitation":"(Horna, 2014)","plainTextFormattedCitation":"(Horna, 2014)","previouslyFormattedCitation":"(Horna, SlAsHrChAr!2014)"},"properties":{"noteIndex":0},"schema":"https://github.com/citation-style-language/schema/raw/master/csl-citation.json"}</w:instrText>
      </w:r>
      <w:r w:rsidRPr="00D443AC">
        <w:rPr>
          <w:rFonts w:eastAsia="Times New Roman" w:cs="Calibri"/>
        </w:rPr>
        <w:fldChar w:fldCharType="separate"/>
      </w:r>
      <w:r w:rsidRPr="00D443AC">
        <w:rPr>
          <w:rFonts w:eastAsia="Times New Roman" w:cs="Calibri"/>
        </w:rPr>
        <w:t>(Horna, 2014)</w:t>
      </w:r>
      <w:r w:rsidRPr="00D443AC">
        <w:rPr>
          <w:rFonts w:eastAsia="Times New Roman" w:cs="Calibri"/>
        </w:rPr>
        <w:fldChar w:fldCharType="end"/>
      </w:r>
      <w:r w:rsidRPr="00D443AC">
        <w:rPr>
          <w:rFonts w:eastAsia="Times New Roman" w:cs="Calibri"/>
        </w:rPr>
        <w:t>.</w:t>
      </w:r>
    </w:p>
    <w:p w14:paraId="256ECC50" w14:textId="77777777" w:rsidR="000E5799" w:rsidRPr="00D443AC" w:rsidRDefault="000E5799">
      <w:pPr>
        <w:pStyle w:val="Ttulo1"/>
        <w:widowControl/>
        <w:jc w:val="both"/>
        <w:rPr>
          <w:rFonts w:eastAsia="Times New Roman" w:cs="Calibri"/>
          <w:bCs w:val="0"/>
        </w:rPr>
      </w:pPr>
      <w:r w:rsidRPr="00D443AC">
        <w:rPr>
          <w:rFonts w:eastAsia="Times New Roman" w:cs="Calibri"/>
          <w:bCs w:val="0"/>
        </w:rPr>
        <w:t>Conclusions</w:t>
      </w:r>
    </w:p>
    <w:p w14:paraId="26A0E6D7" w14:textId="4F7D6145"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The Santa Rosa CBWMO has functional disinfection systems; however, they have a high risk in terms of infrastructure and operation. At the level of water quality, most of the evaluated parameters presented satisfactory compliance with national and international </w:t>
      </w:r>
      <w:r w:rsidR="00A3195D" w:rsidRPr="00D443AC">
        <w:rPr>
          <w:rFonts w:eastAsia="Times New Roman" w:cs="Calibri"/>
        </w:rPr>
        <w:t>standards</w:t>
      </w:r>
      <w:r w:rsidRPr="00D443AC">
        <w:rPr>
          <w:rFonts w:eastAsia="Times New Roman" w:cs="Calibri"/>
        </w:rPr>
        <w:t xml:space="preserve">; however, due to some indicators such as residual chlorine or the presence of pathogenic microorganisms, intermediate and </w:t>
      </w:r>
      <w:r w:rsidR="00FD10D2" w:rsidRPr="00D443AC">
        <w:rPr>
          <w:rFonts w:eastAsia="Times New Roman" w:cs="Calibri"/>
        </w:rPr>
        <w:t>high-risk</w:t>
      </w:r>
      <w:r w:rsidRPr="00D443AC">
        <w:rPr>
          <w:rFonts w:eastAsia="Times New Roman" w:cs="Calibri"/>
        </w:rPr>
        <w:t xml:space="preserve"> levels are evident according to IRCACH, highlighting the importance of having an adequate dosage, frequency</w:t>
      </w:r>
      <w:r w:rsidR="00133D10" w:rsidRPr="00D443AC">
        <w:rPr>
          <w:rFonts w:eastAsia="Times New Roman" w:cs="Calibri"/>
        </w:rPr>
        <w:t>,</w:t>
      </w:r>
      <w:r w:rsidRPr="00D443AC">
        <w:rPr>
          <w:rFonts w:eastAsia="Times New Roman" w:cs="Calibri"/>
        </w:rPr>
        <w:t xml:space="preserve"> and monitoring of the chlorination process in order to avoid compromising the health of users, as these have a direct impact on the aforementioned quality parameters.</w:t>
      </w:r>
    </w:p>
    <w:p w14:paraId="05C48E6A" w14:textId="3C7112F6" w:rsidR="000E5799" w:rsidRPr="00D443AC" w:rsidRDefault="00B47FE4">
      <w:pPr>
        <w:pStyle w:val="Newparagraph"/>
        <w:widowControl/>
        <w:spacing w:line="360" w:lineRule="auto"/>
        <w:jc w:val="both"/>
        <w:rPr>
          <w:rFonts w:eastAsia="Times New Roman" w:cs="Calibri"/>
        </w:rPr>
      </w:pPr>
      <w:r w:rsidRPr="00D443AC">
        <w:rPr>
          <w:rFonts w:eastAsia="Times New Roman" w:cs="Calibri"/>
        </w:rPr>
        <w:t>T</w:t>
      </w:r>
      <w:r w:rsidR="000E5799" w:rsidRPr="00D443AC">
        <w:rPr>
          <w:rFonts w:eastAsia="Times New Roman" w:cs="Calibri"/>
        </w:rPr>
        <w:t xml:space="preserve">he results of the chlorine demand allowed a first approach to the optimization of disinfection systems </w:t>
      </w:r>
      <w:r w:rsidR="00133D10" w:rsidRPr="00D443AC">
        <w:rPr>
          <w:rFonts w:eastAsia="Times New Roman" w:cs="Calibri"/>
        </w:rPr>
        <w:t>that</w:t>
      </w:r>
      <w:r w:rsidR="000E5799" w:rsidRPr="00D443AC">
        <w:rPr>
          <w:rFonts w:eastAsia="Times New Roman" w:cs="Calibri"/>
        </w:rPr>
        <w:t xml:space="preserve"> had not been previously studied, thus generating specific disinfection proposals for the operating conditions, as well as a series of documents and inputs that allow strengthening water management capacities. </w:t>
      </w:r>
    </w:p>
    <w:p w14:paraId="609836D9" w14:textId="01CAD366"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Finally, improving monitoring and recording aspects such as flow measurements and physicochemical parameters is recommended, in order to provide greater traceability of operating actions and be able to create a functional database that is an input for future decision making. </w:t>
      </w:r>
      <w:r w:rsidR="006502E7" w:rsidRPr="00D443AC">
        <w:rPr>
          <w:rFonts w:eastAsia="Times New Roman" w:cs="Calibri"/>
        </w:rPr>
        <w:t>In addition</w:t>
      </w:r>
      <w:r w:rsidRPr="00D443AC">
        <w:rPr>
          <w:rFonts w:eastAsia="Times New Roman" w:cs="Calibri"/>
        </w:rPr>
        <w:t>, the optimization of disinfection systems allows a substantial improvement in the management of supply water provided by the Santa Rosa CBWMO with a water security approach. This is aimed at establishing a water security plan that controls the risks at the associated critical points in the disinfection component.</w:t>
      </w:r>
    </w:p>
    <w:p w14:paraId="4A7D0177" w14:textId="77777777" w:rsidR="000E5799" w:rsidRPr="00D443AC" w:rsidRDefault="000E5799">
      <w:pPr>
        <w:pStyle w:val="Ttulo1"/>
        <w:widowControl/>
        <w:jc w:val="both"/>
        <w:rPr>
          <w:rFonts w:eastAsia="Times New Roman" w:cs="Calibri"/>
          <w:bCs w:val="0"/>
        </w:rPr>
      </w:pPr>
      <w:r w:rsidRPr="00D443AC">
        <w:rPr>
          <w:rFonts w:eastAsia="Times New Roman" w:cs="Calibri"/>
          <w:bCs w:val="0"/>
        </w:rPr>
        <w:t>Acknowledgements</w:t>
      </w:r>
    </w:p>
    <w:p w14:paraId="38AE1BE1" w14:textId="0650CD10" w:rsidR="000E5799" w:rsidRPr="00D443AC" w:rsidRDefault="000E5799" w:rsidP="00313B6F">
      <w:pPr>
        <w:pStyle w:val="Newparagraph"/>
        <w:widowControl/>
        <w:spacing w:before="240" w:line="360" w:lineRule="auto"/>
        <w:jc w:val="both"/>
        <w:rPr>
          <w:rFonts w:eastAsia="Times New Roman" w:cs="Calibri"/>
        </w:rPr>
      </w:pPr>
      <w:r w:rsidRPr="00D443AC">
        <w:rPr>
          <w:rFonts w:eastAsia="Times New Roman" w:cs="Calibri"/>
        </w:rPr>
        <w:t xml:space="preserve">We would like to thank the Santa Rosa CBWMO for allowing us to conduct this research at their facilities and for their collaboration during the sampling </w:t>
      </w:r>
      <w:r w:rsidR="00D837F6" w:rsidRPr="00D443AC">
        <w:rPr>
          <w:rFonts w:eastAsia="Times New Roman" w:cs="Calibri"/>
        </w:rPr>
        <w:t xml:space="preserve">campaigns </w:t>
      </w:r>
      <w:r w:rsidRPr="00D443AC">
        <w:rPr>
          <w:rFonts w:eastAsia="Times New Roman" w:cs="Calibri"/>
        </w:rPr>
        <w:t xml:space="preserve">and to this research team for their constant companionship and support. </w:t>
      </w:r>
      <w:r w:rsidR="00313B6F" w:rsidRPr="00313B6F">
        <w:rPr>
          <w:rFonts w:eastAsia="Times New Roman" w:cs="Calibri"/>
        </w:rPr>
        <w:t>This project</w:t>
      </w:r>
      <w:r w:rsidR="00313B6F">
        <w:rPr>
          <w:rFonts w:eastAsia="Times New Roman" w:cs="Calibri"/>
        </w:rPr>
        <w:t xml:space="preserve"> </w:t>
      </w:r>
      <w:r w:rsidR="00313B6F" w:rsidRPr="00313B6F">
        <w:rPr>
          <w:rFonts w:eastAsia="Times New Roman" w:cs="Calibri"/>
        </w:rPr>
        <w:t>was funded by the Research Office of Universidad Nacional, Costa Rica under grant</w:t>
      </w:r>
      <w:r w:rsidR="00313B6F">
        <w:rPr>
          <w:rFonts w:eastAsia="Times New Roman" w:cs="Calibri"/>
        </w:rPr>
        <w:t xml:space="preserve"> </w:t>
      </w:r>
      <w:r w:rsidR="00313B6F" w:rsidRPr="00313B6F">
        <w:rPr>
          <w:rFonts w:eastAsia="Times New Roman" w:cs="Calibri"/>
        </w:rPr>
        <w:t>SIA 0</w:t>
      </w:r>
      <w:r w:rsidR="00313B6F">
        <w:rPr>
          <w:rFonts w:eastAsia="Times New Roman" w:cs="Calibri"/>
        </w:rPr>
        <w:t>615</w:t>
      </w:r>
      <w:r w:rsidR="00313B6F" w:rsidRPr="00313B6F">
        <w:rPr>
          <w:rFonts w:eastAsia="Times New Roman" w:cs="Calibri"/>
        </w:rPr>
        <w:t>-1</w:t>
      </w:r>
      <w:r w:rsidR="00313B6F">
        <w:rPr>
          <w:rFonts w:eastAsia="Times New Roman" w:cs="Calibri"/>
        </w:rPr>
        <w:t>9</w:t>
      </w:r>
      <w:r w:rsidR="00313B6F" w:rsidRPr="00313B6F">
        <w:rPr>
          <w:rFonts w:eastAsia="Times New Roman" w:cs="Calibri"/>
        </w:rPr>
        <w:t>.</w:t>
      </w:r>
      <w:r w:rsidRPr="00D443AC">
        <w:rPr>
          <w:rFonts w:eastAsia="Times New Roman" w:cs="Calibri"/>
        </w:rPr>
        <w:t xml:space="preserve"> "Contribution to the integrated management of water resources in the Poás sub-basin through the generation of inputs </w:t>
      </w:r>
      <w:r w:rsidRPr="00D443AC">
        <w:rPr>
          <w:rFonts w:eastAsia="Times New Roman" w:cs="Calibri"/>
        </w:rPr>
        <w:lastRenderedPageBreak/>
        <w:t>that promote effective processes in water management" of the School of Exact and Natural Sciences of the National University of Costa Rica. Finally, we would like to express our gratitude to all student assistants and the staff of the LAMRHI-SIL, LASEQ, LHA</w:t>
      </w:r>
      <w:r w:rsidR="00133D10" w:rsidRPr="00D443AC">
        <w:rPr>
          <w:rFonts w:eastAsia="Times New Roman" w:cs="Calibri"/>
        </w:rPr>
        <w:t>,</w:t>
      </w:r>
      <w:r w:rsidRPr="00D443AC">
        <w:rPr>
          <w:rFonts w:eastAsia="Times New Roman" w:cs="Calibri"/>
        </w:rPr>
        <w:t xml:space="preserve"> and Microbial Biotechnology laboratories for their support in the sampling </w:t>
      </w:r>
      <w:r w:rsidR="00D837F6" w:rsidRPr="00D443AC">
        <w:rPr>
          <w:rFonts w:eastAsia="Times New Roman" w:cs="Calibri"/>
        </w:rPr>
        <w:t xml:space="preserve">campaigns </w:t>
      </w:r>
      <w:r w:rsidRPr="00D443AC">
        <w:rPr>
          <w:rFonts w:eastAsia="Times New Roman" w:cs="Calibri"/>
        </w:rPr>
        <w:t xml:space="preserve">and laboratory reports. </w:t>
      </w:r>
    </w:p>
    <w:p w14:paraId="0A7064ED" w14:textId="77777777" w:rsidR="000E5799" w:rsidRPr="00D443AC" w:rsidRDefault="000E5799">
      <w:pPr>
        <w:pStyle w:val="Ttulo1"/>
        <w:widowControl/>
        <w:jc w:val="both"/>
        <w:rPr>
          <w:rFonts w:eastAsia="Times New Roman" w:cs="Calibri"/>
          <w:bCs w:val="0"/>
        </w:rPr>
      </w:pPr>
      <w:r w:rsidRPr="00D443AC">
        <w:rPr>
          <w:rFonts w:eastAsia="Times New Roman" w:cs="Calibri"/>
          <w:bCs w:val="0"/>
        </w:rPr>
        <w:t>Disclosure statement</w:t>
      </w:r>
    </w:p>
    <w:p w14:paraId="14DC97F1" w14:textId="77777777" w:rsidR="000E5799" w:rsidRPr="00D443AC" w:rsidRDefault="000E5799">
      <w:pPr>
        <w:pStyle w:val="Newparagraph"/>
        <w:widowControl/>
        <w:spacing w:line="360" w:lineRule="auto"/>
        <w:jc w:val="both"/>
        <w:rPr>
          <w:rFonts w:eastAsia="Times New Roman" w:cs="Calibri"/>
        </w:rPr>
      </w:pPr>
      <w:r w:rsidRPr="00D443AC">
        <w:rPr>
          <w:rFonts w:eastAsia="Times New Roman" w:cs="Calibri"/>
        </w:rPr>
        <w:t xml:space="preserve">All authors declare no conflicts of interest. </w:t>
      </w:r>
    </w:p>
    <w:p w14:paraId="6DBDA2BC" w14:textId="05DFE92F" w:rsidR="000E5799" w:rsidRPr="00D443AC" w:rsidRDefault="000E5799">
      <w:pPr>
        <w:pStyle w:val="Ttulo1"/>
        <w:widowControl/>
        <w:jc w:val="both"/>
        <w:rPr>
          <w:rFonts w:eastAsia="Times New Roman" w:cs="Calibri"/>
          <w:bCs w:val="0"/>
        </w:rPr>
      </w:pPr>
      <w:r w:rsidRPr="00D443AC">
        <w:rPr>
          <w:rFonts w:eastAsia="Times New Roman" w:cs="Calibri"/>
          <w:bCs w:val="0"/>
        </w:rPr>
        <w:t>References</w:t>
      </w:r>
    </w:p>
    <w:p w14:paraId="1F18EA41" w14:textId="77777777" w:rsidR="000E5799" w:rsidRPr="00A34E32" w:rsidRDefault="000E5799">
      <w:pPr>
        <w:ind w:left="480" w:hanging="480"/>
        <w:rPr>
          <w:rFonts w:eastAsia="Times New Roman" w:cs="Calibri"/>
          <w:lang w:val="es-ES_tradnl"/>
        </w:rPr>
      </w:pPr>
      <w:r w:rsidRPr="00D443AC">
        <w:fldChar w:fldCharType="begin"/>
      </w:r>
      <w:r w:rsidRPr="00D443AC">
        <w:instrText xml:space="preserve">MERGEFIELD </w:instrText>
      </w:r>
      <w:r w:rsidRPr="00D443AC">
        <w:rPr>
          <w:rFonts w:eastAsia="Times New Roman"/>
        </w:rPr>
        <w:instrText>ADDIN Mendeley Bibliography CSL_BIBLIOGRAPHY</w:instrText>
      </w:r>
      <w:r w:rsidRPr="00D443AC">
        <w:fldChar w:fldCharType="separate"/>
      </w:r>
      <w:r w:rsidRPr="00D443AC">
        <w:rPr>
          <w:rFonts w:eastAsia="Times New Roman"/>
        </w:rPr>
        <w:t>APHA</w:t>
      </w:r>
      <w:r w:rsidRPr="00D443AC">
        <w:rPr>
          <w:rFonts w:ascii="Calibri" w:eastAsia="Times New Roman" w:hAnsi="Calibri" w:cs="Calibri"/>
          <w:sz w:val="22"/>
        </w:rPr>
        <w:t>.</w:t>
      </w:r>
      <w:r w:rsidRPr="00D443AC">
        <w:rPr>
          <w:rFonts w:eastAsia="Times New Roman" w:cs="Calibri"/>
        </w:rPr>
        <w:t xml:space="preserve"> (2017). Standard Methods for the Examination of Water and Wastewater. </w:t>
      </w:r>
      <w:r w:rsidRPr="00A34E32">
        <w:rPr>
          <w:rFonts w:eastAsia="Times New Roman" w:cs="Calibri"/>
          <w:lang w:val="es-ES_tradnl"/>
        </w:rPr>
        <w:t>(23</w:t>
      </w:r>
      <w:r w:rsidRPr="00A34E32">
        <w:rPr>
          <w:rFonts w:eastAsia="Times New Roman" w:cs="Calibri"/>
          <w:vertAlign w:val="superscript"/>
          <w:lang w:val="es-ES_tradnl"/>
        </w:rPr>
        <w:t>rd</w:t>
      </w:r>
      <w:r w:rsidRPr="00A34E32">
        <w:rPr>
          <w:rFonts w:eastAsia="Times New Roman" w:cs="Calibri"/>
          <w:lang w:val="es-ES_tradnl"/>
        </w:rPr>
        <w:t xml:space="preserve"> ed.)</w:t>
      </w:r>
      <w:r w:rsidRPr="00A34E32">
        <w:rPr>
          <w:rFonts w:eastAsia="Times New Roman" w:cs="Calibri"/>
          <w:sz w:val="23"/>
          <w:lang w:val="es-ES_tradnl"/>
        </w:rPr>
        <w:t xml:space="preserve">. American </w:t>
      </w:r>
      <w:proofErr w:type="spellStart"/>
      <w:r w:rsidRPr="00A34E32">
        <w:rPr>
          <w:rFonts w:eastAsia="Times New Roman" w:cs="Calibri"/>
          <w:sz w:val="23"/>
          <w:lang w:val="es-ES_tradnl"/>
        </w:rPr>
        <w:t>Public</w:t>
      </w:r>
      <w:proofErr w:type="spellEnd"/>
      <w:r w:rsidRPr="00A34E32">
        <w:rPr>
          <w:rFonts w:eastAsia="Times New Roman" w:cs="Calibri"/>
          <w:sz w:val="23"/>
          <w:lang w:val="es-ES_tradnl"/>
        </w:rPr>
        <w:t xml:space="preserve"> </w:t>
      </w:r>
      <w:proofErr w:type="spellStart"/>
      <w:r w:rsidRPr="00A34E32">
        <w:rPr>
          <w:rFonts w:eastAsia="Times New Roman" w:cs="Calibri"/>
          <w:sz w:val="23"/>
          <w:lang w:val="es-ES_tradnl"/>
        </w:rPr>
        <w:t>Health</w:t>
      </w:r>
      <w:proofErr w:type="spellEnd"/>
      <w:r w:rsidRPr="00A34E32">
        <w:rPr>
          <w:rFonts w:eastAsia="Times New Roman" w:cs="Calibri"/>
          <w:sz w:val="23"/>
          <w:lang w:val="es-ES_tradnl"/>
        </w:rPr>
        <w:t xml:space="preserve"> </w:t>
      </w:r>
      <w:proofErr w:type="spellStart"/>
      <w:r w:rsidRPr="00A34E32">
        <w:rPr>
          <w:rFonts w:eastAsia="Times New Roman" w:cs="Calibri"/>
          <w:sz w:val="23"/>
          <w:lang w:val="es-ES_tradnl"/>
        </w:rPr>
        <w:t>Association</w:t>
      </w:r>
      <w:proofErr w:type="spellEnd"/>
      <w:r w:rsidRPr="00A34E32">
        <w:rPr>
          <w:rFonts w:eastAsia="Times New Roman" w:cs="Calibri"/>
          <w:sz w:val="23"/>
          <w:lang w:val="es-ES_tradnl"/>
        </w:rPr>
        <w:t>.</w:t>
      </w:r>
    </w:p>
    <w:p w14:paraId="19DF7F15"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AEAS. (1984). </w:t>
      </w:r>
      <w:r w:rsidRPr="00A34E32">
        <w:rPr>
          <w:rFonts w:eastAsia="Times New Roman" w:cs="Calibri"/>
          <w:i/>
          <w:lang w:val="es-ES_tradnl"/>
        </w:rPr>
        <w:t>Manual de la Cloración</w:t>
      </w:r>
      <w:r w:rsidRPr="00A34E32">
        <w:rPr>
          <w:rFonts w:eastAsia="Times New Roman" w:cs="Calibri"/>
          <w:lang w:val="es-ES_tradnl"/>
        </w:rPr>
        <w:t xml:space="preserve">. Asociación Española de Abastecimientos de Agua y Saneamiento. </w:t>
      </w:r>
    </w:p>
    <w:p w14:paraId="2E1AF656"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Auquilla, C., Astorga, Y., &amp; Jiménez, F. (2005). </w:t>
      </w:r>
      <w:r w:rsidRPr="00D443AC">
        <w:rPr>
          <w:rFonts w:eastAsia="Times New Roman" w:cs="Calibri"/>
        </w:rPr>
        <w:t xml:space="preserve">Influence of the land use in the quality of the water in the subwatershed of the river Jabonal, Costa Rica. </w:t>
      </w:r>
      <w:r w:rsidRPr="00A34E32">
        <w:rPr>
          <w:rFonts w:eastAsia="Times New Roman" w:cs="Calibri"/>
          <w:i/>
          <w:lang w:val="es-ES_tradnl"/>
        </w:rPr>
        <w:t>Recursos Naturales y Ambiente</w:t>
      </w:r>
      <w:r w:rsidRPr="00A34E32">
        <w:rPr>
          <w:rFonts w:eastAsia="Times New Roman" w:cs="Calibri"/>
          <w:lang w:val="es-ES_tradnl"/>
        </w:rPr>
        <w:t xml:space="preserve">, </w:t>
      </w:r>
      <w:r w:rsidRPr="00A34E32">
        <w:rPr>
          <w:rFonts w:eastAsia="Times New Roman" w:cs="Calibri"/>
          <w:i/>
          <w:lang w:val="es-ES_tradnl"/>
        </w:rPr>
        <w:t>48</w:t>
      </w:r>
      <w:r w:rsidRPr="00A34E32">
        <w:rPr>
          <w:rFonts w:eastAsia="Times New Roman" w:cs="Calibri"/>
          <w:lang w:val="es-ES_tradnl"/>
        </w:rPr>
        <w:t>(48), 81–92. http://repositorio.bibliotecaorton.catie.ac.cr/bitstream/handle/11554/6408/Influencia_de_uso_del_suelo.pdf?sequence=1&amp;isAllowed=y</w:t>
      </w:r>
    </w:p>
    <w:p w14:paraId="5B691370" w14:textId="77777777" w:rsidR="000E5799" w:rsidRPr="00A34E32" w:rsidRDefault="000E5799">
      <w:pPr>
        <w:ind w:left="480" w:hanging="480"/>
        <w:rPr>
          <w:rFonts w:eastAsia="Times New Roman" w:cs="Calibri"/>
          <w:lang w:val="es-ES_tradnl"/>
        </w:rPr>
      </w:pPr>
      <w:r w:rsidRPr="00D443AC">
        <w:rPr>
          <w:rFonts w:eastAsia="Times New Roman" w:cs="Calibri"/>
        </w:rPr>
        <w:t xml:space="preserve">Bartram, J., &amp; Ballance, R. (1996). Water quality monitoring: a practical guide to the design and implementation of freshwater quality studies and monitoring programmes. </w:t>
      </w:r>
      <w:r w:rsidRPr="00A34E32">
        <w:rPr>
          <w:rFonts w:eastAsia="Times New Roman" w:cs="Calibri"/>
          <w:i/>
          <w:lang w:val="es-ES_tradnl"/>
        </w:rPr>
        <w:t xml:space="preserve">E &amp; FN </w:t>
      </w:r>
      <w:proofErr w:type="spellStart"/>
      <w:r w:rsidRPr="00A34E32">
        <w:rPr>
          <w:rFonts w:eastAsia="Times New Roman" w:cs="Calibri"/>
          <w:i/>
          <w:lang w:val="es-ES_tradnl"/>
        </w:rPr>
        <w:t>Spon</w:t>
      </w:r>
      <w:proofErr w:type="spellEnd"/>
      <w:r w:rsidRPr="00A34E32">
        <w:rPr>
          <w:rFonts w:eastAsia="Times New Roman" w:cs="Calibri"/>
          <w:lang w:val="es-ES_tradnl"/>
        </w:rPr>
        <w:t xml:space="preserve">. https://doi.org/10.4324/9780203476796 </w:t>
      </w:r>
    </w:p>
    <w:p w14:paraId="691B937D" w14:textId="551DA242" w:rsidR="000E5799" w:rsidRPr="00D443AC" w:rsidRDefault="000E5799">
      <w:pPr>
        <w:ind w:left="480" w:hanging="480"/>
        <w:rPr>
          <w:rFonts w:eastAsia="Times New Roman" w:cs="Calibri"/>
        </w:rPr>
      </w:pPr>
      <w:r w:rsidRPr="00A34E32">
        <w:rPr>
          <w:rFonts w:eastAsia="Times New Roman" w:cs="Calibri"/>
          <w:lang w:val="es-ES_tradnl"/>
        </w:rPr>
        <w:t xml:space="preserve">Bernedo </w:t>
      </w:r>
      <w:r w:rsidR="009D18DF" w:rsidRPr="00A34E32">
        <w:rPr>
          <w:rFonts w:eastAsia="Times New Roman" w:cs="Calibri"/>
          <w:lang w:val="es-ES_tradnl"/>
        </w:rPr>
        <w:t>d</w:t>
      </w:r>
      <w:r w:rsidRPr="00A34E32">
        <w:rPr>
          <w:rFonts w:eastAsia="Times New Roman" w:cs="Calibri"/>
          <w:lang w:val="es-ES_tradnl"/>
        </w:rPr>
        <w:t>el Carpio, M., Alp</w:t>
      </w:r>
      <w:r w:rsidR="00520D67" w:rsidRPr="00A34E32">
        <w:rPr>
          <w:rFonts w:eastAsia="Times New Roman" w:cs="Calibri"/>
          <w:lang w:val="es-ES_tradnl"/>
        </w:rPr>
        <w:t>í</w:t>
      </w:r>
      <w:r w:rsidRPr="00A34E32">
        <w:rPr>
          <w:rFonts w:eastAsia="Times New Roman" w:cs="Calibri"/>
          <w:lang w:val="es-ES_tradnl"/>
        </w:rPr>
        <w:t xml:space="preserve">zar, F., &amp; Ferraro, P. J. (2021). </w:t>
      </w:r>
      <w:r w:rsidRPr="00D443AC">
        <w:rPr>
          <w:rFonts w:eastAsia="Times New Roman" w:cs="Calibri"/>
        </w:rPr>
        <w:t xml:space="preserve">Community-based monitoring to facilitate water management by local institutions in Costa Rica. </w:t>
      </w:r>
      <w:r w:rsidRPr="00D443AC">
        <w:rPr>
          <w:rFonts w:eastAsia="Times New Roman" w:cs="Calibri"/>
          <w:i/>
        </w:rPr>
        <w:t>Proceedings of the National Academy of Sciences of the United States of America</w:t>
      </w:r>
      <w:r w:rsidRPr="00D443AC">
        <w:rPr>
          <w:rFonts w:eastAsia="Times New Roman" w:cs="Calibri"/>
        </w:rPr>
        <w:t xml:space="preserve">, </w:t>
      </w:r>
      <w:r w:rsidRPr="00D443AC">
        <w:rPr>
          <w:rFonts w:eastAsia="Times New Roman" w:cs="Calibri"/>
          <w:i/>
        </w:rPr>
        <w:t>118</w:t>
      </w:r>
      <w:r w:rsidRPr="00D443AC">
        <w:rPr>
          <w:rFonts w:eastAsia="Times New Roman" w:cs="Calibri"/>
        </w:rPr>
        <w:t>(29), e2015177118. https://doi.org/10.1073/pnas.2015177118</w:t>
      </w:r>
    </w:p>
    <w:p w14:paraId="61F62083" w14:textId="04B093D3"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Chauca, C. A. F., &amp; Orozco, C. L. S. (2012). </w:t>
      </w:r>
      <w:r w:rsidRPr="00A34E32">
        <w:rPr>
          <w:rFonts w:eastAsia="Times New Roman" w:cs="Calibri"/>
          <w:i/>
          <w:lang w:val="es-ES_tradnl"/>
        </w:rPr>
        <w:t xml:space="preserve">“Diseño e Implementación de un Sistema Automatizado Para la Dosificación de cloro en el Tratamiento de Agua Potable En La Comunidad San Vicente De Lacas” </w:t>
      </w:r>
      <w:r w:rsidRPr="00A34E32">
        <w:rPr>
          <w:rFonts w:eastAsia="Times New Roman" w:cs="Calibri"/>
          <w:lang w:val="es-ES_tradnl"/>
        </w:rPr>
        <w:t>[</w:t>
      </w:r>
      <w:proofErr w:type="spellStart"/>
      <w:r w:rsidR="00AC77FD" w:rsidRPr="00A34E32">
        <w:rPr>
          <w:rFonts w:eastAsia="Times New Roman" w:cs="Calibri"/>
          <w:lang w:val="es-ES_tradnl"/>
        </w:rPr>
        <w:t>Graduate</w:t>
      </w:r>
      <w:proofErr w:type="spellEnd"/>
      <w:r w:rsidR="00AC77FD" w:rsidRPr="00A34E32">
        <w:rPr>
          <w:rFonts w:eastAsia="Times New Roman" w:cs="Calibri"/>
          <w:lang w:val="es-ES_tradnl"/>
        </w:rPr>
        <w:t xml:space="preserve"> </w:t>
      </w:r>
      <w:proofErr w:type="spellStart"/>
      <w:r w:rsidR="00AC77FD" w:rsidRPr="00A34E32">
        <w:rPr>
          <w:rFonts w:eastAsia="Times New Roman" w:cs="Calibri"/>
          <w:lang w:val="es-ES_tradnl"/>
        </w:rPr>
        <w:t>Thesis</w:t>
      </w:r>
      <w:proofErr w:type="spellEnd"/>
      <w:r w:rsidRPr="00A34E32">
        <w:rPr>
          <w:rFonts w:eastAsia="Times New Roman" w:cs="Calibri"/>
          <w:lang w:val="es-ES_tradnl"/>
        </w:rPr>
        <w:t xml:space="preserve">, Escuela Superior Politécnica </w:t>
      </w:r>
      <w:r w:rsidR="00AC77FD" w:rsidRPr="00A34E32">
        <w:rPr>
          <w:rFonts w:eastAsia="Times New Roman" w:cs="Calibri"/>
          <w:lang w:val="es-ES_tradnl"/>
        </w:rPr>
        <w:t>d</w:t>
      </w:r>
      <w:r w:rsidRPr="00A34E32">
        <w:rPr>
          <w:rFonts w:eastAsia="Times New Roman" w:cs="Calibri"/>
          <w:lang w:val="es-ES_tradnl"/>
        </w:rPr>
        <w:t>e Chimborazo]. http://dspace.espoch.edu.ec/handle/123456789/1888</w:t>
      </w:r>
    </w:p>
    <w:p w14:paraId="3A4A3654" w14:textId="77777777" w:rsidR="000E5799" w:rsidRPr="00D443AC" w:rsidRDefault="000E5799">
      <w:pPr>
        <w:ind w:left="480" w:hanging="480"/>
        <w:rPr>
          <w:rFonts w:eastAsia="Times New Roman" w:cs="Calibri"/>
        </w:rPr>
      </w:pPr>
      <w:r w:rsidRPr="00D443AC">
        <w:rPr>
          <w:rFonts w:eastAsia="Times New Roman" w:cs="Calibri"/>
        </w:rPr>
        <w:t xml:space="preserve">Chowdhury, S. H., Kehew, A. E., &amp; Passero, R. N. (2003). Correlation between Nitrate Contamination and Ground Water Pollution Potential. </w:t>
      </w:r>
      <w:r w:rsidRPr="00D443AC">
        <w:rPr>
          <w:rFonts w:eastAsia="Times New Roman" w:cs="Calibri"/>
          <w:i/>
        </w:rPr>
        <w:t>Ground Water</w:t>
      </w:r>
      <w:r w:rsidRPr="00D443AC">
        <w:rPr>
          <w:rFonts w:eastAsia="Times New Roman" w:cs="Calibri"/>
        </w:rPr>
        <w:t>, 41(6), 735–745. https://doi.org/10.1111/j.1745-6584.2003.tb02415.x</w:t>
      </w:r>
    </w:p>
    <w:p w14:paraId="4C130E34" w14:textId="77777777" w:rsidR="000E5799" w:rsidRPr="00D443AC" w:rsidRDefault="000E5799">
      <w:pPr>
        <w:ind w:left="480" w:hanging="480"/>
        <w:rPr>
          <w:rFonts w:eastAsia="Times New Roman" w:cs="Calibri"/>
        </w:rPr>
      </w:pPr>
      <w:r w:rsidRPr="00D443AC">
        <w:rPr>
          <w:rFonts w:eastAsia="Times New Roman" w:cs="Calibri"/>
        </w:rPr>
        <w:t xml:space="preserve">Du, Y., Lv, X. T., Wu, Q. Y., Zhang, D. Y., Zhou, Y. T., Peng, L., &amp; Hu, H. Y. (2017). Formation and control of disinfection byproducts and toxicity during reclaimed water chlorination: A review. </w:t>
      </w:r>
      <w:r w:rsidRPr="00D443AC">
        <w:rPr>
          <w:rFonts w:eastAsia="Times New Roman" w:cs="Calibri"/>
          <w:i/>
        </w:rPr>
        <w:t>Journal of Environmental Sciences</w:t>
      </w:r>
      <w:r w:rsidRPr="00D443AC">
        <w:rPr>
          <w:rFonts w:eastAsia="Times New Roman" w:cs="Calibri"/>
        </w:rPr>
        <w:t xml:space="preserve">, </w:t>
      </w:r>
      <w:r w:rsidRPr="00D443AC">
        <w:rPr>
          <w:rFonts w:eastAsia="Times New Roman" w:cs="Calibri"/>
          <w:i/>
        </w:rPr>
        <w:t>58</w:t>
      </w:r>
      <w:r w:rsidRPr="00D443AC">
        <w:rPr>
          <w:rFonts w:eastAsia="Times New Roman" w:cs="Calibri"/>
        </w:rPr>
        <w:t>, 51–63. https://doi.org/10.1016/j.jes.2017.01.013</w:t>
      </w:r>
    </w:p>
    <w:p w14:paraId="1214CAFE" w14:textId="269F55EF" w:rsidR="000E5799" w:rsidRPr="00A34E32" w:rsidRDefault="000E5799">
      <w:pPr>
        <w:ind w:left="480" w:hanging="480"/>
        <w:rPr>
          <w:rFonts w:eastAsia="Times New Roman" w:cs="Calibri"/>
          <w:lang w:val="es-ES_tradnl"/>
        </w:rPr>
      </w:pPr>
      <w:r w:rsidRPr="00D443AC">
        <w:rPr>
          <w:rFonts w:eastAsia="Times New Roman" w:cs="Calibri"/>
        </w:rPr>
        <w:t xml:space="preserve">EPA. (2001). </w:t>
      </w:r>
      <w:r w:rsidRPr="00D443AC">
        <w:rPr>
          <w:rFonts w:eastAsia="Times New Roman" w:cs="Calibri"/>
          <w:i/>
          <w:lang w:val="es-CR"/>
        </w:rPr>
        <w:t xml:space="preserve">Manual </w:t>
      </w:r>
      <w:r w:rsidR="004E34CF" w:rsidRPr="00D443AC">
        <w:rPr>
          <w:rFonts w:eastAsia="Times New Roman" w:cs="Calibri"/>
          <w:i/>
          <w:lang w:val="es-CR"/>
        </w:rPr>
        <w:t>d</w:t>
      </w:r>
      <w:r w:rsidRPr="00D443AC">
        <w:rPr>
          <w:rFonts w:eastAsia="Times New Roman" w:cs="Calibri"/>
          <w:i/>
          <w:lang w:val="es-CR"/>
        </w:rPr>
        <w:t xml:space="preserve">el Inspector - Cómo Realizar Inspecciones Sanitarias </w:t>
      </w:r>
      <w:r w:rsidR="00D443AC" w:rsidRPr="00D443AC">
        <w:rPr>
          <w:rFonts w:eastAsia="Times New Roman" w:cs="Calibri"/>
          <w:i/>
          <w:lang w:val="es-CR"/>
        </w:rPr>
        <w:t>e</w:t>
      </w:r>
      <w:r w:rsidRPr="00D443AC">
        <w:rPr>
          <w:rFonts w:eastAsia="Times New Roman" w:cs="Calibri"/>
          <w:i/>
          <w:lang w:val="es-CR"/>
        </w:rPr>
        <w:t>n Pequeños Sistemas de Agua</w:t>
      </w:r>
      <w:r w:rsidRPr="00D443AC">
        <w:rPr>
          <w:rFonts w:eastAsia="Times New Roman" w:cs="Calibri"/>
          <w:lang w:val="es-CR"/>
        </w:rPr>
        <w:t xml:space="preserve">. </w:t>
      </w:r>
      <w:r w:rsidRPr="00A34E32">
        <w:rPr>
          <w:rFonts w:eastAsia="Times New Roman" w:cs="Calibri"/>
          <w:lang w:val="es-ES_tradnl"/>
        </w:rPr>
        <w:t xml:space="preserve">Agencia de Protección Ambiental de los Estados Unidos. </w:t>
      </w:r>
    </w:p>
    <w:p w14:paraId="42BC2D8B" w14:textId="0A6025B2"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Espinoza, A., Morera, A., Mora, D., &amp; Torres, R. (2004). </w:t>
      </w:r>
      <w:r w:rsidRPr="00A34E32">
        <w:rPr>
          <w:rFonts w:eastAsia="Times New Roman" w:cs="Calibri"/>
          <w:i/>
          <w:lang w:val="es-ES_tradnl"/>
        </w:rPr>
        <w:t xml:space="preserve">Calidad del agua potable en Costa Rica: Situación actual y perspectivas. </w:t>
      </w:r>
      <w:r w:rsidRPr="00A34E32">
        <w:rPr>
          <w:rFonts w:eastAsia="Times New Roman" w:cs="Calibri"/>
          <w:lang w:val="es-ES_tradnl"/>
        </w:rPr>
        <w:t xml:space="preserve">Organización Panamericana de la Salud y Ministerio </w:t>
      </w:r>
      <w:r w:rsidRPr="00A34E32">
        <w:rPr>
          <w:rFonts w:eastAsia="Times New Roman" w:cs="Calibri"/>
          <w:lang w:val="es-ES_tradnl"/>
        </w:rPr>
        <w:lastRenderedPageBreak/>
        <w:t>de Salud.</w:t>
      </w:r>
    </w:p>
    <w:p w14:paraId="79A3C6AB" w14:textId="0FB9BB16" w:rsidR="00833A73" w:rsidRPr="00A34E32" w:rsidRDefault="00833A73">
      <w:pPr>
        <w:ind w:left="480" w:hanging="480"/>
        <w:rPr>
          <w:rFonts w:eastAsia="Times New Roman" w:cs="Calibri"/>
          <w:lang w:val="es-ES_tradnl"/>
        </w:rPr>
      </w:pPr>
      <w:proofErr w:type="spellStart"/>
      <w:r w:rsidRPr="00A34E32">
        <w:rPr>
          <w:rFonts w:eastAsia="Times New Roman" w:cs="Calibri"/>
          <w:lang w:val="es-ES_tradnl"/>
        </w:rPr>
        <w:t>Games</w:t>
      </w:r>
      <w:proofErr w:type="spellEnd"/>
      <w:r w:rsidRPr="00A34E32">
        <w:rPr>
          <w:rFonts w:eastAsia="Times New Roman" w:cs="Calibri"/>
          <w:lang w:val="es-ES_tradnl"/>
        </w:rPr>
        <w:t xml:space="preserve">, P. A.; </w:t>
      </w:r>
      <w:proofErr w:type="spellStart"/>
      <w:r w:rsidRPr="00A34E32">
        <w:rPr>
          <w:rFonts w:eastAsia="Times New Roman" w:cs="Calibri"/>
          <w:lang w:val="es-ES_tradnl"/>
        </w:rPr>
        <w:t>Keselman</w:t>
      </w:r>
      <w:proofErr w:type="spellEnd"/>
      <w:r w:rsidRPr="00A34E32">
        <w:rPr>
          <w:rFonts w:eastAsia="Times New Roman" w:cs="Calibri"/>
          <w:lang w:val="es-ES_tradnl"/>
        </w:rPr>
        <w:t xml:space="preserve">, H. J.; Rogan, J. C. </w:t>
      </w:r>
      <w:proofErr w:type="spellStart"/>
      <w:r w:rsidRPr="00A34E32">
        <w:rPr>
          <w:rFonts w:eastAsia="Times New Roman" w:cs="Calibri"/>
          <w:lang w:val="es-ES_tradnl"/>
        </w:rPr>
        <w:t>Simultaneous</w:t>
      </w:r>
      <w:proofErr w:type="spellEnd"/>
      <w:r w:rsidRPr="00A34E32">
        <w:rPr>
          <w:rFonts w:eastAsia="Times New Roman" w:cs="Calibri"/>
          <w:lang w:val="es-ES_tradnl"/>
        </w:rPr>
        <w:t xml:space="preserve"> </w:t>
      </w:r>
      <w:proofErr w:type="spellStart"/>
      <w:r w:rsidRPr="00A34E32">
        <w:rPr>
          <w:rFonts w:eastAsia="Times New Roman" w:cs="Calibri"/>
          <w:lang w:val="es-ES_tradnl"/>
        </w:rPr>
        <w:t>Pairwise</w:t>
      </w:r>
      <w:proofErr w:type="spellEnd"/>
      <w:r w:rsidRPr="00A34E32">
        <w:rPr>
          <w:rFonts w:eastAsia="Times New Roman" w:cs="Calibri"/>
          <w:lang w:val="es-ES_tradnl"/>
        </w:rPr>
        <w:t xml:space="preserve"> </w:t>
      </w:r>
      <w:proofErr w:type="spellStart"/>
      <w:r w:rsidRPr="00A34E32">
        <w:rPr>
          <w:rFonts w:eastAsia="Times New Roman" w:cs="Calibri"/>
          <w:lang w:val="es-ES_tradnl"/>
        </w:rPr>
        <w:t>Multiple</w:t>
      </w:r>
      <w:proofErr w:type="spellEnd"/>
      <w:r w:rsidRPr="00A34E32">
        <w:rPr>
          <w:rFonts w:eastAsia="Times New Roman" w:cs="Calibri"/>
          <w:lang w:val="es-ES_tradnl"/>
        </w:rPr>
        <w:t xml:space="preserve"> </w:t>
      </w:r>
      <w:proofErr w:type="spellStart"/>
      <w:r w:rsidRPr="00A34E32">
        <w:rPr>
          <w:rFonts w:eastAsia="Times New Roman" w:cs="Calibri"/>
          <w:lang w:val="es-ES_tradnl"/>
        </w:rPr>
        <w:t>Comparison</w:t>
      </w:r>
      <w:proofErr w:type="spellEnd"/>
      <w:r w:rsidRPr="00A34E32">
        <w:rPr>
          <w:rFonts w:eastAsia="Times New Roman" w:cs="Calibri"/>
          <w:lang w:val="es-ES_tradnl"/>
        </w:rPr>
        <w:t xml:space="preserve"> </w:t>
      </w:r>
      <w:proofErr w:type="spellStart"/>
      <w:r w:rsidRPr="00A34E32">
        <w:rPr>
          <w:rFonts w:eastAsia="Times New Roman" w:cs="Calibri"/>
          <w:lang w:val="es-ES_tradnl"/>
        </w:rPr>
        <w:t>Procedures</w:t>
      </w:r>
      <w:proofErr w:type="spellEnd"/>
      <w:r w:rsidRPr="00A34E32">
        <w:rPr>
          <w:rFonts w:eastAsia="Times New Roman" w:cs="Calibri"/>
          <w:lang w:val="es-ES_tradnl"/>
        </w:rPr>
        <w:t xml:space="preserve"> </w:t>
      </w:r>
      <w:proofErr w:type="spellStart"/>
      <w:r w:rsidRPr="00A34E32">
        <w:rPr>
          <w:rFonts w:eastAsia="Times New Roman" w:cs="Calibri"/>
          <w:lang w:val="es-ES_tradnl"/>
        </w:rPr>
        <w:t>for</w:t>
      </w:r>
      <w:proofErr w:type="spellEnd"/>
      <w:r w:rsidRPr="00A34E32">
        <w:rPr>
          <w:rFonts w:eastAsia="Times New Roman" w:cs="Calibri"/>
          <w:lang w:val="es-ES_tradnl"/>
        </w:rPr>
        <w:t xml:space="preserve"> </w:t>
      </w:r>
      <w:proofErr w:type="spellStart"/>
      <w:r w:rsidRPr="00A34E32">
        <w:rPr>
          <w:rFonts w:eastAsia="Times New Roman" w:cs="Calibri"/>
          <w:lang w:val="es-ES_tradnl"/>
        </w:rPr>
        <w:t>Means</w:t>
      </w:r>
      <w:proofErr w:type="spellEnd"/>
      <w:r w:rsidRPr="00A34E32">
        <w:rPr>
          <w:rFonts w:eastAsia="Times New Roman" w:cs="Calibri"/>
          <w:lang w:val="es-ES_tradnl"/>
        </w:rPr>
        <w:t xml:space="preserve"> </w:t>
      </w:r>
      <w:proofErr w:type="spellStart"/>
      <w:r w:rsidRPr="00A34E32">
        <w:rPr>
          <w:rFonts w:eastAsia="Times New Roman" w:cs="Calibri"/>
          <w:lang w:val="es-ES_tradnl"/>
        </w:rPr>
        <w:t>When</w:t>
      </w:r>
      <w:proofErr w:type="spellEnd"/>
      <w:r w:rsidRPr="00A34E32">
        <w:rPr>
          <w:rFonts w:eastAsia="Times New Roman" w:cs="Calibri"/>
          <w:lang w:val="es-ES_tradnl"/>
        </w:rPr>
        <w:t xml:space="preserve"> </w:t>
      </w:r>
      <w:proofErr w:type="spellStart"/>
      <w:r w:rsidRPr="00A34E32">
        <w:rPr>
          <w:rFonts w:eastAsia="Times New Roman" w:cs="Calibri"/>
          <w:lang w:val="es-ES_tradnl"/>
        </w:rPr>
        <w:t>Sample</w:t>
      </w:r>
      <w:proofErr w:type="spellEnd"/>
      <w:r w:rsidRPr="00A34E32">
        <w:rPr>
          <w:rFonts w:eastAsia="Times New Roman" w:cs="Calibri"/>
          <w:lang w:val="es-ES_tradnl"/>
        </w:rPr>
        <w:t xml:space="preserve"> </w:t>
      </w:r>
      <w:proofErr w:type="spellStart"/>
      <w:r w:rsidRPr="00A34E32">
        <w:rPr>
          <w:rFonts w:eastAsia="Times New Roman" w:cs="Calibri"/>
          <w:lang w:val="es-ES_tradnl"/>
        </w:rPr>
        <w:t>Sizes</w:t>
      </w:r>
      <w:proofErr w:type="spellEnd"/>
      <w:r w:rsidRPr="00A34E32">
        <w:rPr>
          <w:rFonts w:eastAsia="Times New Roman" w:cs="Calibri"/>
          <w:lang w:val="es-ES_tradnl"/>
        </w:rPr>
        <w:t xml:space="preserve"> Are </w:t>
      </w:r>
      <w:proofErr w:type="spellStart"/>
      <w:r w:rsidRPr="00A34E32">
        <w:rPr>
          <w:rFonts w:eastAsia="Times New Roman" w:cs="Calibri"/>
          <w:lang w:val="es-ES_tradnl"/>
        </w:rPr>
        <w:t>Unequal</w:t>
      </w:r>
      <w:proofErr w:type="spellEnd"/>
      <w:r w:rsidRPr="00A34E32">
        <w:rPr>
          <w:rFonts w:eastAsia="Times New Roman" w:cs="Calibri"/>
          <w:lang w:val="es-ES_tradnl"/>
        </w:rPr>
        <w:t xml:space="preserve">. </w:t>
      </w:r>
      <w:proofErr w:type="spellStart"/>
      <w:r w:rsidRPr="00A34E32">
        <w:rPr>
          <w:rFonts w:eastAsia="Times New Roman" w:cs="Calibri"/>
          <w:lang w:val="es-ES_tradnl"/>
        </w:rPr>
        <w:t>Psychol</w:t>
      </w:r>
      <w:proofErr w:type="spellEnd"/>
      <w:r w:rsidRPr="00A34E32">
        <w:rPr>
          <w:rFonts w:eastAsia="Times New Roman" w:cs="Calibri"/>
          <w:lang w:val="es-ES_tradnl"/>
        </w:rPr>
        <w:t xml:space="preserve">. Bull. 1981, 90 (3), 594–598. </w:t>
      </w:r>
      <w:r w:rsidR="005B0BF4" w:rsidRPr="00A34E32">
        <w:rPr>
          <w:rFonts w:eastAsia="Times New Roman" w:cs="Calibri"/>
          <w:lang w:val="es-ES_tradnl"/>
        </w:rPr>
        <w:t>https://doi.org/10.1037/0033-2909.90.3.594.</w:t>
      </w:r>
    </w:p>
    <w:p w14:paraId="482BFAF9"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García-Ubaque, C. A., García-Ubaque, J. C., Rodríguez-Miranda, J. P., Pacheco-García, R., &amp; García-Vaca, M. C. (2018). </w:t>
      </w:r>
      <w:r w:rsidRPr="00D443AC">
        <w:rPr>
          <w:rFonts w:eastAsia="Times New Roman" w:cs="Calibri"/>
        </w:rPr>
        <w:t xml:space="preserve">Limitations of the water quality risk index as an estimator of quality for human consumption. </w:t>
      </w:r>
      <w:r w:rsidRPr="00A34E32">
        <w:rPr>
          <w:rFonts w:eastAsia="Times New Roman" w:cs="Calibri"/>
          <w:i/>
          <w:lang w:val="es-ES_tradnl"/>
        </w:rPr>
        <w:t xml:space="preserve">Revista de Salud </w:t>
      </w:r>
      <w:proofErr w:type="spellStart"/>
      <w:r w:rsidRPr="00A34E32">
        <w:rPr>
          <w:rFonts w:eastAsia="Times New Roman" w:cs="Calibri"/>
          <w:i/>
          <w:lang w:val="es-ES_tradnl"/>
        </w:rPr>
        <w:t>Publica</w:t>
      </w:r>
      <w:proofErr w:type="spellEnd"/>
      <w:r w:rsidRPr="00A34E32">
        <w:rPr>
          <w:rFonts w:eastAsia="Times New Roman" w:cs="Calibri"/>
          <w:lang w:val="es-ES_tradnl"/>
        </w:rPr>
        <w:t xml:space="preserve">, </w:t>
      </w:r>
      <w:r w:rsidRPr="00A34E32">
        <w:rPr>
          <w:rFonts w:eastAsia="Times New Roman" w:cs="Calibri"/>
          <w:i/>
          <w:lang w:val="es-ES_tradnl"/>
        </w:rPr>
        <w:t>20</w:t>
      </w:r>
      <w:r w:rsidRPr="00A34E32">
        <w:rPr>
          <w:rFonts w:eastAsia="Times New Roman" w:cs="Calibri"/>
          <w:lang w:val="es-ES_tradnl"/>
        </w:rPr>
        <w:t>(2), 204–207. https://doi.org/10.15446/rsap.v20n2.65952</w:t>
      </w:r>
    </w:p>
    <w:p w14:paraId="5A47F540"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Gaviria-Montoya, L., Pino-Gómez, M., &amp; Soto-Córdoba, S. (2016a). </w:t>
      </w:r>
      <w:r w:rsidRPr="00A34E32">
        <w:rPr>
          <w:rFonts w:eastAsia="Times New Roman" w:cs="Calibri"/>
          <w:i/>
          <w:lang w:val="es-ES_tradnl"/>
        </w:rPr>
        <w:t xml:space="preserve">Evaluación de la gestión de la asada de </w:t>
      </w:r>
      <w:proofErr w:type="spellStart"/>
      <w:r w:rsidRPr="00A34E32">
        <w:rPr>
          <w:rFonts w:eastAsia="Times New Roman" w:cs="Calibri"/>
          <w:i/>
          <w:lang w:val="es-ES_tradnl"/>
        </w:rPr>
        <w:t>Cot</w:t>
      </w:r>
      <w:proofErr w:type="spellEnd"/>
      <w:r w:rsidRPr="00A34E32">
        <w:rPr>
          <w:rFonts w:eastAsia="Times New Roman" w:cs="Calibri"/>
          <w:i/>
          <w:lang w:val="es-ES_tradnl"/>
        </w:rPr>
        <w:t xml:space="preserve">, </w:t>
      </w:r>
      <w:proofErr w:type="spellStart"/>
      <w:r w:rsidRPr="00A34E32">
        <w:rPr>
          <w:rFonts w:eastAsia="Times New Roman" w:cs="Calibri"/>
          <w:i/>
          <w:lang w:val="es-ES_tradnl"/>
        </w:rPr>
        <w:t>Cot</w:t>
      </w:r>
      <w:proofErr w:type="spellEnd"/>
      <w:r w:rsidRPr="00A34E32">
        <w:rPr>
          <w:rFonts w:eastAsia="Times New Roman" w:cs="Calibri"/>
          <w:i/>
          <w:lang w:val="es-ES_tradnl"/>
        </w:rPr>
        <w:t>, Oreamuno, desde una perspectiva del uso sostenible del recurso hídrico</w:t>
      </w:r>
      <w:r w:rsidRPr="00A34E32">
        <w:rPr>
          <w:rFonts w:eastAsia="Times New Roman" w:cs="Calibri"/>
          <w:lang w:val="es-ES_tradnl"/>
        </w:rPr>
        <w:t>. Centro de Investigación en Protección Ambiental.</w:t>
      </w:r>
    </w:p>
    <w:p w14:paraId="15988D71"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Gaviria-Montoya, L., Pino-Gómez, M., &amp; Soto-Córdoba, S. (2016b). </w:t>
      </w:r>
      <w:r w:rsidRPr="00A34E32">
        <w:rPr>
          <w:rFonts w:eastAsia="Times New Roman" w:cs="Calibri"/>
          <w:i/>
          <w:lang w:val="es-ES_tradnl"/>
        </w:rPr>
        <w:t xml:space="preserve">Evaluación de la gestión de la ASADA de </w:t>
      </w:r>
      <w:proofErr w:type="spellStart"/>
      <w:r w:rsidRPr="00A34E32">
        <w:rPr>
          <w:rFonts w:eastAsia="Times New Roman" w:cs="Calibri"/>
          <w:i/>
          <w:lang w:val="es-ES_tradnl"/>
        </w:rPr>
        <w:t>Cooperosales</w:t>
      </w:r>
      <w:proofErr w:type="spellEnd"/>
      <w:r w:rsidRPr="00A34E32">
        <w:rPr>
          <w:rFonts w:eastAsia="Times New Roman" w:cs="Calibri"/>
          <w:i/>
          <w:lang w:val="es-ES_tradnl"/>
        </w:rPr>
        <w:t>, San Nicolás, Cartago, desde una perspectiva del uso sostenible del recurso hídrico</w:t>
      </w:r>
      <w:r w:rsidRPr="00A34E32">
        <w:rPr>
          <w:rFonts w:eastAsia="Times New Roman" w:cs="Calibri"/>
          <w:lang w:val="es-ES_tradnl"/>
        </w:rPr>
        <w:t>. Centro de Investigación en Protección Ambiental.</w:t>
      </w:r>
    </w:p>
    <w:p w14:paraId="1876DED3"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Gaviria-Montoya, L., Pino-Gómez, M., &amp; Soto-Córdoba, S. (2016c). </w:t>
      </w:r>
      <w:r w:rsidRPr="00A34E32">
        <w:rPr>
          <w:rFonts w:eastAsia="Times New Roman" w:cs="Calibri"/>
          <w:i/>
          <w:lang w:val="es-ES_tradnl"/>
        </w:rPr>
        <w:t>Evaluación de la gestión de la ASADA de San Isidro, San Isidro, el Guarco, desde una perspectiva del uso sostenible del recurso hídrico</w:t>
      </w:r>
      <w:r w:rsidRPr="00A34E32">
        <w:rPr>
          <w:rFonts w:eastAsia="Times New Roman" w:cs="Calibri"/>
          <w:lang w:val="es-ES_tradnl"/>
        </w:rPr>
        <w:t>. Centro de Investigación en Protección Ambiental.</w:t>
      </w:r>
    </w:p>
    <w:p w14:paraId="234F1607" w14:textId="6BCD2293"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Gómez-Soto, A., &amp; Payán-López, J. (2008). </w:t>
      </w:r>
      <w:r w:rsidRPr="00A34E32">
        <w:rPr>
          <w:rFonts w:eastAsia="Times New Roman" w:cs="Calibri"/>
          <w:i/>
          <w:lang w:val="es-ES_tradnl"/>
        </w:rPr>
        <w:t xml:space="preserve">Evaluación de las condiciones de dosificación de </w:t>
      </w:r>
      <w:proofErr w:type="spellStart"/>
      <w:r w:rsidRPr="00A34E32">
        <w:rPr>
          <w:rFonts w:eastAsia="Times New Roman" w:cs="Calibri"/>
          <w:i/>
          <w:lang w:val="es-ES_tradnl"/>
        </w:rPr>
        <w:t>clroro</w:t>
      </w:r>
      <w:proofErr w:type="spellEnd"/>
      <w:r w:rsidRPr="00A34E32">
        <w:rPr>
          <w:rFonts w:eastAsia="Times New Roman" w:cs="Calibri"/>
          <w:i/>
          <w:lang w:val="es-ES_tradnl"/>
        </w:rPr>
        <w:t xml:space="preserve"> en la planta de tratamiento del acueducto </w:t>
      </w:r>
      <w:proofErr w:type="spellStart"/>
      <w:r w:rsidRPr="00A34E32">
        <w:rPr>
          <w:rFonts w:eastAsia="Times New Roman" w:cs="Calibri"/>
          <w:i/>
          <w:lang w:val="es-ES_tradnl"/>
        </w:rPr>
        <w:t>Cestillal</w:t>
      </w:r>
      <w:proofErr w:type="spellEnd"/>
      <w:r w:rsidRPr="00A34E32">
        <w:rPr>
          <w:rFonts w:eastAsia="Times New Roman" w:cs="Calibri"/>
          <w:i/>
          <w:lang w:val="es-ES_tradnl"/>
        </w:rPr>
        <w:t>- El Diamante “</w:t>
      </w:r>
      <w:proofErr w:type="spellStart"/>
      <w:r w:rsidRPr="00A34E32">
        <w:rPr>
          <w:rFonts w:eastAsia="Times New Roman" w:cs="Calibri"/>
          <w:i/>
          <w:lang w:val="es-ES_tradnl"/>
        </w:rPr>
        <w:t>Acucesdi</w:t>
      </w:r>
      <w:proofErr w:type="spellEnd"/>
      <w:r w:rsidRPr="00A34E32">
        <w:rPr>
          <w:rFonts w:eastAsia="Times New Roman" w:cs="Calibri"/>
          <w:i/>
          <w:lang w:val="es-ES_tradnl"/>
        </w:rPr>
        <w:t>”</w:t>
      </w:r>
      <w:r w:rsidR="00AC77FD" w:rsidRPr="00A34E32">
        <w:rPr>
          <w:rFonts w:eastAsia="Times New Roman" w:cs="Calibri"/>
          <w:i/>
          <w:lang w:val="es-ES_tradnl"/>
        </w:rPr>
        <w:t xml:space="preserve"> </w:t>
      </w:r>
      <w:r w:rsidRPr="00A34E32">
        <w:rPr>
          <w:rFonts w:eastAsia="Times New Roman" w:cs="Calibri"/>
          <w:lang w:val="es-ES_tradnl"/>
        </w:rPr>
        <w:t>[</w:t>
      </w:r>
      <w:proofErr w:type="spellStart"/>
      <w:r w:rsidR="00AC77FD" w:rsidRPr="00A34E32">
        <w:rPr>
          <w:rFonts w:eastAsia="Times New Roman" w:cs="Calibri"/>
          <w:lang w:val="es-ES_tradnl"/>
        </w:rPr>
        <w:t>Graduate</w:t>
      </w:r>
      <w:proofErr w:type="spellEnd"/>
      <w:r w:rsidR="00AC77FD" w:rsidRPr="00A34E32">
        <w:rPr>
          <w:rFonts w:eastAsia="Times New Roman" w:cs="Calibri"/>
          <w:lang w:val="es-ES_tradnl"/>
        </w:rPr>
        <w:t xml:space="preserve"> </w:t>
      </w:r>
      <w:proofErr w:type="spellStart"/>
      <w:r w:rsidR="00AC77FD" w:rsidRPr="00A34E32">
        <w:rPr>
          <w:rFonts w:eastAsia="Times New Roman" w:cs="Calibri"/>
          <w:lang w:val="es-ES_tradnl"/>
        </w:rPr>
        <w:t>Thesis</w:t>
      </w:r>
      <w:proofErr w:type="spellEnd"/>
      <w:r w:rsidRPr="00A34E32">
        <w:rPr>
          <w:rFonts w:eastAsia="Times New Roman" w:cs="Calibri"/>
          <w:lang w:val="es-ES_tradnl"/>
        </w:rPr>
        <w:t>, Universidad Tecnológica de Pereira]. https://hdl.handle.net/11059/1057</w:t>
      </w:r>
    </w:p>
    <w:p w14:paraId="2C0CC810" w14:textId="200C9464" w:rsidR="000E5799" w:rsidRPr="00A34E32" w:rsidRDefault="000E5799">
      <w:pPr>
        <w:ind w:left="480" w:hanging="480"/>
        <w:rPr>
          <w:rFonts w:eastAsia="Times New Roman" w:cs="Calibri"/>
          <w:lang w:val="es-ES_tradnl"/>
        </w:rPr>
      </w:pPr>
      <w:r w:rsidRPr="00A34E32">
        <w:rPr>
          <w:rFonts w:eastAsia="Times New Roman" w:cs="Calibri"/>
          <w:lang w:val="es-ES_tradnl"/>
        </w:rPr>
        <w:t>Gonz</w:t>
      </w:r>
      <w:r w:rsidR="009D18DF" w:rsidRPr="00A34E32">
        <w:rPr>
          <w:rFonts w:eastAsia="Times New Roman" w:cs="Calibri"/>
          <w:lang w:val="es-ES_tradnl"/>
        </w:rPr>
        <w:t>á</w:t>
      </w:r>
      <w:r w:rsidRPr="00A34E32">
        <w:rPr>
          <w:rFonts w:eastAsia="Times New Roman" w:cs="Calibri"/>
          <w:lang w:val="es-ES_tradnl"/>
        </w:rPr>
        <w:t xml:space="preserve">lez, A. (2011). </w:t>
      </w:r>
      <w:r w:rsidRPr="00A34E32">
        <w:rPr>
          <w:rFonts w:eastAsia="Times New Roman" w:cs="Calibri"/>
          <w:i/>
          <w:lang w:val="es-ES_tradnl"/>
        </w:rPr>
        <w:t xml:space="preserve">Desinfección del agua, mediante el uso del ácido </w:t>
      </w:r>
      <w:proofErr w:type="spellStart"/>
      <w:r w:rsidRPr="00A34E32">
        <w:rPr>
          <w:rFonts w:eastAsia="Times New Roman" w:cs="Calibri"/>
          <w:i/>
          <w:lang w:val="es-ES_tradnl"/>
        </w:rPr>
        <w:t>tricloroisocianúrico</w:t>
      </w:r>
      <w:proofErr w:type="spellEnd"/>
      <w:r w:rsidRPr="00A34E32">
        <w:rPr>
          <w:rFonts w:eastAsia="Times New Roman" w:cs="Calibri"/>
          <w:lang w:val="es-ES_tradnl"/>
        </w:rPr>
        <w:t>. [</w:t>
      </w:r>
      <w:proofErr w:type="spellStart"/>
      <w:r w:rsidRPr="00A34E32">
        <w:rPr>
          <w:rFonts w:eastAsia="Times New Roman" w:cs="Calibri"/>
          <w:lang w:val="es-ES_tradnl"/>
        </w:rPr>
        <w:t>Master's</w:t>
      </w:r>
      <w:proofErr w:type="spellEnd"/>
      <w:r w:rsidRPr="00A34E32">
        <w:rPr>
          <w:rFonts w:eastAsia="Times New Roman" w:cs="Calibri"/>
          <w:lang w:val="es-ES_tradnl"/>
        </w:rPr>
        <w:t xml:space="preserve"> </w:t>
      </w:r>
      <w:proofErr w:type="spellStart"/>
      <w:r w:rsidRPr="00A34E32">
        <w:rPr>
          <w:rFonts w:eastAsia="Times New Roman" w:cs="Calibri"/>
          <w:lang w:val="es-ES_tradnl"/>
        </w:rPr>
        <w:t>thesis</w:t>
      </w:r>
      <w:proofErr w:type="spellEnd"/>
      <w:r w:rsidRPr="00A34E32">
        <w:rPr>
          <w:rFonts w:eastAsia="Times New Roman" w:cs="Calibri"/>
          <w:lang w:val="es-ES_tradnl"/>
        </w:rPr>
        <w:t xml:space="preserve">, Instituto tecnológico de Costa Rica]. https://hdl.handle.net/2238/5666 </w:t>
      </w:r>
    </w:p>
    <w:p w14:paraId="0163C62A"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Harris, D. C. (2007). </w:t>
      </w:r>
      <w:r w:rsidRPr="00A34E32">
        <w:rPr>
          <w:rFonts w:eastAsia="Times New Roman" w:cs="Calibri"/>
          <w:i/>
          <w:lang w:val="es-ES_tradnl"/>
        </w:rPr>
        <w:t>Análisis Químico Cuantitativo.</w:t>
      </w:r>
      <w:r w:rsidRPr="00A34E32">
        <w:rPr>
          <w:rFonts w:eastAsia="Times New Roman" w:cs="Calibri"/>
          <w:lang w:val="es-ES_tradnl"/>
        </w:rPr>
        <w:t xml:space="preserve"> (3rd ed.). Editorial Reverté.</w:t>
      </w:r>
    </w:p>
    <w:p w14:paraId="6BB5DD25" w14:textId="77777777" w:rsidR="000E5799" w:rsidRPr="00A34E32" w:rsidRDefault="000E5799">
      <w:pPr>
        <w:ind w:left="480" w:hanging="480"/>
        <w:rPr>
          <w:rFonts w:eastAsia="Times New Roman" w:cs="Calibri"/>
          <w:lang w:val="es-ES_tradnl"/>
        </w:rPr>
      </w:pPr>
      <w:proofErr w:type="spellStart"/>
      <w:r w:rsidRPr="00A34E32">
        <w:rPr>
          <w:rFonts w:eastAsia="Times New Roman" w:cs="Calibri"/>
          <w:lang w:val="es-ES_tradnl"/>
        </w:rPr>
        <w:t>Horna</w:t>
      </w:r>
      <w:proofErr w:type="spellEnd"/>
      <w:r w:rsidRPr="00A34E32">
        <w:rPr>
          <w:rFonts w:eastAsia="Times New Roman" w:cs="Calibri"/>
          <w:lang w:val="es-ES_tradnl"/>
        </w:rPr>
        <w:t xml:space="preserve">, D. (2014). </w:t>
      </w:r>
      <w:r w:rsidRPr="00A34E32">
        <w:rPr>
          <w:rFonts w:eastAsia="Times New Roman" w:cs="Calibri"/>
          <w:i/>
          <w:lang w:val="es-ES_tradnl"/>
        </w:rPr>
        <w:t>“Optimización del consumo de cloro en la potabilización del agua, haciendo uso del método del nivel estático en reservorio del sistema de agua potable rural del caserío el Tambo distrito de José Gálvez - 2014”</w:t>
      </w:r>
      <w:r w:rsidRPr="00A34E32">
        <w:rPr>
          <w:rFonts w:eastAsia="Times New Roman" w:cs="Calibri"/>
          <w:lang w:val="es-ES_tradnl"/>
        </w:rPr>
        <w:t xml:space="preserve"> [</w:t>
      </w:r>
      <w:proofErr w:type="spellStart"/>
      <w:r w:rsidRPr="00A34E32">
        <w:rPr>
          <w:rFonts w:eastAsia="Times New Roman" w:cs="Calibri"/>
          <w:lang w:val="es-ES_tradnl"/>
        </w:rPr>
        <w:t>Graduate</w:t>
      </w:r>
      <w:proofErr w:type="spellEnd"/>
      <w:r w:rsidRPr="00A34E32">
        <w:rPr>
          <w:rFonts w:eastAsia="Times New Roman" w:cs="Calibri"/>
          <w:lang w:val="es-ES_tradnl"/>
        </w:rPr>
        <w:t xml:space="preserve"> </w:t>
      </w:r>
      <w:proofErr w:type="spellStart"/>
      <w:r w:rsidRPr="00A34E32">
        <w:rPr>
          <w:rFonts w:eastAsia="Times New Roman" w:cs="Calibri"/>
          <w:lang w:val="es-ES_tradnl"/>
        </w:rPr>
        <w:t>Thesis</w:t>
      </w:r>
      <w:proofErr w:type="spellEnd"/>
      <w:r w:rsidRPr="00A34E32">
        <w:rPr>
          <w:rFonts w:eastAsia="Times New Roman" w:cs="Calibri"/>
          <w:lang w:val="es-ES_tradnl"/>
        </w:rPr>
        <w:t>, Universidad Nacional de Cajamarca] https://repositorio.unc.edu.pe/bitstream/handle/20.500.14074/653/T%20628.162%20H813%202014.pdf?sequence=1&amp;isAllowed=y</w:t>
      </w:r>
    </w:p>
    <w:p w14:paraId="3AF1D4DF"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Ibarguen-Castañeda, M., &amp; Bernal-Mejía, L. (2008). </w:t>
      </w:r>
      <w:r w:rsidRPr="00A34E32">
        <w:rPr>
          <w:rFonts w:eastAsia="Times New Roman" w:cs="Calibri"/>
          <w:i/>
          <w:lang w:val="es-ES_tradnl"/>
        </w:rPr>
        <w:t>Establecer la demanda de cloro en el acueducto Tribunas Córcega de la ciudad de Pereira</w:t>
      </w:r>
      <w:r w:rsidRPr="00A34E32">
        <w:rPr>
          <w:rFonts w:eastAsia="Times New Roman" w:cs="Calibri"/>
          <w:lang w:val="es-ES_tradnl"/>
        </w:rPr>
        <w:t>. [</w:t>
      </w:r>
      <w:proofErr w:type="spellStart"/>
      <w:r w:rsidRPr="00A34E32">
        <w:rPr>
          <w:rFonts w:eastAsia="Times New Roman" w:cs="Calibri"/>
          <w:lang w:val="es-ES_tradnl"/>
        </w:rPr>
        <w:t>Graduate</w:t>
      </w:r>
      <w:proofErr w:type="spellEnd"/>
      <w:r w:rsidRPr="00A34E32">
        <w:rPr>
          <w:rFonts w:eastAsia="Times New Roman" w:cs="Calibri"/>
          <w:lang w:val="es-ES_tradnl"/>
        </w:rPr>
        <w:t xml:space="preserve"> </w:t>
      </w:r>
      <w:proofErr w:type="spellStart"/>
      <w:r w:rsidRPr="00A34E32">
        <w:rPr>
          <w:rFonts w:eastAsia="Times New Roman" w:cs="Calibri"/>
          <w:lang w:val="es-ES_tradnl"/>
        </w:rPr>
        <w:t>Thesis</w:t>
      </w:r>
      <w:proofErr w:type="spellEnd"/>
      <w:r w:rsidRPr="00A34E32">
        <w:rPr>
          <w:rFonts w:eastAsia="Times New Roman" w:cs="Calibri"/>
          <w:lang w:val="es-ES_tradnl"/>
        </w:rPr>
        <w:t>, Universidad Tecnológica de Pereira]. https://hdl.handle.net/11059/1784</w:t>
      </w:r>
    </w:p>
    <w:p w14:paraId="6A803AC3" w14:textId="5B8348F7" w:rsidR="000E5799" w:rsidRPr="00D443AC" w:rsidRDefault="000E5799">
      <w:pPr>
        <w:ind w:left="480" w:hanging="480"/>
        <w:rPr>
          <w:rFonts w:eastAsia="Times New Roman" w:cs="Calibri"/>
        </w:rPr>
      </w:pPr>
      <w:r w:rsidRPr="00D443AC">
        <w:rPr>
          <w:rFonts w:eastAsia="Times New Roman" w:cs="Calibri"/>
        </w:rPr>
        <w:t xml:space="preserve">Laky, D., </w:t>
      </w:r>
      <w:r w:rsidR="00AC77FD" w:rsidRPr="00D443AC">
        <w:rPr>
          <w:rFonts w:eastAsia="Times New Roman" w:cs="Calibri"/>
        </w:rPr>
        <w:t>&amp;</w:t>
      </w:r>
      <w:r w:rsidRPr="00D443AC">
        <w:rPr>
          <w:rFonts w:eastAsia="Times New Roman" w:cs="Calibri"/>
        </w:rPr>
        <w:t xml:space="preserve"> Neguez, S. (2024). Optimization of Breakpoint Chlorination Technologies for Drinking Water Treatment: a Hungarian Case Study. </w:t>
      </w:r>
      <w:r w:rsidRPr="00D443AC">
        <w:rPr>
          <w:rFonts w:eastAsia="Times New Roman" w:cs="Calibri"/>
          <w:i/>
        </w:rPr>
        <w:t>Periodica Polytechnica Civil Engineering</w:t>
      </w:r>
      <w:r w:rsidRPr="00D443AC">
        <w:rPr>
          <w:rFonts w:eastAsia="Times New Roman" w:cs="Calibri"/>
        </w:rPr>
        <w:t xml:space="preserve">, </w:t>
      </w:r>
      <w:r w:rsidRPr="00D443AC">
        <w:rPr>
          <w:rFonts w:eastAsia="Times New Roman" w:cs="Calibri"/>
          <w:i/>
        </w:rPr>
        <w:t>3023</w:t>
      </w:r>
      <w:r w:rsidRPr="00D443AC">
        <w:rPr>
          <w:rFonts w:eastAsia="Times New Roman" w:cs="Calibri"/>
        </w:rPr>
        <w:t xml:space="preserve">(5), 1–12. https://doi.org/10.3311/PPci.22760 </w:t>
      </w:r>
    </w:p>
    <w:p w14:paraId="545B3D2E" w14:textId="77777777" w:rsidR="000E5799" w:rsidRPr="00D443AC" w:rsidRDefault="000E5799">
      <w:pPr>
        <w:ind w:left="480" w:hanging="480"/>
        <w:rPr>
          <w:rFonts w:eastAsia="Times New Roman" w:cs="Calibri"/>
        </w:rPr>
      </w:pPr>
      <w:r w:rsidRPr="00D443AC">
        <w:rPr>
          <w:rFonts w:eastAsia="Times New Roman" w:cs="Calibri"/>
        </w:rPr>
        <w:t xml:space="preserve">Mageshkumar, P., &amp; Vennila, G. (2020). Assessment of errors in water quality data using ion balancing methods - A case study from Cauvery River, South India. </w:t>
      </w:r>
      <w:r w:rsidRPr="00D443AC">
        <w:rPr>
          <w:rFonts w:eastAsia="Times New Roman" w:cs="Calibri"/>
          <w:i/>
        </w:rPr>
        <w:t>Indian Journal of Geo-Marine Sciences</w:t>
      </w:r>
      <w:r w:rsidRPr="00D443AC">
        <w:rPr>
          <w:rFonts w:eastAsia="Times New Roman" w:cs="Calibri"/>
        </w:rPr>
        <w:t xml:space="preserve">, </w:t>
      </w:r>
      <w:r w:rsidRPr="00D443AC">
        <w:rPr>
          <w:rFonts w:eastAsia="Times New Roman" w:cs="Calibri"/>
          <w:i/>
        </w:rPr>
        <w:t>49</w:t>
      </w:r>
      <w:r w:rsidRPr="00D443AC">
        <w:rPr>
          <w:rFonts w:eastAsia="Times New Roman" w:cs="Calibri"/>
        </w:rPr>
        <w:t>(1), 57–62.</w:t>
      </w:r>
    </w:p>
    <w:p w14:paraId="4B46EE98" w14:textId="77777777" w:rsidR="000E5799" w:rsidRPr="00A34E32" w:rsidRDefault="000E5799">
      <w:pPr>
        <w:ind w:left="480" w:hanging="480"/>
        <w:rPr>
          <w:rFonts w:eastAsia="Times New Roman" w:cs="Calibri"/>
          <w:lang w:val="es-ES_tradnl"/>
        </w:rPr>
      </w:pPr>
      <w:r w:rsidRPr="00D443AC">
        <w:rPr>
          <w:rFonts w:eastAsia="Times New Roman" w:cs="Calibri"/>
        </w:rPr>
        <w:t xml:space="preserve">Mazhar, M. A., Khan, N. A., Ahmed, S., Khan, A. H., Hussain, A., Rahisuddin, Changani, F., Yousefi, M., Ahmadi, S., &amp; Vambol, V. (2020). Chlorination disinfection by-products in municipal drinking water – A review. </w:t>
      </w:r>
      <w:proofErr w:type="spellStart"/>
      <w:r w:rsidRPr="00A34E32">
        <w:rPr>
          <w:rFonts w:eastAsia="Times New Roman" w:cs="Calibri"/>
          <w:i/>
          <w:lang w:val="es-ES_tradnl"/>
        </w:rPr>
        <w:t>Journal</w:t>
      </w:r>
      <w:proofErr w:type="spellEnd"/>
      <w:r w:rsidRPr="00A34E32">
        <w:rPr>
          <w:rFonts w:eastAsia="Times New Roman" w:cs="Calibri"/>
          <w:i/>
          <w:lang w:val="es-ES_tradnl"/>
        </w:rPr>
        <w:t xml:space="preserve"> of </w:t>
      </w:r>
      <w:proofErr w:type="spellStart"/>
      <w:r w:rsidRPr="00A34E32">
        <w:rPr>
          <w:rFonts w:eastAsia="Times New Roman" w:cs="Calibri"/>
          <w:i/>
          <w:lang w:val="es-ES_tradnl"/>
        </w:rPr>
        <w:t>Cleaner</w:t>
      </w:r>
      <w:proofErr w:type="spellEnd"/>
      <w:r w:rsidRPr="00A34E32">
        <w:rPr>
          <w:rFonts w:eastAsia="Times New Roman" w:cs="Calibri"/>
          <w:i/>
          <w:lang w:val="es-ES_tradnl"/>
        </w:rPr>
        <w:t xml:space="preserve"> </w:t>
      </w:r>
      <w:proofErr w:type="spellStart"/>
      <w:r w:rsidRPr="00A34E32">
        <w:rPr>
          <w:rFonts w:eastAsia="Times New Roman" w:cs="Calibri"/>
          <w:i/>
          <w:lang w:val="es-ES_tradnl"/>
        </w:rPr>
        <w:t>Production</w:t>
      </w:r>
      <w:proofErr w:type="spellEnd"/>
      <w:r w:rsidRPr="00A34E32">
        <w:rPr>
          <w:rFonts w:eastAsia="Times New Roman" w:cs="Calibri"/>
          <w:lang w:val="es-ES_tradnl"/>
        </w:rPr>
        <w:t xml:space="preserve">, </w:t>
      </w:r>
      <w:r w:rsidRPr="00A34E32">
        <w:rPr>
          <w:rFonts w:eastAsia="Times New Roman" w:cs="Calibri"/>
          <w:i/>
          <w:lang w:val="es-ES_tradnl"/>
        </w:rPr>
        <w:t>273</w:t>
      </w:r>
      <w:r w:rsidRPr="00A34E32">
        <w:rPr>
          <w:rFonts w:eastAsia="Times New Roman" w:cs="Calibri"/>
          <w:lang w:val="es-ES_tradnl"/>
        </w:rPr>
        <w:t>. https://doi.org/10.1016/j.jclepro.2020.123159</w:t>
      </w:r>
    </w:p>
    <w:p w14:paraId="7B3C11BC" w14:textId="77777777" w:rsidR="000E5799" w:rsidRPr="00D443AC" w:rsidRDefault="000E5799">
      <w:pPr>
        <w:ind w:left="480" w:hanging="480"/>
        <w:rPr>
          <w:rFonts w:eastAsia="Times New Roman" w:cs="Calibri"/>
        </w:rPr>
      </w:pPr>
      <w:r w:rsidRPr="00A34E32">
        <w:rPr>
          <w:rFonts w:eastAsia="Times New Roman" w:cs="Calibri"/>
          <w:lang w:val="es-ES_tradnl"/>
        </w:rPr>
        <w:t xml:space="preserve">Mena-Rivera, L., Vásquez-Bolaños, O., Gómez-Castro, C., Fonseca-Sánchez, A., Rodríguez-Rodríguez, A., &amp; Sánchez-Gutiérrez, R. (2018). </w:t>
      </w:r>
      <w:r w:rsidRPr="00D443AC">
        <w:rPr>
          <w:rFonts w:eastAsia="Times New Roman" w:cs="Calibri"/>
        </w:rPr>
        <w:t>Ecosystemic Assessment of Surface Water Quality in the Virilla River: Towards Sanitation Processes in Costa Rica.</w:t>
      </w:r>
      <w:r w:rsidRPr="00D443AC">
        <w:rPr>
          <w:rFonts w:eastAsia="Times New Roman" w:cs="Calibri"/>
          <w:i/>
        </w:rPr>
        <w:t xml:space="preserve"> Water</w:t>
      </w:r>
      <w:r w:rsidRPr="00D443AC">
        <w:rPr>
          <w:rFonts w:eastAsia="Times New Roman" w:cs="Calibri"/>
        </w:rPr>
        <w:t>, 10(7), 845. https://doi.org/10.3390/w10070845</w:t>
      </w:r>
    </w:p>
    <w:p w14:paraId="4A81554E" w14:textId="77777777" w:rsidR="000E5799" w:rsidRPr="00D443AC" w:rsidRDefault="000E5799">
      <w:pPr>
        <w:ind w:left="480" w:hanging="480"/>
        <w:rPr>
          <w:rFonts w:eastAsia="Times New Roman" w:cs="Calibri"/>
        </w:rPr>
      </w:pPr>
      <w:r w:rsidRPr="00D443AC">
        <w:rPr>
          <w:rFonts w:eastAsia="Times New Roman" w:cs="Calibri"/>
        </w:rPr>
        <w:lastRenderedPageBreak/>
        <w:t xml:space="preserve">Merck, E. (2005). </w:t>
      </w:r>
      <w:r w:rsidRPr="00D443AC">
        <w:rPr>
          <w:rFonts w:eastAsia="Times New Roman" w:cs="Calibri"/>
          <w:i/>
        </w:rPr>
        <w:t>Microbiology Manual, Fluoro- cult® LMX Broth Modified</w:t>
      </w:r>
      <w:r w:rsidRPr="00D443AC">
        <w:rPr>
          <w:rFonts w:eastAsia="Times New Roman" w:cs="Calibri"/>
        </w:rPr>
        <w:t>. Merck.</w:t>
      </w:r>
    </w:p>
    <w:p w14:paraId="5EB25C7D" w14:textId="649C5D6E" w:rsidR="000E5799" w:rsidRPr="00D443AC" w:rsidRDefault="000E5799">
      <w:pPr>
        <w:ind w:left="480" w:hanging="480"/>
        <w:rPr>
          <w:rFonts w:eastAsia="Times New Roman" w:cs="Calibri"/>
        </w:rPr>
      </w:pPr>
      <w:r w:rsidRPr="00D443AC">
        <w:rPr>
          <w:rFonts w:eastAsia="Times New Roman" w:cs="Calibri"/>
        </w:rPr>
        <w:t>McGrath, J., Maleki, M., Bouchard, C., Pelletier, G., &amp; Rodr</w:t>
      </w:r>
      <w:r w:rsidR="00AC77FD" w:rsidRPr="00D443AC">
        <w:rPr>
          <w:rFonts w:eastAsia="Times New Roman" w:cs="Calibri"/>
        </w:rPr>
        <w:t>í</w:t>
      </w:r>
      <w:r w:rsidRPr="00D443AC">
        <w:rPr>
          <w:rFonts w:eastAsia="Times New Roman" w:cs="Calibri"/>
        </w:rPr>
        <w:t xml:space="preserve">guez, M. J. (2021). Bulk and pipe wall chlorine degradation kinetics in three water distribution systems. </w:t>
      </w:r>
      <w:r w:rsidRPr="00D443AC">
        <w:rPr>
          <w:rFonts w:eastAsia="Times New Roman" w:cs="Calibri"/>
          <w:i/>
        </w:rPr>
        <w:t>Urban Water Journal</w:t>
      </w:r>
      <w:r w:rsidRPr="00D443AC">
        <w:rPr>
          <w:rFonts w:eastAsia="Times New Roman" w:cs="Calibri"/>
        </w:rPr>
        <w:t xml:space="preserve">, </w:t>
      </w:r>
      <w:r w:rsidRPr="00D443AC">
        <w:rPr>
          <w:rFonts w:eastAsia="Times New Roman" w:cs="Calibri"/>
          <w:i/>
        </w:rPr>
        <w:t>18</w:t>
      </w:r>
      <w:r w:rsidRPr="00D443AC">
        <w:rPr>
          <w:rFonts w:eastAsia="Times New Roman" w:cs="Calibri"/>
        </w:rPr>
        <w:t>(7), 512–521. https://doi.org/10.1080/1573062X.2021.1893368</w:t>
      </w:r>
    </w:p>
    <w:p w14:paraId="7B93085D" w14:textId="77777777" w:rsidR="000E5799" w:rsidRPr="00A34E32" w:rsidRDefault="000E5799">
      <w:pPr>
        <w:ind w:left="480" w:hanging="480"/>
        <w:rPr>
          <w:rFonts w:eastAsia="Times New Roman" w:cs="Calibri"/>
          <w:lang w:val="es-ES_tradnl"/>
        </w:rPr>
      </w:pPr>
      <w:r w:rsidRPr="00D443AC">
        <w:rPr>
          <w:rFonts w:eastAsia="Times New Roman" w:cs="Calibri"/>
        </w:rPr>
        <w:t xml:space="preserve">Ministerio de Salud. </w:t>
      </w:r>
      <w:r w:rsidRPr="00A34E32">
        <w:rPr>
          <w:rFonts w:eastAsia="Times New Roman" w:cs="Calibri"/>
          <w:lang w:val="es-ES_tradnl"/>
        </w:rPr>
        <w:t xml:space="preserve">(2015). </w:t>
      </w:r>
      <w:r w:rsidRPr="00A34E32">
        <w:rPr>
          <w:rFonts w:eastAsia="Times New Roman" w:cs="Calibri"/>
          <w:i/>
          <w:lang w:val="es-ES_tradnl"/>
        </w:rPr>
        <w:t>Decreto N° 38924-S: Reglamento para la Calidad del Agua Potable</w:t>
      </w:r>
      <w:r w:rsidRPr="00A34E32">
        <w:rPr>
          <w:rFonts w:eastAsia="Times New Roman" w:cs="Calibri"/>
          <w:lang w:val="es-ES_tradnl"/>
        </w:rPr>
        <w:t>. Costa Rica.</w:t>
      </w:r>
    </w:p>
    <w:p w14:paraId="52B4D9A3"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Monge, E., Paz J., L., &amp; Ovares, C. (2013). </w:t>
      </w:r>
      <w:r w:rsidRPr="00A34E32">
        <w:rPr>
          <w:rFonts w:eastAsia="Times New Roman" w:cs="Calibri"/>
          <w:i/>
          <w:lang w:val="es-ES_tradnl"/>
        </w:rPr>
        <w:t>Manual para las Asociaciones Administradoras de Sistemas de Acueductos y Alcantarillados Sanitarios (ASADAS) de Costa Rica: Transparencia y rendición de cuentas en las ASADAS</w:t>
      </w:r>
      <w:r w:rsidRPr="00A34E32">
        <w:rPr>
          <w:rFonts w:eastAsia="Times New Roman" w:cs="Calibri"/>
          <w:lang w:val="es-ES_tradnl"/>
        </w:rPr>
        <w:t xml:space="preserve">. </w:t>
      </w:r>
      <w:proofErr w:type="spellStart"/>
      <w:r w:rsidRPr="00A34E32">
        <w:rPr>
          <w:rFonts w:eastAsia="Times New Roman" w:cs="Calibri"/>
          <w:lang w:val="es-ES_tradnl"/>
        </w:rPr>
        <w:t>AyA</w:t>
      </w:r>
      <w:proofErr w:type="spellEnd"/>
      <w:r w:rsidRPr="00A34E32">
        <w:rPr>
          <w:rFonts w:eastAsia="Times New Roman" w:cs="Calibri"/>
          <w:lang w:val="es-ES_tradnl"/>
        </w:rPr>
        <w:t>.</w:t>
      </w:r>
    </w:p>
    <w:p w14:paraId="7F0E13CF"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Montoya, C., Cruz, C., Torres, P., Laín, S., &amp; Escobar, J. (2012). Evaluación de las condiciones de mezcla y su influencia sobre el cloro residual </w:t>
      </w:r>
      <w:proofErr w:type="spellStart"/>
      <w:r w:rsidRPr="00A34E32">
        <w:rPr>
          <w:rFonts w:eastAsia="Times New Roman" w:cs="Calibri"/>
          <w:lang w:val="es-ES_tradnl"/>
        </w:rPr>
        <w:t>entanques</w:t>
      </w:r>
      <w:proofErr w:type="spellEnd"/>
      <w:r w:rsidRPr="00A34E32">
        <w:rPr>
          <w:rFonts w:eastAsia="Times New Roman" w:cs="Calibri"/>
          <w:lang w:val="es-ES_tradnl"/>
        </w:rPr>
        <w:t xml:space="preserve"> de compensación de un sistema de distribución de agua potable. </w:t>
      </w:r>
      <w:r w:rsidRPr="00A34E32">
        <w:rPr>
          <w:rFonts w:eastAsia="Times New Roman" w:cs="Calibri"/>
          <w:i/>
          <w:lang w:val="es-ES_tradnl"/>
        </w:rPr>
        <w:t>Ingeniería y Ciencia</w:t>
      </w:r>
      <w:r w:rsidRPr="00A34E32">
        <w:rPr>
          <w:rFonts w:eastAsia="Times New Roman" w:cs="Calibri"/>
          <w:lang w:val="es-ES_tradnl"/>
        </w:rPr>
        <w:t xml:space="preserve">, </w:t>
      </w:r>
      <w:r w:rsidRPr="00A34E32">
        <w:rPr>
          <w:rFonts w:eastAsia="Times New Roman" w:cs="Calibri"/>
          <w:i/>
          <w:lang w:val="es-ES_tradnl"/>
        </w:rPr>
        <w:t>8</w:t>
      </w:r>
      <w:r w:rsidRPr="00A34E32">
        <w:rPr>
          <w:rFonts w:eastAsia="Times New Roman" w:cs="Calibri"/>
          <w:lang w:val="es-ES_tradnl"/>
        </w:rPr>
        <w:t>(15), 9–30. https://doi.org/10.17230/ingciencia.8.15.1</w:t>
      </w:r>
    </w:p>
    <w:p w14:paraId="5A1AE4FB"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Mora-Alvarado, D., Orozco-Gutiérrez, J., Rivera-Navarro, P., Solís-Castro, Y., Zúñiga-</w:t>
      </w:r>
      <w:proofErr w:type="spellStart"/>
      <w:r w:rsidRPr="00A34E32">
        <w:rPr>
          <w:rFonts w:eastAsia="Times New Roman" w:cs="Calibri"/>
          <w:lang w:val="es-ES_tradnl"/>
        </w:rPr>
        <w:t>Zuñiga</w:t>
      </w:r>
      <w:proofErr w:type="spellEnd"/>
      <w:r w:rsidRPr="00A34E32">
        <w:rPr>
          <w:rFonts w:eastAsia="Times New Roman" w:cs="Calibri"/>
          <w:lang w:val="es-ES_tradnl"/>
        </w:rPr>
        <w:t xml:space="preserve">, L., Cambronero-Bolaños, D., &amp; García-Aguilar, J. (2018). Índice de Riesgo de la Calidad del Agua para Consumo Humano en Costa Rica (IRCACH). </w:t>
      </w:r>
      <w:r w:rsidRPr="00A34E32">
        <w:rPr>
          <w:rFonts w:eastAsia="Times New Roman" w:cs="Calibri"/>
          <w:i/>
          <w:lang w:val="es-ES_tradnl"/>
        </w:rPr>
        <w:t>Revista Tecnología en Marcha</w:t>
      </w:r>
      <w:r w:rsidRPr="00A34E32">
        <w:rPr>
          <w:rFonts w:eastAsia="Times New Roman" w:cs="Calibri"/>
          <w:lang w:val="es-ES_tradnl"/>
        </w:rPr>
        <w:t>, 31(3), 3-14. http://doi.org/10.18845/tm.v31i3.3897</w:t>
      </w:r>
    </w:p>
    <w:p w14:paraId="54CF69E4"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Mora-Alvarado, D. M., &amp; </w:t>
      </w:r>
      <w:proofErr w:type="spellStart"/>
      <w:r w:rsidRPr="00A34E32">
        <w:rPr>
          <w:rFonts w:eastAsia="Times New Roman" w:cs="Calibri"/>
          <w:lang w:val="es-ES_tradnl"/>
        </w:rPr>
        <w:t>Portuguez</w:t>
      </w:r>
      <w:proofErr w:type="spellEnd"/>
      <w:r w:rsidRPr="00A34E32">
        <w:rPr>
          <w:rFonts w:eastAsia="Times New Roman" w:cs="Calibri"/>
          <w:lang w:val="es-ES_tradnl"/>
        </w:rPr>
        <w:t xml:space="preserve">, C. (2020). </w:t>
      </w:r>
      <w:r w:rsidRPr="00A34E32">
        <w:rPr>
          <w:rFonts w:eastAsia="Times New Roman" w:cs="Calibri"/>
          <w:i/>
          <w:lang w:val="es-ES_tradnl"/>
        </w:rPr>
        <w:t>Agua para uso y consumo humano y saneamiento en costa rica al 2019: brechas y desafíos al 2023</w:t>
      </w:r>
      <w:r w:rsidRPr="00A34E32">
        <w:rPr>
          <w:rFonts w:eastAsia="Times New Roman" w:cs="Calibri"/>
          <w:lang w:val="es-ES_tradnl"/>
        </w:rPr>
        <w:t xml:space="preserve">. </w:t>
      </w:r>
      <w:proofErr w:type="spellStart"/>
      <w:r w:rsidRPr="00A34E32">
        <w:rPr>
          <w:rFonts w:eastAsia="Times New Roman" w:cs="Calibri"/>
          <w:lang w:val="es-ES_tradnl"/>
        </w:rPr>
        <w:t>AyA</w:t>
      </w:r>
      <w:proofErr w:type="spellEnd"/>
      <w:r w:rsidRPr="00A34E32">
        <w:rPr>
          <w:rFonts w:eastAsia="Times New Roman" w:cs="Calibri"/>
          <w:lang w:val="es-ES_tradnl"/>
        </w:rPr>
        <w:t>.</w:t>
      </w:r>
    </w:p>
    <w:p w14:paraId="341E4192"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Mora, S. C. (2011). </w:t>
      </w:r>
      <w:r w:rsidRPr="00A34E32">
        <w:rPr>
          <w:rFonts w:eastAsia="Times New Roman" w:cs="Calibri"/>
          <w:i/>
          <w:lang w:val="es-ES_tradnl"/>
        </w:rPr>
        <w:t xml:space="preserve">Evaluación de las principales </w:t>
      </w:r>
      <w:proofErr w:type="spellStart"/>
      <w:r w:rsidRPr="00A34E32">
        <w:rPr>
          <w:rFonts w:eastAsia="Times New Roman" w:cs="Calibri"/>
          <w:i/>
          <w:lang w:val="es-ES_tradnl"/>
        </w:rPr>
        <w:t>tecnologíás</w:t>
      </w:r>
      <w:proofErr w:type="spellEnd"/>
      <w:r w:rsidRPr="00A34E32">
        <w:rPr>
          <w:rFonts w:eastAsia="Times New Roman" w:cs="Calibri"/>
          <w:i/>
          <w:lang w:val="es-ES_tradnl"/>
        </w:rPr>
        <w:t xml:space="preserve"> utilizadas en Costa Rica para la desinfección de agua</w:t>
      </w:r>
      <w:r w:rsidRPr="00A34E32">
        <w:rPr>
          <w:rFonts w:eastAsia="Times New Roman" w:cs="Calibri"/>
          <w:lang w:val="es-ES_tradnl"/>
        </w:rPr>
        <w:t>. [</w:t>
      </w:r>
      <w:proofErr w:type="spellStart"/>
      <w:r w:rsidRPr="00A34E32">
        <w:rPr>
          <w:rFonts w:eastAsia="Times New Roman" w:cs="Calibri"/>
          <w:lang w:val="es-ES_tradnl"/>
        </w:rPr>
        <w:t>Licentiate's</w:t>
      </w:r>
      <w:proofErr w:type="spellEnd"/>
      <w:r w:rsidRPr="00A34E32">
        <w:rPr>
          <w:rFonts w:eastAsia="Times New Roman" w:cs="Calibri"/>
          <w:lang w:val="es-ES_tradnl"/>
        </w:rPr>
        <w:t xml:space="preserve"> </w:t>
      </w:r>
      <w:proofErr w:type="spellStart"/>
      <w:r w:rsidRPr="00A34E32">
        <w:rPr>
          <w:rFonts w:eastAsia="Times New Roman" w:cs="Calibri"/>
          <w:lang w:val="es-ES_tradnl"/>
        </w:rPr>
        <w:t>thesis</w:t>
      </w:r>
      <w:proofErr w:type="spellEnd"/>
      <w:r w:rsidRPr="00A34E32">
        <w:rPr>
          <w:rFonts w:eastAsia="Times New Roman" w:cs="Calibri"/>
          <w:lang w:val="es-ES_tradnl"/>
        </w:rPr>
        <w:t>, Universidad de Costa Rica]. http://repositorio.sibdi.ucr.ac.cr:8080/jspui/handle/123456789/3096</w:t>
      </w:r>
    </w:p>
    <w:p w14:paraId="07C64D8B" w14:textId="222129B0" w:rsidR="000E5799" w:rsidRPr="00D443AC" w:rsidRDefault="000E5799">
      <w:pPr>
        <w:ind w:left="480" w:hanging="480"/>
        <w:rPr>
          <w:rFonts w:eastAsia="Times New Roman" w:cs="Calibri"/>
        </w:rPr>
      </w:pPr>
      <w:r w:rsidRPr="00A34E32">
        <w:rPr>
          <w:rFonts w:eastAsia="Times New Roman" w:cs="Calibri"/>
          <w:lang w:val="es-ES_tradnl"/>
        </w:rPr>
        <w:t xml:space="preserve">Morales, S. H., &amp; </w:t>
      </w:r>
      <w:r w:rsidR="00326526" w:rsidRPr="00A34E32">
        <w:rPr>
          <w:rFonts w:eastAsia="Times New Roman" w:cs="Calibri"/>
          <w:lang w:val="es-ES_tradnl"/>
        </w:rPr>
        <w:t>Zúñiga</w:t>
      </w:r>
      <w:r w:rsidRPr="00A34E32">
        <w:rPr>
          <w:rFonts w:eastAsia="Times New Roman" w:cs="Calibri"/>
          <w:lang w:val="es-ES_tradnl"/>
        </w:rPr>
        <w:t xml:space="preserve">, C. I. R. (2019). Importancia de la cloración del agua: sitios de abastecimiento con presencia de bacterias patógenas. </w:t>
      </w:r>
      <w:r w:rsidRPr="00D443AC">
        <w:rPr>
          <w:rFonts w:eastAsia="Times New Roman" w:cs="Calibri"/>
          <w:i/>
        </w:rPr>
        <w:t>ENF INF MICROBIO</w:t>
      </w:r>
      <w:r w:rsidRPr="00D443AC">
        <w:rPr>
          <w:rFonts w:eastAsia="Times New Roman" w:cs="Calibri"/>
        </w:rPr>
        <w:t xml:space="preserve">, </w:t>
      </w:r>
      <w:r w:rsidRPr="00D443AC">
        <w:rPr>
          <w:rFonts w:eastAsia="Times New Roman" w:cs="Calibri"/>
          <w:i/>
        </w:rPr>
        <w:t>39</w:t>
      </w:r>
      <w:r w:rsidRPr="00D443AC">
        <w:rPr>
          <w:rFonts w:eastAsia="Times New Roman" w:cs="Calibri"/>
        </w:rPr>
        <w:t>(3), 86–92. https://www.medigraphic.com/cgibin/new/resumen.cgi?IDARTICULO=92252</w:t>
      </w:r>
    </w:p>
    <w:p w14:paraId="5D997641" w14:textId="277F5D5E"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Muñoz, M., Venegas, R., Brenes, J., Torres, K., Siles, G., </w:t>
      </w:r>
      <w:r w:rsidR="00D7365F" w:rsidRPr="00A34E32">
        <w:rPr>
          <w:rFonts w:eastAsia="Times New Roman" w:cs="Calibri"/>
          <w:lang w:val="es-ES_tradnl"/>
        </w:rPr>
        <w:t xml:space="preserve">&amp; </w:t>
      </w:r>
      <w:r w:rsidRPr="00A34E32">
        <w:rPr>
          <w:rFonts w:eastAsia="Times New Roman" w:cs="Calibri"/>
          <w:lang w:val="es-ES_tradnl"/>
        </w:rPr>
        <w:t xml:space="preserve">Alvarado, R.  (2020). Estudio técnico de capacidad hídrica e hidráulica del acueducto de Santa Rosa, Poás. </w:t>
      </w:r>
      <w:proofErr w:type="spellStart"/>
      <w:r w:rsidRPr="00A34E32">
        <w:rPr>
          <w:rFonts w:eastAsia="Times New Roman" w:cs="Calibri"/>
          <w:i/>
          <w:lang w:val="es-ES_tradnl"/>
        </w:rPr>
        <w:t>Hidrotec</w:t>
      </w:r>
      <w:proofErr w:type="spellEnd"/>
      <w:r w:rsidRPr="00A34E32">
        <w:rPr>
          <w:rFonts w:eastAsia="Times New Roman" w:cs="Calibri"/>
          <w:i/>
          <w:lang w:val="es-ES_tradnl"/>
        </w:rPr>
        <w:t xml:space="preserve"> Internacional Tecnología Líquida S.A.</w:t>
      </w:r>
    </w:p>
    <w:p w14:paraId="635A949F"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Naciones Unidas. (March 26, 2024). </w:t>
      </w:r>
      <w:r w:rsidRPr="00A34E32">
        <w:rPr>
          <w:rFonts w:eastAsia="Times New Roman" w:cs="Calibri"/>
          <w:i/>
          <w:lang w:val="es-ES_tradnl"/>
        </w:rPr>
        <w:t>Objetivos de desarrollo sostenible.</w:t>
      </w:r>
      <w:r w:rsidRPr="00A34E32">
        <w:rPr>
          <w:rFonts w:eastAsia="Times New Roman" w:cs="Calibri"/>
          <w:lang w:val="es-ES_tradnl"/>
        </w:rPr>
        <w:t xml:space="preserve"> un.org. https://www.un.org/sustainabledevelopment/es/objetivos-de-desarrollo-sostenible/</w:t>
      </w:r>
    </w:p>
    <w:p w14:paraId="25047F04"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Naciones Unidas. (2023). </w:t>
      </w:r>
      <w:r w:rsidRPr="00A34E32">
        <w:rPr>
          <w:rFonts w:eastAsia="Times New Roman" w:cs="Calibri"/>
          <w:i/>
          <w:lang w:val="es-ES_tradnl"/>
        </w:rPr>
        <w:t>Informe Mundial de las Naciones Unidas sobre el Desarrollo de los Recursos Hídricos 2023: Alianzas y cooperación por el agua.</w:t>
      </w:r>
      <w:r w:rsidRPr="00A34E32">
        <w:rPr>
          <w:rFonts w:eastAsia="Times New Roman" w:cs="Calibri"/>
          <w:lang w:val="es-ES_tradnl"/>
        </w:rPr>
        <w:t xml:space="preserve"> Unesco. </w:t>
      </w:r>
    </w:p>
    <w:p w14:paraId="0D527B38"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OPS. (2007). </w:t>
      </w:r>
      <w:r w:rsidRPr="00A34E32">
        <w:rPr>
          <w:rFonts w:eastAsia="Times New Roman" w:cs="Calibri"/>
          <w:i/>
          <w:lang w:val="es-ES_tradnl"/>
        </w:rPr>
        <w:t>Guía para la selección de sistema de Desinfección</w:t>
      </w:r>
      <w:r w:rsidRPr="00A34E32">
        <w:rPr>
          <w:rFonts w:eastAsia="Times New Roman" w:cs="Calibri"/>
          <w:lang w:val="es-ES_tradnl"/>
        </w:rPr>
        <w:t>. Organización Panamericana de la Salud.</w:t>
      </w:r>
    </w:p>
    <w:p w14:paraId="304DD7E8" w14:textId="2138D1A9" w:rsidR="000E5799" w:rsidRPr="00A34E32" w:rsidRDefault="000E5799">
      <w:pPr>
        <w:ind w:left="480" w:hanging="480"/>
        <w:rPr>
          <w:rFonts w:eastAsia="Times New Roman" w:cs="Calibri"/>
          <w:lang w:val="es-ES_tradnl"/>
        </w:rPr>
      </w:pPr>
      <w:r w:rsidRPr="00A34E32">
        <w:rPr>
          <w:rFonts w:eastAsia="Times New Roman" w:cs="Calibri"/>
          <w:lang w:val="es-ES_tradnl"/>
        </w:rPr>
        <w:t>Ordóñez-</w:t>
      </w:r>
      <w:r w:rsidR="00B94041" w:rsidRPr="00A34E32">
        <w:rPr>
          <w:rFonts w:eastAsia="Times New Roman" w:cs="Calibri"/>
          <w:lang w:val="es-ES_tradnl"/>
        </w:rPr>
        <w:t>Ramírez</w:t>
      </w:r>
      <w:r w:rsidRPr="00A34E32">
        <w:rPr>
          <w:rFonts w:eastAsia="Times New Roman" w:cs="Calibri"/>
          <w:lang w:val="es-ES_tradnl"/>
        </w:rPr>
        <w:t xml:space="preserve">, V. (2007). Contaminación del agua. </w:t>
      </w:r>
      <w:proofErr w:type="spellStart"/>
      <w:r w:rsidRPr="00A34E32">
        <w:rPr>
          <w:rFonts w:eastAsia="Times New Roman" w:cs="Calibri"/>
          <w:i/>
          <w:lang w:val="es-ES_tradnl"/>
        </w:rPr>
        <w:t>Ingenius</w:t>
      </w:r>
      <w:proofErr w:type="spellEnd"/>
      <w:r w:rsidRPr="00A34E32">
        <w:rPr>
          <w:rFonts w:eastAsia="Times New Roman" w:cs="Calibri"/>
          <w:lang w:val="es-ES_tradnl"/>
        </w:rPr>
        <w:t xml:space="preserve">, </w:t>
      </w:r>
      <w:r w:rsidRPr="00A34E32">
        <w:rPr>
          <w:rFonts w:eastAsia="Times New Roman" w:cs="Calibri"/>
          <w:i/>
          <w:lang w:val="es-ES_tradnl"/>
        </w:rPr>
        <w:t>20</w:t>
      </w:r>
      <w:r w:rsidRPr="00A34E32">
        <w:rPr>
          <w:rFonts w:eastAsia="Times New Roman" w:cs="Calibri"/>
          <w:lang w:val="es-ES_tradnl"/>
        </w:rPr>
        <w:t>(1), 1–3. https://doi.org/10.17163/ings.n1.2007.04</w:t>
      </w:r>
    </w:p>
    <w:p w14:paraId="35609A7A" w14:textId="77777777" w:rsidR="000E5799" w:rsidRPr="00D443AC" w:rsidRDefault="000E5799">
      <w:pPr>
        <w:ind w:left="480" w:hanging="480"/>
        <w:rPr>
          <w:rFonts w:eastAsia="Times New Roman" w:cs="Calibri"/>
        </w:rPr>
      </w:pPr>
      <w:proofErr w:type="spellStart"/>
      <w:r w:rsidRPr="00D443AC">
        <w:rPr>
          <w:rFonts w:eastAsia="Times New Roman" w:cs="Calibri"/>
        </w:rPr>
        <w:t>OxyChem</w:t>
      </w:r>
      <w:proofErr w:type="spellEnd"/>
      <w:r w:rsidRPr="00D443AC">
        <w:rPr>
          <w:rFonts w:eastAsia="Times New Roman" w:cs="Calibri"/>
        </w:rPr>
        <w:t xml:space="preserve">. (2020). </w:t>
      </w:r>
      <w:r w:rsidRPr="00D443AC">
        <w:rPr>
          <w:rFonts w:eastAsia="Times New Roman" w:cs="Calibri"/>
          <w:i/>
        </w:rPr>
        <w:t>SALES SPECIFICATION ACL ® 90 Disinfecting Tablets</w:t>
      </w:r>
      <w:r w:rsidRPr="00D443AC">
        <w:rPr>
          <w:rFonts w:eastAsia="Times New Roman" w:cs="Calibri"/>
        </w:rPr>
        <w:t>. OxyChem.com http://sds.oxy.com/private/document.aspx?prd=M44626~~PDF~~MTR~~ANSI~~EN~~2013-03-01 13:37:37.0~~ACL® 90 DISINFECTING TABLETS</w:t>
      </w:r>
    </w:p>
    <w:p w14:paraId="561300D4" w14:textId="77777777" w:rsidR="000E5799" w:rsidRPr="00D443AC" w:rsidRDefault="000E5799">
      <w:pPr>
        <w:ind w:left="480" w:hanging="480"/>
        <w:rPr>
          <w:rFonts w:eastAsia="Times New Roman" w:cs="Calibri"/>
        </w:rPr>
      </w:pPr>
      <w:r w:rsidRPr="00D443AC">
        <w:rPr>
          <w:rFonts w:eastAsia="Times New Roman" w:cs="Calibri"/>
        </w:rPr>
        <w:t xml:space="preserve">Pentair. (2020). </w:t>
      </w:r>
      <w:r w:rsidRPr="00D443AC">
        <w:rPr>
          <w:rFonts w:eastAsia="Times New Roman" w:cs="Calibri"/>
          <w:i/>
        </w:rPr>
        <w:t xml:space="preserve">MODEL 300/320 AUTOMATIC CHLORINE/BROMINE FEEDERS. Pentair.com. https://www.pentair.com/content/dam/extranet/nam/pentair-pool/residential/sanitizers/chlorine-bromine-feeders/Rainbow-300320-ChlorineBromine-Feeders-English.pdf </w:t>
      </w:r>
    </w:p>
    <w:p w14:paraId="32139BEF"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Perales, E. (2020). </w:t>
      </w:r>
      <w:r w:rsidRPr="00A34E32">
        <w:rPr>
          <w:rFonts w:eastAsia="Times New Roman" w:cs="Calibri"/>
          <w:i/>
          <w:lang w:val="es-ES_tradnl"/>
        </w:rPr>
        <w:t>Determinación de la dosificación óptima de cloro en relación con cloro residual en el tratamiento de agua para consumo en la Urbanización Santa Lucia - Morales.</w:t>
      </w:r>
      <w:r w:rsidRPr="00A34E32">
        <w:rPr>
          <w:rFonts w:eastAsia="Times New Roman" w:cs="Calibri"/>
          <w:lang w:val="es-ES_tradnl"/>
        </w:rPr>
        <w:t xml:space="preserve"> [</w:t>
      </w:r>
      <w:proofErr w:type="spellStart"/>
      <w:r w:rsidRPr="00A34E32">
        <w:rPr>
          <w:rFonts w:eastAsia="Times New Roman" w:cs="Calibri"/>
          <w:lang w:val="es-ES_tradnl"/>
        </w:rPr>
        <w:t>Graduate</w:t>
      </w:r>
      <w:proofErr w:type="spellEnd"/>
      <w:r w:rsidRPr="00A34E32">
        <w:rPr>
          <w:rFonts w:eastAsia="Times New Roman" w:cs="Calibri"/>
          <w:lang w:val="es-ES_tradnl"/>
        </w:rPr>
        <w:t xml:space="preserve"> </w:t>
      </w:r>
      <w:proofErr w:type="spellStart"/>
      <w:r w:rsidRPr="00A34E32">
        <w:rPr>
          <w:rFonts w:eastAsia="Times New Roman" w:cs="Calibri"/>
          <w:lang w:val="es-ES_tradnl"/>
        </w:rPr>
        <w:t>Thesis</w:t>
      </w:r>
      <w:proofErr w:type="spellEnd"/>
      <w:r w:rsidRPr="00A34E32">
        <w:rPr>
          <w:rFonts w:eastAsia="Times New Roman" w:cs="Calibri"/>
          <w:lang w:val="es-ES_tradnl"/>
        </w:rPr>
        <w:t xml:space="preserve">, </w:t>
      </w:r>
      <w:r w:rsidRPr="00A34E32">
        <w:rPr>
          <w:rFonts w:eastAsia="Times New Roman" w:cs="Calibri"/>
          <w:i/>
          <w:lang w:val="es-ES_tradnl"/>
        </w:rPr>
        <w:t xml:space="preserve">Universidad Peruana Unión]. </w:t>
      </w:r>
      <w:r w:rsidRPr="00A34E32">
        <w:rPr>
          <w:rFonts w:eastAsia="Times New Roman" w:cs="Calibri"/>
          <w:i/>
          <w:lang w:val="es-ES_tradnl"/>
        </w:rPr>
        <w:lastRenderedPageBreak/>
        <w:t>http://hdl.handle.net/20.500.12840/4252</w:t>
      </w:r>
    </w:p>
    <w:p w14:paraId="3551EE46"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Ramírez-Quirós, F. (2005). Tratamiento de Desinfección del Agua Potable. </w:t>
      </w:r>
      <w:r w:rsidRPr="00A34E32">
        <w:rPr>
          <w:rFonts w:eastAsia="Times New Roman" w:cs="Calibri"/>
          <w:i/>
          <w:lang w:val="es-ES_tradnl"/>
        </w:rPr>
        <w:t>Canal Educa</w:t>
      </w:r>
      <w:r w:rsidRPr="00A34E32">
        <w:rPr>
          <w:rFonts w:eastAsia="Times New Roman" w:cs="Calibri"/>
          <w:lang w:val="es-ES_tradnl"/>
        </w:rPr>
        <w:t>. https://www.fundacioncanal.com/canaleduca/wp-content/uploads/2015/08/Tratamiento-de-desinfeccion-del-agua-potable2.pdf</w:t>
      </w:r>
    </w:p>
    <w:p w14:paraId="232ED417"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Rodríguez, I. R. (2019). </w:t>
      </w:r>
      <w:r w:rsidRPr="00A34E32">
        <w:rPr>
          <w:rFonts w:eastAsia="Times New Roman" w:cs="Calibri"/>
          <w:i/>
          <w:lang w:val="es-ES_tradnl"/>
        </w:rPr>
        <w:t>Proyecto constructivo del sistema de abastecimiento de agua a la comunidad de matapalo en el sur pacífico de Costa Rica</w:t>
      </w:r>
      <w:r w:rsidRPr="00A34E32">
        <w:rPr>
          <w:rFonts w:eastAsia="Times New Roman" w:cs="Calibri"/>
          <w:lang w:val="es-ES_tradnl"/>
        </w:rPr>
        <w:t>. [</w:t>
      </w:r>
      <w:proofErr w:type="spellStart"/>
      <w:r w:rsidRPr="00A34E32">
        <w:rPr>
          <w:rFonts w:eastAsia="Times New Roman" w:cs="Calibri"/>
          <w:lang w:val="es-ES_tradnl"/>
        </w:rPr>
        <w:t>Master's</w:t>
      </w:r>
      <w:proofErr w:type="spellEnd"/>
      <w:r w:rsidRPr="00A34E32">
        <w:rPr>
          <w:rFonts w:eastAsia="Times New Roman" w:cs="Calibri"/>
          <w:lang w:val="es-ES_tradnl"/>
        </w:rPr>
        <w:t xml:space="preserve"> </w:t>
      </w:r>
      <w:proofErr w:type="spellStart"/>
      <w:r w:rsidRPr="00A34E32">
        <w:rPr>
          <w:rFonts w:eastAsia="Times New Roman" w:cs="Calibri"/>
          <w:lang w:val="es-ES_tradnl"/>
        </w:rPr>
        <w:t>thesis</w:t>
      </w:r>
      <w:proofErr w:type="spellEnd"/>
      <w:r w:rsidRPr="00A34E32">
        <w:rPr>
          <w:rFonts w:eastAsia="Times New Roman" w:cs="Calibri"/>
          <w:lang w:val="es-ES_tradnl"/>
        </w:rPr>
        <w:t xml:space="preserve">, Universidad Politécnica de Madrid]. https://oa.upm.es/55530/ </w:t>
      </w:r>
    </w:p>
    <w:p w14:paraId="568B35F8" w14:textId="77777777" w:rsidR="000E5799" w:rsidRPr="00D443AC" w:rsidRDefault="000E5799">
      <w:pPr>
        <w:ind w:left="480" w:hanging="480"/>
        <w:rPr>
          <w:rFonts w:eastAsia="Times New Roman" w:cs="Calibri"/>
        </w:rPr>
      </w:pPr>
      <w:proofErr w:type="spellStart"/>
      <w:r w:rsidRPr="00D443AC">
        <w:rPr>
          <w:rFonts w:eastAsia="Times New Roman" w:cs="Calibri"/>
        </w:rPr>
        <w:t>Sallenave</w:t>
      </w:r>
      <w:proofErr w:type="spellEnd"/>
      <w:r w:rsidRPr="00D443AC">
        <w:rPr>
          <w:rFonts w:eastAsia="Times New Roman" w:cs="Calibri"/>
        </w:rPr>
        <w:t xml:space="preserve">, R. (2017). </w:t>
      </w:r>
      <w:r w:rsidRPr="00D443AC">
        <w:rPr>
          <w:rFonts w:eastAsia="Times New Roman" w:cs="Calibri"/>
          <w:i/>
        </w:rPr>
        <w:t>Nitrate in Drinking Water</w:t>
      </w:r>
      <w:r w:rsidRPr="00D443AC">
        <w:rPr>
          <w:rFonts w:eastAsia="Times New Roman" w:cs="Calibri"/>
        </w:rPr>
        <w:t>. New Mexico State University. http://aces.nmsu.edu/pubs/_m/M112.pdf</w:t>
      </w:r>
    </w:p>
    <w:p w14:paraId="35A24D1A" w14:textId="77777777" w:rsidR="000E5799" w:rsidRPr="00D443AC" w:rsidRDefault="000E5799">
      <w:pPr>
        <w:ind w:left="480" w:hanging="480"/>
        <w:rPr>
          <w:rFonts w:eastAsia="Times New Roman" w:cs="Calibri"/>
        </w:rPr>
      </w:pPr>
      <w:r w:rsidRPr="00A34E32">
        <w:rPr>
          <w:rFonts w:eastAsia="Times New Roman" w:cs="Calibri"/>
          <w:lang w:val="es-ES_tradnl"/>
        </w:rPr>
        <w:t xml:space="preserve">Sánchez-Gutiérrez, R., Mena-Rivera, L., Sánchez-Murillo, R., Fonseca-Sánchez, A., &amp; Madrigal-Solís, H. (2020a). </w:t>
      </w:r>
      <w:r w:rsidRPr="00D443AC">
        <w:rPr>
          <w:rFonts w:eastAsia="Times New Roman" w:cs="Calibri"/>
        </w:rPr>
        <w:t xml:space="preserve">Hydrogeochemical baseline in a human-altered landscape of the central Pacific coast of Costa Rica. </w:t>
      </w:r>
      <w:r w:rsidRPr="00D443AC">
        <w:rPr>
          <w:rFonts w:eastAsia="Times New Roman" w:cs="Calibri"/>
          <w:i/>
        </w:rPr>
        <w:t>Environmental Geochemistry and Health</w:t>
      </w:r>
      <w:r w:rsidRPr="00D443AC">
        <w:rPr>
          <w:rFonts w:eastAsia="Times New Roman" w:cs="Calibri"/>
        </w:rPr>
        <w:t xml:space="preserve">, </w:t>
      </w:r>
      <w:r w:rsidRPr="00D443AC">
        <w:rPr>
          <w:rFonts w:eastAsia="Times New Roman" w:cs="Calibri"/>
          <w:i/>
        </w:rPr>
        <w:t>42</w:t>
      </w:r>
      <w:r w:rsidRPr="00D443AC">
        <w:rPr>
          <w:rFonts w:eastAsia="Times New Roman" w:cs="Calibri"/>
        </w:rPr>
        <w:t>(9), 2685–2701. https://doi.org/10.1007/s10653-019-00501-5</w:t>
      </w:r>
    </w:p>
    <w:p w14:paraId="2E74A867" w14:textId="77777777" w:rsidR="000E5799" w:rsidRPr="00A34E32" w:rsidRDefault="000E5799">
      <w:pPr>
        <w:ind w:left="480" w:hanging="480"/>
        <w:rPr>
          <w:rFonts w:eastAsia="Times New Roman" w:cs="Calibri"/>
          <w:lang w:val="es-ES_tradnl"/>
        </w:rPr>
      </w:pPr>
      <w:r w:rsidRPr="00D443AC">
        <w:rPr>
          <w:rFonts w:eastAsia="Times New Roman" w:cs="Calibri"/>
        </w:rPr>
        <w:t xml:space="preserve">Sánchez-Gutiérrez, R., Benavides-Benavides, C. Chaves-Villalobos, M., &amp; Quirós-Vega, J. (2020b). </w:t>
      </w:r>
      <w:r w:rsidRPr="00A34E32">
        <w:rPr>
          <w:rFonts w:eastAsia="Times New Roman" w:cs="Calibri"/>
          <w:lang w:val="es-ES_tradnl"/>
        </w:rPr>
        <w:t xml:space="preserve">Calidad del agua para consumo humano en una comunidad rural: caso Corral de Piedra, Guanacaste, Costa Rica. </w:t>
      </w:r>
      <w:r w:rsidRPr="00A34E32">
        <w:rPr>
          <w:rFonts w:eastAsia="Times New Roman" w:cs="Calibri"/>
          <w:i/>
          <w:lang w:val="es-ES_tradnl"/>
        </w:rPr>
        <w:t>Revista Tecnología en Marcha</w:t>
      </w:r>
      <w:r w:rsidRPr="00A34E32">
        <w:rPr>
          <w:rFonts w:eastAsia="Times New Roman" w:cs="Calibri"/>
          <w:lang w:val="es-ES_tradnl"/>
        </w:rPr>
        <w:t xml:space="preserve">, </w:t>
      </w:r>
      <w:r w:rsidRPr="00A34E32">
        <w:rPr>
          <w:rFonts w:eastAsia="Times New Roman" w:cs="Calibri"/>
          <w:i/>
          <w:lang w:val="es-ES_tradnl"/>
        </w:rPr>
        <w:t>33</w:t>
      </w:r>
      <w:r w:rsidRPr="00A34E32">
        <w:rPr>
          <w:rFonts w:eastAsia="Times New Roman" w:cs="Calibri"/>
          <w:lang w:val="es-ES_tradnl"/>
        </w:rPr>
        <w:t>, 3–16. https://doi.org/10.18845/tm.v33i2.4165</w:t>
      </w:r>
    </w:p>
    <w:p w14:paraId="4C6D359C" w14:textId="77777777" w:rsidR="000E5799" w:rsidRPr="00D443AC" w:rsidRDefault="000E5799">
      <w:pPr>
        <w:ind w:left="480" w:hanging="480"/>
        <w:rPr>
          <w:rFonts w:eastAsia="Times New Roman" w:cs="Calibri"/>
        </w:rPr>
      </w:pPr>
      <w:r w:rsidRPr="00A34E32">
        <w:rPr>
          <w:rFonts w:eastAsia="Times New Roman" w:cs="Calibri"/>
          <w:lang w:val="es-ES_tradnl"/>
        </w:rPr>
        <w:t xml:space="preserve">Sánchez-Gutiérrez, R., Sánchez-Murillo, R., Esquivel-Hernández, G., </w:t>
      </w:r>
      <w:proofErr w:type="spellStart"/>
      <w:r w:rsidRPr="00A34E32">
        <w:rPr>
          <w:rFonts w:eastAsia="Times New Roman" w:cs="Calibri"/>
          <w:lang w:val="es-ES_tradnl"/>
        </w:rPr>
        <w:t>Birkel</w:t>
      </w:r>
      <w:proofErr w:type="spellEnd"/>
      <w:r w:rsidRPr="00A34E32">
        <w:rPr>
          <w:rFonts w:eastAsia="Times New Roman" w:cs="Calibri"/>
          <w:lang w:val="es-ES_tradnl"/>
        </w:rPr>
        <w:t xml:space="preserve">, C., </w:t>
      </w:r>
      <w:proofErr w:type="spellStart"/>
      <w:r w:rsidRPr="00A34E32">
        <w:rPr>
          <w:rFonts w:eastAsia="Times New Roman" w:cs="Calibri"/>
          <w:lang w:val="es-ES_tradnl"/>
        </w:rPr>
        <w:t>Boll</w:t>
      </w:r>
      <w:proofErr w:type="spellEnd"/>
      <w:r w:rsidRPr="00A34E32">
        <w:rPr>
          <w:rFonts w:eastAsia="Times New Roman" w:cs="Calibri"/>
          <w:lang w:val="es-ES_tradnl"/>
        </w:rPr>
        <w:t xml:space="preserve">, J., Rojas-Jiménez, L. D., &amp; Castro-Chacón, L. (2023). </w:t>
      </w:r>
      <w:r w:rsidRPr="00D443AC">
        <w:rPr>
          <w:rFonts w:eastAsia="Times New Roman" w:cs="Calibri"/>
        </w:rPr>
        <w:t xml:space="preserve">Nitrate Legacy in a Tropical and Complex Fractured Volcanic Aquifer System. </w:t>
      </w:r>
      <w:r w:rsidRPr="00D443AC">
        <w:rPr>
          <w:rFonts w:eastAsia="Times New Roman" w:cs="Calibri"/>
          <w:i/>
        </w:rPr>
        <w:t>Journal of Geophysical Research: Biogeosciences</w:t>
      </w:r>
      <w:r w:rsidRPr="00D443AC">
        <w:rPr>
          <w:rFonts w:eastAsia="Times New Roman" w:cs="Calibri"/>
        </w:rPr>
        <w:t xml:space="preserve">, </w:t>
      </w:r>
      <w:r w:rsidRPr="00D443AC">
        <w:rPr>
          <w:rFonts w:eastAsia="Times New Roman" w:cs="Calibri"/>
          <w:i/>
        </w:rPr>
        <w:t>128</w:t>
      </w:r>
      <w:r w:rsidRPr="00D443AC">
        <w:rPr>
          <w:rFonts w:eastAsia="Times New Roman" w:cs="Calibri"/>
        </w:rPr>
        <w:t>(8). https://doi.org/10.1029/2023JG007554</w:t>
      </w:r>
    </w:p>
    <w:p w14:paraId="14AE725F" w14:textId="2B1815E8" w:rsidR="000E5799" w:rsidRPr="00D443AC" w:rsidRDefault="000E5799">
      <w:pPr>
        <w:ind w:left="480" w:hanging="480"/>
        <w:rPr>
          <w:rFonts w:eastAsia="Times New Roman" w:cs="Calibri"/>
        </w:rPr>
      </w:pPr>
      <w:r w:rsidRPr="00D443AC">
        <w:rPr>
          <w:rFonts w:eastAsia="Times New Roman" w:cs="Calibri"/>
        </w:rPr>
        <w:t>S</w:t>
      </w:r>
      <w:r w:rsidR="009D18DF" w:rsidRPr="00D443AC">
        <w:rPr>
          <w:rFonts w:eastAsia="Times New Roman" w:cs="Calibri"/>
        </w:rPr>
        <w:t>á</w:t>
      </w:r>
      <w:r w:rsidRPr="00D443AC">
        <w:rPr>
          <w:rFonts w:eastAsia="Times New Roman" w:cs="Calibri"/>
        </w:rPr>
        <w:t xml:space="preserve">nchez-Molina, V., Solís-Montiel, E., Valdés-González, J., Fernández-Araya, J., Coto-Campos, J., &amp; Mendelewicz-Goldwaig, M. (2016). </w:t>
      </w:r>
      <w:r w:rsidRPr="00D443AC">
        <w:rPr>
          <w:rFonts w:eastAsia="Times New Roman" w:cs="Calibri"/>
          <w:i/>
        </w:rPr>
        <w:t>Química analítica experimental</w:t>
      </w:r>
      <w:r w:rsidRPr="00D443AC">
        <w:rPr>
          <w:rFonts w:eastAsia="Times New Roman" w:cs="Calibri"/>
        </w:rPr>
        <w:t>. EUNA.</w:t>
      </w:r>
    </w:p>
    <w:p w14:paraId="0366720B" w14:textId="77777777" w:rsidR="000E5799" w:rsidRPr="00D443AC" w:rsidRDefault="000E5799">
      <w:pPr>
        <w:ind w:left="480" w:hanging="480"/>
        <w:rPr>
          <w:rFonts w:eastAsia="Times New Roman" w:cs="Calibri"/>
        </w:rPr>
      </w:pPr>
      <w:r w:rsidRPr="00D443AC">
        <w:rPr>
          <w:rFonts w:eastAsia="Times New Roman" w:cs="Calibri"/>
        </w:rPr>
        <w:t xml:space="preserve">Sarkar, B., &amp; Islam, A. (2019). Assessing the suitability of water for irrigation using major physical parameters and ion chemistry: a study of the Churni River, India. </w:t>
      </w:r>
      <w:r w:rsidRPr="00D443AC">
        <w:rPr>
          <w:rFonts w:eastAsia="Times New Roman" w:cs="Calibri"/>
          <w:i/>
        </w:rPr>
        <w:t>Arabian Journal of Geosciences</w:t>
      </w:r>
      <w:r w:rsidRPr="00D443AC">
        <w:rPr>
          <w:rFonts w:eastAsia="Times New Roman" w:cs="Calibri"/>
        </w:rPr>
        <w:t xml:space="preserve">, </w:t>
      </w:r>
      <w:r w:rsidRPr="00D443AC">
        <w:rPr>
          <w:rFonts w:eastAsia="Times New Roman" w:cs="Calibri"/>
          <w:i/>
        </w:rPr>
        <w:t>12</w:t>
      </w:r>
      <w:r w:rsidRPr="00D443AC">
        <w:rPr>
          <w:rFonts w:eastAsia="Times New Roman" w:cs="Calibri"/>
        </w:rPr>
        <w:t>(20). https://doi.org/10.1007/s12517-019-4827-9</w:t>
      </w:r>
    </w:p>
    <w:p w14:paraId="27F3196D" w14:textId="46875D88" w:rsidR="00B81D1B" w:rsidRPr="00D443AC" w:rsidRDefault="00B81D1B">
      <w:pPr>
        <w:ind w:left="480" w:hanging="480"/>
        <w:rPr>
          <w:rFonts w:eastAsia="Times New Roman" w:cs="Calibri"/>
        </w:rPr>
      </w:pPr>
      <w:r w:rsidRPr="00D443AC">
        <w:rPr>
          <w:rFonts w:eastAsia="Times New Roman" w:cs="Calibri"/>
        </w:rPr>
        <w:t>Searle, S. R.; Speed, F. M.; Milliken, G. A. Population Marginal Means in the Linear Model: An Alternative to Least Squares Means. Am. Stat. 1980, 34 (4), 216–221. https://doi.org/10.1080/00031305.1980.10483031.</w:t>
      </w:r>
    </w:p>
    <w:p w14:paraId="0C31C712" w14:textId="77777777" w:rsidR="000E5799" w:rsidRPr="00A34E32" w:rsidRDefault="000E5799">
      <w:pPr>
        <w:ind w:left="480" w:hanging="480"/>
        <w:rPr>
          <w:rFonts w:eastAsia="Times New Roman" w:cs="Calibri"/>
          <w:lang w:val="es-ES_tradnl"/>
        </w:rPr>
      </w:pPr>
      <w:r w:rsidRPr="00D443AC">
        <w:rPr>
          <w:rFonts w:eastAsia="Times New Roman" w:cs="Calibri"/>
        </w:rPr>
        <w:t xml:space="preserve">Serrano, A. S., Garro, Á. B., Sanabria, G. D., Conejo, J. R., Cantillano, D. R., &amp; Watson, A. G. (2019). </w:t>
      </w:r>
      <w:r w:rsidRPr="00A34E32">
        <w:rPr>
          <w:rFonts w:eastAsia="Times New Roman" w:cs="Calibri"/>
          <w:lang w:val="es-ES_tradnl"/>
        </w:rPr>
        <w:t xml:space="preserve">Seguridad hídrica: Gestión del agua en comunidades rurales del Pacífico Norte de Costa Rica. </w:t>
      </w:r>
      <w:r w:rsidRPr="00A34E32">
        <w:rPr>
          <w:rFonts w:eastAsia="Times New Roman" w:cs="Calibri"/>
          <w:i/>
          <w:lang w:val="es-ES_tradnl"/>
        </w:rPr>
        <w:t>Revista de Ciencias Ambientales</w:t>
      </w:r>
      <w:r w:rsidRPr="00A34E32">
        <w:rPr>
          <w:rFonts w:eastAsia="Times New Roman" w:cs="Calibri"/>
          <w:lang w:val="es-ES_tradnl"/>
        </w:rPr>
        <w:t xml:space="preserve">, </w:t>
      </w:r>
      <w:r w:rsidRPr="00A34E32">
        <w:rPr>
          <w:rFonts w:eastAsia="Times New Roman" w:cs="Calibri"/>
          <w:i/>
          <w:lang w:val="es-ES_tradnl"/>
        </w:rPr>
        <w:t>53</w:t>
      </w:r>
      <w:r w:rsidRPr="00A34E32">
        <w:rPr>
          <w:rFonts w:eastAsia="Times New Roman" w:cs="Calibri"/>
          <w:lang w:val="es-ES_tradnl"/>
        </w:rPr>
        <w:t>(2), 25–46. https://doi.org/10.15359/rca.53-2.2</w:t>
      </w:r>
    </w:p>
    <w:p w14:paraId="6CAEC46B" w14:textId="77777777"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Torres, A. C. A. (2019). </w:t>
      </w:r>
      <w:r w:rsidRPr="00A34E32">
        <w:rPr>
          <w:rFonts w:eastAsia="Times New Roman" w:cs="Calibri"/>
          <w:i/>
          <w:lang w:val="es-ES_tradnl"/>
        </w:rPr>
        <w:t xml:space="preserve">Diseño de un sistema automatizado para la dosificación de cloro en el tratamiento de agua potable en el distrito de </w:t>
      </w:r>
      <w:proofErr w:type="spellStart"/>
      <w:r w:rsidRPr="00A34E32">
        <w:rPr>
          <w:rFonts w:eastAsia="Times New Roman" w:cs="Calibri"/>
          <w:i/>
          <w:lang w:val="es-ES_tradnl"/>
        </w:rPr>
        <w:t>Huambos</w:t>
      </w:r>
      <w:proofErr w:type="spellEnd"/>
      <w:r w:rsidRPr="00A34E32">
        <w:rPr>
          <w:rFonts w:eastAsia="Times New Roman" w:cs="Calibri"/>
          <w:lang w:val="es-ES_tradnl"/>
        </w:rPr>
        <w:t xml:space="preserve"> [</w:t>
      </w:r>
      <w:proofErr w:type="spellStart"/>
      <w:r w:rsidRPr="00A34E32">
        <w:rPr>
          <w:rFonts w:eastAsia="Times New Roman" w:cs="Calibri"/>
          <w:lang w:val="es-ES_tradnl"/>
        </w:rPr>
        <w:t>Graduate</w:t>
      </w:r>
      <w:proofErr w:type="spellEnd"/>
      <w:r w:rsidRPr="00A34E32">
        <w:rPr>
          <w:rFonts w:eastAsia="Times New Roman" w:cs="Calibri"/>
          <w:lang w:val="es-ES_tradnl"/>
        </w:rPr>
        <w:t xml:space="preserve"> </w:t>
      </w:r>
      <w:proofErr w:type="spellStart"/>
      <w:r w:rsidRPr="00A34E32">
        <w:rPr>
          <w:rFonts w:eastAsia="Times New Roman" w:cs="Calibri"/>
          <w:lang w:val="es-ES_tradnl"/>
        </w:rPr>
        <w:t>thesis</w:t>
      </w:r>
      <w:proofErr w:type="spellEnd"/>
      <w:r w:rsidRPr="00A34E32">
        <w:rPr>
          <w:rFonts w:eastAsia="Times New Roman" w:cs="Calibri"/>
          <w:lang w:val="es-ES_tradnl"/>
        </w:rPr>
        <w:t>, Universidad César Vallejo]. https://hdl.handle.net/20.500.12692/38844</w:t>
      </w:r>
    </w:p>
    <w:p w14:paraId="07B236A2" w14:textId="3BF74868" w:rsidR="000E5799" w:rsidRPr="00A34E32" w:rsidRDefault="000E5799">
      <w:pPr>
        <w:ind w:left="480" w:hanging="480"/>
        <w:rPr>
          <w:rFonts w:eastAsia="Times New Roman" w:cs="Calibri"/>
          <w:lang w:val="es-ES_tradnl"/>
        </w:rPr>
      </w:pPr>
      <w:r w:rsidRPr="00A34E32">
        <w:rPr>
          <w:rFonts w:eastAsia="Times New Roman" w:cs="Calibri"/>
          <w:lang w:val="es-ES_tradnl"/>
        </w:rPr>
        <w:t>Vargas-</w:t>
      </w:r>
      <w:proofErr w:type="spellStart"/>
      <w:r w:rsidRPr="00A34E32">
        <w:rPr>
          <w:rFonts w:eastAsia="Times New Roman" w:cs="Calibri"/>
          <w:lang w:val="es-ES_tradnl"/>
        </w:rPr>
        <w:t>Portuguez</w:t>
      </w:r>
      <w:proofErr w:type="spellEnd"/>
      <w:r w:rsidRPr="00A34E32">
        <w:rPr>
          <w:rFonts w:eastAsia="Times New Roman" w:cs="Calibri"/>
          <w:lang w:val="es-ES_tradnl"/>
        </w:rPr>
        <w:t xml:space="preserve">, M. D. (2021). </w:t>
      </w:r>
      <w:r w:rsidRPr="00A34E32">
        <w:rPr>
          <w:rFonts w:eastAsia="Times New Roman" w:cs="Calibri"/>
          <w:i/>
          <w:lang w:val="es-ES_tradnl"/>
        </w:rPr>
        <w:t>“Evaluación de tecnologías de cloración mediante sistemas de pastillas y cloro líquido controlado con ORP en agua para consumo humano.”</w:t>
      </w:r>
      <w:r w:rsidRPr="00A34E32">
        <w:rPr>
          <w:rFonts w:eastAsia="Times New Roman" w:cs="Calibri"/>
          <w:lang w:val="es-ES_tradnl"/>
        </w:rPr>
        <w:t xml:space="preserve"> [</w:t>
      </w:r>
      <w:proofErr w:type="spellStart"/>
      <w:r w:rsidRPr="00A34E32">
        <w:rPr>
          <w:rFonts w:eastAsia="Times New Roman" w:cs="Calibri"/>
          <w:lang w:val="es-ES_tradnl"/>
        </w:rPr>
        <w:t>Licentiat</w:t>
      </w:r>
      <w:r w:rsidR="00D7365F" w:rsidRPr="00A34E32">
        <w:rPr>
          <w:rFonts w:eastAsia="Times New Roman" w:cs="Calibri"/>
          <w:lang w:val="es-ES_tradnl"/>
        </w:rPr>
        <w:t>e's</w:t>
      </w:r>
      <w:proofErr w:type="spellEnd"/>
      <w:r w:rsidRPr="00A34E32">
        <w:rPr>
          <w:rFonts w:eastAsia="Times New Roman" w:cs="Calibri"/>
          <w:lang w:val="es-ES_tradnl"/>
        </w:rPr>
        <w:t xml:space="preserve"> </w:t>
      </w:r>
      <w:proofErr w:type="spellStart"/>
      <w:r w:rsidRPr="00A34E32">
        <w:rPr>
          <w:rFonts w:eastAsia="Times New Roman" w:cs="Calibri"/>
          <w:lang w:val="es-ES_tradnl"/>
        </w:rPr>
        <w:t>Thesis</w:t>
      </w:r>
      <w:proofErr w:type="spellEnd"/>
      <w:r w:rsidRPr="00A34E32">
        <w:rPr>
          <w:rFonts w:eastAsia="Times New Roman" w:cs="Calibri"/>
          <w:lang w:val="es-ES_tradnl"/>
        </w:rPr>
        <w:t>, Instituto Tecnológico de Costa Rica]. https://hdl.handle.net/2238/13310</w:t>
      </w:r>
    </w:p>
    <w:p w14:paraId="5AE69EC5" w14:textId="77777777" w:rsidR="000E5799" w:rsidRPr="00D443AC" w:rsidRDefault="000E5799">
      <w:pPr>
        <w:ind w:left="480" w:hanging="480"/>
        <w:rPr>
          <w:rFonts w:eastAsia="Times New Roman" w:cs="Calibri"/>
        </w:rPr>
      </w:pPr>
      <w:proofErr w:type="spellStart"/>
      <w:r w:rsidRPr="00A34E32">
        <w:rPr>
          <w:rFonts w:eastAsia="Times New Roman" w:cs="Calibri"/>
          <w:lang w:val="es-ES_tradnl"/>
        </w:rPr>
        <w:t>Verma</w:t>
      </w:r>
      <w:proofErr w:type="spellEnd"/>
      <w:r w:rsidRPr="00A34E32">
        <w:rPr>
          <w:rFonts w:eastAsia="Times New Roman" w:cs="Calibri"/>
          <w:lang w:val="es-ES_tradnl"/>
        </w:rPr>
        <w:t xml:space="preserve">, K., Gupta, A. B., &amp; Singh, A. (2017). </w:t>
      </w:r>
      <w:r w:rsidRPr="00D443AC">
        <w:rPr>
          <w:rFonts w:eastAsia="Times New Roman" w:cs="Calibri"/>
        </w:rPr>
        <w:t xml:space="preserve">Optimization of chlorination process and analysis of THMs to mitigate ill effects of sewage irrigation. </w:t>
      </w:r>
      <w:r w:rsidRPr="00D443AC">
        <w:rPr>
          <w:rFonts w:eastAsia="Times New Roman" w:cs="Calibri"/>
          <w:i/>
        </w:rPr>
        <w:t>Journal of Environmental Chemical Engineering</w:t>
      </w:r>
      <w:r w:rsidRPr="00D443AC">
        <w:rPr>
          <w:rFonts w:eastAsia="Times New Roman" w:cs="Calibri"/>
        </w:rPr>
        <w:t xml:space="preserve">, </w:t>
      </w:r>
      <w:r w:rsidRPr="00D443AC">
        <w:rPr>
          <w:rFonts w:eastAsia="Times New Roman" w:cs="Calibri"/>
          <w:i/>
        </w:rPr>
        <w:t>5</w:t>
      </w:r>
      <w:r w:rsidRPr="00D443AC">
        <w:rPr>
          <w:rFonts w:eastAsia="Times New Roman" w:cs="Calibri"/>
        </w:rPr>
        <w:t>(4), 3540–3549. https://doi.org/10.1016/j.jece.2017.07.002</w:t>
      </w:r>
    </w:p>
    <w:p w14:paraId="5C65D510" w14:textId="0B1A75D3" w:rsidR="000E5799" w:rsidRPr="00A34E32" w:rsidRDefault="000E5799">
      <w:pPr>
        <w:ind w:left="480" w:hanging="480"/>
        <w:rPr>
          <w:rFonts w:eastAsia="Times New Roman" w:cs="Calibri"/>
          <w:lang w:val="es-ES_tradnl"/>
        </w:rPr>
      </w:pPr>
      <w:r w:rsidRPr="00A34E32">
        <w:rPr>
          <w:rFonts w:eastAsia="Times New Roman" w:cs="Calibri"/>
          <w:lang w:val="es-ES_tradnl"/>
        </w:rPr>
        <w:t xml:space="preserve">Villalobos, M. M. (2019). </w:t>
      </w:r>
      <w:r w:rsidRPr="00A34E32">
        <w:rPr>
          <w:rFonts w:eastAsia="Times New Roman" w:cs="Calibri"/>
          <w:i/>
          <w:lang w:val="es-ES_tradnl"/>
        </w:rPr>
        <w:t>Evaluación y propuesta de mejora del sistema de abastecimiento de agua potable de la ASADA Paquera de Puntarenas.</w:t>
      </w:r>
      <w:r w:rsidRPr="00A34E32">
        <w:rPr>
          <w:rFonts w:eastAsia="Times New Roman" w:cs="Calibri"/>
          <w:lang w:val="es-ES_tradnl"/>
        </w:rPr>
        <w:t xml:space="preserve"> [</w:t>
      </w:r>
      <w:proofErr w:type="spellStart"/>
      <w:r w:rsidRPr="00A34E32">
        <w:rPr>
          <w:rFonts w:eastAsia="Times New Roman" w:cs="Calibri"/>
          <w:lang w:val="es-ES_tradnl"/>
        </w:rPr>
        <w:t>Licentiate</w:t>
      </w:r>
      <w:r w:rsidR="00D7365F" w:rsidRPr="00A34E32">
        <w:rPr>
          <w:rFonts w:eastAsia="Times New Roman" w:cs="Calibri"/>
          <w:lang w:val="es-ES_tradnl"/>
        </w:rPr>
        <w:t>'s</w:t>
      </w:r>
      <w:proofErr w:type="spellEnd"/>
      <w:r w:rsidRPr="00A34E32">
        <w:rPr>
          <w:rFonts w:eastAsia="Times New Roman" w:cs="Calibri"/>
          <w:lang w:val="es-ES_tradnl"/>
        </w:rPr>
        <w:t xml:space="preserve"> </w:t>
      </w:r>
      <w:proofErr w:type="spellStart"/>
      <w:r w:rsidRPr="00A34E32">
        <w:rPr>
          <w:rFonts w:eastAsia="Times New Roman" w:cs="Calibri"/>
          <w:lang w:val="es-ES_tradnl"/>
        </w:rPr>
        <w:t>Thesis</w:t>
      </w:r>
      <w:proofErr w:type="spellEnd"/>
      <w:r w:rsidRPr="00A34E32">
        <w:rPr>
          <w:rFonts w:eastAsia="Times New Roman" w:cs="Calibri"/>
          <w:lang w:val="es-ES_tradnl"/>
        </w:rPr>
        <w:t>, Tecnológico de Costa Rica]. https://hdl.handle.net/2238/11163</w:t>
      </w:r>
    </w:p>
    <w:p w14:paraId="49ABBD6C" w14:textId="77777777" w:rsidR="000E5799" w:rsidRPr="00A34E32" w:rsidRDefault="000E5799">
      <w:pPr>
        <w:ind w:left="480" w:hanging="480"/>
        <w:rPr>
          <w:rFonts w:eastAsia="Times New Roman" w:cs="Calibri"/>
          <w:lang w:val="es-ES_tradnl"/>
        </w:rPr>
      </w:pPr>
      <w:r w:rsidRPr="00D443AC">
        <w:rPr>
          <w:rFonts w:eastAsia="Times New Roman" w:cs="Calibri"/>
        </w:rPr>
        <w:t xml:space="preserve">Walski, T., Helsel, E., Strickland, C., &amp; Whitman, B. (2015). Decay of disinfectant residual in </w:t>
      </w:r>
      <w:r w:rsidRPr="00D443AC">
        <w:rPr>
          <w:rFonts w:eastAsia="Times New Roman" w:cs="Calibri"/>
        </w:rPr>
        <w:lastRenderedPageBreak/>
        <w:t xml:space="preserve">overland flow. </w:t>
      </w:r>
      <w:r w:rsidRPr="00A34E32">
        <w:rPr>
          <w:rFonts w:eastAsia="Times New Roman" w:cs="Calibri"/>
          <w:i/>
          <w:lang w:val="es-ES_tradnl"/>
        </w:rPr>
        <w:t xml:space="preserve">Urban </w:t>
      </w:r>
      <w:proofErr w:type="spellStart"/>
      <w:r w:rsidRPr="00A34E32">
        <w:rPr>
          <w:rFonts w:eastAsia="Times New Roman" w:cs="Calibri"/>
          <w:i/>
          <w:lang w:val="es-ES_tradnl"/>
        </w:rPr>
        <w:t>Water</w:t>
      </w:r>
      <w:proofErr w:type="spellEnd"/>
      <w:r w:rsidRPr="00A34E32">
        <w:rPr>
          <w:rFonts w:eastAsia="Times New Roman" w:cs="Calibri"/>
          <w:i/>
          <w:lang w:val="es-ES_tradnl"/>
        </w:rPr>
        <w:t xml:space="preserve"> </w:t>
      </w:r>
      <w:proofErr w:type="spellStart"/>
      <w:r w:rsidRPr="00A34E32">
        <w:rPr>
          <w:rFonts w:eastAsia="Times New Roman" w:cs="Calibri"/>
          <w:i/>
          <w:lang w:val="es-ES_tradnl"/>
        </w:rPr>
        <w:t>Journal</w:t>
      </w:r>
      <w:proofErr w:type="spellEnd"/>
      <w:r w:rsidRPr="00A34E32">
        <w:rPr>
          <w:rFonts w:eastAsia="Times New Roman" w:cs="Calibri"/>
          <w:lang w:val="es-ES_tradnl"/>
        </w:rPr>
        <w:t xml:space="preserve">, </w:t>
      </w:r>
      <w:r w:rsidRPr="00A34E32">
        <w:rPr>
          <w:rFonts w:eastAsia="Times New Roman" w:cs="Calibri"/>
          <w:i/>
          <w:lang w:val="es-ES_tradnl"/>
        </w:rPr>
        <w:t>12</w:t>
      </w:r>
      <w:r w:rsidRPr="00A34E32">
        <w:rPr>
          <w:rFonts w:eastAsia="Times New Roman" w:cs="Calibri"/>
          <w:lang w:val="es-ES_tradnl"/>
        </w:rPr>
        <w:t>(8), 639–645. https://doi.org/10.1080/1573062X.2014.939091</w:t>
      </w:r>
    </w:p>
    <w:p w14:paraId="16BFD0A0" w14:textId="77777777" w:rsidR="00D7233C" w:rsidRPr="00D443AC" w:rsidRDefault="00D7233C" w:rsidP="00D7233C">
      <w:pPr>
        <w:ind w:left="480" w:hanging="480"/>
        <w:rPr>
          <w:rFonts w:eastAsia="Times New Roman" w:cs="Calibri"/>
        </w:rPr>
      </w:pPr>
      <w:r w:rsidRPr="00A34E32">
        <w:rPr>
          <w:rFonts w:eastAsia="Times New Roman" w:cs="Calibri"/>
          <w:lang w:val="es-ES_tradnl"/>
        </w:rPr>
        <w:t xml:space="preserve">WHO. (2011). </w:t>
      </w:r>
      <w:r w:rsidRPr="00A34E32">
        <w:rPr>
          <w:rFonts w:eastAsia="Times New Roman" w:cs="Calibri"/>
          <w:i/>
          <w:lang w:val="es-ES_tradnl"/>
        </w:rPr>
        <w:t>Guías para la calidad del agua de consumo humano</w:t>
      </w:r>
      <w:r w:rsidRPr="00A34E32">
        <w:rPr>
          <w:rFonts w:eastAsia="Times New Roman" w:cs="Calibri"/>
          <w:lang w:val="es-ES_tradnl"/>
        </w:rPr>
        <w:t xml:space="preserve">. </w:t>
      </w:r>
      <w:r w:rsidRPr="00D443AC">
        <w:rPr>
          <w:rFonts w:eastAsia="Times New Roman" w:cs="Calibri"/>
        </w:rPr>
        <w:t xml:space="preserve">World Health Organization. </w:t>
      </w:r>
    </w:p>
    <w:p w14:paraId="5C8EC6AD" w14:textId="014230BF" w:rsidR="000E5799" w:rsidRPr="00D443AC" w:rsidRDefault="000E5799">
      <w:pPr>
        <w:ind w:left="480" w:hanging="480"/>
        <w:rPr>
          <w:rFonts w:eastAsia="Times New Roman" w:cs="Calibri"/>
        </w:rPr>
      </w:pPr>
      <w:r w:rsidRPr="00D443AC">
        <w:rPr>
          <w:rFonts w:eastAsia="Times New Roman" w:cs="Calibri"/>
        </w:rPr>
        <w:t xml:space="preserve">WHO. (2017). </w:t>
      </w:r>
      <w:r w:rsidRPr="00D443AC">
        <w:rPr>
          <w:rFonts w:eastAsia="Times New Roman" w:cs="Calibri"/>
          <w:i/>
        </w:rPr>
        <w:t>Principles and Practices of Drinking-water Chlorination</w:t>
      </w:r>
      <w:r w:rsidRPr="00D443AC">
        <w:rPr>
          <w:rFonts w:eastAsia="Times New Roman" w:cs="Calibri"/>
        </w:rPr>
        <w:t>. World Health Organization.</w:t>
      </w:r>
    </w:p>
    <w:p w14:paraId="6C68D102" w14:textId="77777777" w:rsidR="000E5799" w:rsidRPr="00D443AC" w:rsidRDefault="000E5799">
      <w:pPr>
        <w:ind w:left="480" w:hanging="480"/>
        <w:rPr>
          <w:rFonts w:eastAsia="Times New Roman" w:cs="Calibri"/>
        </w:rPr>
      </w:pPr>
      <w:r w:rsidRPr="00D443AC">
        <w:rPr>
          <w:rFonts w:eastAsia="Times New Roman" w:cs="Calibri"/>
        </w:rPr>
        <w:t xml:space="preserve">Yang, M., &amp; Zhang, X. (2016). Current trends in the analysis and identification of emerging disinfection byproducts. </w:t>
      </w:r>
      <w:r w:rsidRPr="00D443AC">
        <w:rPr>
          <w:rFonts w:eastAsia="Times New Roman" w:cs="Calibri"/>
          <w:i/>
        </w:rPr>
        <w:t>Trends in Environmental Analytical Chemistry</w:t>
      </w:r>
      <w:r w:rsidRPr="00D443AC">
        <w:rPr>
          <w:rFonts w:eastAsia="Times New Roman" w:cs="Calibri"/>
        </w:rPr>
        <w:t xml:space="preserve">, </w:t>
      </w:r>
      <w:r w:rsidRPr="00D443AC">
        <w:rPr>
          <w:rFonts w:eastAsia="Times New Roman" w:cs="Calibri"/>
          <w:i/>
        </w:rPr>
        <w:t>10</w:t>
      </w:r>
      <w:r w:rsidRPr="00D443AC">
        <w:rPr>
          <w:rFonts w:eastAsia="Times New Roman" w:cs="Calibri"/>
        </w:rPr>
        <w:t>, 24–34. https://doi.org/10.1016/j.teac.2016.03.0023</w:t>
      </w:r>
    </w:p>
    <w:p w14:paraId="0C2724BA" w14:textId="32861C79" w:rsidR="000E5799" w:rsidRPr="00D443AC" w:rsidRDefault="000E5799">
      <w:pPr>
        <w:ind w:left="480" w:hanging="480"/>
        <w:rPr>
          <w:rFonts w:eastAsia="Times New Roman" w:cs="Calibri"/>
        </w:rPr>
      </w:pPr>
      <w:r w:rsidRPr="00A34E32">
        <w:rPr>
          <w:rFonts w:eastAsia="Times New Roman" w:cs="Calibri"/>
          <w:lang w:val="es-ES_tradnl"/>
        </w:rPr>
        <w:t xml:space="preserve">Zúñiga-Carrasco, I. R., &amp; Samperio-Morales, H. (2019). Importancia de la cloración del agua: sitios de abastecimiento con presencia de bacterias patógenas. </w:t>
      </w:r>
      <w:proofErr w:type="spellStart"/>
      <w:r w:rsidRPr="00D443AC">
        <w:rPr>
          <w:rFonts w:eastAsia="Times New Roman" w:cs="Calibri"/>
          <w:i/>
        </w:rPr>
        <w:t>Enfermedades</w:t>
      </w:r>
      <w:proofErr w:type="spellEnd"/>
      <w:r w:rsidRPr="00D443AC">
        <w:rPr>
          <w:rFonts w:eastAsia="Times New Roman" w:cs="Calibri"/>
          <w:i/>
        </w:rPr>
        <w:t xml:space="preserve"> </w:t>
      </w:r>
      <w:proofErr w:type="spellStart"/>
      <w:r w:rsidRPr="00D443AC">
        <w:rPr>
          <w:rFonts w:eastAsia="Times New Roman" w:cs="Calibri"/>
          <w:i/>
        </w:rPr>
        <w:t>Infecciosas</w:t>
      </w:r>
      <w:proofErr w:type="spellEnd"/>
      <w:r w:rsidRPr="00D443AC">
        <w:rPr>
          <w:rFonts w:eastAsia="Times New Roman" w:cs="Calibri"/>
          <w:i/>
        </w:rPr>
        <w:t xml:space="preserve"> y </w:t>
      </w:r>
      <w:proofErr w:type="spellStart"/>
      <w:r w:rsidRPr="00D443AC">
        <w:rPr>
          <w:rFonts w:eastAsia="Times New Roman" w:cs="Calibri"/>
          <w:i/>
        </w:rPr>
        <w:t>Microbiologia</w:t>
      </w:r>
      <w:proofErr w:type="spellEnd"/>
      <w:r w:rsidRPr="00D443AC">
        <w:rPr>
          <w:rFonts w:eastAsia="Times New Roman" w:cs="Calibri"/>
        </w:rPr>
        <w:t>, 39(3), 86-92.</w:t>
      </w:r>
    </w:p>
    <w:p w14:paraId="54B8B5BB" w14:textId="77777777" w:rsidR="000E5799" w:rsidRPr="00D443AC" w:rsidRDefault="000E5799">
      <w:pPr>
        <w:ind w:left="480" w:hanging="480"/>
        <w:rPr>
          <w:rFonts w:ascii="Calibri" w:eastAsia="Times New Roman" w:hAnsi="Calibri" w:cs="Calibri"/>
          <w:sz w:val="22"/>
        </w:rPr>
      </w:pPr>
      <w:r w:rsidRPr="00D443AC">
        <w:rPr>
          <w:rFonts w:ascii="Calibri" w:hAnsi="Calibri" w:cs="Calibri"/>
        </w:rPr>
        <w:fldChar w:fldCharType="end"/>
      </w:r>
    </w:p>
    <w:p w14:paraId="4D20AFAF" w14:textId="77777777" w:rsidR="000E5799" w:rsidRPr="00D443AC" w:rsidRDefault="000E5799">
      <w:pPr>
        <w:rPr>
          <w:rFonts w:ascii="Calibri" w:eastAsia="Times New Roman" w:hAnsi="Calibri" w:cs="Calibri"/>
          <w:sz w:val="22"/>
        </w:rPr>
      </w:pPr>
    </w:p>
    <w:sectPr w:rsidR="000E5799" w:rsidRPr="00D443AC" w:rsidSect="008558EF">
      <w:pgSz w:w="12240" w:h="15840"/>
      <w:pgMar w:top="1440" w:right="1440" w:bottom="1440" w:left="1440" w:header="720" w:footer="720" w:gutter="0"/>
      <w:lnNumType w:countBy="1" w:restart="continuous"/>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singleLevel"/>
    <w:tmpl w:val="FFFFFFFF"/>
    <w:lvl w:ilvl="0">
      <w:start w:val="1"/>
      <w:numFmt w:val="decimal"/>
      <w:lvlText w:val="%1."/>
      <w:lvlJc w:val="left"/>
    </w:lvl>
  </w:abstractNum>
  <w:abstractNum w:abstractNumId="1" w15:restartNumberingAfterBreak="0">
    <w:nsid w:val="00000002"/>
    <w:multiLevelType w:val="singleLevel"/>
    <w:tmpl w:val="FFFFFFFF"/>
    <w:lvl w:ilvl="0">
      <w:start w:val="1"/>
      <w:numFmt w:val="decimal"/>
      <w:lvlText w:val="%1."/>
      <w:lvlJc w:val="left"/>
    </w:lvl>
  </w:abstractNum>
  <w:abstractNum w:abstractNumId="2" w15:restartNumberingAfterBreak="0">
    <w:nsid w:val="00000003"/>
    <w:multiLevelType w:val="singleLevel"/>
    <w:tmpl w:val="FFFFFFFF"/>
    <w:lvl w:ilvl="0">
      <w:start w:val="1"/>
      <w:numFmt w:val="decimal"/>
      <w:lvlText w:val="%1."/>
      <w:lvlJc w:val="left"/>
    </w:lvl>
  </w:abstractNum>
  <w:abstractNum w:abstractNumId="3" w15:restartNumberingAfterBreak="0">
    <w:nsid w:val="00000004"/>
    <w:multiLevelType w:val="singleLevel"/>
    <w:tmpl w:val="FFFFFFFF"/>
    <w:lvl w:ilvl="0">
      <w:start w:val="1"/>
      <w:numFmt w:val="decimal"/>
      <w:lvlText w:val="%1."/>
      <w:lvlJc w:val="left"/>
    </w:lvl>
  </w:abstractNum>
  <w:abstractNum w:abstractNumId="4" w15:restartNumberingAfterBreak="0">
    <w:nsid w:val="00000005"/>
    <w:multiLevelType w:val="singleLevel"/>
    <w:tmpl w:val="FFFFFFFF"/>
    <w:lvl w:ilvl="0">
      <w:start w:val="1"/>
      <w:numFmt w:val="bullet"/>
      <w:lvlText w:val=""/>
      <w:lvlJc w:val="left"/>
      <w:rPr>
        <w:rFonts w:ascii="Symbol" w:hAnsi="Symbol" w:cs="Symbol"/>
      </w:rPr>
    </w:lvl>
  </w:abstractNum>
  <w:abstractNum w:abstractNumId="5" w15:restartNumberingAfterBreak="0">
    <w:nsid w:val="00000006"/>
    <w:multiLevelType w:val="singleLevel"/>
    <w:tmpl w:val="FFFFFFFF"/>
    <w:lvl w:ilvl="0">
      <w:start w:val="1"/>
      <w:numFmt w:val="bullet"/>
      <w:lvlText w:val=""/>
      <w:lvlJc w:val="left"/>
      <w:rPr>
        <w:rFonts w:ascii="Symbol" w:hAnsi="Symbol" w:cs="Symbol"/>
      </w:rPr>
    </w:lvl>
  </w:abstractNum>
  <w:abstractNum w:abstractNumId="6" w15:restartNumberingAfterBreak="0">
    <w:nsid w:val="00000007"/>
    <w:multiLevelType w:val="singleLevel"/>
    <w:tmpl w:val="FFFFFFFF"/>
    <w:lvl w:ilvl="0">
      <w:start w:val="1"/>
      <w:numFmt w:val="bullet"/>
      <w:lvlText w:val=""/>
      <w:lvlJc w:val="left"/>
      <w:rPr>
        <w:rFonts w:ascii="Symbol" w:hAnsi="Symbol" w:cs="Symbol"/>
      </w:rPr>
    </w:lvl>
  </w:abstractNum>
  <w:abstractNum w:abstractNumId="7" w15:restartNumberingAfterBreak="0">
    <w:nsid w:val="00000008"/>
    <w:multiLevelType w:val="singleLevel"/>
    <w:tmpl w:val="FFFFFFFF"/>
    <w:lvl w:ilvl="0">
      <w:start w:val="1"/>
      <w:numFmt w:val="bullet"/>
      <w:lvlText w:val=""/>
      <w:lvlJc w:val="left"/>
      <w:rPr>
        <w:rFonts w:ascii="Symbol" w:hAnsi="Symbol" w:cs="Symbol"/>
      </w:rPr>
    </w:lvl>
  </w:abstractNum>
  <w:abstractNum w:abstractNumId="8" w15:restartNumberingAfterBreak="0">
    <w:nsid w:val="00000009"/>
    <w:multiLevelType w:val="singleLevel"/>
    <w:tmpl w:val="FFFFFFFF"/>
    <w:lvl w:ilvl="0">
      <w:start w:val="1"/>
      <w:numFmt w:val="decimal"/>
      <w:lvlText w:val="%1."/>
      <w:lvlJc w:val="left"/>
    </w:lvl>
  </w:abstractNum>
  <w:abstractNum w:abstractNumId="9" w15:restartNumberingAfterBreak="0">
    <w:nsid w:val="0000000A"/>
    <w:multiLevelType w:val="singleLevel"/>
    <w:tmpl w:val="FFFFFFFF"/>
    <w:lvl w:ilvl="0">
      <w:start w:val="1"/>
      <w:numFmt w:val="bullet"/>
      <w:lvlText w:val=""/>
      <w:lvlJc w:val="left"/>
      <w:rPr>
        <w:rFonts w:ascii="Symbol" w:hAnsi="Symbol" w:cs="Symbol"/>
      </w:rPr>
    </w:lvl>
  </w:abstractNum>
  <w:abstractNum w:abstractNumId="10" w15:restartNumberingAfterBreak="0">
    <w:nsid w:val="0000000B"/>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1" w15:restartNumberingAfterBreak="0">
    <w:nsid w:val="0000000C"/>
    <w:multiLevelType w:val="multilevel"/>
    <w:tmpl w:val="FFFFFFFF"/>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2" w15:restartNumberingAfterBreak="0">
    <w:nsid w:val="0000000D"/>
    <w:multiLevelType w:val="multilevel"/>
    <w:tmpl w:val="FFFFFFFF"/>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3" w15:restartNumberingAfterBreak="0">
    <w:nsid w:val="0000000E"/>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4" w15:restartNumberingAfterBreak="0">
    <w:nsid w:val="0000000F"/>
    <w:multiLevelType w:val="multilevel"/>
    <w:tmpl w:val="FFFFFFFF"/>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5" w15:restartNumberingAfterBreak="0">
    <w:nsid w:val="00000010"/>
    <w:multiLevelType w:val="multilevel"/>
    <w:tmpl w:val="FFFFFFFF"/>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6" w15:restartNumberingAfterBreak="0">
    <w:nsid w:val="00000011"/>
    <w:multiLevelType w:val="multilevel"/>
    <w:tmpl w:val="FFFFFFFF"/>
    <w:lvl w:ilvl="0">
      <w:start w:val="1"/>
      <w:numFmt w:val="upp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7" w15:restartNumberingAfterBreak="0">
    <w:nsid w:val="00000012"/>
    <w:multiLevelType w:val="multilevel"/>
    <w:tmpl w:val="FFFFFFFF"/>
    <w:lvl w:ilvl="0">
      <w:start w:val="1"/>
      <w:numFmt w:val="bullet"/>
      <w:lvlText w:val=""/>
      <w:lvlJc w:val="left"/>
      <w:rPr>
        <w:rFonts w:ascii="Symbol" w:hAnsi="Symbol" w:cs="Symbol"/>
      </w:rPr>
    </w:lvl>
    <w:lvl w:ilvl="1">
      <w:start w:val="1"/>
      <w:numFmt w:val="bullet"/>
      <w:lvlText w:val=""/>
      <w:lvlJc w:val="left"/>
      <w:rPr>
        <w:rFonts w:ascii="Symbol" w:hAnsi="Symbol" w:cs="Symbol"/>
      </w:rPr>
    </w:lvl>
    <w:lvl w:ilvl="2">
      <w:start w:val="1"/>
      <w:numFmt w:val="bullet"/>
      <w:lvlText w:val=""/>
      <w:lvlJc w:val="left"/>
      <w:rPr>
        <w:rFonts w:ascii="Symbol" w:hAnsi="Symbol" w:cs="Symbol"/>
      </w:rPr>
    </w:lvl>
    <w:lvl w:ilvl="3">
      <w:start w:val="1"/>
      <w:numFmt w:val="bullet"/>
      <w:lvlText w:val=""/>
      <w:lvlJc w:val="left"/>
      <w:rPr>
        <w:rFonts w:ascii="Symbol" w:hAnsi="Symbol" w:cs="Symbol"/>
      </w:rPr>
    </w:lvl>
    <w:lvl w:ilvl="4">
      <w:start w:val="1"/>
      <w:numFmt w:val="bullet"/>
      <w:lvlText w:val=""/>
      <w:lvlJc w:val="left"/>
      <w:rPr>
        <w:rFonts w:ascii="Symbol" w:hAnsi="Symbol" w:cs="Symbol"/>
      </w:rPr>
    </w:lvl>
    <w:lvl w:ilvl="5">
      <w:start w:val="1"/>
      <w:numFmt w:val="bullet"/>
      <w:lvlText w:val=""/>
      <w:lvlJc w:val="left"/>
      <w:rPr>
        <w:rFonts w:ascii="Symbol" w:hAnsi="Symbol" w:cs="Symbol"/>
      </w:rPr>
    </w:lvl>
    <w:lvl w:ilvl="6">
      <w:start w:val="1"/>
      <w:numFmt w:val="bullet"/>
      <w:lvlText w:val=""/>
      <w:lvlJc w:val="left"/>
      <w:rPr>
        <w:rFonts w:ascii="Symbol" w:hAnsi="Symbol" w:cs="Symbol"/>
      </w:rPr>
    </w:lvl>
    <w:lvl w:ilvl="7">
      <w:start w:val="1"/>
      <w:numFmt w:val="bullet"/>
      <w:lvlText w:val=""/>
      <w:lvlJc w:val="left"/>
      <w:rPr>
        <w:rFonts w:ascii="Symbol" w:hAnsi="Symbol" w:cs="Symbol"/>
      </w:rPr>
    </w:lvl>
    <w:lvl w:ilvl="8">
      <w:start w:val="1"/>
      <w:numFmt w:val="bullet"/>
      <w:lvlText w:val=""/>
      <w:lvlJc w:val="left"/>
      <w:rPr>
        <w:rFonts w:ascii="Symbol" w:hAnsi="Symbol" w:cs="Symbol"/>
      </w:rPr>
    </w:lvl>
  </w:abstractNum>
  <w:abstractNum w:abstractNumId="18" w15:restartNumberingAfterBreak="0">
    <w:nsid w:val="00000013"/>
    <w:multiLevelType w:val="multilevel"/>
    <w:tmpl w:val="FFFFFFFF"/>
    <w:lvl w:ilvl="0">
      <w:start w:val="1"/>
      <w:numFmt w:val="bullet"/>
      <w:lvlText w:val=""/>
      <w:lvlJc w:val="left"/>
      <w:rPr>
        <w:rFonts w:ascii="Symbol" w:hAnsi="Symbol" w:cs="Symbol"/>
      </w:rPr>
    </w:lvl>
    <w:lvl w:ilvl="1">
      <w:start w:val="1"/>
      <w:numFmt w:val="bullet"/>
      <w:lvlText w:val=""/>
      <w:lvlJc w:val="left"/>
      <w:rPr>
        <w:rFonts w:ascii="Symbol" w:hAnsi="Symbol" w:cs="Symbol"/>
      </w:rPr>
    </w:lvl>
    <w:lvl w:ilvl="2">
      <w:start w:val="1"/>
      <w:numFmt w:val="bullet"/>
      <w:lvlText w:val=""/>
      <w:lvlJc w:val="left"/>
      <w:rPr>
        <w:rFonts w:ascii="Symbol" w:hAnsi="Symbol" w:cs="Symbol"/>
      </w:rPr>
    </w:lvl>
    <w:lvl w:ilvl="3">
      <w:start w:val="1"/>
      <w:numFmt w:val="bullet"/>
      <w:lvlText w:val=""/>
      <w:lvlJc w:val="left"/>
      <w:rPr>
        <w:rFonts w:ascii="Symbol" w:hAnsi="Symbol" w:cs="Symbol"/>
      </w:rPr>
    </w:lvl>
    <w:lvl w:ilvl="4">
      <w:start w:val="1"/>
      <w:numFmt w:val="bullet"/>
      <w:lvlText w:val=""/>
      <w:lvlJc w:val="left"/>
      <w:rPr>
        <w:rFonts w:ascii="Symbol" w:hAnsi="Symbol" w:cs="Symbol"/>
      </w:rPr>
    </w:lvl>
    <w:lvl w:ilvl="5">
      <w:start w:val="1"/>
      <w:numFmt w:val="bullet"/>
      <w:lvlText w:val=""/>
      <w:lvlJc w:val="left"/>
      <w:rPr>
        <w:rFonts w:ascii="Symbol" w:hAnsi="Symbol" w:cs="Symbol"/>
      </w:rPr>
    </w:lvl>
    <w:lvl w:ilvl="6">
      <w:start w:val="1"/>
      <w:numFmt w:val="bullet"/>
      <w:lvlText w:val=""/>
      <w:lvlJc w:val="left"/>
      <w:rPr>
        <w:rFonts w:ascii="Symbol" w:hAnsi="Symbol" w:cs="Symbol"/>
      </w:rPr>
    </w:lvl>
    <w:lvl w:ilvl="7">
      <w:start w:val="1"/>
      <w:numFmt w:val="bullet"/>
      <w:lvlText w:val=""/>
      <w:lvlJc w:val="left"/>
      <w:rPr>
        <w:rFonts w:ascii="Symbol" w:hAnsi="Symbol" w:cs="Symbol"/>
      </w:rPr>
    </w:lvl>
    <w:lvl w:ilvl="8">
      <w:start w:val="1"/>
      <w:numFmt w:val="bullet"/>
      <w:lvlText w:val=""/>
      <w:lvlJc w:val="left"/>
      <w:rPr>
        <w:rFonts w:ascii="Symbol" w:hAnsi="Symbol" w:cs="Symbol"/>
      </w:rPr>
    </w:lvl>
  </w:abstractNum>
  <w:abstractNum w:abstractNumId="19" w15:restartNumberingAfterBreak="0">
    <w:nsid w:val="00000014"/>
    <w:multiLevelType w:val="multilevel"/>
    <w:tmpl w:val="FFFFFFFF"/>
    <w:lvl w:ilvl="0">
      <w:start w:val="1"/>
      <w:numFmt w:val="bullet"/>
      <w:lvlText w:val=""/>
      <w:lvlJc w:val="left"/>
      <w:rPr>
        <w:rFonts w:ascii="Symbol" w:hAnsi="Symbol" w:cs="Symbol"/>
      </w:rPr>
    </w:lvl>
    <w:lvl w:ilvl="1">
      <w:start w:val="1"/>
      <w:numFmt w:val="bullet"/>
      <w:lvlText w:val="o"/>
      <w:lvlJc w:val="left"/>
      <w:rPr>
        <w:rFonts w:ascii="Courier New" w:hAnsi="Courier New" w:cs="Courier New"/>
      </w:rPr>
    </w:lvl>
    <w:lvl w:ilvl="2">
      <w:start w:val="1"/>
      <w:numFmt w:val="bullet"/>
      <w:lvlText w:val=""/>
      <w:lvlJc w:val="left"/>
      <w:rPr>
        <w:rFonts w:ascii="Wingdings" w:hAnsi="Wingdings" w:cs="Wingdings"/>
      </w:rPr>
    </w:lvl>
    <w:lvl w:ilvl="3">
      <w:start w:val="1"/>
      <w:numFmt w:val="bullet"/>
      <w:lvlText w:val=""/>
      <w:lvlJc w:val="left"/>
      <w:rPr>
        <w:rFonts w:ascii="Symbol" w:hAnsi="Symbol" w:cs="Symbol"/>
      </w:rPr>
    </w:lvl>
    <w:lvl w:ilvl="4">
      <w:start w:val="1"/>
      <w:numFmt w:val="bullet"/>
      <w:lvlText w:val="o"/>
      <w:lvlJc w:val="left"/>
      <w:rPr>
        <w:rFonts w:ascii="Courier New" w:hAnsi="Courier New" w:cs="Courier New"/>
      </w:rPr>
    </w:lvl>
    <w:lvl w:ilvl="5">
      <w:start w:val="1"/>
      <w:numFmt w:val="bullet"/>
      <w:lvlText w:val=""/>
      <w:lvlJc w:val="left"/>
      <w:rPr>
        <w:rFonts w:ascii="Wingdings" w:hAnsi="Wingdings" w:cs="Wingdings"/>
      </w:rPr>
    </w:lvl>
    <w:lvl w:ilvl="6">
      <w:start w:val="1"/>
      <w:numFmt w:val="bullet"/>
      <w:lvlText w:val=""/>
      <w:lvlJc w:val="left"/>
      <w:rPr>
        <w:rFonts w:ascii="Symbol" w:hAnsi="Symbol" w:cs="Symbol"/>
      </w:rPr>
    </w:lvl>
    <w:lvl w:ilvl="7">
      <w:start w:val="1"/>
      <w:numFmt w:val="bullet"/>
      <w:lvlText w:val="o"/>
      <w:lvlJc w:val="left"/>
      <w:rPr>
        <w:rFonts w:ascii="Courier New" w:hAnsi="Courier New" w:cs="Courier New"/>
      </w:rPr>
    </w:lvl>
    <w:lvl w:ilvl="8">
      <w:start w:val="1"/>
      <w:numFmt w:val="bullet"/>
      <w:lvlText w:val=""/>
      <w:lvlJc w:val="left"/>
      <w:rPr>
        <w:rFonts w:ascii="Wingdings" w:hAnsi="Wingdings" w:cs="Wingdings"/>
      </w:rPr>
    </w:lvl>
  </w:abstractNum>
  <w:abstractNum w:abstractNumId="20" w15:restartNumberingAfterBreak="0">
    <w:nsid w:val="00000015"/>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1" w15:restartNumberingAfterBreak="0">
    <w:nsid w:val="00000016"/>
    <w:multiLevelType w:val="multilevel"/>
    <w:tmpl w:val="FFFFFFFF"/>
    <w:lvl w:ilvl="0">
      <w:start w:val="1"/>
      <w:numFmt w:val="bullet"/>
      <w:lvlText w:val=""/>
      <w:lvlJc w:val="left"/>
      <w:rPr>
        <w:rFonts w:ascii="Symbol" w:hAnsi="Symbol" w:cs="Symbol"/>
      </w:rPr>
    </w:lvl>
    <w:lvl w:ilvl="1">
      <w:start w:val="1"/>
      <w:numFmt w:val="bullet"/>
      <w:lvlText w:val=""/>
      <w:lvlJc w:val="left"/>
      <w:rPr>
        <w:rFonts w:ascii="Symbol" w:hAnsi="Symbol" w:cs="Symbol"/>
      </w:rPr>
    </w:lvl>
    <w:lvl w:ilvl="2">
      <w:start w:val="1"/>
      <w:numFmt w:val="bullet"/>
      <w:lvlText w:val=""/>
      <w:lvlJc w:val="left"/>
      <w:rPr>
        <w:rFonts w:ascii="Symbol" w:hAnsi="Symbol" w:cs="Symbol"/>
      </w:rPr>
    </w:lvl>
    <w:lvl w:ilvl="3">
      <w:start w:val="1"/>
      <w:numFmt w:val="bullet"/>
      <w:lvlText w:val=""/>
      <w:lvlJc w:val="left"/>
      <w:rPr>
        <w:rFonts w:ascii="Symbol" w:hAnsi="Symbol" w:cs="Symbol"/>
      </w:rPr>
    </w:lvl>
    <w:lvl w:ilvl="4">
      <w:start w:val="1"/>
      <w:numFmt w:val="bullet"/>
      <w:lvlText w:val=""/>
      <w:lvlJc w:val="left"/>
      <w:rPr>
        <w:rFonts w:ascii="Symbol" w:hAnsi="Symbol" w:cs="Symbol"/>
      </w:rPr>
    </w:lvl>
    <w:lvl w:ilvl="5">
      <w:start w:val="1"/>
      <w:numFmt w:val="bullet"/>
      <w:lvlText w:val=""/>
      <w:lvlJc w:val="left"/>
      <w:rPr>
        <w:rFonts w:ascii="Symbol" w:hAnsi="Symbol" w:cs="Symbol"/>
      </w:rPr>
    </w:lvl>
    <w:lvl w:ilvl="6">
      <w:start w:val="1"/>
      <w:numFmt w:val="bullet"/>
      <w:lvlText w:val=""/>
      <w:lvlJc w:val="left"/>
      <w:rPr>
        <w:rFonts w:ascii="Symbol" w:hAnsi="Symbol" w:cs="Symbol"/>
      </w:rPr>
    </w:lvl>
    <w:lvl w:ilvl="7">
      <w:start w:val="1"/>
      <w:numFmt w:val="bullet"/>
      <w:lvlText w:val=""/>
      <w:lvlJc w:val="left"/>
      <w:rPr>
        <w:rFonts w:ascii="Symbol" w:hAnsi="Symbol" w:cs="Symbol"/>
      </w:rPr>
    </w:lvl>
    <w:lvl w:ilvl="8">
      <w:start w:val="1"/>
      <w:numFmt w:val="bullet"/>
      <w:lvlText w:val=""/>
      <w:lvlJc w:val="left"/>
      <w:rPr>
        <w:rFonts w:ascii="Symbol" w:hAnsi="Symbol" w:cs="Symbol"/>
      </w:rPr>
    </w:lvl>
  </w:abstractNum>
  <w:abstractNum w:abstractNumId="22" w15:restartNumberingAfterBreak="0">
    <w:nsid w:val="00000017"/>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3" w15:restartNumberingAfterBreak="0">
    <w:nsid w:val="00000018"/>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4" w15:restartNumberingAfterBreak="0">
    <w:nsid w:val="00000019"/>
    <w:multiLevelType w:val="multilevel"/>
    <w:tmpl w:val="FFFFFFFF"/>
    <w:lvl w:ilvl="0">
      <w:start w:val="1"/>
      <w:numFmt w:val="bullet"/>
      <w:lvlText w:val=""/>
      <w:lvlJc w:val="left"/>
      <w:rPr>
        <w:rFonts w:ascii="Symbol" w:hAnsi="Symbol" w:cs="Symbol"/>
      </w:rPr>
    </w:lvl>
    <w:lvl w:ilvl="1">
      <w:start w:val="1"/>
      <w:numFmt w:val="bullet"/>
      <w:lvlText w:val="o"/>
      <w:lvlJc w:val="left"/>
      <w:rPr>
        <w:rFonts w:ascii="Courier New" w:hAnsi="Courier New" w:cs="Courier New"/>
      </w:rPr>
    </w:lvl>
    <w:lvl w:ilvl="2">
      <w:start w:val="1"/>
      <w:numFmt w:val="bullet"/>
      <w:lvlText w:val=""/>
      <w:lvlJc w:val="left"/>
      <w:rPr>
        <w:rFonts w:ascii="Wingdings" w:hAnsi="Wingdings" w:cs="Wingdings"/>
      </w:rPr>
    </w:lvl>
    <w:lvl w:ilvl="3">
      <w:start w:val="1"/>
      <w:numFmt w:val="bullet"/>
      <w:lvlText w:val=""/>
      <w:lvlJc w:val="left"/>
      <w:rPr>
        <w:rFonts w:ascii="Symbol" w:hAnsi="Symbol" w:cs="Symbol"/>
      </w:rPr>
    </w:lvl>
    <w:lvl w:ilvl="4">
      <w:start w:val="1"/>
      <w:numFmt w:val="bullet"/>
      <w:lvlText w:val="o"/>
      <w:lvlJc w:val="left"/>
      <w:rPr>
        <w:rFonts w:ascii="Courier New" w:hAnsi="Courier New" w:cs="Courier New"/>
      </w:rPr>
    </w:lvl>
    <w:lvl w:ilvl="5">
      <w:start w:val="1"/>
      <w:numFmt w:val="bullet"/>
      <w:lvlText w:val=""/>
      <w:lvlJc w:val="left"/>
      <w:rPr>
        <w:rFonts w:ascii="Wingdings" w:hAnsi="Wingdings" w:cs="Wingdings"/>
      </w:rPr>
    </w:lvl>
    <w:lvl w:ilvl="6">
      <w:start w:val="1"/>
      <w:numFmt w:val="bullet"/>
      <w:lvlText w:val=""/>
      <w:lvlJc w:val="left"/>
      <w:rPr>
        <w:rFonts w:ascii="Symbol" w:hAnsi="Symbol" w:cs="Symbol"/>
      </w:rPr>
    </w:lvl>
    <w:lvl w:ilvl="7">
      <w:start w:val="1"/>
      <w:numFmt w:val="bullet"/>
      <w:lvlText w:val="o"/>
      <w:lvlJc w:val="left"/>
      <w:rPr>
        <w:rFonts w:ascii="Courier New" w:hAnsi="Courier New" w:cs="Courier New"/>
      </w:rPr>
    </w:lvl>
    <w:lvl w:ilvl="8">
      <w:start w:val="1"/>
      <w:numFmt w:val="bullet"/>
      <w:lvlText w:val=""/>
      <w:lvlJc w:val="left"/>
      <w:rPr>
        <w:rFonts w:ascii="Wingdings" w:hAnsi="Wingdings" w:cs="Wingdings"/>
      </w:rPr>
    </w:lvl>
  </w:abstractNum>
  <w:abstractNum w:abstractNumId="25" w15:restartNumberingAfterBreak="0">
    <w:nsid w:val="0000001A"/>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6" w15:restartNumberingAfterBreak="0">
    <w:nsid w:val="0000001B"/>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7" w15:restartNumberingAfterBreak="0">
    <w:nsid w:val="0000001C"/>
    <w:multiLevelType w:val="multilevel"/>
    <w:tmpl w:val="FFFFFFFF"/>
    <w:lvl w:ilvl="0">
      <w:start w:val="1"/>
      <w:numFmt w:val="decimal"/>
      <w:pStyle w:val="Numberedlist"/>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8" w15:restartNumberingAfterBreak="0">
    <w:nsid w:val="0000001D"/>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9" w15:restartNumberingAfterBreak="0">
    <w:nsid w:val="0000001E"/>
    <w:multiLevelType w:val="multilevel"/>
    <w:tmpl w:val="FFFFFFFF"/>
    <w:lvl w:ilvl="0">
      <w:start w:val="1"/>
      <w:numFmt w:val="bullet"/>
      <w:lvlText w:val=""/>
      <w:lvlJc w:val="left"/>
      <w:rPr>
        <w:rFonts w:ascii="Symbol" w:hAnsi="Symbol" w:cs="Symbol"/>
      </w:rPr>
    </w:lvl>
    <w:lvl w:ilvl="1">
      <w:start w:val="1"/>
      <w:numFmt w:val="bullet"/>
      <w:lvlText w:val=""/>
      <w:lvlJc w:val="left"/>
      <w:rPr>
        <w:rFonts w:ascii="Symbol" w:hAnsi="Symbol" w:cs="Symbol"/>
      </w:rPr>
    </w:lvl>
    <w:lvl w:ilvl="2">
      <w:start w:val="1"/>
      <w:numFmt w:val="bullet"/>
      <w:lvlText w:val=""/>
      <w:lvlJc w:val="left"/>
      <w:rPr>
        <w:rFonts w:ascii="Symbol" w:hAnsi="Symbol" w:cs="Symbol"/>
      </w:rPr>
    </w:lvl>
    <w:lvl w:ilvl="3">
      <w:start w:val="1"/>
      <w:numFmt w:val="bullet"/>
      <w:lvlText w:val=""/>
      <w:lvlJc w:val="left"/>
      <w:rPr>
        <w:rFonts w:ascii="Symbol" w:hAnsi="Symbol" w:cs="Symbol"/>
      </w:rPr>
    </w:lvl>
    <w:lvl w:ilvl="4">
      <w:start w:val="1"/>
      <w:numFmt w:val="bullet"/>
      <w:lvlText w:val=""/>
      <w:lvlJc w:val="left"/>
      <w:rPr>
        <w:rFonts w:ascii="Symbol" w:hAnsi="Symbol" w:cs="Symbol"/>
      </w:rPr>
    </w:lvl>
    <w:lvl w:ilvl="5">
      <w:start w:val="1"/>
      <w:numFmt w:val="bullet"/>
      <w:lvlText w:val=""/>
      <w:lvlJc w:val="left"/>
      <w:rPr>
        <w:rFonts w:ascii="Symbol" w:hAnsi="Symbol" w:cs="Symbol"/>
      </w:rPr>
    </w:lvl>
    <w:lvl w:ilvl="6">
      <w:start w:val="1"/>
      <w:numFmt w:val="bullet"/>
      <w:lvlText w:val=""/>
      <w:lvlJc w:val="left"/>
      <w:rPr>
        <w:rFonts w:ascii="Symbol" w:hAnsi="Symbol" w:cs="Symbol"/>
      </w:rPr>
    </w:lvl>
    <w:lvl w:ilvl="7">
      <w:start w:val="1"/>
      <w:numFmt w:val="bullet"/>
      <w:lvlText w:val=""/>
      <w:lvlJc w:val="left"/>
      <w:rPr>
        <w:rFonts w:ascii="Symbol" w:hAnsi="Symbol" w:cs="Symbol"/>
      </w:rPr>
    </w:lvl>
    <w:lvl w:ilvl="8">
      <w:start w:val="1"/>
      <w:numFmt w:val="bullet"/>
      <w:lvlText w:val=""/>
      <w:lvlJc w:val="left"/>
      <w:rPr>
        <w:rFonts w:ascii="Symbol" w:hAnsi="Symbol" w:cs="Symbol"/>
      </w:rPr>
    </w:lvl>
  </w:abstractNum>
  <w:abstractNum w:abstractNumId="30" w15:restartNumberingAfterBreak="0">
    <w:nsid w:val="0000001F"/>
    <w:multiLevelType w:val="multilevel"/>
    <w:tmpl w:val="FFFFFFFF"/>
    <w:lvl w:ilvl="0">
      <w:start w:val="1"/>
      <w:numFmt w:val="bullet"/>
      <w:lvlText w:val=""/>
      <w:lvlJc w:val="left"/>
      <w:rPr>
        <w:rFonts w:ascii="Symbol" w:hAnsi="Symbol" w:cs="Symbol"/>
      </w:rPr>
    </w:lvl>
    <w:lvl w:ilvl="1">
      <w:start w:val="1"/>
      <w:numFmt w:val="bullet"/>
      <w:lvlText w:val="o"/>
      <w:lvlJc w:val="left"/>
      <w:rPr>
        <w:rFonts w:ascii="Courier New" w:hAnsi="Courier New" w:cs="Courier New"/>
      </w:rPr>
    </w:lvl>
    <w:lvl w:ilvl="2">
      <w:start w:val="1"/>
      <w:numFmt w:val="bullet"/>
      <w:lvlText w:val=""/>
      <w:lvlJc w:val="left"/>
      <w:rPr>
        <w:rFonts w:ascii="Wingdings" w:hAnsi="Wingdings" w:cs="Wingdings"/>
      </w:rPr>
    </w:lvl>
    <w:lvl w:ilvl="3">
      <w:start w:val="1"/>
      <w:numFmt w:val="bullet"/>
      <w:lvlText w:val=""/>
      <w:lvlJc w:val="left"/>
      <w:rPr>
        <w:rFonts w:ascii="Symbol" w:hAnsi="Symbol" w:cs="Symbol"/>
      </w:rPr>
    </w:lvl>
    <w:lvl w:ilvl="4">
      <w:start w:val="1"/>
      <w:numFmt w:val="bullet"/>
      <w:lvlText w:val="o"/>
      <w:lvlJc w:val="left"/>
      <w:rPr>
        <w:rFonts w:ascii="Courier New" w:hAnsi="Courier New" w:cs="Courier New"/>
      </w:rPr>
    </w:lvl>
    <w:lvl w:ilvl="5">
      <w:start w:val="1"/>
      <w:numFmt w:val="bullet"/>
      <w:lvlText w:val=""/>
      <w:lvlJc w:val="left"/>
      <w:rPr>
        <w:rFonts w:ascii="Wingdings" w:hAnsi="Wingdings" w:cs="Wingdings"/>
      </w:rPr>
    </w:lvl>
    <w:lvl w:ilvl="6">
      <w:start w:val="1"/>
      <w:numFmt w:val="bullet"/>
      <w:lvlText w:val=""/>
      <w:lvlJc w:val="left"/>
      <w:rPr>
        <w:rFonts w:ascii="Symbol" w:hAnsi="Symbol" w:cs="Symbol"/>
      </w:rPr>
    </w:lvl>
    <w:lvl w:ilvl="7">
      <w:start w:val="1"/>
      <w:numFmt w:val="bullet"/>
      <w:lvlText w:val="o"/>
      <w:lvlJc w:val="left"/>
      <w:rPr>
        <w:rFonts w:ascii="Courier New" w:hAnsi="Courier New" w:cs="Courier New"/>
      </w:rPr>
    </w:lvl>
    <w:lvl w:ilvl="8">
      <w:start w:val="1"/>
      <w:numFmt w:val="bullet"/>
      <w:lvlText w:val=""/>
      <w:lvlJc w:val="left"/>
      <w:rPr>
        <w:rFonts w:ascii="Wingdings" w:hAnsi="Wingdings" w:cs="Wingdings"/>
      </w:rPr>
    </w:lvl>
  </w:abstractNum>
  <w:abstractNum w:abstractNumId="31" w15:restartNumberingAfterBreak="0">
    <w:nsid w:val="00000020"/>
    <w:multiLevelType w:val="multilevel"/>
    <w:tmpl w:val="FFFFFFFF"/>
    <w:lvl w:ilvl="0">
      <w:start w:val="1"/>
      <w:numFmt w:val="bullet"/>
      <w:pStyle w:val="Bulletedlist"/>
      <w:lvlText w:val=""/>
      <w:lvlJc w:val="left"/>
      <w:rPr>
        <w:rFonts w:ascii="Symbol" w:hAnsi="Symbol" w:cs="Symbol"/>
      </w:rPr>
    </w:lvl>
    <w:lvl w:ilvl="1">
      <w:start w:val="1"/>
      <w:numFmt w:val="bullet"/>
      <w:lvlText w:val="o"/>
      <w:lvlJc w:val="left"/>
      <w:rPr>
        <w:rFonts w:ascii="Courier New" w:hAnsi="Courier New" w:cs="Courier New"/>
      </w:rPr>
    </w:lvl>
    <w:lvl w:ilvl="2">
      <w:start w:val="1"/>
      <w:numFmt w:val="bullet"/>
      <w:lvlText w:val=""/>
      <w:lvlJc w:val="left"/>
      <w:rPr>
        <w:rFonts w:ascii="Wingdings" w:hAnsi="Wingdings" w:cs="Wingdings"/>
      </w:rPr>
    </w:lvl>
    <w:lvl w:ilvl="3">
      <w:start w:val="1"/>
      <w:numFmt w:val="bullet"/>
      <w:lvlText w:val=""/>
      <w:lvlJc w:val="left"/>
      <w:rPr>
        <w:rFonts w:ascii="Symbol" w:hAnsi="Symbol" w:cs="Symbol"/>
      </w:rPr>
    </w:lvl>
    <w:lvl w:ilvl="4">
      <w:start w:val="1"/>
      <w:numFmt w:val="bullet"/>
      <w:lvlText w:val="o"/>
      <w:lvlJc w:val="left"/>
      <w:rPr>
        <w:rFonts w:ascii="Courier New" w:hAnsi="Courier New" w:cs="Courier New"/>
      </w:rPr>
    </w:lvl>
    <w:lvl w:ilvl="5">
      <w:start w:val="1"/>
      <w:numFmt w:val="bullet"/>
      <w:lvlText w:val=""/>
      <w:lvlJc w:val="left"/>
      <w:rPr>
        <w:rFonts w:ascii="Wingdings" w:hAnsi="Wingdings" w:cs="Wingdings"/>
      </w:rPr>
    </w:lvl>
    <w:lvl w:ilvl="6">
      <w:start w:val="1"/>
      <w:numFmt w:val="bullet"/>
      <w:lvlText w:val=""/>
      <w:lvlJc w:val="left"/>
      <w:rPr>
        <w:rFonts w:ascii="Symbol" w:hAnsi="Symbol" w:cs="Symbol"/>
      </w:rPr>
    </w:lvl>
    <w:lvl w:ilvl="7">
      <w:start w:val="1"/>
      <w:numFmt w:val="bullet"/>
      <w:lvlText w:val="o"/>
      <w:lvlJc w:val="left"/>
      <w:rPr>
        <w:rFonts w:ascii="Courier New" w:hAnsi="Courier New" w:cs="Courier New"/>
      </w:rPr>
    </w:lvl>
    <w:lvl w:ilvl="8">
      <w:start w:val="1"/>
      <w:numFmt w:val="bullet"/>
      <w:lvlText w:val=""/>
      <w:lvlJc w:val="left"/>
      <w:rPr>
        <w:rFonts w:ascii="Wingdings" w:hAnsi="Wingdings" w:cs="Wingdings"/>
      </w:rPr>
    </w:lvl>
  </w:abstractNum>
  <w:abstractNum w:abstractNumId="32" w15:restartNumberingAfterBreak="0">
    <w:nsid w:val="00000021"/>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3" w15:restartNumberingAfterBreak="0">
    <w:nsid w:val="00000022"/>
    <w:multiLevelType w:val="multilevel"/>
    <w:tmpl w:val="FFFFFFFF"/>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4" w15:restartNumberingAfterBreak="0">
    <w:nsid w:val="00000023"/>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5" w15:restartNumberingAfterBreak="0">
    <w:nsid w:val="00000024"/>
    <w:multiLevelType w:val="multilevel"/>
    <w:tmpl w:val="FFFFFFFF"/>
    <w:lvl w:ilvl="0">
      <w:start w:val="1"/>
      <w:numFmt w:val="bullet"/>
      <w:lvlText w:val=""/>
      <w:lvlJc w:val="left"/>
      <w:rPr>
        <w:rFonts w:ascii="Symbol" w:hAnsi="Symbol" w:cs="Symbol"/>
      </w:rPr>
    </w:lvl>
    <w:lvl w:ilvl="1">
      <w:start w:val="1"/>
      <w:numFmt w:val="bullet"/>
      <w:lvlText w:val=""/>
      <w:lvlJc w:val="left"/>
      <w:rPr>
        <w:rFonts w:ascii="Symbol" w:hAnsi="Symbol" w:cs="Symbol"/>
      </w:rPr>
    </w:lvl>
    <w:lvl w:ilvl="2">
      <w:start w:val="1"/>
      <w:numFmt w:val="bullet"/>
      <w:lvlText w:val=""/>
      <w:lvlJc w:val="left"/>
      <w:rPr>
        <w:rFonts w:ascii="Symbol" w:hAnsi="Symbol" w:cs="Symbol"/>
      </w:rPr>
    </w:lvl>
    <w:lvl w:ilvl="3">
      <w:start w:val="1"/>
      <w:numFmt w:val="bullet"/>
      <w:lvlText w:val=""/>
      <w:lvlJc w:val="left"/>
      <w:rPr>
        <w:rFonts w:ascii="Symbol" w:hAnsi="Symbol" w:cs="Symbol"/>
      </w:rPr>
    </w:lvl>
    <w:lvl w:ilvl="4">
      <w:start w:val="1"/>
      <w:numFmt w:val="bullet"/>
      <w:lvlText w:val=""/>
      <w:lvlJc w:val="left"/>
      <w:rPr>
        <w:rFonts w:ascii="Symbol" w:hAnsi="Symbol" w:cs="Symbol"/>
      </w:rPr>
    </w:lvl>
    <w:lvl w:ilvl="5">
      <w:start w:val="1"/>
      <w:numFmt w:val="bullet"/>
      <w:lvlText w:val=""/>
      <w:lvlJc w:val="left"/>
      <w:rPr>
        <w:rFonts w:ascii="Symbol" w:hAnsi="Symbol" w:cs="Symbol"/>
      </w:rPr>
    </w:lvl>
    <w:lvl w:ilvl="6">
      <w:start w:val="1"/>
      <w:numFmt w:val="bullet"/>
      <w:lvlText w:val=""/>
      <w:lvlJc w:val="left"/>
      <w:rPr>
        <w:rFonts w:ascii="Symbol" w:hAnsi="Symbol" w:cs="Symbol"/>
      </w:rPr>
    </w:lvl>
    <w:lvl w:ilvl="7">
      <w:start w:val="1"/>
      <w:numFmt w:val="bullet"/>
      <w:lvlText w:val=""/>
      <w:lvlJc w:val="left"/>
      <w:rPr>
        <w:rFonts w:ascii="Symbol" w:hAnsi="Symbol" w:cs="Symbol"/>
      </w:rPr>
    </w:lvl>
    <w:lvl w:ilvl="8">
      <w:start w:val="1"/>
      <w:numFmt w:val="bullet"/>
      <w:lvlText w:val=""/>
      <w:lvlJc w:val="left"/>
      <w:rPr>
        <w:rFonts w:ascii="Symbol" w:hAnsi="Symbol" w:cs="Symbol"/>
      </w:rPr>
    </w:lvl>
  </w:abstractNum>
  <w:abstractNum w:abstractNumId="36" w15:restartNumberingAfterBreak="0">
    <w:nsid w:val="00000025"/>
    <w:multiLevelType w:val="multilevel"/>
    <w:tmpl w:val="FFFFFFFF"/>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7" w15:restartNumberingAfterBreak="0">
    <w:nsid w:val="00000026"/>
    <w:multiLevelType w:val="multilevel"/>
    <w:tmpl w:val="FFFFFFFF"/>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8" w15:restartNumberingAfterBreak="0">
    <w:nsid w:val="00000027"/>
    <w:multiLevelType w:val="multilevel"/>
    <w:tmpl w:val="FFFFFFFF"/>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9" w15:restartNumberingAfterBreak="0">
    <w:nsid w:val="00000028"/>
    <w:multiLevelType w:val="multilevel"/>
    <w:tmpl w:val="FFFFFFFF"/>
    <w:lvl w:ilvl="0">
      <w:start w:val="1"/>
      <w:numFmt w:val="upp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40" w15:restartNumberingAfterBreak="0">
    <w:nsid w:val="00000029"/>
    <w:multiLevelType w:val="multilevel"/>
    <w:tmpl w:val="FFFFFFFF"/>
    <w:lvl w:ilvl="0">
      <w:start w:val="1"/>
      <w:numFmt w:val="bullet"/>
      <w:lvlText w:val=""/>
      <w:lvlJc w:val="left"/>
      <w:rPr>
        <w:rFonts w:ascii="Symbol" w:hAnsi="Symbol" w:cs="Symbol"/>
      </w:rPr>
    </w:lvl>
    <w:lvl w:ilvl="1">
      <w:start w:val="1"/>
      <w:numFmt w:val="bullet"/>
      <w:lvlText w:val=""/>
      <w:lvlJc w:val="left"/>
      <w:rPr>
        <w:rFonts w:ascii="Symbol" w:hAnsi="Symbol" w:cs="Symbol"/>
      </w:rPr>
    </w:lvl>
    <w:lvl w:ilvl="2">
      <w:start w:val="1"/>
      <w:numFmt w:val="bullet"/>
      <w:lvlText w:val="o"/>
      <w:lvlJc w:val="left"/>
      <w:rPr>
        <w:rFonts w:ascii="Courier New" w:hAnsi="Courier New" w:cs="Courier New"/>
      </w:rPr>
    </w:lvl>
    <w:lvl w:ilvl="3">
      <w:start w:val="1"/>
      <w:numFmt w:val="bullet"/>
      <w:lvlText w:val=""/>
      <w:lvlJc w:val="left"/>
      <w:rPr>
        <w:rFonts w:ascii="Wingdings" w:hAnsi="Wingdings" w:cs="Wingdings"/>
      </w:rPr>
    </w:lvl>
    <w:lvl w:ilvl="4">
      <w:start w:val="1"/>
      <w:numFmt w:val="bullet"/>
      <w:lvlText w:val=""/>
      <w:lvlJc w:val="left"/>
      <w:rPr>
        <w:rFonts w:ascii="Wingdings" w:hAnsi="Wingdings" w:cs="Wingdings"/>
      </w:rPr>
    </w:lvl>
    <w:lvl w:ilvl="5">
      <w:start w:val="1"/>
      <w:numFmt w:val="bullet"/>
      <w:lvlText w:val=""/>
      <w:lvlJc w:val="left"/>
      <w:rPr>
        <w:rFonts w:ascii="Symbol" w:hAnsi="Symbol" w:cs="Symbol"/>
      </w:rPr>
    </w:lvl>
    <w:lvl w:ilvl="6">
      <w:start w:val="1"/>
      <w:numFmt w:val="bullet"/>
      <w:lvlText w:val="o"/>
      <w:lvlJc w:val="left"/>
      <w:rPr>
        <w:rFonts w:ascii="Courier New" w:hAnsi="Courier New" w:cs="Courier New"/>
      </w:rPr>
    </w:lvl>
    <w:lvl w:ilvl="7">
      <w:start w:val="1"/>
      <w:numFmt w:val="bullet"/>
      <w:lvlText w:val=""/>
      <w:lvlJc w:val="left"/>
      <w:rPr>
        <w:rFonts w:ascii="Wingdings" w:hAnsi="Wingdings" w:cs="Wingdings"/>
      </w:rPr>
    </w:lvl>
    <w:lvl w:ilvl="8">
      <w:start w:val="1"/>
      <w:numFmt w:val="bullet"/>
      <w:lvlText w:val=""/>
      <w:lvlJc w:val="left"/>
      <w:rPr>
        <w:rFonts w:ascii="Wingdings" w:hAnsi="Wingdings" w:cs="Wingdings"/>
      </w:rPr>
    </w:lvl>
  </w:abstractNum>
  <w:num w:numId="1" w16cid:durableId="1671981922">
    <w:abstractNumId w:val="27"/>
  </w:num>
  <w:num w:numId="2" w16cid:durableId="1850748951">
    <w:abstractNumId w:val="31"/>
  </w:num>
  <w:num w:numId="3" w16cid:durableId="77039880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embedSystemFonts/>
  <w:proofState w:spelling="clean"/>
  <w:defaultTabStop w:val="708"/>
  <w:hyphenationZone w:val="425"/>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compat>
    <w:spaceForUL/>
    <w:balanceSingleByteDoubleByteWidth/>
    <w:doNotLeaveBackslashAlone/>
    <w:ulTrailSpace/>
    <w:doNotExpandShiftReturn/>
    <w:footnoteLayoutLikeWW8/>
    <w:shapeLayoutLikeWW8/>
    <w:alignTablesRowByRow/>
    <w:forgetLastTabAlignment/>
    <w:adjustLineHeightInTable/>
    <w:layoutRawTableWidth/>
    <w:layoutTableRowsApart/>
    <w:useWord97LineBreakRules/>
    <w:doNotBreakWrappedTables/>
    <w:doNotSnapToGridInCell/>
    <w:selectFldWithFirstOrLastChar/>
    <w:doNotWrapTextWithPunct/>
    <w:doNotUseEastAsianBreakRules/>
    <w:useWord2002TableStyleRules/>
    <w:useFELayout/>
    <w:useNormalStyleForList/>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0"/>
  </w:compat>
  <w:rsids>
    <w:rsidRoot w:val="000E5799"/>
    <w:rsid w:val="000B48A7"/>
    <w:rsid w:val="000E5799"/>
    <w:rsid w:val="000F5A44"/>
    <w:rsid w:val="00102B68"/>
    <w:rsid w:val="00110844"/>
    <w:rsid w:val="00111E63"/>
    <w:rsid w:val="001125F2"/>
    <w:rsid w:val="00133D10"/>
    <w:rsid w:val="001751BF"/>
    <w:rsid w:val="001833A6"/>
    <w:rsid w:val="00184B9E"/>
    <w:rsid w:val="001B19EB"/>
    <w:rsid w:val="001B1CF6"/>
    <w:rsid w:val="001B601E"/>
    <w:rsid w:val="00225BC8"/>
    <w:rsid w:val="002401BF"/>
    <w:rsid w:val="00261EA1"/>
    <w:rsid w:val="00263BBF"/>
    <w:rsid w:val="00313B6F"/>
    <w:rsid w:val="00317786"/>
    <w:rsid w:val="00326526"/>
    <w:rsid w:val="00337B0C"/>
    <w:rsid w:val="00347FAB"/>
    <w:rsid w:val="0036351D"/>
    <w:rsid w:val="003777E0"/>
    <w:rsid w:val="00392C22"/>
    <w:rsid w:val="00395433"/>
    <w:rsid w:val="003E1D61"/>
    <w:rsid w:val="003F234E"/>
    <w:rsid w:val="00404CD1"/>
    <w:rsid w:val="00432B93"/>
    <w:rsid w:val="004973C1"/>
    <w:rsid w:val="004C3AD6"/>
    <w:rsid w:val="004C6F83"/>
    <w:rsid w:val="004E34CF"/>
    <w:rsid w:val="004E752B"/>
    <w:rsid w:val="004F1946"/>
    <w:rsid w:val="00520D67"/>
    <w:rsid w:val="00537605"/>
    <w:rsid w:val="00550DA7"/>
    <w:rsid w:val="005718CA"/>
    <w:rsid w:val="005A6661"/>
    <w:rsid w:val="005B0BF4"/>
    <w:rsid w:val="005C3E77"/>
    <w:rsid w:val="00610BE9"/>
    <w:rsid w:val="0062531D"/>
    <w:rsid w:val="00641863"/>
    <w:rsid w:val="00642D4B"/>
    <w:rsid w:val="006502E7"/>
    <w:rsid w:val="00662795"/>
    <w:rsid w:val="00665E73"/>
    <w:rsid w:val="00675FA5"/>
    <w:rsid w:val="00680135"/>
    <w:rsid w:val="006C78EC"/>
    <w:rsid w:val="006E7D4E"/>
    <w:rsid w:val="0070172A"/>
    <w:rsid w:val="00772012"/>
    <w:rsid w:val="007856FE"/>
    <w:rsid w:val="00797D68"/>
    <w:rsid w:val="007F6E8B"/>
    <w:rsid w:val="00833A73"/>
    <w:rsid w:val="00837254"/>
    <w:rsid w:val="00837267"/>
    <w:rsid w:val="00840427"/>
    <w:rsid w:val="008520FA"/>
    <w:rsid w:val="008558D7"/>
    <w:rsid w:val="008558EF"/>
    <w:rsid w:val="00881923"/>
    <w:rsid w:val="008A7FE6"/>
    <w:rsid w:val="008D3DE7"/>
    <w:rsid w:val="008F56BA"/>
    <w:rsid w:val="0092081C"/>
    <w:rsid w:val="00951ECC"/>
    <w:rsid w:val="009539B3"/>
    <w:rsid w:val="00962829"/>
    <w:rsid w:val="00972CAA"/>
    <w:rsid w:val="009C6D45"/>
    <w:rsid w:val="009D18DF"/>
    <w:rsid w:val="00A04E49"/>
    <w:rsid w:val="00A13E47"/>
    <w:rsid w:val="00A16FA0"/>
    <w:rsid w:val="00A3195D"/>
    <w:rsid w:val="00A34E32"/>
    <w:rsid w:val="00A50423"/>
    <w:rsid w:val="00A55917"/>
    <w:rsid w:val="00AA4C9F"/>
    <w:rsid w:val="00AB68D3"/>
    <w:rsid w:val="00AC77FD"/>
    <w:rsid w:val="00B161AE"/>
    <w:rsid w:val="00B47FE4"/>
    <w:rsid w:val="00B63525"/>
    <w:rsid w:val="00B81D1B"/>
    <w:rsid w:val="00B85CF1"/>
    <w:rsid w:val="00B94041"/>
    <w:rsid w:val="00BC38C9"/>
    <w:rsid w:val="00C061EC"/>
    <w:rsid w:val="00C1795B"/>
    <w:rsid w:val="00C5084B"/>
    <w:rsid w:val="00CD4A44"/>
    <w:rsid w:val="00D443AC"/>
    <w:rsid w:val="00D579A5"/>
    <w:rsid w:val="00D7233C"/>
    <w:rsid w:val="00D7365F"/>
    <w:rsid w:val="00D837F6"/>
    <w:rsid w:val="00D9550C"/>
    <w:rsid w:val="00DB01FE"/>
    <w:rsid w:val="00DE2AB9"/>
    <w:rsid w:val="00E6787D"/>
    <w:rsid w:val="00E87975"/>
    <w:rsid w:val="00EA27AF"/>
    <w:rsid w:val="00EC5A18"/>
    <w:rsid w:val="00F05286"/>
    <w:rsid w:val="00F0781A"/>
    <w:rsid w:val="00F20689"/>
    <w:rsid w:val="00F56157"/>
    <w:rsid w:val="00FA2F45"/>
    <w:rsid w:val="00FB5927"/>
    <w:rsid w:val="00FC4D44"/>
    <w:rsid w:val="00FD10D2"/>
    <w:rsid w:val="00FF0C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AAC5C33"/>
  <w14:defaultImageDpi w14:val="0"/>
  <w15:docId w15:val="{13B7A239-516C-44EF-B539-4E83339BC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lsdException w:name="footnote text" w:semiHidden="1"/>
    <w:lsdException w:name="annotation text" w:semiHidden="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lsdException w:name="line number" w:semiHidden="1"/>
    <w:lsdException w:name="page number" w:semiHidden="1" w:unhideWhenUsed="1"/>
    <w:lsdException w:name="endnote reference" w:semiHidden="1"/>
    <w:lsdException w:name="endnote text" w:semiHidden="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rFonts w:ascii="Times New Roman" w:hAnsi="Times New Roman" w:cs="Times New Roman"/>
      <w:kern w:val="0"/>
    </w:rPr>
  </w:style>
  <w:style w:type="paragraph" w:styleId="Ttulo1">
    <w:name w:val="heading 1"/>
    <w:basedOn w:val="Normal"/>
    <w:next w:val="Paragraph"/>
    <w:link w:val="Ttulo1Car1"/>
    <w:uiPriority w:val="99"/>
    <w:qFormat/>
    <w:pPr>
      <w:keepNext/>
      <w:spacing w:before="360" w:after="60" w:line="360" w:lineRule="auto"/>
      <w:ind w:right="567"/>
      <w:contextualSpacing/>
      <w:outlineLvl w:val="0"/>
    </w:pPr>
    <w:rPr>
      <w:b/>
      <w:bCs/>
    </w:rPr>
  </w:style>
  <w:style w:type="paragraph" w:styleId="Ttulo2">
    <w:name w:val="heading 2"/>
    <w:basedOn w:val="Normal"/>
    <w:next w:val="Paragraph"/>
    <w:link w:val="Ttulo2Car1"/>
    <w:uiPriority w:val="99"/>
    <w:qFormat/>
    <w:pPr>
      <w:keepNext/>
      <w:spacing w:before="360" w:after="60" w:line="360" w:lineRule="auto"/>
      <w:ind w:right="567"/>
      <w:contextualSpacing/>
      <w:outlineLvl w:val="1"/>
    </w:pPr>
    <w:rPr>
      <w:b/>
      <w:bCs/>
      <w:i/>
      <w:iCs/>
    </w:rPr>
  </w:style>
  <w:style w:type="paragraph" w:styleId="Ttulo3">
    <w:name w:val="heading 3"/>
    <w:basedOn w:val="Normal"/>
    <w:next w:val="Paragraph"/>
    <w:link w:val="Ttulo3Car1"/>
    <w:uiPriority w:val="99"/>
    <w:qFormat/>
    <w:pPr>
      <w:keepNext/>
      <w:spacing w:before="360" w:after="60" w:line="360" w:lineRule="auto"/>
      <w:ind w:right="567"/>
      <w:contextualSpacing/>
      <w:outlineLvl w:val="2"/>
    </w:pPr>
    <w:rPr>
      <w:i/>
      <w:iCs/>
    </w:rPr>
  </w:style>
  <w:style w:type="paragraph" w:styleId="Ttulo4">
    <w:name w:val="heading 4"/>
    <w:basedOn w:val="Normal"/>
    <w:next w:val="Newparagraph"/>
    <w:link w:val="Ttulo4Car1"/>
    <w:uiPriority w:val="99"/>
    <w:qFormat/>
    <w:pPr>
      <w:spacing w:before="360"/>
      <w:outlineLvl w:val="3"/>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1">
    <w:name w:val="Título 1 Car1"/>
    <w:basedOn w:val="Fuentedeprrafopredeter"/>
    <w:link w:val="Ttulo1"/>
    <w:uiPriority w:val="9"/>
    <w:rPr>
      <w:rFonts w:asciiTheme="majorHAnsi" w:eastAsiaTheme="majorEastAsia" w:hAnsiTheme="majorHAnsi" w:cstheme="majorBidi"/>
      <w:b/>
      <w:bCs/>
      <w:kern w:val="32"/>
      <w:sz w:val="32"/>
      <w:szCs w:val="32"/>
    </w:rPr>
  </w:style>
  <w:style w:type="character" w:customStyle="1" w:styleId="Ttulo2Car1">
    <w:name w:val="Título 2 Car1"/>
    <w:basedOn w:val="Fuentedeprrafopredeter"/>
    <w:link w:val="Ttulo2"/>
    <w:uiPriority w:val="9"/>
    <w:semiHidden/>
    <w:rPr>
      <w:rFonts w:asciiTheme="majorHAnsi" w:eastAsiaTheme="majorEastAsia" w:hAnsiTheme="majorHAnsi" w:cstheme="majorBidi"/>
      <w:b/>
      <w:bCs/>
      <w:i/>
      <w:iCs/>
      <w:kern w:val="0"/>
      <w:sz w:val="28"/>
      <w:szCs w:val="28"/>
    </w:rPr>
  </w:style>
  <w:style w:type="character" w:customStyle="1" w:styleId="Ttulo3Car1">
    <w:name w:val="Título 3 Car1"/>
    <w:basedOn w:val="Fuentedeprrafopredeter"/>
    <w:link w:val="Ttulo3"/>
    <w:uiPriority w:val="9"/>
    <w:semiHidden/>
    <w:rPr>
      <w:rFonts w:asciiTheme="majorHAnsi" w:eastAsiaTheme="majorEastAsia" w:hAnsiTheme="majorHAnsi" w:cstheme="majorBidi"/>
      <w:b/>
      <w:bCs/>
      <w:kern w:val="0"/>
      <w:sz w:val="26"/>
      <w:szCs w:val="26"/>
    </w:rPr>
  </w:style>
  <w:style w:type="character" w:customStyle="1" w:styleId="Ttulo4Car1">
    <w:name w:val="Título 4 Car1"/>
    <w:basedOn w:val="Fuentedeprrafopredeter"/>
    <w:link w:val="Ttulo4"/>
    <w:uiPriority w:val="9"/>
    <w:semiHidden/>
    <w:rPr>
      <w:b/>
      <w:bCs/>
      <w:kern w:val="0"/>
      <w:sz w:val="28"/>
      <w:szCs w:val="28"/>
    </w:rPr>
  </w:style>
  <w:style w:type="character" w:customStyle="1" w:styleId="Ttulo1Car">
    <w:name w:val="Título 1 Car"/>
    <w:uiPriority w:val="99"/>
    <w:rPr>
      <w:rFonts w:ascii="Times New Roman" w:hAnsi="Times New Roman" w:cs="Times New Roman"/>
      <w:b/>
      <w:bCs/>
    </w:rPr>
  </w:style>
  <w:style w:type="character" w:customStyle="1" w:styleId="Ttulo2Car">
    <w:name w:val="Título 2 Car"/>
    <w:uiPriority w:val="99"/>
    <w:rPr>
      <w:rFonts w:ascii="Times New Roman" w:hAnsi="Times New Roman" w:cs="Times New Roman"/>
      <w:b/>
      <w:bCs/>
      <w:i/>
      <w:iCs/>
    </w:rPr>
  </w:style>
  <w:style w:type="character" w:customStyle="1" w:styleId="Ttulo3Car">
    <w:name w:val="Título 3 Car"/>
    <w:uiPriority w:val="99"/>
    <w:rPr>
      <w:rFonts w:ascii="Times New Roman" w:hAnsi="Times New Roman" w:cs="Times New Roman"/>
      <w:i/>
      <w:iCs/>
    </w:rPr>
  </w:style>
  <w:style w:type="character" w:customStyle="1" w:styleId="Ttulo4Car">
    <w:name w:val="Título 4 Car"/>
    <w:uiPriority w:val="99"/>
    <w:rPr>
      <w:rFonts w:ascii="Times New Roman" w:hAnsi="Times New Roman" w:cs="Times New Roman"/>
    </w:rPr>
  </w:style>
  <w:style w:type="paragraph" w:customStyle="1" w:styleId="Articletitle">
    <w:name w:val="Article title"/>
    <w:next w:val="Normal"/>
    <w:uiPriority w:val="99"/>
    <w:pPr>
      <w:widowControl w:val="0"/>
      <w:autoSpaceDE w:val="0"/>
      <w:autoSpaceDN w:val="0"/>
      <w:adjustRightInd w:val="0"/>
      <w:spacing w:after="120" w:line="360" w:lineRule="auto"/>
    </w:pPr>
    <w:rPr>
      <w:rFonts w:ascii="Times New Roman" w:hAnsi="Times New Roman" w:cs="Times New Roman"/>
      <w:b/>
      <w:bCs/>
      <w:kern w:val="0"/>
      <w:sz w:val="28"/>
      <w:szCs w:val="28"/>
    </w:rPr>
  </w:style>
  <w:style w:type="paragraph" w:customStyle="1" w:styleId="Authornames">
    <w:name w:val="Author names"/>
    <w:next w:val="Normal"/>
    <w:uiPriority w:val="99"/>
    <w:pPr>
      <w:widowControl w:val="0"/>
      <w:autoSpaceDE w:val="0"/>
      <w:autoSpaceDN w:val="0"/>
      <w:adjustRightInd w:val="0"/>
      <w:spacing w:before="240" w:after="0" w:line="360" w:lineRule="auto"/>
    </w:pPr>
    <w:rPr>
      <w:rFonts w:ascii="Times New Roman" w:hAnsi="Times New Roman" w:cs="Times New Roman"/>
      <w:kern w:val="0"/>
      <w:sz w:val="28"/>
      <w:szCs w:val="28"/>
    </w:rPr>
  </w:style>
  <w:style w:type="paragraph" w:customStyle="1" w:styleId="Affiliation">
    <w:name w:val="Affiliation"/>
    <w:next w:val="Normal"/>
    <w:uiPriority w:val="99"/>
    <w:pPr>
      <w:widowControl w:val="0"/>
      <w:autoSpaceDE w:val="0"/>
      <w:autoSpaceDN w:val="0"/>
      <w:adjustRightInd w:val="0"/>
      <w:spacing w:before="240" w:after="0" w:line="360" w:lineRule="auto"/>
    </w:pPr>
    <w:rPr>
      <w:rFonts w:ascii="Times New Roman" w:hAnsi="Times New Roman" w:cs="Times New Roman"/>
      <w:i/>
      <w:iCs/>
      <w:kern w:val="0"/>
    </w:rPr>
  </w:style>
  <w:style w:type="paragraph" w:customStyle="1" w:styleId="Receiveddates">
    <w:name w:val="Received dates"/>
    <w:next w:val="Normal"/>
    <w:uiPriority w:val="99"/>
    <w:pPr>
      <w:widowControl w:val="0"/>
      <w:autoSpaceDE w:val="0"/>
      <w:autoSpaceDN w:val="0"/>
      <w:adjustRightInd w:val="0"/>
      <w:spacing w:before="240" w:after="0" w:line="360" w:lineRule="auto"/>
    </w:pPr>
    <w:rPr>
      <w:rFonts w:ascii="Times New Roman" w:hAnsi="Times New Roman" w:cs="Times New Roman"/>
      <w:i/>
      <w:iCs/>
      <w:kern w:val="0"/>
    </w:rPr>
  </w:style>
  <w:style w:type="paragraph" w:customStyle="1" w:styleId="Abstract">
    <w:name w:val="Abstract"/>
    <w:next w:val="Keywords"/>
    <w:uiPriority w:val="99"/>
    <w:pPr>
      <w:widowControl w:val="0"/>
      <w:autoSpaceDE w:val="0"/>
      <w:autoSpaceDN w:val="0"/>
      <w:adjustRightInd w:val="0"/>
      <w:spacing w:before="360" w:after="300" w:line="360" w:lineRule="auto"/>
      <w:ind w:left="720" w:right="567"/>
    </w:pPr>
    <w:rPr>
      <w:rFonts w:ascii="Times New Roman" w:hAnsi="Times New Roman" w:cs="Times New Roman"/>
      <w:kern w:val="0"/>
      <w:sz w:val="22"/>
      <w:szCs w:val="22"/>
    </w:rPr>
  </w:style>
  <w:style w:type="paragraph" w:customStyle="1" w:styleId="Keywords">
    <w:name w:val="Keywords"/>
    <w:next w:val="Paragraph"/>
    <w:uiPriority w:val="99"/>
    <w:pPr>
      <w:widowControl w:val="0"/>
      <w:autoSpaceDE w:val="0"/>
      <w:autoSpaceDN w:val="0"/>
      <w:adjustRightInd w:val="0"/>
      <w:spacing w:before="240" w:after="240" w:line="360" w:lineRule="auto"/>
      <w:ind w:left="720" w:right="567"/>
    </w:pPr>
    <w:rPr>
      <w:rFonts w:ascii="Times New Roman" w:hAnsi="Times New Roman" w:cs="Times New Roman"/>
      <w:kern w:val="0"/>
      <w:sz w:val="22"/>
      <w:szCs w:val="22"/>
    </w:rPr>
  </w:style>
  <w:style w:type="paragraph" w:customStyle="1" w:styleId="Correspondencedetails">
    <w:name w:val="Correspondence details"/>
    <w:next w:val="Normal"/>
    <w:uiPriority w:val="99"/>
    <w:pPr>
      <w:widowControl w:val="0"/>
      <w:autoSpaceDE w:val="0"/>
      <w:autoSpaceDN w:val="0"/>
      <w:adjustRightInd w:val="0"/>
      <w:spacing w:before="240" w:after="0" w:line="360" w:lineRule="auto"/>
    </w:pPr>
    <w:rPr>
      <w:rFonts w:ascii="Times New Roman" w:hAnsi="Times New Roman" w:cs="Times New Roman"/>
      <w:kern w:val="0"/>
    </w:rPr>
  </w:style>
  <w:style w:type="paragraph" w:customStyle="1" w:styleId="Displayedquotation">
    <w:name w:val="Displayed quotation"/>
    <w:next w:val="Normal"/>
    <w:uiPriority w:val="99"/>
    <w:pPr>
      <w:widowControl w:val="0"/>
      <w:tabs>
        <w:tab w:val="left" w:pos="1077"/>
        <w:tab w:val="left" w:pos="1440"/>
        <w:tab w:val="left" w:pos="1797"/>
        <w:tab w:val="left" w:pos="2155"/>
        <w:tab w:val="left" w:pos="2512"/>
      </w:tabs>
      <w:autoSpaceDE w:val="0"/>
      <w:autoSpaceDN w:val="0"/>
      <w:adjustRightInd w:val="0"/>
      <w:spacing w:before="240" w:after="360" w:line="360" w:lineRule="auto"/>
      <w:ind w:left="709" w:right="425"/>
      <w:contextualSpacing/>
    </w:pPr>
    <w:rPr>
      <w:rFonts w:ascii="Times New Roman" w:hAnsi="Times New Roman" w:cs="Times New Roman"/>
      <w:kern w:val="0"/>
      <w:sz w:val="22"/>
      <w:szCs w:val="22"/>
    </w:rPr>
  </w:style>
  <w:style w:type="paragraph" w:customStyle="1" w:styleId="Numberedlist">
    <w:name w:val="Numbered list"/>
    <w:next w:val="Paragraph"/>
    <w:uiPriority w:val="99"/>
    <w:pPr>
      <w:widowControl w:val="0"/>
      <w:numPr>
        <w:numId w:val="1"/>
      </w:numPr>
      <w:autoSpaceDE w:val="0"/>
      <w:autoSpaceDN w:val="0"/>
      <w:adjustRightInd w:val="0"/>
      <w:spacing w:before="240" w:after="240" w:line="240" w:lineRule="auto"/>
      <w:ind w:left="720" w:hanging="153"/>
      <w:contextualSpacing/>
    </w:pPr>
    <w:rPr>
      <w:rFonts w:ascii="Times New Roman" w:hAnsi="Times New Roman" w:cs="Times New Roman"/>
      <w:kern w:val="0"/>
    </w:rPr>
  </w:style>
  <w:style w:type="paragraph" w:customStyle="1" w:styleId="Displayedequation">
    <w:name w:val="Displayed equation"/>
    <w:next w:val="Paragraph"/>
    <w:uiPriority w:val="99"/>
    <w:pPr>
      <w:widowControl w:val="0"/>
      <w:tabs>
        <w:tab w:val="center" w:pos="4253"/>
        <w:tab w:val="right" w:pos="8222"/>
      </w:tabs>
      <w:autoSpaceDE w:val="0"/>
      <w:autoSpaceDN w:val="0"/>
      <w:adjustRightInd w:val="0"/>
      <w:spacing w:before="240" w:after="240" w:line="480" w:lineRule="auto"/>
      <w:jc w:val="center"/>
    </w:pPr>
    <w:rPr>
      <w:rFonts w:ascii="Times New Roman" w:hAnsi="Times New Roman" w:cs="Times New Roman"/>
      <w:kern w:val="0"/>
    </w:rPr>
  </w:style>
  <w:style w:type="paragraph" w:customStyle="1" w:styleId="Acknowledgements">
    <w:name w:val="Acknowledgements"/>
    <w:next w:val="Normal"/>
    <w:uiPriority w:val="99"/>
    <w:pPr>
      <w:widowControl w:val="0"/>
      <w:autoSpaceDE w:val="0"/>
      <w:autoSpaceDN w:val="0"/>
      <w:adjustRightInd w:val="0"/>
      <w:spacing w:before="120" w:after="0" w:line="360" w:lineRule="auto"/>
    </w:pPr>
    <w:rPr>
      <w:rFonts w:ascii="Times New Roman" w:hAnsi="Times New Roman" w:cs="Times New Roman"/>
      <w:kern w:val="0"/>
      <w:sz w:val="22"/>
      <w:szCs w:val="22"/>
    </w:rPr>
  </w:style>
  <w:style w:type="paragraph" w:customStyle="1" w:styleId="Tabletitle">
    <w:name w:val="Table title"/>
    <w:next w:val="Normal"/>
    <w:uiPriority w:val="99"/>
    <w:pPr>
      <w:widowControl w:val="0"/>
      <w:autoSpaceDE w:val="0"/>
      <w:autoSpaceDN w:val="0"/>
      <w:adjustRightInd w:val="0"/>
      <w:spacing w:before="240" w:after="0" w:line="360" w:lineRule="auto"/>
    </w:pPr>
    <w:rPr>
      <w:rFonts w:ascii="Times New Roman" w:hAnsi="Times New Roman" w:cs="Times New Roman"/>
      <w:kern w:val="0"/>
    </w:rPr>
  </w:style>
  <w:style w:type="paragraph" w:customStyle="1" w:styleId="Figurecaption">
    <w:name w:val="Figure caption"/>
    <w:next w:val="Normal"/>
    <w:uiPriority w:val="99"/>
    <w:pPr>
      <w:widowControl w:val="0"/>
      <w:autoSpaceDE w:val="0"/>
      <w:autoSpaceDN w:val="0"/>
      <w:adjustRightInd w:val="0"/>
      <w:spacing w:before="240" w:after="0" w:line="360" w:lineRule="auto"/>
    </w:pPr>
    <w:rPr>
      <w:rFonts w:ascii="Times New Roman" w:hAnsi="Times New Roman" w:cs="Times New Roman"/>
      <w:kern w:val="0"/>
    </w:rPr>
  </w:style>
  <w:style w:type="paragraph" w:customStyle="1" w:styleId="Footnotes">
    <w:name w:val="Footnotes"/>
    <w:next w:val="Normal"/>
    <w:uiPriority w:val="99"/>
    <w:pPr>
      <w:widowControl w:val="0"/>
      <w:autoSpaceDE w:val="0"/>
      <w:autoSpaceDN w:val="0"/>
      <w:adjustRightInd w:val="0"/>
      <w:spacing w:before="120" w:after="0" w:line="360" w:lineRule="auto"/>
      <w:ind w:left="482" w:hanging="482"/>
      <w:contextualSpacing/>
    </w:pPr>
    <w:rPr>
      <w:rFonts w:ascii="Times New Roman" w:hAnsi="Times New Roman" w:cs="Times New Roman"/>
      <w:kern w:val="0"/>
      <w:sz w:val="22"/>
      <w:szCs w:val="22"/>
    </w:rPr>
  </w:style>
  <w:style w:type="paragraph" w:customStyle="1" w:styleId="Notesoncontributors">
    <w:name w:val="Notes on contributors"/>
    <w:next w:val="Normal"/>
    <w:uiPriority w:val="99"/>
    <w:pPr>
      <w:widowControl w:val="0"/>
      <w:autoSpaceDE w:val="0"/>
      <w:autoSpaceDN w:val="0"/>
      <w:adjustRightInd w:val="0"/>
      <w:spacing w:before="240" w:after="0" w:line="360" w:lineRule="auto"/>
    </w:pPr>
    <w:rPr>
      <w:rFonts w:ascii="Times New Roman" w:hAnsi="Times New Roman" w:cs="Times New Roman"/>
      <w:kern w:val="0"/>
      <w:sz w:val="22"/>
      <w:szCs w:val="22"/>
    </w:rPr>
  </w:style>
  <w:style w:type="paragraph" w:customStyle="1" w:styleId="Normalparagraphstyle">
    <w:name w:val="Normal paragraph style"/>
    <w:next w:val="Normal"/>
    <w:uiPriority w:val="99"/>
    <w:pPr>
      <w:widowControl w:val="0"/>
      <w:autoSpaceDE w:val="0"/>
      <w:autoSpaceDN w:val="0"/>
      <w:adjustRightInd w:val="0"/>
      <w:spacing w:after="0" w:line="480" w:lineRule="auto"/>
    </w:pPr>
    <w:rPr>
      <w:rFonts w:ascii="Times New Roman" w:hAnsi="Times New Roman" w:cs="Times New Roman"/>
      <w:kern w:val="0"/>
    </w:rPr>
  </w:style>
  <w:style w:type="paragraph" w:customStyle="1" w:styleId="Paragraph">
    <w:name w:val="Paragraph"/>
    <w:next w:val="Newparagraph"/>
    <w:uiPriority w:val="99"/>
    <w:pPr>
      <w:widowControl w:val="0"/>
      <w:autoSpaceDE w:val="0"/>
      <w:autoSpaceDN w:val="0"/>
      <w:adjustRightInd w:val="0"/>
      <w:spacing w:before="240" w:after="0" w:line="480" w:lineRule="auto"/>
    </w:pPr>
    <w:rPr>
      <w:rFonts w:ascii="Times New Roman" w:hAnsi="Times New Roman" w:cs="Times New Roman"/>
      <w:kern w:val="0"/>
    </w:rPr>
  </w:style>
  <w:style w:type="paragraph" w:customStyle="1" w:styleId="Newparagraph">
    <w:name w:val="New paragraph"/>
    <w:next w:val="Normal"/>
    <w:uiPriority w:val="99"/>
    <w:pPr>
      <w:widowControl w:val="0"/>
      <w:autoSpaceDE w:val="0"/>
      <w:autoSpaceDN w:val="0"/>
      <w:adjustRightInd w:val="0"/>
      <w:spacing w:after="0" w:line="480" w:lineRule="auto"/>
      <w:ind w:firstLine="720"/>
    </w:pPr>
    <w:rPr>
      <w:rFonts w:ascii="Times New Roman" w:hAnsi="Times New Roman" w:cs="Times New Roman"/>
      <w:kern w:val="0"/>
    </w:rPr>
  </w:style>
  <w:style w:type="paragraph" w:styleId="Sangranormal">
    <w:name w:val="Normal Indent"/>
    <w:basedOn w:val="Normal"/>
    <w:next w:val="Normal"/>
    <w:uiPriority w:val="99"/>
    <w:pPr>
      <w:spacing w:line="480" w:lineRule="auto"/>
      <w:ind w:left="720"/>
    </w:pPr>
  </w:style>
  <w:style w:type="paragraph" w:customStyle="1" w:styleId="References">
    <w:name w:val="References"/>
    <w:next w:val="Normal"/>
    <w:uiPriority w:val="99"/>
    <w:pPr>
      <w:widowControl w:val="0"/>
      <w:autoSpaceDE w:val="0"/>
      <w:autoSpaceDN w:val="0"/>
      <w:adjustRightInd w:val="0"/>
      <w:spacing w:before="120" w:after="0" w:line="360" w:lineRule="auto"/>
      <w:ind w:left="720" w:hanging="720"/>
      <w:contextualSpacing/>
    </w:pPr>
    <w:rPr>
      <w:rFonts w:ascii="Times New Roman" w:hAnsi="Times New Roman" w:cs="Times New Roman"/>
      <w:kern w:val="0"/>
    </w:rPr>
  </w:style>
  <w:style w:type="paragraph" w:customStyle="1" w:styleId="Subjectcodes">
    <w:name w:val="Subject codes"/>
    <w:next w:val="Paragraph"/>
    <w:uiPriority w:val="99"/>
    <w:pPr>
      <w:widowControl w:val="0"/>
      <w:autoSpaceDE w:val="0"/>
      <w:autoSpaceDN w:val="0"/>
      <w:adjustRightInd w:val="0"/>
      <w:spacing w:before="240" w:after="240" w:line="360" w:lineRule="auto"/>
      <w:ind w:left="720" w:right="567"/>
    </w:pPr>
    <w:rPr>
      <w:rFonts w:ascii="Times New Roman" w:hAnsi="Times New Roman" w:cs="Times New Roman"/>
      <w:kern w:val="0"/>
      <w:sz w:val="22"/>
      <w:szCs w:val="22"/>
    </w:rPr>
  </w:style>
  <w:style w:type="paragraph" w:customStyle="1" w:styleId="Bulletedlist">
    <w:name w:val="Bulleted list"/>
    <w:next w:val="Paragraph"/>
    <w:uiPriority w:val="99"/>
    <w:pPr>
      <w:widowControl w:val="0"/>
      <w:numPr>
        <w:numId w:val="2"/>
      </w:numPr>
      <w:autoSpaceDE w:val="0"/>
      <w:autoSpaceDN w:val="0"/>
      <w:adjustRightInd w:val="0"/>
      <w:spacing w:before="240" w:after="240" w:line="240" w:lineRule="auto"/>
      <w:ind w:left="720" w:hanging="360"/>
      <w:contextualSpacing/>
    </w:pPr>
    <w:rPr>
      <w:rFonts w:ascii="Times New Roman" w:hAnsi="Times New Roman" w:cs="Times New Roman"/>
      <w:kern w:val="0"/>
    </w:rPr>
  </w:style>
  <w:style w:type="paragraph" w:styleId="Textonotapie">
    <w:name w:val="footnote text"/>
    <w:basedOn w:val="Normal"/>
    <w:next w:val="Normal"/>
    <w:link w:val="TextonotapieCar1"/>
    <w:uiPriority w:val="99"/>
    <w:pPr>
      <w:spacing w:line="480" w:lineRule="auto"/>
      <w:ind w:left="284" w:hanging="284"/>
    </w:pPr>
    <w:rPr>
      <w:sz w:val="22"/>
      <w:szCs w:val="22"/>
    </w:rPr>
  </w:style>
  <w:style w:type="character" w:customStyle="1" w:styleId="TextonotapieCar1">
    <w:name w:val="Texto nota pie Car1"/>
    <w:basedOn w:val="Fuentedeprrafopredeter"/>
    <w:link w:val="Textonotapie"/>
    <w:uiPriority w:val="99"/>
    <w:semiHidden/>
    <w:rPr>
      <w:rFonts w:ascii="Times New Roman" w:hAnsi="Times New Roman" w:cs="Times New Roman"/>
      <w:kern w:val="0"/>
      <w:sz w:val="20"/>
      <w:szCs w:val="20"/>
    </w:rPr>
  </w:style>
  <w:style w:type="character" w:customStyle="1" w:styleId="TextonotapieCar">
    <w:name w:val="Texto nota pie Car"/>
    <w:uiPriority w:val="99"/>
    <w:rPr>
      <w:rFonts w:ascii="Times New Roman" w:hAnsi="Times New Roman" w:cs="Times New Roman"/>
    </w:rPr>
  </w:style>
  <w:style w:type="character" w:styleId="Refdenotaalpie">
    <w:name w:val="footnote reference"/>
    <w:basedOn w:val="Fuentedeprrafopredeter"/>
    <w:uiPriority w:val="99"/>
    <w:rPr>
      <w:vertAlign w:val="subscript"/>
    </w:rPr>
  </w:style>
  <w:style w:type="paragraph" w:styleId="Textonotaalfinal">
    <w:name w:val="endnote text"/>
    <w:basedOn w:val="Normal"/>
    <w:next w:val="Normal"/>
    <w:link w:val="TextonotaalfinalCar1"/>
    <w:uiPriority w:val="99"/>
    <w:pPr>
      <w:spacing w:line="480" w:lineRule="auto"/>
      <w:ind w:left="284" w:hanging="284"/>
    </w:pPr>
    <w:rPr>
      <w:sz w:val="22"/>
      <w:szCs w:val="22"/>
    </w:rPr>
  </w:style>
  <w:style w:type="character" w:customStyle="1" w:styleId="TextonotaalfinalCar1">
    <w:name w:val="Texto nota al final Car1"/>
    <w:basedOn w:val="Fuentedeprrafopredeter"/>
    <w:link w:val="Textonotaalfinal"/>
    <w:uiPriority w:val="99"/>
    <w:semiHidden/>
    <w:rPr>
      <w:rFonts w:ascii="Times New Roman" w:hAnsi="Times New Roman" w:cs="Times New Roman"/>
      <w:kern w:val="0"/>
      <w:sz w:val="20"/>
      <w:szCs w:val="20"/>
    </w:rPr>
  </w:style>
  <w:style w:type="character" w:customStyle="1" w:styleId="TextonotaalfinalCar">
    <w:name w:val="Texto nota al final Car"/>
    <w:uiPriority w:val="99"/>
    <w:rPr>
      <w:rFonts w:ascii="Times New Roman" w:hAnsi="Times New Roman" w:cs="Times New Roman"/>
    </w:rPr>
  </w:style>
  <w:style w:type="character" w:styleId="Refdenotaalfinal">
    <w:name w:val="endnote reference"/>
    <w:basedOn w:val="Fuentedeprrafopredeter"/>
    <w:uiPriority w:val="99"/>
    <w:rPr>
      <w:vertAlign w:val="subscript"/>
    </w:rPr>
  </w:style>
  <w:style w:type="paragraph" w:styleId="Encabezado">
    <w:name w:val="header"/>
    <w:basedOn w:val="Normal"/>
    <w:next w:val="Normal"/>
    <w:link w:val="EncabezadoCar1"/>
    <w:uiPriority w:val="99"/>
    <w:pPr>
      <w:tabs>
        <w:tab w:val="center" w:pos="4320"/>
        <w:tab w:val="right" w:pos="8640"/>
      </w:tabs>
      <w:spacing w:after="120"/>
      <w:contextualSpacing/>
    </w:pPr>
  </w:style>
  <w:style w:type="character" w:customStyle="1" w:styleId="EncabezadoCar1">
    <w:name w:val="Encabezado Car1"/>
    <w:basedOn w:val="Fuentedeprrafopredeter"/>
    <w:link w:val="Encabezado"/>
    <w:uiPriority w:val="99"/>
    <w:semiHidden/>
    <w:rPr>
      <w:rFonts w:ascii="Times New Roman" w:hAnsi="Times New Roman" w:cs="Times New Roman"/>
      <w:kern w:val="0"/>
    </w:rPr>
  </w:style>
  <w:style w:type="character" w:customStyle="1" w:styleId="EncabezadoCar">
    <w:name w:val="Encabezado Car"/>
    <w:uiPriority w:val="99"/>
    <w:rPr>
      <w:rFonts w:ascii="Times New Roman" w:hAnsi="Times New Roman" w:cs="Times New Roman"/>
    </w:rPr>
  </w:style>
  <w:style w:type="paragraph" w:styleId="Piedepgina">
    <w:name w:val="footer"/>
    <w:basedOn w:val="Normal"/>
    <w:next w:val="Normal"/>
    <w:link w:val="PiedepginaCar1"/>
    <w:uiPriority w:val="99"/>
    <w:pPr>
      <w:tabs>
        <w:tab w:val="center" w:pos="4320"/>
        <w:tab w:val="right" w:pos="8640"/>
      </w:tabs>
      <w:spacing w:before="240"/>
      <w:contextualSpacing/>
    </w:pPr>
  </w:style>
  <w:style w:type="character" w:customStyle="1" w:styleId="PiedepginaCar1">
    <w:name w:val="Pie de página Car1"/>
    <w:basedOn w:val="Fuentedeprrafopredeter"/>
    <w:link w:val="Piedepgina"/>
    <w:uiPriority w:val="99"/>
    <w:semiHidden/>
    <w:rPr>
      <w:rFonts w:ascii="Times New Roman" w:hAnsi="Times New Roman" w:cs="Times New Roman"/>
      <w:kern w:val="0"/>
    </w:rPr>
  </w:style>
  <w:style w:type="character" w:customStyle="1" w:styleId="PiedepginaCar">
    <w:name w:val="Pie de página Car"/>
    <w:uiPriority w:val="99"/>
    <w:rPr>
      <w:rFonts w:ascii="Times New Roman" w:hAnsi="Times New Roman" w:cs="Times New Roman"/>
    </w:rPr>
  </w:style>
  <w:style w:type="paragraph" w:customStyle="1" w:styleId="Heading4Paragraph">
    <w:name w:val="Heading 4 + Paragraph"/>
    <w:next w:val="Newparagraph"/>
    <w:uiPriority w:val="99"/>
    <w:pPr>
      <w:widowControl w:val="0"/>
      <w:autoSpaceDE w:val="0"/>
      <w:autoSpaceDN w:val="0"/>
      <w:adjustRightInd w:val="0"/>
      <w:spacing w:before="360" w:after="0" w:line="240" w:lineRule="auto"/>
    </w:pPr>
    <w:rPr>
      <w:rFonts w:ascii="Times New Roman" w:hAnsi="Times New Roman" w:cs="Times New Roman"/>
      <w:kern w:val="0"/>
    </w:rPr>
  </w:style>
  <w:style w:type="character" w:styleId="Hipervnculo">
    <w:name w:val="Hyperlink"/>
    <w:basedOn w:val="Fuentedeprrafopredeter"/>
    <w:uiPriority w:val="99"/>
    <w:rPr>
      <w:color w:val="0563C1"/>
    </w:rPr>
  </w:style>
  <w:style w:type="character" w:styleId="Mencinsinresolver">
    <w:name w:val="Unresolved Mention"/>
    <w:basedOn w:val="Fuentedeprrafopredeter"/>
    <w:uiPriority w:val="99"/>
    <w:rPr>
      <w:color w:val="605E5C"/>
    </w:rPr>
  </w:style>
  <w:style w:type="paragraph" w:styleId="Revisin">
    <w:name w:val="Revision"/>
    <w:next w:val="Normal"/>
    <w:uiPriority w:val="99"/>
    <w:pPr>
      <w:widowControl w:val="0"/>
      <w:autoSpaceDE w:val="0"/>
      <w:autoSpaceDN w:val="0"/>
      <w:adjustRightInd w:val="0"/>
      <w:spacing w:after="0" w:line="240" w:lineRule="auto"/>
    </w:pPr>
    <w:rPr>
      <w:rFonts w:ascii="Times New Roman" w:hAnsi="Times New Roman" w:cs="Times New Roman"/>
      <w:kern w:val="0"/>
    </w:rPr>
  </w:style>
  <w:style w:type="character" w:styleId="Refdecomentario">
    <w:name w:val="annotation reference"/>
    <w:basedOn w:val="Fuentedeprrafopredeter"/>
    <w:uiPriority w:val="99"/>
    <w:rPr>
      <w:sz w:val="16"/>
      <w:szCs w:val="16"/>
    </w:rPr>
  </w:style>
  <w:style w:type="paragraph" w:styleId="Textocomentario">
    <w:name w:val="annotation text"/>
    <w:basedOn w:val="Normal"/>
    <w:next w:val="Normal"/>
    <w:link w:val="TextocomentarioCar1"/>
    <w:uiPriority w:val="99"/>
    <w:pPr>
      <w:spacing w:after="160"/>
    </w:pPr>
    <w:rPr>
      <w:rFonts w:ascii="Calibri" w:hAnsi="Calibri" w:cs="Calibri"/>
      <w:sz w:val="20"/>
      <w:szCs w:val="20"/>
    </w:rPr>
  </w:style>
  <w:style w:type="character" w:customStyle="1" w:styleId="TextocomentarioCar1">
    <w:name w:val="Texto comentario Car1"/>
    <w:basedOn w:val="Fuentedeprrafopredeter"/>
    <w:link w:val="Textocomentario"/>
    <w:uiPriority w:val="99"/>
    <w:semiHidden/>
    <w:rPr>
      <w:rFonts w:ascii="Times New Roman" w:hAnsi="Times New Roman" w:cs="Times New Roman"/>
      <w:kern w:val="0"/>
      <w:sz w:val="20"/>
      <w:szCs w:val="20"/>
    </w:rPr>
  </w:style>
  <w:style w:type="character" w:customStyle="1" w:styleId="TextocomentarioCar">
    <w:name w:val="Texto comentario Car"/>
    <w:uiPriority w:val="99"/>
    <w:rPr>
      <w:sz w:val="20"/>
      <w:szCs w:val="20"/>
    </w:rPr>
  </w:style>
  <w:style w:type="paragraph" w:styleId="Textodeglobo">
    <w:name w:val="Balloon Text"/>
    <w:basedOn w:val="Normal"/>
    <w:next w:val="Normal"/>
    <w:link w:val="TextodegloboCar1"/>
    <w:uiPriority w:val="99"/>
    <w:rPr>
      <w:sz w:val="18"/>
      <w:szCs w:val="18"/>
    </w:rPr>
  </w:style>
  <w:style w:type="character" w:customStyle="1" w:styleId="TextodegloboCar1">
    <w:name w:val="Texto de globo Car1"/>
    <w:basedOn w:val="Fuentedeprrafopredeter"/>
    <w:link w:val="Textodeglobo"/>
    <w:uiPriority w:val="99"/>
    <w:semiHidden/>
    <w:rPr>
      <w:rFonts w:ascii="Segoe UI" w:hAnsi="Segoe UI" w:cs="Segoe UI"/>
      <w:kern w:val="0"/>
      <w:sz w:val="18"/>
      <w:szCs w:val="18"/>
    </w:rPr>
  </w:style>
  <w:style w:type="character" w:customStyle="1" w:styleId="TextodegloboCar">
    <w:name w:val="Texto de globo Car"/>
    <w:uiPriority w:val="99"/>
    <w:rPr>
      <w:rFonts w:ascii="Times New Roman" w:hAnsi="Times New Roman" w:cs="Times New Roman"/>
      <w:sz w:val="18"/>
      <w:szCs w:val="18"/>
    </w:rPr>
  </w:style>
  <w:style w:type="paragraph" w:styleId="HTMLconformatoprevio">
    <w:name w:val="HTML Preformatted"/>
    <w:basedOn w:val="Normal"/>
    <w:next w:val="Normal"/>
    <w:link w:val="HTMLconformatoprevioCar1"/>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1">
    <w:name w:val="HTML con formato previo Car1"/>
    <w:basedOn w:val="Fuentedeprrafopredeter"/>
    <w:link w:val="HTMLconformatoprevio"/>
    <w:uiPriority w:val="99"/>
    <w:semiHidden/>
    <w:rPr>
      <w:rFonts w:ascii="Courier New" w:hAnsi="Courier New" w:cs="Courier New"/>
      <w:kern w:val="0"/>
      <w:sz w:val="20"/>
      <w:szCs w:val="20"/>
    </w:rPr>
  </w:style>
  <w:style w:type="character" w:customStyle="1" w:styleId="HTMLconformatoprevioCar">
    <w:name w:val="HTML con formato previo Car"/>
    <w:uiPriority w:val="99"/>
    <w:rPr>
      <w:rFonts w:ascii="Courier New" w:hAnsi="Courier New" w:cs="Courier New"/>
      <w:sz w:val="20"/>
      <w:szCs w:val="20"/>
    </w:rPr>
  </w:style>
  <w:style w:type="paragraph" w:styleId="NormalWeb">
    <w:name w:val="Normal (Web)"/>
    <w:basedOn w:val="Normal"/>
    <w:next w:val="Normal"/>
    <w:uiPriority w:val="99"/>
    <w:pPr>
      <w:spacing w:before="100" w:after="100"/>
    </w:pPr>
  </w:style>
  <w:style w:type="paragraph" w:styleId="Asuntodelcomentario">
    <w:name w:val="annotation subject"/>
    <w:basedOn w:val="Textocomentario"/>
    <w:next w:val="Textocomentario"/>
    <w:link w:val="AsuntodelcomentarioCar1"/>
    <w:uiPriority w:val="99"/>
    <w:pPr>
      <w:spacing w:after="0"/>
    </w:pPr>
    <w:rPr>
      <w:rFonts w:ascii="Times New Roman" w:hAnsi="Times New Roman" w:cs="Times New Roman"/>
      <w:b/>
      <w:bCs/>
    </w:rPr>
  </w:style>
  <w:style w:type="character" w:customStyle="1" w:styleId="AsuntodelcomentarioCar1">
    <w:name w:val="Asunto del comentario Car1"/>
    <w:basedOn w:val="TextocomentarioCar1"/>
    <w:link w:val="Asuntodelcomentario"/>
    <w:uiPriority w:val="99"/>
    <w:semiHidden/>
    <w:rPr>
      <w:rFonts w:ascii="Times New Roman" w:hAnsi="Times New Roman" w:cs="Times New Roman"/>
      <w:b/>
      <w:bCs/>
      <w:kern w:val="0"/>
      <w:sz w:val="20"/>
      <w:szCs w:val="20"/>
    </w:rPr>
  </w:style>
  <w:style w:type="character" w:customStyle="1" w:styleId="AsuntodelcomentarioCar">
    <w:name w:val="Asunto del comentario Car"/>
    <w:uiPriority w:val="99"/>
    <w:rPr>
      <w:rFonts w:ascii="Times New Roman" w:hAnsi="Times New Roman" w:cs="Times New Roman"/>
      <w:b/>
      <w:bCs/>
      <w:sz w:val="20"/>
      <w:szCs w:val="20"/>
    </w:rPr>
  </w:style>
  <w:style w:type="character" w:customStyle="1" w:styleId="apple-converted-space">
    <w:name w:val="apple-converted-space"/>
    <w:uiPriority w:val="99"/>
  </w:style>
  <w:style w:type="paragraph" w:styleId="Prrafodelista">
    <w:name w:val="List Paragraph"/>
    <w:basedOn w:val="Normal"/>
    <w:next w:val="Normal"/>
    <w:uiPriority w:val="99"/>
    <w:qFormat/>
    <w:pPr>
      <w:ind w:left="720"/>
      <w:contextualSpacing/>
    </w:pPr>
  </w:style>
  <w:style w:type="character" w:styleId="Textodelmarcadordeposicin">
    <w:name w:val="Placeholder Text"/>
    <w:basedOn w:val="Fuentedeprrafopredeter"/>
    <w:uiPriority w:val="99"/>
    <w:rPr>
      <w:color w:val="808080"/>
    </w:rPr>
  </w:style>
  <w:style w:type="paragraph" w:customStyle="1" w:styleId="csl-entry">
    <w:name w:val="csl-entry"/>
    <w:next w:val="Normal"/>
    <w:uiPriority w:val="99"/>
    <w:pPr>
      <w:widowControl w:val="0"/>
      <w:autoSpaceDE w:val="0"/>
      <w:autoSpaceDN w:val="0"/>
      <w:adjustRightInd w:val="0"/>
      <w:spacing w:before="100" w:after="100" w:line="240" w:lineRule="auto"/>
    </w:pPr>
    <w:rPr>
      <w:rFonts w:ascii="Times New Roman" w:hAnsi="Times New Roman" w:cs="Times New Roman"/>
      <w:kern w:val="0"/>
    </w:rPr>
  </w:style>
  <w:style w:type="paragraph" w:customStyle="1" w:styleId="EndNoteBibliographyTitle">
    <w:name w:val="EndNote Bibliography Title"/>
    <w:next w:val="Normal"/>
    <w:uiPriority w:val="99"/>
    <w:pPr>
      <w:widowControl w:val="0"/>
      <w:autoSpaceDE w:val="0"/>
      <w:autoSpaceDN w:val="0"/>
      <w:adjustRightInd w:val="0"/>
      <w:spacing w:after="0" w:line="240" w:lineRule="auto"/>
      <w:jc w:val="center"/>
    </w:pPr>
    <w:rPr>
      <w:rFonts w:ascii="Times New Roman" w:hAnsi="Times New Roman" w:cs="Times New Roman"/>
      <w:kern w:val="0"/>
    </w:rPr>
  </w:style>
  <w:style w:type="character" w:customStyle="1" w:styleId="NewparagraphChar">
    <w:name w:val="New paragraph Char"/>
    <w:uiPriority w:val="99"/>
    <w:rPr>
      <w:rFonts w:ascii="Times New Roman" w:hAnsi="Times New Roman" w:cs="Times New Roman"/>
    </w:rPr>
  </w:style>
  <w:style w:type="character" w:customStyle="1" w:styleId="EndNoteBibliographyTitleChar">
    <w:name w:val="EndNote Bibliography Title Char"/>
    <w:uiPriority w:val="99"/>
    <w:rPr>
      <w:rFonts w:ascii="Times New Roman" w:hAnsi="Times New Roman" w:cs="Times New Roman"/>
    </w:rPr>
  </w:style>
  <w:style w:type="paragraph" w:customStyle="1" w:styleId="EndNoteBibliography">
    <w:name w:val="EndNote Bibliography"/>
    <w:next w:val="Normal"/>
    <w:uiPriority w:val="99"/>
    <w:pPr>
      <w:widowControl w:val="0"/>
      <w:autoSpaceDE w:val="0"/>
      <w:autoSpaceDN w:val="0"/>
      <w:adjustRightInd w:val="0"/>
      <w:spacing w:after="0" w:line="240" w:lineRule="auto"/>
    </w:pPr>
    <w:rPr>
      <w:rFonts w:ascii="Times New Roman" w:hAnsi="Times New Roman" w:cs="Times New Roman"/>
      <w:kern w:val="0"/>
    </w:rPr>
  </w:style>
  <w:style w:type="character" w:customStyle="1" w:styleId="EndNoteBibliographyChar">
    <w:name w:val="EndNote Bibliography Char"/>
    <w:uiPriority w:val="99"/>
    <w:rPr>
      <w:rFonts w:ascii="Times New Roman" w:hAnsi="Times New Roman" w:cs="Times New Roman"/>
    </w:rPr>
  </w:style>
  <w:style w:type="character" w:customStyle="1" w:styleId="anchor-text">
    <w:name w:val="anchor-text"/>
    <w:uiPriority w:val="99"/>
  </w:style>
  <w:style w:type="character" w:styleId="nfasis">
    <w:name w:val="Emphasis"/>
    <w:basedOn w:val="Fuentedeprrafopredeter"/>
    <w:uiPriority w:val="99"/>
    <w:qFormat/>
    <w:rPr>
      <w:i/>
      <w:iCs/>
    </w:rPr>
  </w:style>
  <w:style w:type="paragraph" w:customStyle="1" w:styleId="gv4p8b0">
    <w:name w:val="gv4p8b0"/>
    <w:next w:val="Normal"/>
    <w:uiPriority w:val="99"/>
    <w:pPr>
      <w:widowControl w:val="0"/>
      <w:autoSpaceDE w:val="0"/>
      <w:autoSpaceDN w:val="0"/>
      <w:adjustRightInd w:val="0"/>
      <w:spacing w:before="100" w:after="100" w:line="240" w:lineRule="auto"/>
    </w:pPr>
    <w:rPr>
      <w:rFonts w:ascii="Times New Roman" w:hAnsi="Times New Roman" w:cs="Times New Roman"/>
      <w:kern w:val="0"/>
    </w:rPr>
  </w:style>
  <w:style w:type="character" w:styleId="Hipervnculovisitado">
    <w:name w:val="FollowedHyperlink"/>
    <w:basedOn w:val="Fuentedeprrafopredeter"/>
    <w:uiPriority w:val="99"/>
    <w:rPr>
      <w:color w:val="954F72"/>
    </w:rPr>
  </w:style>
  <w:style w:type="character" w:customStyle="1" w:styleId="cf01">
    <w:name w:val="cf01"/>
    <w:rPr>
      <w:rFonts w:ascii="Segoe UI" w:hAnsi="Segoe UI" w:cs="Segoe UI"/>
      <w:sz w:val="18"/>
      <w:szCs w:val="18"/>
    </w:rPr>
  </w:style>
  <w:style w:type="character" w:styleId="Nmerodelnea">
    <w:name w:val="line number"/>
    <w:basedOn w:val="Fuentedeprrafopredeter"/>
    <w:uiPriority w:val="99"/>
  </w:style>
  <w:style w:type="character" w:customStyle="1" w:styleId="il">
    <w:name w:val="il"/>
    <w:uiPriority w:val="99"/>
  </w:style>
  <w:style w:type="character" w:customStyle="1" w:styleId="TextonotaalfinalCar0">
    <w:name w:val="Texto nota _al final Car"/>
    <w:uiPriority w:val="99"/>
    <w:rPr>
      <w:rFonts w:ascii="Times New Roman" w:hAnsi="Times New Roman" w:cs="Times New Roman"/>
    </w:rPr>
  </w:style>
  <w:style w:type="character" w:customStyle="1" w:styleId="TextonotaalfinalCar2">
    <w:name w:val="Texto _nota _al final Car"/>
    <w:uiPriority w:val="99"/>
    <w:rPr>
      <w:rFonts w:ascii="Times New Roman" w:hAnsi="Times New Roman" w:cs="Times New Roman"/>
    </w:rPr>
  </w:style>
  <w:style w:type="character" w:customStyle="1" w:styleId="cf11">
    <w:name w:val="cf11"/>
    <w:basedOn w:val="Fuentedeprrafopredeter"/>
    <w:rsid w:val="00833A73"/>
    <w:rPr>
      <w:rFonts w:ascii="Segoe UI" w:hAnsi="Segoe UI" w:cs="Segoe UI" w:hint="default"/>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1013889">
      <w:bodyDiv w:val="1"/>
      <w:marLeft w:val="0"/>
      <w:marRight w:val="0"/>
      <w:marTop w:val="0"/>
      <w:marBottom w:val="0"/>
      <w:divBdr>
        <w:top w:val="none" w:sz="0" w:space="0" w:color="auto"/>
        <w:left w:val="none" w:sz="0" w:space="0" w:color="auto"/>
        <w:bottom w:val="none" w:sz="0" w:space="0" w:color="auto"/>
        <w:right w:val="none" w:sz="0" w:space="0" w:color="auto"/>
      </w:divBdr>
    </w:div>
    <w:div w:id="1208184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orcid.org/0000-0001-8452-8256" TargetMode="External"/><Relationship Id="rId12" Type="http://schemas.openxmlformats.org/officeDocument/2006/relationships/image" Target="media/image5.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orcid.org/0000-0002-5050-021X" TargetMode="Externa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65AC9C-425A-4065-A5DD-B2FBBE174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2951</TotalTime>
  <Pages>23</Pages>
  <Words>24625</Words>
  <Characters>135439</Characters>
  <Application>Microsoft Office Word</Application>
  <DocSecurity>0</DocSecurity>
  <Lines>1128</Lines>
  <Paragraphs>319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EDWIN SALAS GONZALEZ</dc:creator>
  <cp:keywords/>
  <dc:description/>
  <cp:lastModifiedBy>ROLANDO SANCHEZ  GUTIERREZ</cp:lastModifiedBy>
  <cp:revision>75</cp:revision>
  <dcterms:created xsi:type="dcterms:W3CDTF">2024-05-15T08:45:00Z</dcterms:created>
  <dcterms:modified xsi:type="dcterms:W3CDTF">2024-06-04T03:00:00Z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16975a0d619fba5ebc8b4140b187176774e87458800ab632bc645441fc027145</vt:lpwstr>
  </property>
</Properties>
</file>