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42CE7D"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Universidad Nacional de Costa Rica</w:t>
      </w:r>
    </w:p>
    <w:p w14:paraId="76F86BA0"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Facultad de Ciencias Sociales</w:t>
      </w:r>
    </w:p>
    <w:p w14:paraId="3345BE48"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 xml:space="preserve">Escuela de Administración </w:t>
      </w:r>
    </w:p>
    <w:p w14:paraId="15A18C07"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 xml:space="preserve">Carrera Administración con énfasis en Gestión Financiera </w:t>
      </w:r>
    </w:p>
    <w:p w14:paraId="7185A109" w14:textId="77777777" w:rsidR="00C51607" w:rsidRPr="002012E1" w:rsidRDefault="00C51607" w:rsidP="00C51607">
      <w:pPr>
        <w:spacing w:after="0" w:line="360" w:lineRule="auto"/>
        <w:jc w:val="center"/>
        <w:rPr>
          <w:rFonts w:ascii="Arial" w:eastAsia="Calibri" w:hAnsi="Arial" w:cs="Arial"/>
          <w:kern w:val="0"/>
        </w:rPr>
      </w:pPr>
    </w:p>
    <w:p w14:paraId="2E7FD4D3" w14:textId="77777777" w:rsidR="00C51607" w:rsidRPr="002012E1" w:rsidRDefault="00C51607" w:rsidP="00C51607">
      <w:pPr>
        <w:spacing w:line="360" w:lineRule="auto"/>
        <w:jc w:val="center"/>
        <w:rPr>
          <w:rFonts w:ascii="Arial" w:eastAsia="Calibri" w:hAnsi="Arial" w:cs="Arial"/>
          <w:b/>
          <w:bCs/>
          <w:kern w:val="0"/>
          <w14:ligatures w14:val="none"/>
        </w:rPr>
      </w:pPr>
      <w:r w:rsidRPr="002012E1">
        <w:rPr>
          <w:rFonts w:ascii="Arial" w:eastAsia="Calibri" w:hAnsi="Arial" w:cs="Arial"/>
          <w:b/>
          <w:bCs/>
          <w:kern w:val="0"/>
          <w14:ligatures w14:val="none"/>
        </w:rPr>
        <w:t>Propuesta de registro contable para productos de inversión alternativos en los portafolios de pensiones de Costa Rica.</w:t>
      </w:r>
    </w:p>
    <w:p w14:paraId="7914748C" w14:textId="77777777" w:rsidR="00C51607" w:rsidRPr="002012E1" w:rsidRDefault="00C51607" w:rsidP="00C51607">
      <w:pPr>
        <w:spacing w:line="360" w:lineRule="auto"/>
        <w:rPr>
          <w:rFonts w:ascii="Arial" w:eastAsia="Calibri" w:hAnsi="Arial" w:cs="Arial"/>
          <w:kern w:val="0"/>
          <w14:ligatures w14:val="none"/>
        </w:rPr>
      </w:pPr>
    </w:p>
    <w:p w14:paraId="20C80D28" w14:textId="77777777" w:rsidR="00C51607" w:rsidRPr="002012E1" w:rsidRDefault="00C51607" w:rsidP="00C51607">
      <w:pPr>
        <w:spacing w:after="0" w:line="360" w:lineRule="auto"/>
        <w:jc w:val="center"/>
        <w:rPr>
          <w:rFonts w:ascii="Arial" w:eastAsia="Calibri" w:hAnsi="Arial" w:cs="Arial"/>
          <w:kern w:val="0"/>
          <w14:ligatures w14:val="none"/>
        </w:rPr>
      </w:pPr>
      <w:r w:rsidRPr="002012E1">
        <w:rPr>
          <w:rFonts w:ascii="Arial" w:eastAsia="Calibri" w:hAnsi="Arial" w:cs="Arial"/>
          <w:kern w:val="0"/>
          <w14:ligatures w14:val="none"/>
        </w:rPr>
        <w:t>Memoria de Seminario de Graduación</w:t>
      </w:r>
    </w:p>
    <w:p w14:paraId="35AD7965" w14:textId="77777777" w:rsidR="00C51607" w:rsidRPr="002012E1" w:rsidRDefault="00C51607" w:rsidP="00C51607">
      <w:pPr>
        <w:spacing w:after="0" w:line="360" w:lineRule="auto"/>
        <w:jc w:val="center"/>
        <w:rPr>
          <w:rFonts w:ascii="Arial" w:eastAsia="Calibri" w:hAnsi="Arial" w:cs="Arial"/>
          <w:kern w:val="0"/>
          <w14:ligatures w14:val="none"/>
        </w:rPr>
      </w:pPr>
      <w:r w:rsidRPr="002012E1">
        <w:rPr>
          <w:rFonts w:ascii="Arial" w:eastAsia="Calibri" w:hAnsi="Arial" w:cs="Arial"/>
          <w:kern w:val="0"/>
          <w14:ligatures w14:val="none"/>
        </w:rPr>
        <w:t>Sometido a consideración del Tribunal examinador, como requisito parcial para optar por el Grado de Licenciatura en Administración con énfasis en Gestión Financiera.</w:t>
      </w:r>
    </w:p>
    <w:p w14:paraId="5B16E491" w14:textId="77777777" w:rsidR="00C51607" w:rsidRPr="002012E1" w:rsidRDefault="00C51607" w:rsidP="00C51607">
      <w:pPr>
        <w:spacing w:after="0" w:line="360" w:lineRule="auto"/>
        <w:jc w:val="center"/>
        <w:rPr>
          <w:rFonts w:ascii="Arial" w:eastAsia="Calibri" w:hAnsi="Arial" w:cs="Arial"/>
          <w:kern w:val="0"/>
          <w:lang w:val="es-ES" w:eastAsia="es-ES"/>
          <w14:ligatures w14:val="none"/>
        </w:rPr>
      </w:pPr>
    </w:p>
    <w:p w14:paraId="184B7674" w14:textId="77777777" w:rsidR="00C51607" w:rsidRPr="002012E1" w:rsidRDefault="00C51607" w:rsidP="00C51607">
      <w:pPr>
        <w:spacing w:after="0" w:line="360" w:lineRule="auto"/>
        <w:jc w:val="center"/>
        <w:rPr>
          <w:rFonts w:ascii="Arial" w:eastAsia="Calibri" w:hAnsi="Arial" w:cs="Arial"/>
          <w:kern w:val="0"/>
          <w:lang w:val="es-ES" w:eastAsia="es-ES"/>
          <w14:ligatures w14:val="none"/>
        </w:rPr>
      </w:pPr>
    </w:p>
    <w:p w14:paraId="220C0993" w14:textId="77777777" w:rsidR="00C51607" w:rsidRPr="002012E1" w:rsidRDefault="00C51607" w:rsidP="00C51607">
      <w:pPr>
        <w:spacing w:after="0" w:line="360" w:lineRule="auto"/>
        <w:jc w:val="center"/>
        <w:rPr>
          <w:rFonts w:ascii="Arial" w:eastAsia="Calibri" w:hAnsi="Arial" w:cs="Arial"/>
          <w:kern w:val="0"/>
          <w14:ligatures w14:val="none"/>
        </w:rPr>
      </w:pPr>
      <w:r w:rsidRPr="002012E1">
        <w:rPr>
          <w:rFonts w:ascii="Arial" w:eastAsia="Calibri" w:hAnsi="Arial" w:cs="Arial"/>
          <w:kern w:val="0"/>
          <w14:ligatures w14:val="none"/>
        </w:rPr>
        <w:t xml:space="preserve">Estudiante: </w:t>
      </w:r>
    </w:p>
    <w:p w14:paraId="42D8002E" w14:textId="77777777" w:rsidR="00C51607" w:rsidRPr="002012E1" w:rsidRDefault="00C51607" w:rsidP="00C51607">
      <w:pPr>
        <w:spacing w:after="0" w:line="360" w:lineRule="auto"/>
        <w:jc w:val="center"/>
        <w:rPr>
          <w:rFonts w:ascii="Arial" w:eastAsia="Times New Roman" w:hAnsi="Arial" w:cs="Arial"/>
          <w:kern w:val="0"/>
          <w14:ligatures w14:val="none"/>
        </w:rPr>
      </w:pPr>
      <w:r w:rsidRPr="002012E1">
        <w:rPr>
          <w:rFonts w:ascii="Arial" w:eastAsia="Calibri" w:hAnsi="Arial" w:cs="Arial"/>
          <w:kern w:val="0"/>
          <w:lang w:val="es-MX"/>
          <w14:ligatures w14:val="none"/>
        </w:rPr>
        <w:t xml:space="preserve">Daniel Enrique Piña Walsh, identificación: </w:t>
      </w:r>
      <w:r w:rsidRPr="002012E1">
        <w:rPr>
          <w:rFonts w:ascii="Arial" w:eastAsia="Times New Roman" w:hAnsi="Arial" w:cs="Arial"/>
          <w:kern w:val="0"/>
          <w14:ligatures w14:val="none"/>
        </w:rPr>
        <w:t>117750859</w:t>
      </w:r>
    </w:p>
    <w:p w14:paraId="738BABE4"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Diego Alejandro Fernández Araya, identificación: 116760133</w:t>
      </w:r>
    </w:p>
    <w:p w14:paraId="504E3919"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Gabriel Cabrera Agüero, identificación:  117490089</w:t>
      </w:r>
    </w:p>
    <w:p w14:paraId="63F143E1"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Jean Carlo Molina Hernández, identificación: 117270526</w:t>
      </w:r>
    </w:p>
    <w:p w14:paraId="39C5F9BD" w14:textId="77777777" w:rsidR="00C51607" w:rsidRPr="002012E1" w:rsidRDefault="00C51607" w:rsidP="00C51607">
      <w:pPr>
        <w:spacing w:after="0" w:line="360" w:lineRule="auto"/>
        <w:jc w:val="center"/>
        <w:rPr>
          <w:rFonts w:ascii="Arial" w:eastAsia="Calibri" w:hAnsi="Arial" w:cs="Arial"/>
          <w:kern w:val="0"/>
          <w:lang w:val="es-MX"/>
          <w14:ligatures w14:val="none"/>
        </w:rPr>
      </w:pPr>
    </w:p>
    <w:p w14:paraId="7B0A89D2" w14:textId="77777777" w:rsidR="00C51607" w:rsidRPr="002012E1" w:rsidRDefault="00C51607" w:rsidP="00C51607">
      <w:pPr>
        <w:spacing w:after="0" w:line="360" w:lineRule="auto"/>
        <w:jc w:val="center"/>
        <w:rPr>
          <w:rFonts w:ascii="Arial" w:eastAsia="Calibri" w:hAnsi="Arial" w:cs="Arial"/>
          <w:kern w:val="0"/>
          <w:lang w:val="es-ES"/>
        </w:rPr>
      </w:pPr>
      <w:r w:rsidRPr="002012E1">
        <w:rPr>
          <w:rFonts w:ascii="Arial" w:eastAsia="Calibri" w:hAnsi="Arial" w:cs="Arial"/>
          <w:kern w:val="0"/>
          <w:lang w:val="es-ES"/>
        </w:rPr>
        <w:t>Responsable Académico</w:t>
      </w:r>
    </w:p>
    <w:p w14:paraId="5E56260A" w14:textId="77777777" w:rsidR="00C51607" w:rsidRPr="002012E1" w:rsidRDefault="00C51607" w:rsidP="00C51607">
      <w:pPr>
        <w:spacing w:after="0" w:line="360" w:lineRule="auto"/>
        <w:jc w:val="center"/>
        <w:rPr>
          <w:rFonts w:ascii="Arial" w:eastAsia="Calibri" w:hAnsi="Arial" w:cs="Arial"/>
          <w:kern w:val="0"/>
          <w:lang w:val="es-ES"/>
        </w:rPr>
      </w:pPr>
      <w:r w:rsidRPr="002012E1">
        <w:rPr>
          <w:rFonts w:ascii="Arial" w:eastAsia="Calibri" w:hAnsi="Arial" w:cs="Arial"/>
          <w:kern w:val="0"/>
          <w:lang w:val="es-ES"/>
        </w:rPr>
        <w:t>Dra. Jinette Ugalde Naranjo</w:t>
      </w:r>
    </w:p>
    <w:p w14:paraId="29FE2513" w14:textId="77777777" w:rsidR="00C51607" w:rsidRPr="002012E1" w:rsidRDefault="00C51607" w:rsidP="00C51607">
      <w:pPr>
        <w:spacing w:line="360" w:lineRule="auto"/>
        <w:jc w:val="center"/>
        <w:rPr>
          <w:rFonts w:ascii="Arial" w:eastAsia="Calibri" w:hAnsi="Arial" w:cs="Arial"/>
          <w:kern w:val="0"/>
          <w14:ligatures w14:val="none"/>
        </w:rPr>
      </w:pPr>
    </w:p>
    <w:p w14:paraId="15E122C5" w14:textId="77777777" w:rsidR="00C51607" w:rsidRDefault="00C51607" w:rsidP="00C51607">
      <w:pPr>
        <w:spacing w:line="360" w:lineRule="auto"/>
        <w:jc w:val="center"/>
        <w:rPr>
          <w:rFonts w:ascii="Arial" w:eastAsia="Calibri" w:hAnsi="Arial" w:cs="Arial"/>
          <w:kern w:val="0"/>
          <w14:ligatures w14:val="none"/>
        </w:rPr>
      </w:pPr>
      <w:r w:rsidRPr="002012E1">
        <w:rPr>
          <w:rFonts w:ascii="Arial" w:eastAsia="Calibri" w:hAnsi="Arial" w:cs="Arial"/>
          <w:kern w:val="0"/>
          <w14:ligatures w14:val="none"/>
        </w:rPr>
        <w:t>“Campus Omar Dengo”</w:t>
      </w:r>
    </w:p>
    <w:p w14:paraId="78FFA360" w14:textId="77777777" w:rsidR="00C51607" w:rsidRPr="002012E1" w:rsidRDefault="00C51607" w:rsidP="00C51607">
      <w:pPr>
        <w:spacing w:line="360" w:lineRule="auto"/>
        <w:jc w:val="center"/>
        <w:rPr>
          <w:rFonts w:ascii="Arial" w:eastAsia="Calibri" w:hAnsi="Arial" w:cs="Arial"/>
          <w:kern w:val="0"/>
          <w14:ligatures w14:val="none"/>
        </w:rPr>
      </w:pPr>
    </w:p>
    <w:p w14:paraId="022B827B" w14:textId="77777777" w:rsidR="00C51607" w:rsidRPr="002012E1" w:rsidRDefault="00C51607" w:rsidP="00C51607">
      <w:pPr>
        <w:spacing w:line="360" w:lineRule="auto"/>
        <w:jc w:val="center"/>
        <w:rPr>
          <w:rFonts w:ascii="Arial" w:eastAsia="Calibri" w:hAnsi="Arial" w:cs="Arial"/>
          <w:kern w:val="0"/>
          <w14:ligatures w14:val="none"/>
        </w:rPr>
        <w:sectPr w:rsidR="00C51607" w:rsidRPr="002012E1" w:rsidSect="00C51607">
          <w:headerReference w:type="default" r:id="rId7"/>
          <w:footerReference w:type="default" r:id="rId8"/>
          <w:headerReference w:type="first" r:id="rId9"/>
          <w:footerReference w:type="first" r:id="rId10"/>
          <w:pgSz w:w="12240" w:h="15840" w:code="1"/>
          <w:pgMar w:top="1417" w:right="1701" w:bottom="1417" w:left="1701" w:header="709" w:footer="709" w:gutter="0"/>
          <w:pgNumType w:fmt="upperRoman"/>
          <w:cols w:space="708"/>
          <w:titlePg/>
          <w:docGrid w:linePitch="360"/>
        </w:sectPr>
      </w:pPr>
      <w:r w:rsidRPr="002012E1">
        <w:rPr>
          <w:rFonts w:ascii="Arial" w:eastAsia="Calibri" w:hAnsi="Arial" w:cs="Arial"/>
          <w:kern w:val="0"/>
          <w14:ligatures w14:val="none"/>
        </w:rPr>
        <w:t>Heredia, Costa Rica, 2025</w:t>
      </w:r>
    </w:p>
    <w:p w14:paraId="5A394BAD" w14:textId="77777777" w:rsidR="00C51607" w:rsidRPr="002012E1" w:rsidRDefault="00C51607" w:rsidP="00C51607">
      <w:pPr>
        <w:spacing w:before="120" w:after="120" w:line="360" w:lineRule="auto"/>
        <w:jc w:val="center"/>
        <w:outlineLvl w:val="0"/>
        <w:rPr>
          <w:rFonts w:ascii="Arial" w:eastAsia="Calibri" w:hAnsi="Arial" w:cs="Arial"/>
          <w:b/>
          <w:kern w:val="0"/>
          <w14:ligatures w14:val="none"/>
        </w:rPr>
      </w:pPr>
      <w:bookmarkStart w:id="0" w:name="_Toc201832388"/>
      <w:bookmarkStart w:id="1" w:name="_Toc129028609"/>
      <w:bookmarkStart w:id="2" w:name="_Toc130891991"/>
      <w:bookmarkStart w:id="3" w:name="_Toc145351954"/>
      <w:bookmarkStart w:id="4" w:name="_Hlk172142734"/>
      <w:r w:rsidRPr="002012E1">
        <w:rPr>
          <w:rFonts w:ascii="Arial" w:eastAsia="Calibri" w:hAnsi="Arial" w:cs="Arial"/>
          <w:b/>
          <w:kern w:val="0"/>
          <w14:ligatures w14:val="none"/>
        </w:rPr>
        <w:lastRenderedPageBreak/>
        <w:t>Declaración Jurada</w:t>
      </w:r>
      <w:bookmarkEnd w:id="0"/>
    </w:p>
    <w:p w14:paraId="6318FF0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FC451F" w14:textId="77777777" w:rsidR="00C51607" w:rsidRPr="002012E1" w:rsidRDefault="00C51607" w:rsidP="00C51607">
      <w:pPr>
        <w:spacing w:after="0" w:line="360" w:lineRule="auto"/>
        <w:jc w:val="center"/>
        <w:rPr>
          <w:rFonts w:ascii="Arial" w:eastAsia="Calibri" w:hAnsi="Arial" w:cs="Arial"/>
          <w:kern w:val="0"/>
          <w14:ligatures w14:val="none"/>
        </w:rPr>
      </w:pPr>
      <w:r w:rsidRPr="002012E1">
        <w:rPr>
          <w:rFonts w:ascii="Arial" w:eastAsia="Calibri" w:hAnsi="Arial" w:cs="Arial"/>
          <w:kern w:val="0"/>
          <w14:ligatures w14:val="none"/>
        </w:rPr>
        <w:t>Bajo la fe del juramento, declaro que este trabajo es autoría propia y que en él no se ha reproducido, como propio, total o parcialmente, libros o documentos escritos o materiales de otras personas, impresos o no; y se ha destacado entre comillas los textos transcritos y consignado los datos del autor y su obra.</w:t>
      </w:r>
    </w:p>
    <w:p w14:paraId="78F49C16" w14:textId="77777777" w:rsidR="00C51607" w:rsidRPr="002012E1" w:rsidRDefault="00C51607" w:rsidP="00C51607">
      <w:pPr>
        <w:spacing w:line="360" w:lineRule="auto"/>
        <w:rPr>
          <w:rFonts w:ascii="Arial" w:eastAsia="Calibri" w:hAnsi="Arial" w:cs="Arial"/>
          <w:kern w:val="0"/>
          <w14:ligatures w14:val="none"/>
        </w:rPr>
      </w:pPr>
    </w:p>
    <w:p w14:paraId="5B14F26C" w14:textId="77777777" w:rsidR="00C51607" w:rsidRPr="002012E1" w:rsidRDefault="00C51607" w:rsidP="00C51607">
      <w:pPr>
        <w:spacing w:line="360" w:lineRule="auto"/>
        <w:rPr>
          <w:rFonts w:ascii="Arial" w:eastAsia="Calibri" w:hAnsi="Arial" w:cs="Arial"/>
          <w:kern w:val="0"/>
          <w14:ligatures w14:val="none"/>
        </w:rPr>
      </w:pPr>
    </w:p>
    <w:p w14:paraId="4DA511F1" w14:textId="77777777" w:rsidR="00C51607" w:rsidRPr="002012E1" w:rsidRDefault="00C51607" w:rsidP="00C51607">
      <w:pPr>
        <w:spacing w:line="360" w:lineRule="auto"/>
        <w:jc w:val="center"/>
        <w:rPr>
          <w:rFonts w:ascii="Arial" w:eastAsia="Calibri" w:hAnsi="Arial" w:cs="Arial"/>
          <w:kern w:val="0"/>
          <w14:ligatures w14:val="none"/>
        </w:rPr>
      </w:pPr>
      <w:r w:rsidRPr="002012E1">
        <w:rPr>
          <w:rFonts w:ascii="Arial" w:eastAsia="Calibri" w:hAnsi="Arial" w:cs="Arial"/>
          <w:kern w:val="0"/>
          <w14:ligatures w14:val="none"/>
        </w:rPr>
        <w:t>___________________________________</w:t>
      </w:r>
    </w:p>
    <w:p w14:paraId="50AE3C4B"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Daniel Enrique Piña Walsh</w:t>
      </w:r>
    </w:p>
    <w:p w14:paraId="474BD8BF" w14:textId="77777777" w:rsidR="00C51607" w:rsidRPr="002012E1" w:rsidRDefault="00C51607" w:rsidP="00C51607">
      <w:pPr>
        <w:spacing w:after="0" w:line="360" w:lineRule="auto"/>
        <w:jc w:val="center"/>
        <w:rPr>
          <w:rFonts w:ascii="Arial" w:eastAsia="Times New Roman" w:hAnsi="Arial" w:cs="Arial"/>
          <w:kern w:val="0"/>
          <w14:ligatures w14:val="none"/>
        </w:rPr>
      </w:pPr>
      <w:r w:rsidRPr="002012E1">
        <w:rPr>
          <w:rFonts w:ascii="Arial" w:eastAsia="Calibri" w:hAnsi="Arial" w:cs="Arial"/>
          <w:kern w:val="0"/>
          <w:lang w:val="es-MX"/>
          <w14:ligatures w14:val="none"/>
        </w:rPr>
        <w:t xml:space="preserve">identificación: </w:t>
      </w:r>
      <w:r w:rsidRPr="002012E1">
        <w:rPr>
          <w:rFonts w:ascii="Arial" w:eastAsia="Times New Roman" w:hAnsi="Arial" w:cs="Arial"/>
          <w:kern w:val="0"/>
          <w14:ligatures w14:val="none"/>
        </w:rPr>
        <w:t>117750859</w:t>
      </w:r>
    </w:p>
    <w:p w14:paraId="43C6E683" w14:textId="77777777" w:rsidR="00C51607" w:rsidRPr="002012E1" w:rsidRDefault="00C51607" w:rsidP="00C51607">
      <w:pPr>
        <w:spacing w:after="0" w:line="360" w:lineRule="auto"/>
        <w:jc w:val="center"/>
        <w:rPr>
          <w:rFonts w:ascii="Arial" w:eastAsia="Times New Roman" w:hAnsi="Arial" w:cs="Arial"/>
          <w:kern w:val="0"/>
          <w14:ligatures w14:val="none"/>
        </w:rPr>
      </w:pPr>
    </w:p>
    <w:p w14:paraId="4086023C" w14:textId="77777777" w:rsidR="00C51607" w:rsidRPr="002012E1" w:rsidRDefault="00C51607" w:rsidP="00C51607">
      <w:pPr>
        <w:spacing w:after="0" w:line="360" w:lineRule="auto"/>
        <w:jc w:val="center"/>
        <w:rPr>
          <w:rFonts w:ascii="Arial" w:eastAsia="Times New Roman" w:hAnsi="Arial" w:cs="Arial"/>
          <w:kern w:val="0"/>
          <w14:ligatures w14:val="none"/>
        </w:rPr>
      </w:pPr>
    </w:p>
    <w:p w14:paraId="70109F0C" w14:textId="77777777" w:rsidR="00C51607" w:rsidRPr="002012E1" w:rsidRDefault="00C51607" w:rsidP="00C51607">
      <w:pPr>
        <w:spacing w:line="360" w:lineRule="auto"/>
        <w:jc w:val="center"/>
        <w:rPr>
          <w:rFonts w:ascii="Arial" w:eastAsia="Calibri" w:hAnsi="Arial" w:cs="Arial"/>
          <w:kern w:val="0"/>
          <w14:ligatures w14:val="none"/>
        </w:rPr>
      </w:pPr>
      <w:r w:rsidRPr="002012E1">
        <w:rPr>
          <w:rFonts w:ascii="Arial" w:eastAsia="Calibri" w:hAnsi="Arial" w:cs="Arial"/>
          <w:kern w:val="0"/>
          <w14:ligatures w14:val="none"/>
        </w:rPr>
        <w:t>___________________________________</w:t>
      </w:r>
    </w:p>
    <w:p w14:paraId="48B274BD"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Diego Alejandro Fernández Araya</w:t>
      </w:r>
    </w:p>
    <w:p w14:paraId="0135475D"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Identificación: 116760133</w:t>
      </w:r>
    </w:p>
    <w:p w14:paraId="73FF5FF2" w14:textId="77777777" w:rsidR="00C51607" w:rsidRPr="002012E1" w:rsidRDefault="00C51607" w:rsidP="00C51607">
      <w:pPr>
        <w:spacing w:after="0" w:line="360" w:lineRule="auto"/>
        <w:jc w:val="center"/>
        <w:rPr>
          <w:rFonts w:ascii="Arial" w:eastAsia="Calibri" w:hAnsi="Arial" w:cs="Arial"/>
          <w:kern w:val="0"/>
          <w:lang w:val="es-MX"/>
          <w14:ligatures w14:val="none"/>
        </w:rPr>
      </w:pPr>
    </w:p>
    <w:p w14:paraId="2710CAB7" w14:textId="77777777" w:rsidR="00C51607" w:rsidRPr="002012E1" w:rsidRDefault="00C51607" w:rsidP="00C51607">
      <w:pPr>
        <w:spacing w:after="0" w:line="360" w:lineRule="auto"/>
        <w:jc w:val="center"/>
        <w:rPr>
          <w:rFonts w:ascii="Arial" w:eastAsia="Calibri" w:hAnsi="Arial" w:cs="Arial"/>
          <w:kern w:val="0"/>
          <w:lang w:val="es-MX"/>
          <w14:ligatures w14:val="none"/>
        </w:rPr>
      </w:pPr>
    </w:p>
    <w:p w14:paraId="4A3DA0FA" w14:textId="77777777" w:rsidR="00C51607" w:rsidRPr="002012E1" w:rsidRDefault="00C51607" w:rsidP="00C51607">
      <w:pPr>
        <w:spacing w:line="360" w:lineRule="auto"/>
        <w:jc w:val="center"/>
        <w:rPr>
          <w:rFonts w:ascii="Arial" w:eastAsia="Calibri" w:hAnsi="Arial" w:cs="Arial"/>
          <w:kern w:val="0"/>
          <w14:ligatures w14:val="none"/>
        </w:rPr>
      </w:pPr>
      <w:r w:rsidRPr="002012E1">
        <w:rPr>
          <w:rFonts w:ascii="Arial" w:eastAsia="Calibri" w:hAnsi="Arial" w:cs="Arial"/>
          <w:kern w:val="0"/>
          <w14:ligatures w14:val="none"/>
        </w:rPr>
        <w:t>___________________________________</w:t>
      </w:r>
    </w:p>
    <w:p w14:paraId="39557023"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Gabriel Cabrera Agüero</w:t>
      </w:r>
    </w:p>
    <w:p w14:paraId="1DBBB5F9"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Identificación:  117490089</w:t>
      </w:r>
    </w:p>
    <w:p w14:paraId="4540E155" w14:textId="77777777" w:rsidR="00C51607" w:rsidRPr="002012E1" w:rsidRDefault="00C51607" w:rsidP="00C51607">
      <w:pPr>
        <w:spacing w:after="0" w:line="360" w:lineRule="auto"/>
        <w:jc w:val="center"/>
        <w:rPr>
          <w:rFonts w:ascii="Arial" w:eastAsia="Calibri" w:hAnsi="Arial" w:cs="Arial"/>
          <w:kern w:val="0"/>
          <w:lang w:val="es-MX"/>
          <w14:ligatures w14:val="none"/>
        </w:rPr>
      </w:pPr>
    </w:p>
    <w:p w14:paraId="6511457B" w14:textId="77777777" w:rsidR="00C51607" w:rsidRPr="002012E1" w:rsidRDefault="00C51607" w:rsidP="00C51607">
      <w:pPr>
        <w:spacing w:after="0" w:line="360" w:lineRule="auto"/>
        <w:jc w:val="center"/>
        <w:rPr>
          <w:rFonts w:ascii="Arial" w:eastAsia="Calibri" w:hAnsi="Arial" w:cs="Arial"/>
          <w:kern w:val="0"/>
          <w:lang w:val="es-MX"/>
          <w14:ligatures w14:val="none"/>
        </w:rPr>
      </w:pPr>
    </w:p>
    <w:p w14:paraId="62A36416" w14:textId="77777777" w:rsidR="00C51607" w:rsidRPr="002012E1" w:rsidRDefault="00C51607" w:rsidP="00C51607">
      <w:pPr>
        <w:spacing w:line="360" w:lineRule="auto"/>
        <w:jc w:val="center"/>
        <w:rPr>
          <w:rFonts w:ascii="Arial" w:eastAsia="Calibri" w:hAnsi="Arial" w:cs="Arial"/>
          <w:kern w:val="0"/>
          <w14:ligatures w14:val="none"/>
        </w:rPr>
      </w:pPr>
      <w:r w:rsidRPr="002012E1">
        <w:rPr>
          <w:rFonts w:ascii="Arial" w:eastAsia="Calibri" w:hAnsi="Arial" w:cs="Arial"/>
          <w:kern w:val="0"/>
          <w14:ligatures w14:val="none"/>
        </w:rPr>
        <w:t>___________________________________</w:t>
      </w:r>
    </w:p>
    <w:p w14:paraId="3143891E"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Jean Carlo Molina Hernández</w:t>
      </w:r>
    </w:p>
    <w:p w14:paraId="06F017AC" w14:textId="77777777" w:rsidR="00C51607" w:rsidRPr="002012E1" w:rsidRDefault="00C51607" w:rsidP="00C51607">
      <w:pPr>
        <w:spacing w:after="0" w:line="360" w:lineRule="auto"/>
        <w:jc w:val="center"/>
        <w:rPr>
          <w:rFonts w:ascii="Arial" w:eastAsia="Calibri" w:hAnsi="Arial" w:cs="Arial"/>
          <w:kern w:val="0"/>
          <w:lang w:val="es-MX"/>
          <w14:ligatures w14:val="none"/>
        </w:rPr>
      </w:pPr>
      <w:r w:rsidRPr="002012E1">
        <w:rPr>
          <w:rFonts w:ascii="Arial" w:eastAsia="Calibri" w:hAnsi="Arial" w:cs="Arial"/>
          <w:kern w:val="0"/>
          <w:lang w:val="es-MX"/>
          <w14:ligatures w14:val="none"/>
        </w:rPr>
        <w:t>Identificación: 117270526</w:t>
      </w:r>
    </w:p>
    <w:p w14:paraId="43C8D7CF" w14:textId="77777777" w:rsidR="00C51607" w:rsidRPr="002012E1" w:rsidRDefault="00C51607" w:rsidP="00C51607">
      <w:pPr>
        <w:spacing w:line="360" w:lineRule="auto"/>
        <w:rPr>
          <w:rFonts w:ascii="Arial" w:eastAsia="Calibri" w:hAnsi="Arial" w:cs="Arial"/>
          <w:kern w:val="0"/>
          <w14:ligatures w14:val="none"/>
        </w:rPr>
      </w:pPr>
    </w:p>
    <w:p w14:paraId="0B0BEE21" w14:textId="77777777" w:rsidR="00C51607" w:rsidRPr="002012E1" w:rsidRDefault="00C51607" w:rsidP="00C51607">
      <w:pPr>
        <w:spacing w:line="360" w:lineRule="auto"/>
        <w:rPr>
          <w:rFonts w:ascii="Arial" w:eastAsia="Calibri" w:hAnsi="Arial" w:cs="Arial"/>
          <w:kern w:val="0"/>
          <w14:ligatures w14:val="none"/>
        </w:rPr>
      </w:pPr>
    </w:p>
    <w:p w14:paraId="63BB17DE" w14:textId="77777777" w:rsidR="00C51607" w:rsidRPr="002012E1" w:rsidRDefault="00C51607" w:rsidP="00C51607">
      <w:pPr>
        <w:spacing w:before="120" w:after="120" w:line="360" w:lineRule="auto"/>
        <w:jc w:val="center"/>
        <w:outlineLvl w:val="0"/>
        <w:rPr>
          <w:rFonts w:ascii="Arial" w:eastAsia="Calibri" w:hAnsi="Arial" w:cs="Arial"/>
          <w:b/>
          <w:kern w:val="0"/>
          <w14:ligatures w14:val="none"/>
        </w:rPr>
      </w:pPr>
      <w:bookmarkStart w:id="5" w:name="_Toc201832389"/>
      <w:r w:rsidRPr="002012E1">
        <w:rPr>
          <w:rFonts w:ascii="Arial" w:eastAsia="Calibri" w:hAnsi="Arial" w:cs="Arial"/>
          <w:b/>
          <w:kern w:val="0"/>
          <w14:ligatures w14:val="none"/>
        </w:rPr>
        <w:lastRenderedPageBreak/>
        <w:t>Tribunal Examinador</w:t>
      </w:r>
      <w:bookmarkEnd w:id="1"/>
      <w:bookmarkEnd w:id="2"/>
      <w:bookmarkEnd w:id="3"/>
      <w:bookmarkEnd w:id="5"/>
    </w:p>
    <w:p w14:paraId="1B8F7C1D" w14:textId="77777777" w:rsidR="00C51607" w:rsidRPr="002012E1" w:rsidRDefault="00C51607" w:rsidP="00C51607">
      <w:pPr>
        <w:spacing w:after="0" w:line="360" w:lineRule="auto"/>
        <w:jc w:val="center"/>
        <w:rPr>
          <w:rFonts w:ascii="Arial" w:eastAsia="Calibri" w:hAnsi="Arial" w:cs="Arial"/>
          <w:kern w:val="0"/>
          <w:lang w:val="es-ES"/>
        </w:rPr>
      </w:pPr>
    </w:p>
    <w:p w14:paraId="6A991D8E" w14:textId="77777777" w:rsidR="00C51607" w:rsidRPr="002012E1" w:rsidRDefault="00C51607" w:rsidP="00C51607">
      <w:pPr>
        <w:spacing w:after="0" w:line="360" w:lineRule="auto"/>
        <w:jc w:val="center"/>
        <w:rPr>
          <w:rFonts w:ascii="Arial" w:eastAsia="Calibri" w:hAnsi="Arial" w:cs="Arial"/>
          <w:kern w:val="0"/>
          <w:lang w:val="es-ES"/>
        </w:rPr>
      </w:pPr>
    </w:p>
    <w:p w14:paraId="0F0FB332"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_______________________</w:t>
      </w:r>
    </w:p>
    <w:p w14:paraId="685A3A23"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Representante de la Dirección</w:t>
      </w:r>
    </w:p>
    <w:p w14:paraId="68753AA9" w14:textId="77777777" w:rsidR="00C51607" w:rsidRPr="002012E1" w:rsidRDefault="00C51607" w:rsidP="00C51607">
      <w:pPr>
        <w:spacing w:after="0" w:line="360" w:lineRule="auto"/>
        <w:jc w:val="center"/>
        <w:rPr>
          <w:rFonts w:ascii="Arial" w:eastAsia="Calibri" w:hAnsi="Arial" w:cs="Arial"/>
          <w:kern w:val="0"/>
        </w:rPr>
      </w:pPr>
    </w:p>
    <w:p w14:paraId="74585F73" w14:textId="77777777" w:rsidR="00C51607" w:rsidRPr="002012E1" w:rsidRDefault="00C51607" w:rsidP="00C51607">
      <w:pPr>
        <w:spacing w:after="0" w:line="360" w:lineRule="auto"/>
        <w:jc w:val="center"/>
        <w:rPr>
          <w:rFonts w:ascii="Arial" w:eastAsia="Calibri" w:hAnsi="Arial" w:cs="Arial"/>
          <w:kern w:val="0"/>
        </w:rPr>
      </w:pPr>
    </w:p>
    <w:p w14:paraId="7D52BADB"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_______________________</w:t>
      </w:r>
    </w:p>
    <w:p w14:paraId="69D75BF7" w14:textId="77777777" w:rsidR="00C51607" w:rsidRPr="002012E1" w:rsidRDefault="00C51607" w:rsidP="00C51607">
      <w:pPr>
        <w:spacing w:after="0" w:line="360" w:lineRule="auto"/>
        <w:jc w:val="center"/>
        <w:rPr>
          <w:rFonts w:ascii="Arial" w:eastAsia="Calibri" w:hAnsi="Arial" w:cs="Arial"/>
          <w:kern w:val="0"/>
        </w:rPr>
      </w:pPr>
      <w:r>
        <w:rPr>
          <w:rFonts w:ascii="Arial" w:eastAsia="Calibri" w:hAnsi="Arial" w:cs="Arial"/>
          <w:kern w:val="0"/>
        </w:rPr>
        <w:t>Representante</w:t>
      </w:r>
      <w:r w:rsidRPr="002012E1">
        <w:rPr>
          <w:rFonts w:ascii="Arial" w:eastAsia="Calibri" w:hAnsi="Arial" w:cs="Arial"/>
          <w:kern w:val="0"/>
        </w:rPr>
        <w:t xml:space="preserve"> de la </w:t>
      </w:r>
      <w:r>
        <w:rPr>
          <w:rFonts w:ascii="Arial" w:eastAsia="Calibri" w:hAnsi="Arial" w:cs="Arial"/>
          <w:kern w:val="0"/>
        </w:rPr>
        <w:t>Escuela</w:t>
      </w:r>
      <w:r w:rsidRPr="002012E1">
        <w:rPr>
          <w:rFonts w:ascii="Arial" w:eastAsia="Calibri" w:hAnsi="Arial" w:cs="Arial"/>
          <w:kern w:val="0"/>
        </w:rPr>
        <w:t xml:space="preserve"> Administración </w:t>
      </w:r>
    </w:p>
    <w:p w14:paraId="05F00F0A" w14:textId="77777777" w:rsidR="00C51607" w:rsidRPr="002012E1" w:rsidRDefault="00C51607" w:rsidP="00C51607">
      <w:pPr>
        <w:spacing w:after="0" w:line="360" w:lineRule="auto"/>
        <w:jc w:val="center"/>
        <w:rPr>
          <w:rFonts w:ascii="Arial" w:eastAsia="Calibri" w:hAnsi="Arial" w:cs="Arial"/>
          <w:kern w:val="0"/>
        </w:rPr>
      </w:pPr>
    </w:p>
    <w:p w14:paraId="657DB338" w14:textId="77777777" w:rsidR="00C51607" w:rsidRPr="002012E1" w:rsidRDefault="00C51607" w:rsidP="00C51607">
      <w:pPr>
        <w:spacing w:after="0" w:line="360" w:lineRule="auto"/>
        <w:jc w:val="center"/>
        <w:rPr>
          <w:rFonts w:ascii="Arial" w:eastAsia="Calibri" w:hAnsi="Arial" w:cs="Arial"/>
          <w:kern w:val="0"/>
        </w:rPr>
      </w:pPr>
    </w:p>
    <w:p w14:paraId="22515B37"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_______________________</w:t>
      </w:r>
    </w:p>
    <w:p w14:paraId="262507BA" w14:textId="77777777" w:rsidR="00C51607" w:rsidRDefault="00C51607" w:rsidP="00C51607">
      <w:pPr>
        <w:spacing w:after="0" w:line="360" w:lineRule="auto"/>
        <w:jc w:val="center"/>
        <w:rPr>
          <w:rFonts w:ascii="Arial" w:eastAsia="Calibri" w:hAnsi="Arial" w:cs="Arial"/>
          <w:kern w:val="0"/>
        </w:rPr>
      </w:pPr>
      <w:r>
        <w:rPr>
          <w:rFonts w:ascii="Arial" w:eastAsia="Calibri" w:hAnsi="Arial" w:cs="Arial"/>
          <w:kern w:val="0"/>
        </w:rPr>
        <w:t>Dra. Jinette Ugalde Naranjo.</w:t>
      </w:r>
    </w:p>
    <w:p w14:paraId="75A62DA1" w14:textId="77777777" w:rsidR="00C51607" w:rsidRPr="002012E1" w:rsidRDefault="00C51607" w:rsidP="00C51607">
      <w:pPr>
        <w:spacing w:after="0" w:line="360" w:lineRule="auto"/>
        <w:jc w:val="center"/>
        <w:rPr>
          <w:rFonts w:ascii="Arial" w:eastAsia="Calibri" w:hAnsi="Arial" w:cs="Arial"/>
          <w:kern w:val="0"/>
        </w:rPr>
      </w:pPr>
      <w:r>
        <w:rPr>
          <w:rFonts w:ascii="Arial" w:eastAsia="Calibri" w:hAnsi="Arial" w:cs="Arial"/>
          <w:kern w:val="0"/>
        </w:rPr>
        <w:t>Tutora del Trabajo Final de Graduación</w:t>
      </w:r>
    </w:p>
    <w:p w14:paraId="03316923" w14:textId="77777777" w:rsidR="00C51607" w:rsidRPr="002012E1" w:rsidRDefault="00C51607" w:rsidP="00C51607">
      <w:pPr>
        <w:spacing w:after="0" w:line="360" w:lineRule="auto"/>
        <w:jc w:val="center"/>
        <w:rPr>
          <w:rFonts w:ascii="Arial" w:eastAsia="Calibri" w:hAnsi="Arial" w:cs="Arial"/>
          <w:kern w:val="0"/>
        </w:rPr>
      </w:pPr>
    </w:p>
    <w:p w14:paraId="199B09B5" w14:textId="77777777" w:rsidR="00C51607" w:rsidRDefault="00C51607" w:rsidP="00C51607">
      <w:pPr>
        <w:spacing w:after="0" w:line="360" w:lineRule="auto"/>
        <w:jc w:val="center"/>
        <w:rPr>
          <w:rFonts w:ascii="Arial" w:eastAsia="Calibri" w:hAnsi="Arial" w:cs="Arial"/>
          <w:kern w:val="0"/>
        </w:rPr>
      </w:pPr>
    </w:p>
    <w:p w14:paraId="6BD01BC0"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______________________</w:t>
      </w:r>
    </w:p>
    <w:p w14:paraId="29C59208" w14:textId="77777777" w:rsidR="00C51607" w:rsidRPr="002012E1" w:rsidRDefault="00C51607" w:rsidP="00C51607">
      <w:pPr>
        <w:spacing w:after="0" w:line="360" w:lineRule="auto"/>
        <w:jc w:val="center"/>
        <w:rPr>
          <w:rFonts w:ascii="Arial" w:eastAsia="Calibri" w:hAnsi="Arial" w:cs="Arial"/>
          <w:kern w:val="0"/>
        </w:rPr>
      </w:pPr>
      <w:r>
        <w:rPr>
          <w:rFonts w:ascii="Arial" w:eastAsia="Calibri" w:hAnsi="Arial" w:cs="Arial"/>
          <w:kern w:val="0"/>
        </w:rPr>
        <w:t xml:space="preserve">Mba. </w:t>
      </w:r>
      <w:r w:rsidRPr="002012E1">
        <w:rPr>
          <w:rFonts w:ascii="Arial" w:eastAsia="Calibri" w:hAnsi="Arial" w:cs="Arial"/>
          <w:kern w:val="0"/>
        </w:rPr>
        <w:t>Gustavo Vallejo Esquivel</w:t>
      </w:r>
    </w:p>
    <w:p w14:paraId="1B800B5C"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Lector interno</w:t>
      </w:r>
    </w:p>
    <w:p w14:paraId="1A4082B8" w14:textId="77777777" w:rsidR="00C51607" w:rsidRDefault="00C51607" w:rsidP="00C51607">
      <w:pPr>
        <w:spacing w:after="0" w:line="360" w:lineRule="auto"/>
        <w:jc w:val="center"/>
        <w:rPr>
          <w:rFonts w:ascii="Arial" w:eastAsia="Calibri" w:hAnsi="Arial" w:cs="Arial"/>
          <w:kern w:val="0"/>
        </w:rPr>
      </w:pPr>
    </w:p>
    <w:p w14:paraId="37E38C75" w14:textId="77777777" w:rsidR="00C51607" w:rsidRPr="002012E1" w:rsidRDefault="00C51607" w:rsidP="00C51607">
      <w:pPr>
        <w:spacing w:after="0" w:line="360" w:lineRule="auto"/>
        <w:jc w:val="center"/>
        <w:rPr>
          <w:rFonts w:ascii="Arial" w:eastAsia="Calibri" w:hAnsi="Arial" w:cs="Arial"/>
          <w:kern w:val="0"/>
        </w:rPr>
      </w:pPr>
    </w:p>
    <w:p w14:paraId="2F904683"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______________________</w:t>
      </w:r>
    </w:p>
    <w:p w14:paraId="4CEDD98B" w14:textId="77777777" w:rsidR="00C51607" w:rsidRPr="002012E1" w:rsidRDefault="00C51607" w:rsidP="00C51607">
      <w:pPr>
        <w:spacing w:after="0" w:line="360" w:lineRule="auto"/>
        <w:jc w:val="center"/>
        <w:rPr>
          <w:rFonts w:ascii="Arial" w:eastAsia="Calibri" w:hAnsi="Arial" w:cs="Arial"/>
          <w:kern w:val="0"/>
        </w:rPr>
      </w:pPr>
      <w:r>
        <w:rPr>
          <w:rFonts w:ascii="Arial" w:eastAsia="Calibri" w:hAnsi="Arial" w:cs="Arial"/>
          <w:kern w:val="0"/>
        </w:rPr>
        <w:t xml:space="preserve">Máster </w:t>
      </w:r>
      <w:r w:rsidRPr="002012E1">
        <w:rPr>
          <w:rFonts w:ascii="Arial" w:eastAsia="Calibri" w:hAnsi="Arial" w:cs="Arial"/>
          <w:kern w:val="0"/>
        </w:rPr>
        <w:t>Rudy Corrales Vega</w:t>
      </w:r>
    </w:p>
    <w:p w14:paraId="5BBF8E0C" w14:textId="77777777" w:rsidR="00C51607" w:rsidRPr="002012E1" w:rsidRDefault="00C51607" w:rsidP="00C51607">
      <w:pPr>
        <w:spacing w:after="0" w:line="360" w:lineRule="auto"/>
        <w:jc w:val="center"/>
        <w:rPr>
          <w:rFonts w:ascii="Arial" w:eastAsia="Calibri" w:hAnsi="Arial" w:cs="Arial"/>
          <w:kern w:val="0"/>
        </w:rPr>
      </w:pPr>
      <w:r w:rsidRPr="002012E1">
        <w:rPr>
          <w:rFonts w:ascii="Arial" w:eastAsia="Calibri" w:hAnsi="Arial" w:cs="Arial"/>
          <w:kern w:val="0"/>
        </w:rPr>
        <w:t>Lector externo</w:t>
      </w:r>
    </w:p>
    <w:p w14:paraId="5EB9596B" w14:textId="77777777" w:rsidR="00C51607" w:rsidRPr="002012E1" w:rsidRDefault="00C51607" w:rsidP="00C51607">
      <w:pPr>
        <w:spacing w:after="0" w:line="360" w:lineRule="auto"/>
        <w:jc w:val="center"/>
        <w:rPr>
          <w:rFonts w:ascii="Arial" w:eastAsia="Calibri" w:hAnsi="Arial" w:cs="Arial"/>
          <w:kern w:val="0"/>
        </w:rPr>
      </w:pPr>
    </w:p>
    <w:p w14:paraId="07A84FC4" w14:textId="77777777" w:rsidR="00C51607" w:rsidRPr="002012E1" w:rsidRDefault="00C51607" w:rsidP="00C51607">
      <w:pPr>
        <w:spacing w:after="0" w:line="360" w:lineRule="auto"/>
        <w:jc w:val="center"/>
        <w:rPr>
          <w:rFonts w:ascii="Arial" w:eastAsia="Calibri" w:hAnsi="Arial" w:cs="Arial"/>
          <w:kern w:val="0"/>
        </w:rPr>
      </w:pPr>
    </w:p>
    <w:p w14:paraId="5F08C946" w14:textId="77777777" w:rsidR="00C51607" w:rsidRDefault="00C51607" w:rsidP="00C51607">
      <w:pPr>
        <w:spacing w:after="0" w:line="360" w:lineRule="auto"/>
        <w:jc w:val="center"/>
        <w:rPr>
          <w:rFonts w:ascii="Arial" w:eastAsia="Calibri" w:hAnsi="Arial" w:cs="Arial"/>
          <w:kern w:val="0"/>
        </w:rPr>
      </w:pPr>
    </w:p>
    <w:p w14:paraId="6F1E6FAC" w14:textId="77777777" w:rsidR="00C51607" w:rsidRPr="002012E1" w:rsidRDefault="00C51607" w:rsidP="00C51607">
      <w:pPr>
        <w:spacing w:after="0" w:line="360" w:lineRule="auto"/>
        <w:jc w:val="center"/>
        <w:rPr>
          <w:rFonts w:ascii="Arial" w:eastAsia="Calibri" w:hAnsi="Arial" w:cs="Arial"/>
          <w:kern w:val="0"/>
        </w:rPr>
      </w:pPr>
    </w:p>
    <w:bookmarkEnd w:id="4"/>
    <w:p w14:paraId="7DAF133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8211CE" w14:textId="77777777" w:rsidR="00C51607" w:rsidRDefault="00C51607" w:rsidP="00C51607">
      <w:pPr>
        <w:spacing w:line="360" w:lineRule="auto"/>
        <w:rPr>
          <w:rFonts w:ascii="Arial" w:eastAsia="Calibri" w:hAnsi="Arial" w:cs="Arial"/>
          <w:kern w:val="0"/>
          <w:lang w:val="es-MX"/>
          <w14:ligatures w14:val="none"/>
        </w:rPr>
      </w:pPr>
    </w:p>
    <w:p w14:paraId="58F1F569" w14:textId="77777777" w:rsidR="00C51607" w:rsidRPr="002012E1" w:rsidRDefault="00C51607" w:rsidP="00C51607">
      <w:pPr>
        <w:spacing w:line="360" w:lineRule="auto"/>
        <w:rPr>
          <w:rFonts w:ascii="Arial" w:eastAsia="Calibri" w:hAnsi="Arial" w:cs="Arial"/>
          <w:kern w:val="0"/>
          <w14:ligatures w14:val="none"/>
        </w:rPr>
      </w:pPr>
    </w:p>
    <w:p w14:paraId="5560945C" w14:textId="77777777" w:rsidR="00C51607" w:rsidRPr="002012E1" w:rsidRDefault="00C51607" w:rsidP="00C51607">
      <w:pPr>
        <w:spacing w:before="120" w:after="120" w:line="360" w:lineRule="auto"/>
        <w:jc w:val="center"/>
        <w:outlineLvl w:val="0"/>
        <w:rPr>
          <w:rFonts w:ascii="Arial" w:eastAsia="Calibri" w:hAnsi="Arial" w:cs="Arial"/>
          <w:b/>
          <w:kern w:val="0"/>
          <w14:ligatures w14:val="none"/>
        </w:rPr>
      </w:pPr>
      <w:bookmarkStart w:id="6" w:name="_Toc201832390"/>
      <w:r w:rsidRPr="002012E1">
        <w:rPr>
          <w:rFonts w:ascii="Arial" w:eastAsia="Calibri" w:hAnsi="Arial" w:cs="Arial"/>
          <w:b/>
          <w:kern w:val="0"/>
          <w14:ligatures w14:val="none"/>
        </w:rPr>
        <w:lastRenderedPageBreak/>
        <w:t>Dedicatoria</w:t>
      </w:r>
      <w:bookmarkEnd w:id="6"/>
    </w:p>
    <w:p w14:paraId="752877BE" w14:textId="77777777" w:rsidR="00C51607" w:rsidRPr="002012E1" w:rsidRDefault="00C51607" w:rsidP="00C51607">
      <w:pPr>
        <w:spacing w:line="360" w:lineRule="auto"/>
        <w:jc w:val="right"/>
        <w:rPr>
          <w:rFonts w:ascii="Arial" w:eastAsia="Calibri" w:hAnsi="Arial" w:cs="Arial"/>
          <w:b/>
          <w:bCs/>
          <w:i/>
          <w:kern w:val="0"/>
          <w14:ligatures w14:val="none"/>
        </w:rPr>
      </w:pPr>
    </w:p>
    <w:p w14:paraId="2C86AA90" w14:textId="77777777" w:rsidR="00C51607" w:rsidRDefault="00C51607" w:rsidP="00C51607">
      <w:pPr>
        <w:spacing w:after="0" w:line="360" w:lineRule="auto"/>
        <w:jc w:val="right"/>
        <w:rPr>
          <w:rFonts w:ascii="Arial" w:eastAsia="Calibri" w:hAnsi="Arial" w:cs="Arial"/>
          <w:kern w:val="0"/>
          <w:lang w:val="es-ES"/>
        </w:rPr>
      </w:pPr>
      <w:bookmarkStart w:id="7" w:name="_Toc130891995"/>
      <w:r w:rsidRPr="00FC296B">
        <w:rPr>
          <w:rFonts w:ascii="Arial" w:eastAsia="Calibri" w:hAnsi="Arial" w:cs="Arial"/>
          <w:kern w:val="0"/>
          <w:lang w:val="es-ES"/>
        </w:rPr>
        <w:t>Daniel Enrique Piña Walsh</w:t>
      </w:r>
      <w:r>
        <w:rPr>
          <w:rFonts w:ascii="Arial" w:eastAsia="Calibri" w:hAnsi="Arial" w:cs="Arial"/>
          <w:kern w:val="0"/>
          <w:lang w:val="es-ES"/>
        </w:rPr>
        <w:t>.</w:t>
      </w:r>
    </w:p>
    <w:p w14:paraId="454A1793" w14:textId="77777777" w:rsidR="00C51607" w:rsidRDefault="00C51607" w:rsidP="00C51607">
      <w:pPr>
        <w:spacing w:after="0" w:line="360" w:lineRule="auto"/>
        <w:jc w:val="right"/>
        <w:rPr>
          <w:rFonts w:ascii="Arial" w:eastAsia="Calibri" w:hAnsi="Arial" w:cs="Arial"/>
          <w:kern w:val="0"/>
          <w:lang w:val="es-ES"/>
        </w:rPr>
      </w:pPr>
    </w:p>
    <w:p w14:paraId="46774442" w14:textId="77777777" w:rsidR="00C51607" w:rsidRDefault="00C51607" w:rsidP="00C51607">
      <w:pPr>
        <w:spacing w:after="0" w:line="360" w:lineRule="auto"/>
        <w:rPr>
          <w:rFonts w:ascii="Arial" w:eastAsia="Calibri" w:hAnsi="Arial" w:cs="Arial"/>
          <w:kern w:val="0"/>
          <w:lang w:val="es-ES"/>
        </w:rPr>
      </w:pPr>
      <w:r>
        <w:rPr>
          <w:rFonts w:ascii="Arial" w:eastAsia="Calibri" w:hAnsi="Arial" w:cs="Arial"/>
          <w:kern w:val="0"/>
          <w:lang w:val="es-ES"/>
        </w:rPr>
        <w:t>A</w:t>
      </w:r>
      <w:r w:rsidRPr="00FB6336">
        <w:rPr>
          <w:rFonts w:ascii="Arial" w:eastAsia="Calibri" w:hAnsi="Arial" w:cs="Arial"/>
          <w:kern w:val="0"/>
          <w:lang w:val="es-ES"/>
        </w:rPr>
        <w:t xml:space="preserve"> mis padres, por su amor, su ejemplo y su apoyo en cada paso del camino</w:t>
      </w:r>
      <w:r>
        <w:rPr>
          <w:rFonts w:ascii="Arial" w:eastAsia="Calibri" w:hAnsi="Arial" w:cs="Arial"/>
          <w:kern w:val="0"/>
          <w:lang w:val="es-ES"/>
        </w:rPr>
        <w:t>, a</w:t>
      </w:r>
      <w:r w:rsidRPr="00FB6336">
        <w:rPr>
          <w:rFonts w:ascii="Arial" w:eastAsia="Calibri" w:hAnsi="Arial" w:cs="Arial"/>
          <w:kern w:val="0"/>
          <w:lang w:val="es-ES"/>
        </w:rPr>
        <w:t xml:space="preserve"> mi hermana, por ser mi compañera de vida y mi motivación constante</w:t>
      </w:r>
      <w:r>
        <w:rPr>
          <w:rFonts w:ascii="Arial" w:eastAsia="Calibri" w:hAnsi="Arial" w:cs="Arial"/>
          <w:kern w:val="0"/>
          <w:lang w:val="es-ES"/>
        </w:rPr>
        <w:t>, g</w:t>
      </w:r>
      <w:r w:rsidRPr="00FB6336">
        <w:rPr>
          <w:rFonts w:ascii="Arial" w:eastAsia="Calibri" w:hAnsi="Arial" w:cs="Arial"/>
          <w:kern w:val="0"/>
          <w:lang w:val="es-ES"/>
        </w:rPr>
        <w:t>racias por creer en mí incluso cuando yo dudé.</w:t>
      </w:r>
    </w:p>
    <w:p w14:paraId="68827A5B" w14:textId="77777777" w:rsidR="00C51607" w:rsidRPr="00FC296B" w:rsidRDefault="00C51607" w:rsidP="00C51607">
      <w:pPr>
        <w:spacing w:after="0" w:line="360" w:lineRule="auto"/>
        <w:rPr>
          <w:rFonts w:ascii="Arial" w:eastAsia="Calibri" w:hAnsi="Arial" w:cs="Arial"/>
          <w:kern w:val="0"/>
          <w:lang w:val="es-ES"/>
        </w:rPr>
      </w:pPr>
    </w:p>
    <w:p w14:paraId="709CE1DA" w14:textId="77777777" w:rsidR="00C51607" w:rsidRDefault="00C51607" w:rsidP="00C51607">
      <w:pPr>
        <w:spacing w:after="0" w:line="360" w:lineRule="auto"/>
        <w:jc w:val="right"/>
        <w:rPr>
          <w:rFonts w:ascii="Arial" w:eastAsia="Calibri" w:hAnsi="Arial" w:cs="Arial"/>
          <w:kern w:val="0"/>
          <w:lang w:val="es-ES"/>
        </w:rPr>
      </w:pPr>
      <w:r w:rsidRPr="00FC296B">
        <w:rPr>
          <w:rFonts w:ascii="Arial" w:eastAsia="Calibri" w:hAnsi="Arial" w:cs="Arial"/>
          <w:kern w:val="0"/>
          <w:lang w:val="es-ES"/>
        </w:rPr>
        <w:t>Diego Alejandro Fernández Araya</w:t>
      </w:r>
      <w:r>
        <w:rPr>
          <w:rFonts w:ascii="Arial" w:eastAsia="Calibri" w:hAnsi="Arial" w:cs="Arial"/>
          <w:kern w:val="0"/>
          <w:lang w:val="es-ES"/>
        </w:rPr>
        <w:t>.</w:t>
      </w:r>
    </w:p>
    <w:p w14:paraId="4D915E82" w14:textId="77777777" w:rsidR="00C51607" w:rsidRDefault="00C51607" w:rsidP="00C51607">
      <w:pPr>
        <w:spacing w:after="0" w:line="360" w:lineRule="auto"/>
        <w:rPr>
          <w:rFonts w:ascii="Arial" w:eastAsia="Calibri" w:hAnsi="Arial" w:cs="Arial"/>
          <w:kern w:val="0"/>
          <w:lang w:val="es-ES"/>
        </w:rPr>
      </w:pPr>
    </w:p>
    <w:p w14:paraId="5CE373DF" w14:textId="77777777" w:rsidR="00C51607" w:rsidRDefault="00C51607" w:rsidP="00C51607">
      <w:pPr>
        <w:spacing w:after="0" w:line="360" w:lineRule="auto"/>
        <w:rPr>
          <w:rFonts w:ascii="Arial" w:eastAsia="Calibri" w:hAnsi="Arial" w:cs="Arial"/>
          <w:kern w:val="0"/>
          <w:lang w:val="es-ES"/>
        </w:rPr>
      </w:pPr>
      <w:r w:rsidRPr="00BE618A">
        <w:rPr>
          <w:rFonts w:ascii="Arial" w:eastAsia="Calibri" w:hAnsi="Arial" w:cs="Arial"/>
          <w:kern w:val="0"/>
          <w:lang w:val="es-ES"/>
        </w:rPr>
        <w:t>El presente trabajo está dedicado a mis padres. Sin el apoyo de ellos y sus sacrificios yo no estaría donde estoy el día de hoy. Como se los he comentado en muchas ocasiones, uno puede ser el que alcance los títulos, pero esto no es por mí es por ellos.</w:t>
      </w:r>
    </w:p>
    <w:p w14:paraId="1CE11944" w14:textId="77777777" w:rsidR="00C51607" w:rsidRDefault="00C51607" w:rsidP="00C51607">
      <w:pPr>
        <w:spacing w:after="0" w:line="360" w:lineRule="auto"/>
        <w:jc w:val="right"/>
        <w:rPr>
          <w:rFonts w:ascii="Arial" w:eastAsia="Calibri" w:hAnsi="Arial" w:cs="Arial"/>
          <w:kern w:val="0"/>
          <w:lang w:val="es-ES"/>
        </w:rPr>
      </w:pPr>
    </w:p>
    <w:p w14:paraId="029304B9" w14:textId="77777777" w:rsidR="00C51607" w:rsidRDefault="00C51607" w:rsidP="00C51607">
      <w:pPr>
        <w:spacing w:after="0" w:line="360" w:lineRule="auto"/>
        <w:jc w:val="right"/>
        <w:rPr>
          <w:rFonts w:ascii="Arial" w:eastAsia="Calibri" w:hAnsi="Arial" w:cs="Arial"/>
          <w:kern w:val="0"/>
          <w:lang w:val="es-ES"/>
        </w:rPr>
      </w:pPr>
      <w:r>
        <w:rPr>
          <w:rFonts w:ascii="Arial" w:eastAsia="Calibri" w:hAnsi="Arial" w:cs="Arial"/>
          <w:kern w:val="0"/>
          <w:lang w:val="es-ES"/>
        </w:rPr>
        <w:t>Gabriel Cabrera Agüero.</w:t>
      </w:r>
    </w:p>
    <w:p w14:paraId="5D28D777" w14:textId="77777777" w:rsidR="00C51607" w:rsidRDefault="00C51607" w:rsidP="00C51607">
      <w:pPr>
        <w:spacing w:after="0" w:line="360" w:lineRule="auto"/>
        <w:jc w:val="right"/>
        <w:rPr>
          <w:rFonts w:ascii="Arial" w:eastAsia="Calibri" w:hAnsi="Arial" w:cs="Arial"/>
          <w:kern w:val="0"/>
          <w:lang w:val="es-ES"/>
        </w:rPr>
      </w:pPr>
    </w:p>
    <w:p w14:paraId="02DEDB29" w14:textId="77777777" w:rsidR="00C51607" w:rsidRPr="00F67CEE" w:rsidRDefault="00C51607" w:rsidP="00C51607">
      <w:pPr>
        <w:spacing w:after="0" w:line="360" w:lineRule="auto"/>
        <w:jc w:val="both"/>
        <w:rPr>
          <w:rFonts w:ascii="Arial" w:eastAsia="Calibri" w:hAnsi="Arial" w:cs="Arial"/>
          <w:kern w:val="0"/>
          <w:lang w:val="es-ES"/>
        </w:rPr>
      </w:pPr>
      <w:r w:rsidRPr="005045C5">
        <w:rPr>
          <w:rFonts w:ascii="Arial" w:eastAsia="Calibri" w:hAnsi="Arial" w:cs="Arial"/>
          <w:kern w:val="0"/>
          <w:lang w:val="es-ES"/>
        </w:rPr>
        <w:t xml:space="preserve">Este proyecto lo dedico </w:t>
      </w:r>
      <w:r>
        <w:rPr>
          <w:rFonts w:ascii="Arial" w:eastAsia="Calibri" w:hAnsi="Arial" w:cs="Arial"/>
          <w:kern w:val="0"/>
          <w:lang w:val="es-ES"/>
        </w:rPr>
        <w:t>a</w:t>
      </w:r>
      <w:r w:rsidRPr="00F67CEE">
        <w:rPr>
          <w:rFonts w:ascii="Arial" w:eastAsia="Calibri" w:hAnsi="Arial" w:cs="Arial"/>
          <w:kern w:val="0"/>
          <w:lang w:val="es-ES"/>
        </w:rPr>
        <w:t xml:space="preserve"> mi familia y a todos mis seres queridos, que con su amor, apoyo y compañía han sido un pilar fundamental a lo largo de este camino.</w:t>
      </w:r>
    </w:p>
    <w:p w14:paraId="3A8A5FBA" w14:textId="77777777" w:rsidR="00C51607" w:rsidRPr="00F67CEE" w:rsidRDefault="00C51607" w:rsidP="00C51607">
      <w:pPr>
        <w:spacing w:after="0" w:line="360" w:lineRule="auto"/>
        <w:jc w:val="both"/>
        <w:rPr>
          <w:rFonts w:ascii="Arial" w:eastAsia="Calibri" w:hAnsi="Arial" w:cs="Arial"/>
          <w:kern w:val="0"/>
          <w:lang w:val="es-ES"/>
        </w:rPr>
      </w:pPr>
      <w:r w:rsidRPr="00F67CEE">
        <w:rPr>
          <w:rFonts w:ascii="Arial" w:eastAsia="Calibri" w:hAnsi="Arial" w:cs="Arial"/>
          <w:kern w:val="0"/>
          <w:lang w:val="es-ES"/>
        </w:rPr>
        <w:t xml:space="preserve">A mi mamá, que, aunque hace unos meses partió, sigue presente en cada logro y en cada paso que doy. Gracias por guiarme e inspirarme desde </w:t>
      </w:r>
      <w:r>
        <w:rPr>
          <w:rFonts w:ascii="Arial" w:eastAsia="Calibri" w:hAnsi="Arial" w:cs="Arial"/>
          <w:kern w:val="0"/>
          <w:lang w:val="es-ES"/>
        </w:rPr>
        <w:t>arriba.</w:t>
      </w:r>
    </w:p>
    <w:p w14:paraId="69874660" w14:textId="77777777" w:rsidR="00C51607" w:rsidRDefault="00C51607" w:rsidP="00C51607">
      <w:pPr>
        <w:spacing w:after="0" w:line="360" w:lineRule="auto"/>
        <w:jc w:val="both"/>
        <w:rPr>
          <w:rFonts w:ascii="Arial" w:eastAsia="Calibri" w:hAnsi="Arial" w:cs="Arial"/>
          <w:kern w:val="0"/>
          <w:lang w:val="es-ES"/>
        </w:rPr>
      </w:pPr>
      <w:r>
        <w:rPr>
          <w:rFonts w:ascii="Arial" w:eastAsia="Calibri" w:hAnsi="Arial" w:cs="Arial"/>
          <w:kern w:val="0"/>
          <w:lang w:val="es-ES"/>
        </w:rPr>
        <w:t>También a</w:t>
      </w:r>
      <w:r w:rsidRPr="00F67CEE">
        <w:rPr>
          <w:rFonts w:ascii="Arial" w:eastAsia="Calibri" w:hAnsi="Arial" w:cs="Arial"/>
          <w:kern w:val="0"/>
          <w:lang w:val="es-ES"/>
        </w:rPr>
        <w:t xml:space="preserve"> todos ustedes, con cariño y gratitud.</w:t>
      </w:r>
    </w:p>
    <w:p w14:paraId="05A3BF9F" w14:textId="77777777" w:rsidR="00C51607" w:rsidRDefault="00C51607" w:rsidP="00C51607">
      <w:pPr>
        <w:spacing w:after="0" w:line="360" w:lineRule="auto"/>
        <w:jc w:val="both"/>
        <w:rPr>
          <w:rFonts w:ascii="Arial" w:eastAsia="Calibri" w:hAnsi="Arial" w:cs="Arial"/>
          <w:kern w:val="0"/>
          <w:lang w:val="es-ES"/>
        </w:rPr>
      </w:pPr>
    </w:p>
    <w:p w14:paraId="75FAFC11" w14:textId="77777777" w:rsidR="00C51607"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kern w:val="0"/>
          <w:lang w:val="es-MX"/>
          <w14:ligatures w14:val="none"/>
        </w:rPr>
        <w:t>Jean Carlo Molina Hernández</w:t>
      </w:r>
      <w:r>
        <w:rPr>
          <w:rFonts w:ascii="Arial" w:eastAsia="Calibri" w:hAnsi="Arial" w:cs="Arial"/>
          <w:kern w:val="0"/>
          <w:lang w:val="es-MX"/>
          <w14:ligatures w14:val="none"/>
        </w:rPr>
        <w:t>.</w:t>
      </w:r>
    </w:p>
    <w:p w14:paraId="38A5190E" w14:textId="77777777" w:rsidR="00C51607" w:rsidRPr="002012E1" w:rsidRDefault="00C51607" w:rsidP="00C51607">
      <w:pPr>
        <w:spacing w:after="0" w:line="360" w:lineRule="auto"/>
        <w:jc w:val="right"/>
        <w:rPr>
          <w:rFonts w:ascii="Arial" w:eastAsia="Calibri" w:hAnsi="Arial" w:cs="Arial"/>
          <w:kern w:val="0"/>
          <w:lang w:val="es-MX"/>
          <w14:ligatures w14:val="none"/>
        </w:rPr>
      </w:pPr>
    </w:p>
    <w:p w14:paraId="30BEF1BF" w14:textId="77777777" w:rsidR="00C51607" w:rsidRDefault="00C51607" w:rsidP="00C51607">
      <w:pPr>
        <w:spacing w:after="0" w:line="360" w:lineRule="auto"/>
        <w:jc w:val="both"/>
        <w:rPr>
          <w:rFonts w:ascii="Arial" w:eastAsia="Calibri" w:hAnsi="Arial" w:cs="Arial"/>
          <w:kern w:val="0"/>
          <w:lang w:val="es-ES"/>
        </w:rPr>
      </w:pPr>
      <w:r w:rsidRPr="00595BBA">
        <w:rPr>
          <w:rFonts w:ascii="Arial" w:eastAsia="Calibri" w:hAnsi="Arial" w:cs="Arial"/>
          <w:kern w:val="0"/>
          <w:lang w:val="es-ES"/>
        </w:rPr>
        <w:t>Dedico este trabajo a mi familia, por el amor incondicional y constante apoyo en cada etapa</w:t>
      </w:r>
      <w:r>
        <w:rPr>
          <w:rFonts w:ascii="Arial" w:eastAsia="Calibri" w:hAnsi="Arial" w:cs="Arial"/>
          <w:kern w:val="0"/>
          <w:lang w:val="es-ES"/>
        </w:rPr>
        <w:t>.</w:t>
      </w:r>
    </w:p>
    <w:p w14:paraId="284D070D" w14:textId="77777777" w:rsidR="00C51607" w:rsidRDefault="00C51607" w:rsidP="00C51607">
      <w:pPr>
        <w:spacing w:after="0" w:line="360" w:lineRule="auto"/>
        <w:rPr>
          <w:rFonts w:ascii="Arial" w:eastAsia="Calibri" w:hAnsi="Arial" w:cs="Arial"/>
          <w:kern w:val="0"/>
          <w:lang w:val="es-ES"/>
        </w:rPr>
      </w:pPr>
    </w:p>
    <w:p w14:paraId="2E144F52" w14:textId="77777777" w:rsidR="00C51607" w:rsidRPr="002012E1" w:rsidRDefault="00C51607" w:rsidP="00C51607">
      <w:pPr>
        <w:spacing w:after="0" w:line="360" w:lineRule="auto"/>
        <w:rPr>
          <w:rFonts w:ascii="Arial" w:eastAsia="Calibri" w:hAnsi="Arial" w:cs="Arial"/>
          <w:kern w:val="0"/>
          <w:lang w:val="es-ES"/>
        </w:rPr>
      </w:pPr>
    </w:p>
    <w:p w14:paraId="5C33CF35" w14:textId="77777777" w:rsidR="00C51607" w:rsidRPr="002012E1" w:rsidRDefault="00C51607" w:rsidP="00C51607">
      <w:pPr>
        <w:spacing w:line="360" w:lineRule="auto"/>
        <w:jc w:val="right"/>
        <w:rPr>
          <w:rFonts w:ascii="Arial" w:eastAsia="Calibri" w:hAnsi="Arial" w:cs="Arial"/>
          <w:b/>
          <w:bCs/>
          <w:i/>
          <w:kern w:val="0"/>
          <w14:ligatures w14:val="none"/>
        </w:rPr>
      </w:pPr>
    </w:p>
    <w:p w14:paraId="4AA11CF7" w14:textId="77777777" w:rsidR="00C51607" w:rsidRPr="002012E1" w:rsidRDefault="00C51607" w:rsidP="00C51607">
      <w:pPr>
        <w:spacing w:before="120" w:after="120" w:line="360" w:lineRule="auto"/>
        <w:jc w:val="center"/>
        <w:outlineLvl w:val="0"/>
        <w:rPr>
          <w:rFonts w:ascii="Arial" w:eastAsia="Calibri" w:hAnsi="Arial" w:cs="Arial"/>
          <w:b/>
          <w:kern w:val="0"/>
          <w14:ligatures w14:val="none"/>
        </w:rPr>
      </w:pPr>
      <w:bookmarkStart w:id="8" w:name="_Toc201832391"/>
      <w:bookmarkEnd w:id="7"/>
      <w:r w:rsidRPr="002012E1">
        <w:rPr>
          <w:rFonts w:ascii="Arial" w:eastAsia="Calibri" w:hAnsi="Arial" w:cs="Arial"/>
          <w:b/>
          <w:kern w:val="0"/>
          <w14:ligatures w14:val="none"/>
        </w:rPr>
        <w:lastRenderedPageBreak/>
        <w:t>Agradecimientos</w:t>
      </w:r>
      <w:bookmarkEnd w:id="8"/>
    </w:p>
    <w:p w14:paraId="21E0FB1C" w14:textId="77777777" w:rsidR="00C51607" w:rsidRPr="002012E1" w:rsidRDefault="00C51607" w:rsidP="00C51607">
      <w:pPr>
        <w:spacing w:line="360" w:lineRule="auto"/>
        <w:rPr>
          <w:rFonts w:ascii="Arial" w:eastAsia="Calibri" w:hAnsi="Arial" w:cs="Arial"/>
          <w:b/>
          <w:bCs/>
          <w:i/>
          <w:kern w:val="0"/>
          <w14:ligatures w14:val="none"/>
        </w:rPr>
      </w:pPr>
    </w:p>
    <w:p w14:paraId="4F0E30AC" w14:textId="77777777" w:rsidR="00C51607" w:rsidRPr="009D31BA" w:rsidRDefault="00C51607" w:rsidP="00C51607">
      <w:pPr>
        <w:spacing w:line="360" w:lineRule="auto"/>
        <w:rPr>
          <w:rFonts w:ascii="Arial" w:eastAsia="Calibri" w:hAnsi="Arial" w:cs="Arial"/>
          <w:b/>
          <w:kern w:val="0"/>
          <w14:ligatures w14:val="none"/>
        </w:rPr>
      </w:pPr>
      <w:r w:rsidRPr="009D31BA">
        <w:rPr>
          <w:rFonts w:ascii="Arial" w:eastAsia="Calibri" w:hAnsi="Arial" w:cs="Arial"/>
          <w:b/>
          <w:kern w:val="0"/>
          <w14:ligatures w14:val="none"/>
        </w:rPr>
        <w:t>De parte del grupo investigador:</w:t>
      </w:r>
    </w:p>
    <w:p w14:paraId="6E6E059B" w14:textId="77777777" w:rsidR="00C51607" w:rsidRDefault="00C51607" w:rsidP="00C51607">
      <w:pPr>
        <w:spacing w:line="360" w:lineRule="auto"/>
        <w:jc w:val="both"/>
        <w:rPr>
          <w:rFonts w:ascii="Arial" w:eastAsia="Calibri" w:hAnsi="Arial" w:cs="Arial"/>
          <w:kern w:val="0"/>
          <w:lang w:val="es-ES"/>
        </w:rPr>
      </w:pPr>
      <w:r w:rsidRPr="00771FCB">
        <w:rPr>
          <w:rFonts w:ascii="Arial" w:eastAsia="Calibri" w:hAnsi="Arial" w:cs="Arial"/>
          <w:kern w:val="0"/>
          <w:lang w:val="es-ES"/>
        </w:rPr>
        <w:t xml:space="preserve">Agradecemos </w:t>
      </w:r>
      <w:r>
        <w:rPr>
          <w:rFonts w:ascii="Arial" w:eastAsia="Calibri" w:hAnsi="Arial" w:cs="Arial"/>
          <w:kern w:val="0"/>
          <w:lang w:val="es-ES"/>
        </w:rPr>
        <w:t xml:space="preserve">primeramente a Dios y </w:t>
      </w:r>
      <w:r w:rsidRPr="00771FCB">
        <w:rPr>
          <w:rFonts w:ascii="Arial" w:eastAsia="Calibri" w:hAnsi="Arial" w:cs="Arial"/>
          <w:kern w:val="0"/>
          <w:lang w:val="es-ES"/>
        </w:rPr>
        <w:t>a todas las personas e instituciones que hicieron posible la realización de este Trabajo Final de Graduación. A la Universidad Nacional, por brindarnos la oportunidad de llevar a cabo esta investigación y fortalecernos en nuestro camino profesional</w:t>
      </w:r>
      <w:r>
        <w:rPr>
          <w:rFonts w:ascii="Arial" w:eastAsia="Calibri" w:hAnsi="Arial" w:cs="Arial"/>
          <w:kern w:val="0"/>
          <w:lang w:val="es-ES"/>
        </w:rPr>
        <w:t xml:space="preserve">, </w:t>
      </w:r>
      <w:r w:rsidRPr="00771FCB">
        <w:rPr>
          <w:rFonts w:ascii="Arial" w:eastAsia="Calibri" w:hAnsi="Arial" w:cs="Arial"/>
          <w:kern w:val="0"/>
          <w:lang w:val="es-ES"/>
        </w:rPr>
        <w:t>a la profesora Jinette Ugalde Naranjo, por acompañarnos con su experiencia y orientación a lo largo de este proyecto</w:t>
      </w:r>
      <w:r>
        <w:rPr>
          <w:rFonts w:ascii="Arial" w:eastAsia="Calibri" w:hAnsi="Arial" w:cs="Arial"/>
          <w:kern w:val="0"/>
          <w:lang w:val="es-ES"/>
        </w:rPr>
        <w:t>,</w:t>
      </w:r>
      <w:r w:rsidRPr="00771FCB">
        <w:rPr>
          <w:rFonts w:ascii="Arial" w:eastAsia="Calibri" w:hAnsi="Arial" w:cs="Arial"/>
          <w:kern w:val="0"/>
          <w:lang w:val="es-ES"/>
        </w:rPr>
        <w:t xml:space="preserve"> a las Operadoras de Pensiones, por abrirnos sus espacios y colaborar para que alcanzáramos los objetivos propuesto</w:t>
      </w:r>
      <w:r>
        <w:rPr>
          <w:rFonts w:ascii="Arial" w:eastAsia="Calibri" w:hAnsi="Arial" w:cs="Arial"/>
          <w:kern w:val="0"/>
          <w:lang w:val="es-ES"/>
        </w:rPr>
        <w:t>s,</w:t>
      </w:r>
      <w:r w:rsidRPr="00771FCB">
        <w:rPr>
          <w:rFonts w:ascii="Arial" w:eastAsia="Calibri" w:hAnsi="Arial" w:cs="Arial"/>
          <w:kern w:val="0"/>
          <w:lang w:val="es-ES"/>
        </w:rPr>
        <w:t xml:space="preserve"> al Máster Rudy Corrales Vega y al profesor Gustavo Vallejo Esquivel, por su disposición y valiosos aportes en la revisión de este documento; y, en general, a todas aquellas personas que, de una u otra manera, contribuyeron para que esta experiencia fuera enriquecedora y alcanzara un resultado satisfactorio.</w:t>
      </w:r>
    </w:p>
    <w:p w14:paraId="0DDA0452" w14:textId="77777777" w:rsidR="00C51607" w:rsidRDefault="00C51607" w:rsidP="00C51607">
      <w:pPr>
        <w:spacing w:line="360" w:lineRule="auto"/>
        <w:jc w:val="both"/>
        <w:rPr>
          <w:rFonts w:ascii="Arial" w:eastAsia="Calibri" w:hAnsi="Arial" w:cs="Arial"/>
          <w:kern w:val="0"/>
          <w:lang w:val="es-ES"/>
        </w:rPr>
      </w:pPr>
    </w:p>
    <w:p w14:paraId="7FE47EC0" w14:textId="77777777" w:rsidR="00C51607" w:rsidRDefault="00C51607" w:rsidP="00C51607">
      <w:pPr>
        <w:spacing w:line="360" w:lineRule="auto"/>
        <w:jc w:val="both"/>
        <w:rPr>
          <w:rFonts w:ascii="Arial" w:eastAsia="Calibri" w:hAnsi="Arial" w:cs="Arial"/>
          <w:b/>
          <w:kern w:val="0"/>
          <w:lang w:val="es-MX"/>
          <w14:ligatures w14:val="none"/>
        </w:rPr>
      </w:pPr>
      <w:r w:rsidRPr="00F73CF1">
        <w:rPr>
          <w:rFonts w:ascii="Arial" w:eastAsia="Calibri" w:hAnsi="Arial" w:cs="Arial"/>
          <w:b/>
          <w:kern w:val="0"/>
          <w14:ligatures w14:val="none"/>
        </w:rPr>
        <w:t xml:space="preserve">De parte de </w:t>
      </w:r>
      <w:r w:rsidRPr="00F40D79">
        <w:rPr>
          <w:rFonts w:ascii="Arial" w:eastAsia="Calibri" w:hAnsi="Arial" w:cs="Arial"/>
          <w:b/>
          <w:kern w:val="0"/>
          <w:lang w:val="es-MX"/>
          <w14:ligatures w14:val="none"/>
        </w:rPr>
        <w:t>Daniel Enrique Piña Walsh</w:t>
      </w:r>
    </w:p>
    <w:p w14:paraId="7BDF7818" w14:textId="77777777" w:rsidR="00C51607" w:rsidRDefault="00C51607" w:rsidP="00C51607">
      <w:pPr>
        <w:spacing w:line="360" w:lineRule="auto"/>
        <w:jc w:val="both"/>
        <w:rPr>
          <w:rFonts w:ascii="Arial" w:eastAsia="Calibri" w:hAnsi="Arial" w:cs="Arial"/>
          <w:bCs/>
          <w:kern w:val="0"/>
          <w:lang w:val="es-MX"/>
          <w14:ligatures w14:val="none"/>
        </w:rPr>
      </w:pPr>
      <w:r w:rsidRPr="007A6973">
        <w:rPr>
          <w:rFonts w:ascii="Arial" w:eastAsia="Calibri" w:hAnsi="Arial" w:cs="Arial"/>
          <w:bCs/>
          <w:kern w:val="0"/>
          <w:lang w:val="es-MX"/>
          <w14:ligatures w14:val="none"/>
        </w:rPr>
        <w:t>Agradezco profundamente a mis padres, quienes con su amor, esfuerzo y enseñanzas han sido la base de todo lo que he logrado. Gracias por su apoyo incondicional y por enseñarme a nunca rendirme.</w:t>
      </w:r>
      <w:r>
        <w:rPr>
          <w:rFonts w:ascii="Arial" w:eastAsia="Calibri" w:hAnsi="Arial" w:cs="Arial"/>
          <w:bCs/>
          <w:kern w:val="0"/>
          <w:lang w:val="es-MX"/>
          <w14:ligatures w14:val="none"/>
        </w:rPr>
        <w:t xml:space="preserve"> </w:t>
      </w:r>
      <w:r w:rsidRPr="007A6973">
        <w:rPr>
          <w:rFonts w:ascii="Arial" w:eastAsia="Calibri" w:hAnsi="Arial" w:cs="Arial"/>
          <w:bCs/>
          <w:kern w:val="0"/>
          <w:lang w:val="es-MX"/>
          <w14:ligatures w14:val="none"/>
        </w:rPr>
        <w:t>A mi hermana, por estar siempre a mi lado con palabras de aliento, compañía y una fe inquebrantable en mí.</w:t>
      </w:r>
    </w:p>
    <w:p w14:paraId="470F23BC" w14:textId="77777777" w:rsidR="00C51607" w:rsidRPr="00F40D79" w:rsidRDefault="00C51607" w:rsidP="00C51607">
      <w:pPr>
        <w:spacing w:line="360" w:lineRule="auto"/>
        <w:jc w:val="both"/>
        <w:rPr>
          <w:rFonts w:ascii="Arial" w:eastAsia="Calibri" w:hAnsi="Arial" w:cs="Arial"/>
          <w:bCs/>
          <w:kern w:val="0"/>
          <w:lang w:val="es-MX"/>
          <w14:ligatures w14:val="none"/>
        </w:rPr>
      </w:pPr>
    </w:p>
    <w:p w14:paraId="2ADAB63E" w14:textId="77777777" w:rsidR="00C51607" w:rsidRPr="00F40D79" w:rsidRDefault="00C51607" w:rsidP="00C51607">
      <w:pPr>
        <w:spacing w:line="360" w:lineRule="auto"/>
        <w:jc w:val="both"/>
        <w:rPr>
          <w:rFonts w:ascii="Arial" w:eastAsia="Calibri" w:hAnsi="Arial" w:cs="Arial"/>
          <w:b/>
          <w:kern w:val="0"/>
          <w:lang w:val="es-MX"/>
          <w14:ligatures w14:val="none"/>
        </w:rPr>
      </w:pPr>
      <w:r w:rsidRPr="00F73CF1">
        <w:rPr>
          <w:rFonts w:ascii="Arial" w:eastAsia="Calibri" w:hAnsi="Arial" w:cs="Arial"/>
          <w:b/>
          <w:kern w:val="0"/>
          <w14:ligatures w14:val="none"/>
        </w:rPr>
        <w:t xml:space="preserve">De parte de </w:t>
      </w:r>
      <w:r w:rsidRPr="00F40D79">
        <w:rPr>
          <w:rFonts w:ascii="Arial" w:eastAsia="Calibri" w:hAnsi="Arial" w:cs="Arial"/>
          <w:b/>
          <w:kern w:val="0"/>
          <w:lang w:val="es-MX"/>
          <w14:ligatures w14:val="none"/>
        </w:rPr>
        <w:t>Diego Alejandro Fernández Araya</w:t>
      </w:r>
    </w:p>
    <w:p w14:paraId="238E4549" w14:textId="77777777" w:rsidR="00C51607" w:rsidRDefault="00C51607" w:rsidP="00C51607">
      <w:pPr>
        <w:spacing w:line="360" w:lineRule="auto"/>
        <w:jc w:val="both"/>
        <w:rPr>
          <w:rFonts w:ascii="Arial" w:eastAsia="Calibri" w:hAnsi="Arial" w:cs="Arial"/>
          <w:bCs/>
          <w:kern w:val="0"/>
          <w14:ligatures w14:val="none"/>
        </w:rPr>
      </w:pPr>
      <w:r w:rsidRPr="00E7113D">
        <w:rPr>
          <w:rFonts w:ascii="Arial" w:eastAsia="Calibri" w:hAnsi="Arial" w:cs="Arial"/>
          <w:bCs/>
          <w:kern w:val="0"/>
          <w14:ligatures w14:val="none"/>
        </w:rPr>
        <w:t>Me gustaría agradecerles a mis padres por estar cada segundo durante mi carrera universitaria alentándome y brindándome su apoyo. También a mis compañeros de investigación por dar siempre su mejor esfuerzo. Por último a todas aquellas personas que fueron parte de la carrera y que de una u otra manera me ayudaron a llegar a este punto.</w:t>
      </w:r>
    </w:p>
    <w:p w14:paraId="2404D66A" w14:textId="77777777" w:rsidR="00C51607" w:rsidRPr="00F73CF1" w:rsidRDefault="00C51607" w:rsidP="00C51607">
      <w:pPr>
        <w:spacing w:line="360" w:lineRule="auto"/>
        <w:rPr>
          <w:rFonts w:ascii="Arial" w:eastAsia="Calibri" w:hAnsi="Arial" w:cs="Arial"/>
          <w:b/>
          <w:kern w:val="0"/>
          <w14:ligatures w14:val="none"/>
        </w:rPr>
      </w:pPr>
      <w:r w:rsidRPr="00F73CF1">
        <w:rPr>
          <w:rFonts w:ascii="Arial" w:eastAsia="Calibri" w:hAnsi="Arial" w:cs="Arial"/>
          <w:b/>
          <w:kern w:val="0"/>
          <w14:ligatures w14:val="none"/>
        </w:rPr>
        <w:lastRenderedPageBreak/>
        <w:t>De parte de Gabriel Cabrera Agüero</w:t>
      </w:r>
      <w:r>
        <w:rPr>
          <w:rFonts w:ascii="Arial" w:eastAsia="Calibri" w:hAnsi="Arial" w:cs="Arial"/>
          <w:b/>
          <w:kern w:val="0"/>
          <w14:ligatures w14:val="none"/>
        </w:rPr>
        <w:t>:</w:t>
      </w:r>
    </w:p>
    <w:p w14:paraId="68A272A1" w14:textId="77777777" w:rsidR="00C51607" w:rsidRDefault="00C51607" w:rsidP="00C51607">
      <w:pPr>
        <w:spacing w:line="360" w:lineRule="auto"/>
        <w:jc w:val="both"/>
        <w:rPr>
          <w:rFonts w:ascii="Arial" w:eastAsia="Calibri" w:hAnsi="Arial" w:cs="Arial"/>
          <w:kern w:val="0"/>
        </w:rPr>
      </w:pPr>
      <w:r>
        <w:rPr>
          <w:rFonts w:ascii="Arial" w:eastAsia="Calibri" w:hAnsi="Arial" w:cs="Arial"/>
          <w:kern w:val="0"/>
          <w:lang w:val="es-ES"/>
        </w:rPr>
        <w:t>Agradezco a Dios y a</w:t>
      </w:r>
      <w:r w:rsidRPr="00856AB0">
        <w:rPr>
          <w:rFonts w:ascii="Arial" w:eastAsia="Calibri" w:hAnsi="Arial" w:cs="Arial"/>
          <w:kern w:val="0"/>
          <w:lang w:val="es-ES"/>
        </w:rPr>
        <w:t xml:space="preserve"> mi mamá, que, aunque ya no está físicamente, ha sido mi mayor inspiración y mi luz en cada paso. Gracias por todo el amor, los valores y el ejemplo que me dejaste</w:t>
      </w:r>
      <w:r>
        <w:rPr>
          <w:rFonts w:ascii="Arial" w:eastAsia="Calibri" w:hAnsi="Arial" w:cs="Arial"/>
          <w:kern w:val="0"/>
          <w:lang w:val="es-ES"/>
        </w:rPr>
        <w:t>,</w:t>
      </w:r>
      <w:r w:rsidRPr="00856AB0">
        <w:rPr>
          <w:rFonts w:ascii="Arial" w:eastAsia="Calibri" w:hAnsi="Arial" w:cs="Arial"/>
          <w:kern w:val="0"/>
          <w:lang w:val="es-ES"/>
        </w:rPr>
        <w:t xml:space="preserve"> este logro es también tuyo</w:t>
      </w:r>
      <w:r>
        <w:rPr>
          <w:rFonts w:ascii="Arial" w:eastAsia="Calibri" w:hAnsi="Arial" w:cs="Arial"/>
          <w:kern w:val="0"/>
          <w:lang w:val="es-ES"/>
        </w:rPr>
        <w:t xml:space="preserve">. </w:t>
      </w:r>
      <w:r w:rsidRPr="00A44123">
        <w:rPr>
          <w:rFonts w:ascii="Arial" w:eastAsia="Calibri" w:hAnsi="Arial" w:cs="Arial"/>
          <w:kern w:val="0"/>
        </w:rPr>
        <w:t>No está de más un agradecimiento a mí mism</w:t>
      </w:r>
      <w:r>
        <w:rPr>
          <w:rFonts w:ascii="Arial" w:eastAsia="Calibri" w:hAnsi="Arial" w:cs="Arial"/>
          <w:kern w:val="0"/>
        </w:rPr>
        <w:t>o</w:t>
      </w:r>
      <w:r w:rsidRPr="00A44123">
        <w:rPr>
          <w:rFonts w:ascii="Arial" w:eastAsia="Calibri" w:hAnsi="Arial" w:cs="Arial"/>
          <w:kern w:val="0"/>
        </w:rPr>
        <w:t xml:space="preserve"> porque a pesar de </w:t>
      </w:r>
      <w:r>
        <w:rPr>
          <w:rFonts w:ascii="Arial" w:eastAsia="Calibri" w:hAnsi="Arial" w:cs="Arial"/>
          <w:kern w:val="0"/>
        </w:rPr>
        <w:t>distintas</w:t>
      </w:r>
      <w:r w:rsidRPr="00A44123">
        <w:rPr>
          <w:rFonts w:ascii="Arial" w:eastAsia="Calibri" w:hAnsi="Arial" w:cs="Arial"/>
          <w:kern w:val="0"/>
        </w:rPr>
        <w:t xml:space="preserve"> dificultades tuve la fortaleza para no rendirme</w:t>
      </w:r>
      <w:r>
        <w:rPr>
          <w:rFonts w:ascii="Arial" w:eastAsia="Calibri" w:hAnsi="Arial" w:cs="Arial"/>
          <w:kern w:val="0"/>
        </w:rPr>
        <w:t>.</w:t>
      </w:r>
    </w:p>
    <w:p w14:paraId="3B146753" w14:textId="77777777" w:rsidR="00C51607" w:rsidRDefault="00C51607" w:rsidP="00C51607">
      <w:pPr>
        <w:spacing w:line="360" w:lineRule="auto"/>
        <w:jc w:val="both"/>
        <w:rPr>
          <w:rFonts w:ascii="Arial" w:eastAsia="Calibri" w:hAnsi="Arial" w:cs="Arial"/>
          <w:kern w:val="0"/>
        </w:rPr>
      </w:pPr>
    </w:p>
    <w:p w14:paraId="18CCB704" w14:textId="77777777" w:rsidR="00C51607" w:rsidRPr="00F73CF1" w:rsidRDefault="00C51607" w:rsidP="00C51607">
      <w:pPr>
        <w:spacing w:line="360" w:lineRule="auto"/>
        <w:jc w:val="both"/>
        <w:rPr>
          <w:rFonts w:ascii="Arial" w:eastAsia="Calibri" w:hAnsi="Arial" w:cs="Arial"/>
          <w:kern w:val="0"/>
          <w:lang w:val="es-ES"/>
        </w:rPr>
      </w:pPr>
      <w:r w:rsidRPr="00F73CF1">
        <w:rPr>
          <w:rFonts w:ascii="Arial" w:eastAsia="Calibri" w:hAnsi="Arial" w:cs="Arial"/>
          <w:b/>
          <w:kern w:val="0"/>
          <w14:ligatures w14:val="none"/>
        </w:rPr>
        <w:t xml:space="preserve">De parte </w:t>
      </w:r>
      <w:r w:rsidRPr="00F40D79">
        <w:rPr>
          <w:rFonts w:ascii="Arial" w:eastAsia="Calibri" w:hAnsi="Arial" w:cs="Arial"/>
          <w:b/>
          <w:kern w:val="0"/>
          <w14:ligatures w14:val="none"/>
        </w:rPr>
        <w:t xml:space="preserve">de </w:t>
      </w:r>
      <w:r w:rsidRPr="00F40D79">
        <w:rPr>
          <w:rFonts w:ascii="Arial" w:eastAsia="Calibri" w:hAnsi="Arial" w:cs="Arial"/>
          <w:b/>
          <w:kern w:val="0"/>
          <w:lang w:val="es-MX"/>
          <w14:ligatures w14:val="none"/>
        </w:rPr>
        <w:t>Jean Carlo Molina Hernández</w:t>
      </w:r>
    </w:p>
    <w:p w14:paraId="0095E275" w14:textId="77777777" w:rsidR="00C51607" w:rsidRPr="00F73CF1" w:rsidRDefault="00C51607" w:rsidP="00C51607">
      <w:pPr>
        <w:spacing w:line="360" w:lineRule="auto"/>
        <w:rPr>
          <w:rFonts w:ascii="Arial" w:eastAsia="Calibri" w:hAnsi="Arial" w:cs="Arial"/>
          <w:kern w:val="0"/>
          <w:lang w:val="es-ES"/>
        </w:rPr>
      </w:pPr>
      <w:r w:rsidRPr="00DD3753">
        <w:rPr>
          <w:rFonts w:ascii="Arial" w:eastAsia="Calibri" w:hAnsi="Arial" w:cs="Arial"/>
          <w:kern w:val="0"/>
          <w:lang w:val="es-ES"/>
        </w:rPr>
        <w:t>Agradezco profundamente a Dios, a mi familia y a quienes me acompañaron durante este proceso, dándome su apoyo y su confianza para alcanzar esta meta</w:t>
      </w:r>
      <w:r>
        <w:rPr>
          <w:rFonts w:ascii="Arial" w:eastAsia="Calibri" w:hAnsi="Arial" w:cs="Arial"/>
          <w:kern w:val="0"/>
          <w:lang w:val="es-ES"/>
        </w:rPr>
        <w:t>.</w:t>
      </w:r>
    </w:p>
    <w:p w14:paraId="111D595B" w14:textId="77777777" w:rsidR="00C51607" w:rsidRPr="00F73CF1" w:rsidRDefault="00C51607" w:rsidP="00C51607">
      <w:pPr>
        <w:spacing w:line="360" w:lineRule="auto"/>
        <w:rPr>
          <w:rFonts w:ascii="Arial" w:eastAsia="Calibri" w:hAnsi="Arial" w:cs="Arial"/>
          <w:kern w:val="0"/>
          <w:lang w:val="es-ES"/>
        </w:rPr>
      </w:pPr>
    </w:p>
    <w:p w14:paraId="2DF9AA0A" w14:textId="77777777" w:rsidR="00C51607" w:rsidRPr="002012E1" w:rsidRDefault="00C51607" w:rsidP="00C51607">
      <w:pPr>
        <w:spacing w:after="0" w:line="360" w:lineRule="auto"/>
        <w:jc w:val="both"/>
        <w:rPr>
          <w:rFonts w:ascii="Arial" w:eastAsia="Calibri" w:hAnsi="Arial" w:cs="Arial"/>
          <w:kern w:val="0"/>
          <w:lang w:val="es-ES"/>
        </w:rPr>
      </w:pPr>
    </w:p>
    <w:p w14:paraId="5DFD0687" w14:textId="77777777" w:rsidR="00C51607" w:rsidRPr="002012E1" w:rsidRDefault="00C51607" w:rsidP="00C51607">
      <w:pPr>
        <w:spacing w:after="0" w:line="360" w:lineRule="auto"/>
        <w:jc w:val="both"/>
        <w:rPr>
          <w:rFonts w:ascii="Arial" w:eastAsia="Calibri" w:hAnsi="Arial" w:cs="Arial"/>
          <w:kern w:val="0"/>
          <w:lang w:val="es-ES"/>
        </w:rPr>
      </w:pPr>
    </w:p>
    <w:p w14:paraId="4EF056C6" w14:textId="77777777" w:rsidR="00C51607" w:rsidRDefault="00C51607" w:rsidP="00C51607">
      <w:pPr>
        <w:spacing w:after="0" w:line="360" w:lineRule="auto"/>
        <w:jc w:val="both"/>
        <w:rPr>
          <w:rFonts w:ascii="Arial" w:eastAsia="Calibri" w:hAnsi="Arial" w:cs="Arial"/>
          <w:kern w:val="0"/>
          <w:lang w:val="es-ES"/>
        </w:rPr>
      </w:pPr>
    </w:p>
    <w:p w14:paraId="753DD779" w14:textId="77777777" w:rsidR="00C51607" w:rsidRDefault="00C51607" w:rsidP="00C51607">
      <w:pPr>
        <w:spacing w:after="0" w:line="360" w:lineRule="auto"/>
        <w:jc w:val="both"/>
        <w:rPr>
          <w:rFonts w:ascii="Arial" w:eastAsia="Calibri" w:hAnsi="Arial" w:cs="Arial"/>
          <w:kern w:val="0"/>
          <w:lang w:val="es-ES"/>
        </w:rPr>
      </w:pPr>
    </w:p>
    <w:p w14:paraId="60802C39" w14:textId="77777777" w:rsidR="00C51607" w:rsidRDefault="00C51607" w:rsidP="00C51607">
      <w:pPr>
        <w:spacing w:after="0" w:line="360" w:lineRule="auto"/>
        <w:jc w:val="both"/>
        <w:rPr>
          <w:rFonts w:ascii="Arial" w:eastAsia="Calibri" w:hAnsi="Arial" w:cs="Arial"/>
          <w:kern w:val="0"/>
          <w:lang w:val="es-ES"/>
        </w:rPr>
      </w:pPr>
    </w:p>
    <w:p w14:paraId="302D7CDF" w14:textId="77777777" w:rsidR="00C51607" w:rsidRDefault="00C51607" w:rsidP="00C51607">
      <w:pPr>
        <w:spacing w:after="0" w:line="360" w:lineRule="auto"/>
        <w:jc w:val="both"/>
        <w:rPr>
          <w:rFonts w:ascii="Arial" w:eastAsia="Calibri" w:hAnsi="Arial" w:cs="Arial"/>
          <w:kern w:val="0"/>
          <w:lang w:val="es-ES"/>
        </w:rPr>
      </w:pPr>
    </w:p>
    <w:p w14:paraId="5C1C3BA5" w14:textId="77777777" w:rsidR="00C51607" w:rsidRDefault="00C51607" w:rsidP="00C51607">
      <w:pPr>
        <w:spacing w:after="0" w:line="360" w:lineRule="auto"/>
        <w:jc w:val="both"/>
        <w:rPr>
          <w:rFonts w:ascii="Arial" w:eastAsia="Calibri" w:hAnsi="Arial" w:cs="Arial"/>
          <w:kern w:val="0"/>
          <w:lang w:val="es-ES"/>
        </w:rPr>
      </w:pPr>
    </w:p>
    <w:p w14:paraId="42291177" w14:textId="77777777" w:rsidR="00C51607" w:rsidRDefault="00C51607" w:rsidP="00C51607">
      <w:pPr>
        <w:spacing w:after="0" w:line="360" w:lineRule="auto"/>
        <w:jc w:val="both"/>
        <w:rPr>
          <w:rFonts w:ascii="Arial" w:eastAsia="Calibri" w:hAnsi="Arial" w:cs="Arial"/>
          <w:kern w:val="0"/>
          <w:lang w:val="es-ES"/>
        </w:rPr>
      </w:pPr>
    </w:p>
    <w:p w14:paraId="3C8FEAFB" w14:textId="77777777" w:rsidR="00C51607" w:rsidRDefault="00C51607" w:rsidP="00C51607">
      <w:pPr>
        <w:spacing w:after="0" w:line="360" w:lineRule="auto"/>
        <w:jc w:val="both"/>
        <w:rPr>
          <w:rFonts w:ascii="Arial" w:eastAsia="Calibri" w:hAnsi="Arial" w:cs="Arial"/>
          <w:kern w:val="0"/>
          <w:lang w:val="es-ES"/>
        </w:rPr>
      </w:pPr>
    </w:p>
    <w:p w14:paraId="78367679" w14:textId="77777777" w:rsidR="00C51607" w:rsidRDefault="00C51607" w:rsidP="00C51607">
      <w:pPr>
        <w:spacing w:after="0" w:line="360" w:lineRule="auto"/>
        <w:jc w:val="both"/>
        <w:rPr>
          <w:rFonts w:ascii="Arial" w:eastAsia="Calibri" w:hAnsi="Arial" w:cs="Arial"/>
          <w:kern w:val="0"/>
          <w:lang w:val="es-ES"/>
        </w:rPr>
      </w:pPr>
    </w:p>
    <w:p w14:paraId="5C6BF13F" w14:textId="77777777" w:rsidR="00C51607" w:rsidRDefault="00C51607" w:rsidP="00C51607">
      <w:pPr>
        <w:spacing w:after="0" w:line="360" w:lineRule="auto"/>
        <w:jc w:val="both"/>
        <w:rPr>
          <w:rFonts w:ascii="Arial" w:eastAsia="Calibri" w:hAnsi="Arial" w:cs="Arial"/>
          <w:kern w:val="0"/>
          <w:lang w:val="es-ES"/>
        </w:rPr>
      </w:pPr>
    </w:p>
    <w:p w14:paraId="3412F04E" w14:textId="77777777" w:rsidR="00C51607" w:rsidRDefault="00C51607" w:rsidP="00C51607">
      <w:pPr>
        <w:spacing w:after="0" w:line="360" w:lineRule="auto"/>
        <w:jc w:val="both"/>
        <w:rPr>
          <w:rFonts w:ascii="Arial" w:eastAsia="Calibri" w:hAnsi="Arial" w:cs="Arial"/>
          <w:kern w:val="0"/>
          <w:lang w:val="es-ES"/>
        </w:rPr>
      </w:pPr>
    </w:p>
    <w:p w14:paraId="5599A1D3" w14:textId="77777777" w:rsidR="00C51607" w:rsidRPr="002012E1" w:rsidRDefault="00C51607" w:rsidP="00C51607">
      <w:pPr>
        <w:spacing w:after="0" w:line="360" w:lineRule="auto"/>
        <w:jc w:val="both"/>
        <w:rPr>
          <w:rFonts w:ascii="Arial" w:eastAsia="Calibri" w:hAnsi="Arial" w:cs="Arial"/>
          <w:kern w:val="0"/>
          <w:lang w:val="es-ES"/>
        </w:rPr>
      </w:pPr>
    </w:p>
    <w:p w14:paraId="01E1EC0E" w14:textId="77777777" w:rsidR="00C51607" w:rsidRDefault="00C51607" w:rsidP="00C51607">
      <w:pPr>
        <w:spacing w:after="0" w:line="360" w:lineRule="auto"/>
        <w:jc w:val="both"/>
        <w:rPr>
          <w:rFonts w:ascii="Arial" w:eastAsia="Calibri" w:hAnsi="Arial" w:cs="Arial"/>
          <w:kern w:val="0"/>
          <w:lang w:val="es-ES"/>
        </w:rPr>
      </w:pPr>
    </w:p>
    <w:p w14:paraId="532984BD" w14:textId="77777777" w:rsidR="00C51607" w:rsidRPr="002012E1" w:rsidRDefault="00C51607" w:rsidP="00C51607">
      <w:pPr>
        <w:spacing w:after="0" w:line="360" w:lineRule="auto"/>
        <w:jc w:val="both"/>
        <w:rPr>
          <w:rFonts w:ascii="Arial" w:eastAsia="Calibri" w:hAnsi="Arial" w:cs="Arial"/>
          <w:kern w:val="0"/>
          <w:lang w:val="es-ES"/>
        </w:rPr>
      </w:pPr>
    </w:p>
    <w:p w14:paraId="7AD63494" w14:textId="77777777" w:rsidR="00C51607" w:rsidRPr="002012E1" w:rsidRDefault="00C51607" w:rsidP="00C51607">
      <w:pPr>
        <w:spacing w:after="0" w:line="360" w:lineRule="auto"/>
        <w:jc w:val="both"/>
        <w:rPr>
          <w:rFonts w:ascii="Arial" w:eastAsia="Calibri" w:hAnsi="Arial" w:cs="Arial"/>
          <w:kern w:val="0"/>
          <w:lang w:val="es-ES"/>
        </w:rPr>
      </w:pPr>
    </w:p>
    <w:sdt>
      <w:sdtPr>
        <w:rPr>
          <w:rFonts w:ascii="Arial" w:eastAsia="Calibri" w:hAnsi="Arial" w:cs="Arial"/>
          <w:noProof/>
          <w:color w:val="000000" w:themeColor="text1"/>
          <w:kern w:val="0"/>
          <w:lang w:val="es-ES"/>
          <w14:ligatures w14:val="none"/>
        </w:rPr>
        <w:id w:val="-108505420"/>
        <w:docPartObj>
          <w:docPartGallery w:val="Table of Contents"/>
          <w:docPartUnique/>
        </w:docPartObj>
      </w:sdtPr>
      <w:sdtEndPr>
        <w:rPr>
          <w:noProof w:val="0"/>
        </w:rPr>
      </w:sdtEndPr>
      <w:sdtContent>
        <w:p w14:paraId="06AC1485" w14:textId="77777777" w:rsidR="00C51607" w:rsidRPr="00A768F0" w:rsidRDefault="00C51607" w:rsidP="00C51607">
          <w:pPr>
            <w:keepNext/>
            <w:keepLines/>
            <w:spacing w:before="240" w:after="0" w:line="360" w:lineRule="auto"/>
            <w:jc w:val="both"/>
            <w:rPr>
              <w:rStyle w:val="apanivel1Car"/>
            </w:rPr>
          </w:pPr>
          <w:r w:rsidRPr="00A768F0">
            <w:rPr>
              <w:rStyle w:val="apanivel1Car"/>
            </w:rPr>
            <w:t>Tabla de Contenido</w:t>
          </w:r>
        </w:p>
        <w:p w14:paraId="129BE472" w14:textId="77777777" w:rsidR="00C51607" w:rsidRPr="00A768F0" w:rsidRDefault="00C51607" w:rsidP="00C51607">
          <w:pPr>
            <w:spacing w:line="360" w:lineRule="auto"/>
            <w:rPr>
              <w:rFonts w:ascii="Arial" w:eastAsia="Calibri" w:hAnsi="Arial" w:cs="Arial"/>
              <w:color w:val="000000" w:themeColor="text1"/>
              <w:kern w:val="0"/>
              <w:lang w:eastAsia="es-CR"/>
              <w14:ligatures w14:val="none"/>
            </w:rPr>
          </w:pPr>
        </w:p>
        <w:p w14:paraId="0197B0C0" w14:textId="429D25F9"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r w:rsidRPr="00A768F0">
            <w:rPr>
              <w:rFonts w:ascii="Arial" w:eastAsia="Calibri" w:hAnsi="Arial" w:cs="Arial"/>
              <w:color w:val="000000" w:themeColor="text1"/>
              <w:kern w:val="0"/>
              <w:lang w:val="es-MX"/>
              <w14:ligatures w14:val="none"/>
            </w:rPr>
            <w:fldChar w:fldCharType="begin"/>
          </w:r>
          <w:r w:rsidRPr="00A768F0">
            <w:rPr>
              <w:rFonts w:ascii="Arial" w:eastAsia="Calibri" w:hAnsi="Arial" w:cs="Arial"/>
              <w:color w:val="000000" w:themeColor="text1"/>
              <w:kern w:val="0"/>
              <w:lang w:val="es-MX"/>
              <w14:ligatures w14:val="none"/>
            </w:rPr>
            <w:instrText xml:space="preserve"> TOC \o "1-3" \h \z \u </w:instrText>
          </w:r>
          <w:r w:rsidRPr="00A768F0">
            <w:rPr>
              <w:rFonts w:ascii="Arial" w:eastAsia="Calibri" w:hAnsi="Arial" w:cs="Arial"/>
              <w:color w:val="000000" w:themeColor="text1"/>
              <w:kern w:val="0"/>
              <w:lang w:val="es-MX"/>
              <w14:ligatures w14:val="none"/>
            </w:rPr>
            <w:fldChar w:fldCharType="separate"/>
          </w:r>
          <w:hyperlink w:anchor="_Toc201832388" w:history="1">
            <w:r w:rsidRPr="00A768F0">
              <w:rPr>
                <w:rStyle w:val="Hipervnculo"/>
                <w:rFonts w:ascii="Arial" w:eastAsia="Calibri" w:hAnsi="Arial" w:cs="Arial"/>
                <w:noProof/>
                <w:kern w:val="0"/>
                <w14:ligatures w14:val="none"/>
              </w:rPr>
              <w:t>Declaración Jurada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_Toc201832388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II</w:t>
            </w:r>
            <w:r w:rsidRPr="00A768F0">
              <w:rPr>
                <w:rFonts w:ascii="Arial" w:hAnsi="Arial" w:cs="Arial"/>
                <w:noProof/>
                <w:webHidden/>
              </w:rPr>
              <w:fldChar w:fldCharType="end"/>
            </w:r>
          </w:hyperlink>
        </w:p>
        <w:p w14:paraId="3364663B" w14:textId="1C512688"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89" w:history="1">
            <w:r w:rsidRPr="00A768F0">
              <w:rPr>
                <w:rStyle w:val="Hipervnculo"/>
                <w:rFonts w:ascii="Arial" w:eastAsia="Calibri" w:hAnsi="Arial" w:cs="Arial"/>
                <w:noProof/>
                <w:kern w:val="0"/>
                <w14:ligatures w14:val="none"/>
              </w:rPr>
              <w:t>Tribunal Examinador</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_Toc201832389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III</w:t>
            </w:r>
            <w:r w:rsidRPr="00A768F0">
              <w:rPr>
                <w:rFonts w:ascii="Arial" w:hAnsi="Arial" w:cs="Arial"/>
                <w:noProof/>
                <w:webHidden/>
              </w:rPr>
              <w:fldChar w:fldCharType="end"/>
            </w:r>
          </w:hyperlink>
        </w:p>
        <w:p w14:paraId="2DB2ACEB" w14:textId="5E82632D"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0" w:history="1">
            <w:r w:rsidRPr="00A768F0">
              <w:rPr>
                <w:rStyle w:val="Hipervnculo"/>
                <w:rFonts w:ascii="Arial" w:eastAsia="Calibri" w:hAnsi="Arial" w:cs="Arial"/>
                <w:noProof/>
                <w:kern w:val="0"/>
                <w14:ligatures w14:val="none"/>
              </w:rPr>
              <w:t>Dedicatoria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IV</w:t>
            </w:r>
            <w:r w:rsidRPr="00A768F0">
              <w:rPr>
                <w:rFonts w:ascii="Arial" w:hAnsi="Arial" w:cs="Arial"/>
                <w:noProof/>
                <w:webHidden/>
              </w:rPr>
              <w:fldChar w:fldCharType="end"/>
            </w:r>
          </w:hyperlink>
        </w:p>
        <w:p w14:paraId="3AA07D4A" w14:textId="312A143A"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1" w:history="1">
            <w:r w:rsidRPr="00A768F0">
              <w:rPr>
                <w:rStyle w:val="Hipervnculo"/>
                <w:rFonts w:ascii="Arial" w:eastAsia="Calibri" w:hAnsi="Arial" w:cs="Arial"/>
                <w:noProof/>
                <w:kern w:val="0"/>
                <w14:ligatures w14:val="none"/>
              </w:rPr>
              <w:t>Agradecimientos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V</w:t>
            </w:r>
            <w:r w:rsidRPr="00A768F0">
              <w:rPr>
                <w:rFonts w:ascii="Arial" w:hAnsi="Arial" w:cs="Arial"/>
                <w:noProof/>
                <w:webHidden/>
              </w:rPr>
              <w:fldChar w:fldCharType="end"/>
            </w:r>
          </w:hyperlink>
        </w:p>
        <w:p w14:paraId="39F34DC5" w14:textId="3A669CAA"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2" w:history="1">
            <w:r w:rsidRPr="00A768F0">
              <w:rPr>
                <w:rStyle w:val="Hipervnculo"/>
                <w:rFonts w:ascii="Arial" w:eastAsia="Calibri" w:hAnsi="Arial" w:cs="Arial"/>
                <w:noProof/>
                <w:kern w:val="0"/>
                <w:lang w:val="es-ES"/>
                <w14:ligatures w14:val="none"/>
              </w:rPr>
              <w:t>Lista de Tablas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XIII</w:t>
            </w:r>
            <w:r w:rsidRPr="00A768F0">
              <w:rPr>
                <w:rFonts w:ascii="Arial" w:hAnsi="Arial" w:cs="Arial"/>
                <w:noProof/>
                <w:webHidden/>
              </w:rPr>
              <w:fldChar w:fldCharType="end"/>
            </w:r>
          </w:hyperlink>
        </w:p>
        <w:p w14:paraId="45FB6478" w14:textId="25B73DEE"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3" w:history="1">
            <w:r w:rsidRPr="00A768F0">
              <w:rPr>
                <w:rStyle w:val="Hipervnculo"/>
                <w:rFonts w:ascii="Arial" w:eastAsia="Calibri" w:hAnsi="Arial" w:cs="Arial"/>
                <w:noProof/>
                <w:kern w:val="0"/>
                <w:lang w:val="es-ES"/>
                <w14:ligatures w14:val="none"/>
              </w:rPr>
              <w:t>Lista de Gráficos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XV</w:t>
            </w:r>
            <w:r w:rsidRPr="00A768F0">
              <w:rPr>
                <w:rFonts w:ascii="Arial" w:hAnsi="Arial" w:cs="Arial"/>
                <w:noProof/>
                <w:webHidden/>
              </w:rPr>
              <w:fldChar w:fldCharType="end"/>
            </w:r>
          </w:hyperlink>
        </w:p>
        <w:p w14:paraId="584A2AA1" w14:textId="1715B633"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4" w:history="1">
            <w:r w:rsidRPr="00A768F0">
              <w:rPr>
                <w:rStyle w:val="Hipervnculo"/>
                <w:rFonts w:ascii="Arial" w:eastAsia="Calibri" w:hAnsi="Arial" w:cs="Arial"/>
                <w:noProof/>
                <w:kern w:val="0"/>
                <w:lang w:val="es-ES"/>
                <w14:ligatures w14:val="none"/>
              </w:rPr>
              <w:t>Lista de Figuras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XVI</w:t>
            </w:r>
            <w:r w:rsidRPr="00A768F0">
              <w:rPr>
                <w:rFonts w:ascii="Arial" w:hAnsi="Arial" w:cs="Arial"/>
                <w:noProof/>
                <w:webHidden/>
              </w:rPr>
              <w:fldChar w:fldCharType="end"/>
            </w:r>
          </w:hyperlink>
        </w:p>
        <w:p w14:paraId="305256EE" w14:textId="69831AAC"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5" w:history="1">
            <w:r w:rsidRPr="00A768F0">
              <w:rPr>
                <w:rStyle w:val="Hipervnculo"/>
                <w:rFonts w:ascii="Arial" w:eastAsia="Calibri" w:hAnsi="Arial" w:cs="Arial"/>
                <w:noProof/>
                <w:kern w:val="0"/>
                <w14:ligatures w14:val="none"/>
              </w:rPr>
              <w:t>Lista de Abreviaturas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XVII</w:t>
            </w:r>
            <w:r w:rsidRPr="00A768F0">
              <w:rPr>
                <w:rFonts w:ascii="Arial" w:hAnsi="Arial" w:cs="Arial"/>
                <w:noProof/>
                <w:webHidden/>
              </w:rPr>
              <w:fldChar w:fldCharType="end"/>
            </w:r>
          </w:hyperlink>
        </w:p>
        <w:p w14:paraId="61DDA646" w14:textId="3EDFCAD9"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6" w:history="1">
            <w:r w:rsidRPr="00A768F0">
              <w:rPr>
                <w:rStyle w:val="Hipervnculo"/>
                <w:rFonts w:ascii="Arial" w:hAnsi="Arial" w:cs="Arial"/>
                <w:noProof/>
                <w:lang w:val="es-MX"/>
              </w:rPr>
              <w:t>Resumen Ejecutivo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XVIII</w:t>
            </w:r>
            <w:r w:rsidRPr="00A768F0">
              <w:rPr>
                <w:rFonts w:ascii="Arial" w:hAnsi="Arial" w:cs="Arial"/>
                <w:noProof/>
                <w:webHidden/>
              </w:rPr>
              <w:fldChar w:fldCharType="end"/>
            </w:r>
          </w:hyperlink>
        </w:p>
        <w:p w14:paraId="0F40C604" w14:textId="001A52EE"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7" w:history="1">
            <w:r w:rsidRPr="00A768F0">
              <w:rPr>
                <w:rStyle w:val="Hipervnculo"/>
                <w:rFonts w:ascii="Arial" w:hAnsi="Arial" w:cs="Arial"/>
                <w:noProof/>
              </w:rPr>
              <w:t>Póster o Infografía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XXIII</w:t>
            </w:r>
            <w:r w:rsidRPr="00A768F0">
              <w:rPr>
                <w:rFonts w:ascii="Arial" w:hAnsi="Arial" w:cs="Arial"/>
                <w:noProof/>
                <w:webHidden/>
              </w:rPr>
              <w:fldChar w:fldCharType="end"/>
            </w:r>
          </w:hyperlink>
        </w:p>
        <w:p w14:paraId="42F94139" w14:textId="5C0F84FD"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8" w:history="1">
            <w:r w:rsidRPr="00A768F0">
              <w:rPr>
                <w:rStyle w:val="Hipervnculo"/>
                <w:rFonts w:ascii="Arial" w:hAnsi="Arial" w:cs="Arial"/>
                <w:noProof/>
                <w:lang w:val="es-MX"/>
              </w:rPr>
              <w:t>Introducción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XXIV</w:t>
            </w:r>
            <w:r w:rsidRPr="00A768F0">
              <w:rPr>
                <w:rFonts w:ascii="Arial" w:hAnsi="Arial" w:cs="Arial"/>
                <w:noProof/>
                <w:webHidden/>
              </w:rPr>
              <w:fldChar w:fldCharType="end"/>
            </w:r>
          </w:hyperlink>
        </w:p>
        <w:p w14:paraId="6F480344" w14:textId="3E3D15C4"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399" w:history="1">
            <w:r w:rsidRPr="00A768F0">
              <w:rPr>
                <w:rStyle w:val="Hipervnculo"/>
                <w:rFonts w:ascii="Arial" w:eastAsia="Times New Roman" w:hAnsi="Arial" w:cs="Arial"/>
                <w:noProof/>
                <w:kern w:val="36"/>
                <w:lang w:eastAsia="es-CR"/>
                <w14:ligatures w14:val="none"/>
              </w:rPr>
              <w:t>CAPÍTULO I. ASPECTOS METODOLOGICOS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_Toc201832399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w:t>
            </w:r>
            <w:r w:rsidRPr="00A768F0">
              <w:rPr>
                <w:rFonts w:ascii="Arial" w:hAnsi="Arial" w:cs="Arial"/>
                <w:noProof/>
                <w:webHidden/>
              </w:rPr>
              <w:fldChar w:fldCharType="end"/>
            </w:r>
          </w:hyperlink>
        </w:p>
        <w:p w14:paraId="38B2468F" w14:textId="5BD971A1"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00" w:history="1">
            <w:r w:rsidRPr="00A768F0">
              <w:rPr>
                <w:rStyle w:val="Hipervnculo"/>
                <w:rFonts w:ascii="Arial" w:hAnsi="Arial" w:cs="Arial"/>
                <w:noProof/>
              </w:rPr>
              <w:t>1.</w:t>
            </w:r>
            <w:r w:rsidRPr="00A768F0">
              <w:rPr>
                <w:rFonts w:ascii="Arial" w:eastAsiaTheme="minorEastAsia" w:hAnsi="Arial" w:cs="Arial"/>
                <w:noProof/>
                <w:lang w:val="es-419" w:eastAsia="es-419"/>
              </w:rPr>
              <w:tab/>
            </w:r>
            <w:r w:rsidRPr="00A768F0">
              <w:rPr>
                <w:rStyle w:val="Hipervnculo"/>
                <w:rFonts w:ascii="Arial" w:hAnsi="Arial" w:cs="Arial"/>
                <w:noProof/>
              </w:rPr>
              <w:t>Capítulo I: Aspectos Metodológicos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w:t>
            </w:r>
            <w:r w:rsidRPr="00A768F0">
              <w:rPr>
                <w:rFonts w:ascii="Arial" w:hAnsi="Arial" w:cs="Arial"/>
                <w:noProof/>
                <w:webHidden/>
              </w:rPr>
              <w:fldChar w:fldCharType="end"/>
            </w:r>
          </w:hyperlink>
        </w:p>
        <w:p w14:paraId="2A49A35C" w14:textId="6AD64728"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01" w:history="1">
            <w:r w:rsidRPr="00A768F0">
              <w:rPr>
                <w:rStyle w:val="Hipervnculo"/>
                <w:rFonts w:ascii="Arial" w:hAnsi="Arial" w:cs="Arial"/>
                <w:noProof/>
                <w:lang w:val="es-MX"/>
              </w:rPr>
              <w:t>1.1.</w:t>
            </w:r>
            <w:r w:rsidRPr="00A768F0">
              <w:rPr>
                <w:rFonts w:ascii="Arial" w:eastAsiaTheme="minorEastAsia" w:hAnsi="Arial" w:cs="Arial"/>
                <w:noProof/>
                <w:lang w:val="es-419" w:eastAsia="es-419"/>
              </w:rPr>
              <w:tab/>
            </w:r>
            <w:r w:rsidRPr="00A768F0">
              <w:rPr>
                <w:rStyle w:val="Hipervnculo"/>
                <w:rFonts w:ascii="Arial" w:hAnsi="Arial" w:cs="Arial"/>
                <w:noProof/>
                <w:lang w:val="es-MX"/>
              </w:rPr>
              <w:t>Planteamiento del Problema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w:t>
            </w:r>
            <w:r w:rsidRPr="00A768F0">
              <w:rPr>
                <w:rFonts w:ascii="Arial" w:hAnsi="Arial" w:cs="Arial"/>
                <w:noProof/>
                <w:webHidden/>
              </w:rPr>
              <w:fldChar w:fldCharType="end"/>
            </w:r>
          </w:hyperlink>
        </w:p>
        <w:p w14:paraId="660CB7DE" w14:textId="5069233F"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2" w:history="1">
            <w:r w:rsidRPr="00A768F0">
              <w:rPr>
                <w:rStyle w:val="Hipervnculo"/>
                <w:rFonts w:ascii="Arial" w:hAnsi="Arial" w:cs="Arial"/>
                <w:noProof/>
                <w:lang w:val="es-MX"/>
              </w:rPr>
              <w:t>1.1.1.</w:t>
            </w:r>
            <w:r w:rsidRPr="00A768F0">
              <w:rPr>
                <w:rFonts w:ascii="Arial" w:eastAsiaTheme="minorEastAsia" w:hAnsi="Arial" w:cs="Arial"/>
                <w:noProof/>
                <w:lang w:val="es-419" w:eastAsia="es-419"/>
              </w:rPr>
              <w:tab/>
            </w:r>
            <w:r w:rsidRPr="00A768F0">
              <w:rPr>
                <w:rStyle w:val="Hipervnculo"/>
                <w:rFonts w:ascii="Arial" w:hAnsi="Arial" w:cs="Arial"/>
                <w:noProof/>
                <w:lang w:val="es-MX"/>
              </w:rPr>
              <w:t>Descripción del problema.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w:t>
            </w:r>
            <w:r w:rsidRPr="00A768F0">
              <w:rPr>
                <w:rFonts w:ascii="Arial" w:hAnsi="Arial" w:cs="Arial"/>
                <w:noProof/>
                <w:webHidden/>
              </w:rPr>
              <w:fldChar w:fldCharType="end"/>
            </w:r>
          </w:hyperlink>
        </w:p>
        <w:p w14:paraId="10F6A960" w14:textId="22448FDA"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3" w:history="1">
            <w:r w:rsidRPr="00A768F0">
              <w:rPr>
                <w:rStyle w:val="Hipervnculo"/>
                <w:rFonts w:ascii="Arial" w:hAnsi="Arial" w:cs="Arial"/>
                <w:noProof/>
              </w:rPr>
              <w:t>1.1.2.</w:t>
            </w:r>
            <w:r w:rsidRPr="00A768F0">
              <w:rPr>
                <w:rFonts w:ascii="Arial" w:eastAsiaTheme="minorEastAsia" w:hAnsi="Arial" w:cs="Arial"/>
                <w:noProof/>
                <w:lang w:val="es-419" w:eastAsia="es-419"/>
              </w:rPr>
              <w:tab/>
            </w:r>
            <w:r w:rsidRPr="00A768F0">
              <w:rPr>
                <w:rStyle w:val="Hipervnculo"/>
                <w:rFonts w:ascii="Arial" w:hAnsi="Arial" w:cs="Arial"/>
                <w:noProof/>
              </w:rPr>
              <w:t>Interrogante de la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9</w:t>
            </w:r>
            <w:r w:rsidRPr="00A768F0">
              <w:rPr>
                <w:rFonts w:ascii="Arial" w:hAnsi="Arial" w:cs="Arial"/>
                <w:noProof/>
                <w:webHidden/>
              </w:rPr>
              <w:fldChar w:fldCharType="end"/>
            </w:r>
          </w:hyperlink>
        </w:p>
        <w:p w14:paraId="61CC86AA" w14:textId="714713C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4" w:history="1">
            <w:r w:rsidRPr="00A768F0">
              <w:rPr>
                <w:rStyle w:val="Hipervnculo"/>
                <w:rFonts w:ascii="Arial" w:hAnsi="Arial" w:cs="Arial"/>
                <w:noProof/>
              </w:rPr>
              <w:t>1.1.3.</w:t>
            </w:r>
            <w:r w:rsidRPr="00A768F0">
              <w:rPr>
                <w:rFonts w:ascii="Arial" w:eastAsiaTheme="minorEastAsia" w:hAnsi="Arial" w:cs="Arial"/>
                <w:noProof/>
                <w:lang w:val="es-419" w:eastAsia="es-419"/>
              </w:rPr>
              <w:tab/>
            </w:r>
            <w:r w:rsidRPr="00A768F0">
              <w:rPr>
                <w:rStyle w:val="Hipervnculo"/>
                <w:rFonts w:ascii="Arial" w:hAnsi="Arial" w:cs="Arial"/>
                <w:noProof/>
              </w:rPr>
              <w:t>Justificación de la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9</w:t>
            </w:r>
            <w:r w:rsidRPr="00A768F0">
              <w:rPr>
                <w:rFonts w:ascii="Arial" w:hAnsi="Arial" w:cs="Arial"/>
                <w:noProof/>
                <w:webHidden/>
              </w:rPr>
              <w:fldChar w:fldCharType="end"/>
            </w:r>
          </w:hyperlink>
        </w:p>
        <w:p w14:paraId="7E5709D6" w14:textId="432BE17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5" w:history="1">
            <w:r w:rsidRPr="00A768F0">
              <w:rPr>
                <w:rStyle w:val="Hipervnculo"/>
                <w:rFonts w:ascii="Arial" w:hAnsi="Arial" w:cs="Arial"/>
                <w:noProof/>
              </w:rPr>
              <w:t>1.1.4.</w:t>
            </w:r>
            <w:r w:rsidRPr="00A768F0">
              <w:rPr>
                <w:rFonts w:ascii="Arial" w:eastAsiaTheme="minorEastAsia" w:hAnsi="Arial" w:cs="Arial"/>
                <w:noProof/>
                <w:lang w:val="es-419" w:eastAsia="es-419"/>
              </w:rPr>
              <w:tab/>
            </w:r>
            <w:r w:rsidRPr="00A768F0">
              <w:rPr>
                <w:rStyle w:val="Hipervnculo"/>
                <w:rFonts w:ascii="Arial" w:hAnsi="Arial" w:cs="Arial"/>
                <w:noProof/>
              </w:rPr>
              <w:t>Delimitaciones y Enfoque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10</w:t>
            </w:r>
            <w:r w:rsidRPr="00A768F0">
              <w:rPr>
                <w:rFonts w:ascii="Arial" w:hAnsi="Arial" w:cs="Arial"/>
                <w:noProof/>
                <w:webHidden/>
              </w:rPr>
              <w:fldChar w:fldCharType="end"/>
            </w:r>
          </w:hyperlink>
        </w:p>
        <w:p w14:paraId="6C214E07" w14:textId="2B8B2164"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06" w:history="1">
            <w:r w:rsidRPr="00A768F0">
              <w:rPr>
                <w:rStyle w:val="Hipervnculo"/>
                <w:rFonts w:ascii="Arial" w:hAnsi="Arial" w:cs="Arial"/>
                <w:noProof/>
                <w:lang w:val="es-MX"/>
              </w:rPr>
              <w:t>1.2.</w:t>
            </w:r>
            <w:r w:rsidRPr="00A768F0">
              <w:rPr>
                <w:rFonts w:ascii="Arial" w:eastAsiaTheme="minorEastAsia" w:hAnsi="Arial" w:cs="Arial"/>
                <w:noProof/>
                <w:lang w:val="es-419" w:eastAsia="es-419"/>
              </w:rPr>
              <w:tab/>
            </w:r>
            <w:r w:rsidRPr="00A768F0">
              <w:rPr>
                <w:rStyle w:val="Hipervnculo"/>
                <w:rFonts w:ascii="Arial" w:hAnsi="Arial" w:cs="Arial"/>
                <w:noProof/>
                <w:lang w:val="es-MX"/>
              </w:rPr>
              <w:t>Objetivos de la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11</w:t>
            </w:r>
            <w:r w:rsidRPr="00A768F0">
              <w:rPr>
                <w:rFonts w:ascii="Arial" w:hAnsi="Arial" w:cs="Arial"/>
                <w:noProof/>
                <w:webHidden/>
              </w:rPr>
              <w:fldChar w:fldCharType="end"/>
            </w:r>
          </w:hyperlink>
        </w:p>
        <w:p w14:paraId="54BB42FA" w14:textId="1BAAD483"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7" w:history="1">
            <w:r w:rsidRPr="00A768F0">
              <w:rPr>
                <w:rStyle w:val="Hipervnculo"/>
                <w:rFonts w:ascii="Arial" w:hAnsi="Arial" w:cs="Arial"/>
                <w:noProof/>
                <w:lang w:val="es-MX"/>
              </w:rPr>
              <w:t>1.2.1.</w:t>
            </w:r>
            <w:r w:rsidRPr="00A768F0">
              <w:rPr>
                <w:rFonts w:ascii="Arial" w:eastAsiaTheme="minorEastAsia" w:hAnsi="Arial" w:cs="Arial"/>
                <w:noProof/>
                <w:lang w:val="es-419" w:eastAsia="es-419"/>
              </w:rPr>
              <w:tab/>
            </w:r>
            <w:r w:rsidRPr="00A768F0">
              <w:rPr>
                <w:rStyle w:val="Hipervnculo"/>
                <w:rFonts w:ascii="Arial" w:hAnsi="Arial" w:cs="Arial"/>
                <w:noProof/>
                <w:lang w:val="es-MX"/>
              </w:rPr>
              <w:t>Objetivo general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11</w:t>
            </w:r>
            <w:r w:rsidRPr="00A768F0">
              <w:rPr>
                <w:rFonts w:ascii="Arial" w:hAnsi="Arial" w:cs="Arial"/>
                <w:noProof/>
                <w:webHidden/>
              </w:rPr>
              <w:fldChar w:fldCharType="end"/>
            </w:r>
          </w:hyperlink>
        </w:p>
        <w:p w14:paraId="2F0541F8" w14:textId="48CB336C"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08" w:history="1">
            <w:r w:rsidRPr="00A768F0">
              <w:rPr>
                <w:rStyle w:val="Hipervnculo"/>
                <w:rFonts w:ascii="Arial" w:hAnsi="Arial" w:cs="Arial"/>
                <w:noProof/>
                <w:lang w:val="es-MX"/>
              </w:rPr>
              <w:t>1.2.2.</w:t>
            </w:r>
            <w:r w:rsidRPr="00A768F0">
              <w:rPr>
                <w:rFonts w:ascii="Arial" w:eastAsiaTheme="minorEastAsia" w:hAnsi="Arial" w:cs="Arial"/>
                <w:noProof/>
                <w:lang w:val="es-419" w:eastAsia="es-419"/>
              </w:rPr>
              <w:tab/>
            </w:r>
            <w:r w:rsidRPr="00A768F0">
              <w:rPr>
                <w:rStyle w:val="Hipervnculo"/>
                <w:rFonts w:ascii="Arial" w:hAnsi="Arial" w:cs="Arial"/>
                <w:noProof/>
                <w:lang w:val="es-MX"/>
              </w:rPr>
              <w:t>Objetivos específicos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12</w:t>
            </w:r>
            <w:r w:rsidRPr="00A768F0">
              <w:rPr>
                <w:rFonts w:ascii="Arial" w:hAnsi="Arial" w:cs="Arial"/>
                <w:noProof/>
                <w:webHidden/>
              </w:rPr>
              <w:fldChar w:fldCharType="end"/>
            </w:r>
          </w:hyperlink>
        </w:p>
        <w:p w14:paraId="77C09611" w14:textId="7C7A6233"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09" w:history="1">
            <w:r w:rsidRPr="00A768F0">
              <w:rPr>
                <w:rStyle w:val="Hipervnculo"/>
                <w:rFonts w:ascii="Arial" w:hAnsi="Arial" w:cs="Arial"/>
                <w:noProof/>
              </w:rPr>
              <w:t>1.3.</w:t>
            </w:r>
            <w:r w:rsidRPr="00A768F0">
              <w:rPr>
                <w:rFonts w:ascii="Arial" w:eastAsiaTheme="minorEastAsia" w:hAnsi="Arial" w:cs="Arial"/>
                <w:noProof/>
                <w:lang w:val="es-419" w:eastAsia="es-419"/>
              </w:rPr>
              <w:tab/>
            </w:r>
            <w:r w:rsidRPr="00A768F0">
              <w:rPr>
                <w:rStyle w:val="Hipervnculo"/>
                <w:rFonts w:ascii="Arial" w:hAnsi="Arial" w:cs="Arial"/>
                <w:noProof/>
              </w:rPr>
              <w:t>Modelo de Análisis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_Toc201832409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12</w:t>
            </w:r>
            <w:r w:rsidRPr="00A768F0">
              <w:rPr>
                <w:rFonts w:ascii="Arial" w:hAnsi="Arial" w:cs="Arial"/>
                <w:noProof/>
                <w:webHidden/>
              </w:rPr>
              <w:fldChar w:fldCharType="end"/>
            </w:r>
          </w:hyperlink>
        </w:p>
        <w:p w14:paraId="3249F540" w14:textId="38516829"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0" w:history="1">
            <w:r w:rsidRPr="00A768F0">
              <w:rPr>
                <w:rStyle w:val="Hipervnculo"/>
                <w:rFonts w:ascii="Arial" w:hAnsi="Arial" w:cs="Arial"/>
                <w:noProof/>
              </w:rPr>
              <w:t>1.3.1.</w:t>
            </w:r>
            <w:r w:rsidRPr="00A768F0">
              <w:rPr>
                <w:rFonts w:ascii="Arial" w:eastAsiaTheme="minorEastAsia" w:hAnsi="Arial" w:cs="Arial"/>
                <w:noProof/>
                <w:lang w:val="es-419" w:eastAsia="es-419"/>
              </w:rPr>
              <w:tab/>
            </w:r>
            <w:r w:rsidRPr="00A768F0">
              <w:rPr>
                <w:rStyle w:val="Hipervnculo"/>
                <w:rFonts w:ascii="Arial" w:hAnsi="Arial" w:cs="Arial"/>
                <w:noProof/>
              </w:rPr>
              <w:t>Conceptualización, operacionalización e instrumentalización de las variables.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12</w:t>
            </w:r>
            <w:r w:rsidRPr="00A768F0">
              <w:rPr>
                <w:rFonts w:ascii="Arial" w:hAnsi="Arial" w:cs="Arial"/>
                <w:noProof/>
                <w:webHidden/>
              </w:rPr>
              <w:fldChar w:fldCharType="end"/>
            </w:r>
          </w:hyperlink>
        </w:p>
        <w:p w14:paraId="5A526174" w14:textId="291792C5"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1" w:history="1">
            <w:r w:rsidRPr="00A768F0">
              <w:rPr>
                <w:rStyle w:val="Hipervnculo"/>
                <w:rFonts w:ascii="Arial" w:hAnsi="Arial" w:cs="Arial"/>
                <w:noProof/>
              </w:rPr>
              <w:t>1.3.2.</w:t>
            </w:r>
            <w:r w:rsidRPr="00A768F0">
              <w:rPr>
                <w:rFonts w:ascii="Arial" w:eastAsiaTheme="minorEastAsia" w:hAnsi="Arial" w:cs="Arial"/>
                <w:noProof/>
                <w:lang w:val="es-419" w:eastAsia="es-419"/>
              </w:rPr>
              <w:tab/>
            </w:r>
            <w:r w:rsidRPr="00A768F0">
              <w:rPr>
                <w:rStyle w:val="Hipervnculo"/>
                <w:rFonts w:ascii="Arial" w:hAnsi="Arial" w:cs="Arial"/>
                <w:noProof/>
              </w:rPr>
              <w:t>Relaciones e Interrelaciones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15</w:t>
            </w:r>
            <w:r w:rsidRPr="00A768F0">
              <w:rPr>
                <w:rFonts w:ascii="Arial" w:hAnsi="Arial" w:cs="Arial"/>
                <w:noProof/>
                <w:webHidden/>
              </w:rPr>
              <w:fldChar w:fldCharType="end"/>
            </w:r>
          </w:hyperlink>
        </w:p>
        <w:p w14:paraId="25718ABD" w14:textId="5763007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2" w:history="1">
            <w:r w:rsidRPr="00A768F0">
              <w:rPr>
                <w:rStyle w:val="Hipervnculo"/>
                <w:rFonts w:ascii="Arial" w:hAnsi="Arial" w:cs="Arial"/>
                <w:noProof/>
              </w:rPr>
              <w:t>1.3.3.</w:t>
            </w:r>
            <w:r w:rsidRPr="00A768F0">
              <w:rPr>
                <w:rFonts w:ascii="Arial" w:eastAsiaTheme="minorEastAsia" w:hAnsi="Arial" w:cs="Arial"/>
                <w:noProof/>
                <w:lang w:val="es-419" w:eastAsia="es-419"/>
              </w:rPr>
              <w:tab/>
            </w:r>
            <w:r w:rsidRPr="00A768F0">
              <w:rPr>
                <w:rStyle w:val="Hipervnculo"/>
                <w:rFonts w:ascii="Arial" w:hAnsi="Arial" w:cs="Arial"/>
                <w:noProof/>
              </w:rPr>
              <w:t>Estrategia de investigación aplicada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16</w:t>
            </w:r>
            <w:r w:rsidRPr="00A768F0">
              <w:rPr>
                <w:rFonts w:ascii="Arial" w:hAnsi="Arial" w:cs="Arial"/>
                <w:noProof/>
                <w:webHidden/>
              </w:rPr>
              <w:fldChar w:fldCharType="end"/>
            </w:r>
          </w:hyperlink>
        </w:p>
        <w:p w14:paraId="0FE44835" w14:textId="1568991F"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3" w:history="1">
            <w:r w:rsidRPr="00A768F0">
              <w:rPr>
                <w:rStyle w:val="Hipervnculo"/>
                <w:rFonts w:ascii="Arial" w:hAnsi="Arial" w:cs="Arial"/>
                <w:noProof/>
              </w:rPr>
              <w:t>1.3.4.</w:t>
            </w:r>
            <w:r w:rsidRPr="00A768F0">
              <w:rPr>
                <w:rFonts w:ascii="Arial" w:eastAsiaTheme="minorEastAsia" w:hAnsi="Arial" w:cs="Arial"/>
                <w:noProof/>
                <w:lang w:val="es-419" w:eastAsia="es-419"/>
              </w:rPr>
              <w:tab/>
            </w:r>
            <w:r w:rsidRPr="00A768F0">
              <w:rPr>
                <w:rStyle w:val="Hipervnculo"/>
                <w:rFonts w:ascii="Arial" w:hAnsi="Arial" w:cs="Arial"/>
                <w:noProof/>
              </w:rPr>
              <w:t>Tipo de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16</w:t>
            </w:r>
            <w:r w:rsidRPr="00A768F0">
              <w:rPr>
                <w:rFonts w:ascii="Arial" w:hAnsi="Arial" w:cs="Arial"/>
                <w:noProof/>
                <w:webHidden/>
              </w:rPr>
              <w:fldChar w:fldCharType="end"/>
            </w:r>
          </w:hyperlink>
        </w:p>
        <w:p w14:paraId="43B2E109" w14:textId="35AED9E6"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4" w:history="1">
            <w:r w:rsidRPr="00A768F0">
              <w:rPr>
                <w:rStyle w:val="Hipervnculo"/>
                <w:rFonts w:ascii="Arial" w:hAnsi="Arial" w:cs="Arial"/>
                <w:noProof/>
              </w:rPr>
              <w:t>1.3.5.</w:t>
            </w:r>
            <w:r w:rsidRPr="00A768F0">
              <w:rPr>
                <w:rFonts w:ascii="Arial" w:eastAsiaTheme="minorEastAsia" w:hAnsi="Arial" w:cs="Arial"/>
                <w:noProof/>
                <w:lang w:val="es-419" w:eastAsia="es-419"/>
              </w:rPr>
              <w:tab/>
            </w:r>
            <w:r w:rsidRPr="00A768F0">
              <w:rPr>
                <w:rStyle w:val="Hipervnculo"/>
                <w:rFonts w:ascii="Arial" w:hAnsi="Arial" w:cs="Arial"/>
                <w:noProof/>
              </w:rPr>
              <w:t>Fuentes y sujetos de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w:t>
            </w:r>
            <w:r w:rsidRPr="00A768F0">
              <w:rPr>
                <w:rFonts w:ascii="Arial" w:hAnsi="Arial" w:cs="Arial"/>
                <w:noProof/>
                <w:webHidden/>
              </w:rPr>
              <w:fldChar w:fldCharType="end"/>
            </w:r>
          </w:hyperlink>
        </w:p>
        <w:p w14:paraId="406FF08F" w14:textId="22405FDA"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5" w:history="1">
            <w:r w:rsidRPr="00A768F0">
              <w:rPr>
                <w:rStyle w:val="Hipervnculo"/>
                <w:rFonts w:ascii="Arial" w:hAnsi="Arial" w:cs="Arial"/>
                <w:noProof/>
              </w:rPr>
              <w:t>1.3.6.</w:t>
            </w:r>
            <w:r w:rsidRPr="00A768F0">
              <w:rPr>
                <w:rFonts w:ascii="Arial" w:eastAsiaTheme="minorEastAsia" w:hAnsi="Arial" w:cs="Arial"/>
                <w:noProof/>
                <w:lang w:val="es-419" w:eastAsia="es-419"/>
              </w:rPr>
              <w:tab/>
            </w:r>
            <w:r w:rsidRPr="00A768F0">
              <w:rPr>
                <w:rStyle w:val="Hipervnculo"/>
                <w:rFonts w:ascii="Arial" w:hAnsi="Arial" w:cs="Arial"/>
                <w:noProof/>
              </w:rPr>
              <w:t>Fuentes de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w:t>
            </w:r>
            <w:r w:rsidRPr="00A768F0">
              <w:rPr>
                <w:rFonts w:ascii="Arial" w:hAnsi="Arial" w:cs="Arial"/>
                <w:noProof/>
                <w:webHidden/>
              </w:rPr>
              <w:fldChar w:fldCharType="end"/>
            </w:r>
          </w:hyperlink>
        </w:p>
        <w:p w14:paraId="216C7312" w14:textId="05067559"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6" w:history="1">
            <w:r w:rsidRPr="00A768F0">
              <w:rPr>
                <w:rStyle w:val="Hipervnculo"/>
                <w:rFonts w:ascii="Arial" w:hAnsi="Arial" w:cs="Arial"/>
                <w:noProof/>
              </w:rPr>
              <w:t>1.3.7.</w:t>
            </w:r>
            <w:r w:rsidRPr="00A768F0">
              <w:rPr>
                <w:rFonts w:ascii="Arial" w:eastAsiaTheme="minorEastAsia" w:hAnsi="Arial" w:cs="Arial"/>
                <w:noProof/>
                <w:lang w:val="es-419" w:eastAsia="es-419"/>
              </w:rPr>
              <w:tab/>
            </w:r>
            <w:r w:rsidRPr="00A768F0">
              <w:rPr>
                <w:rStyle w:val="Hipervnculo"/>
                <w:rFonts w:ascii="Arial" w:hAnsi="Arial" w:cs="Arial"/>
                <w:noProof/>
              </w:rPr>
              <w:t>Sujetos de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w:t>
            </w:r>
            <w:r w:rsidRPr="00A768F0">
              <w:rPr>
                <w:rFonts w:ascii="Arial" w:hAnsi="Arial" w:cs="Arial"/>
                <w:noProof/>
                <w:webHidden/>
              </w:rPr>
              <w:fldChar w:fldCharType="end"/>
            </w:r>
          </w:hyperlink>
        </w:p>
        <w:p w14:paraId="58873A33" w14:textId="4FE615D7"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7" w:history="1">
            <w:r w:rsidRPr="00A768F0">
              <w:rPr>
                <w:rStyle w:val="Hipervnculo"/>
                <w:rFonts w:ascii="Arial" w:hAnsi="Arial" w:cs="Arial"/>
                <w:noProof/>
              </w:rPr>
              <w:t>1.3.8.</w:t>
            </w:r>
            <w:r w:rsidRPr="00A768F0">
              <w:rPr>
                <w:rFonts w:ascii="Arial" w:eastAsiaTheme="minorEastAsia" w:hAnsi="Arial" w:cs="Arial"/>
                <w:noProof/>
                <w:lang w:val="es-419" w:eastAsia="es-419"/>
              </w:rPr>
              <w:tab/>
            </w:r>
            <w:r w:rsidRPr="00A768F0">
              <w:rPr>
                <w:rStyle w:val="Hipervnculo"/>
                <w:rFonts w:ascii="Arial" w:hAnsi="Arial" w:cs="Arial"/>
                <w:noProof/>
              </w:rPr>
              <w:t>Instrumentalización de la Investigación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w:t>
            </w:r>
            <w:r w:rsidRPr="00A768F0">
              <w:rPr>
                <w:rFonts w:ascii="Arial" w:hAnsi="Arial" w:cs="Arial"/>
                <w:noProof/>
                <w:webHidden/>
              </w:rPr>
              <w:fldChar w:fldCharType="end"/>
            </w:r>
          </w:hyperlink>
        </w:p>
        <w:p w14:paraId="56D0AD5D" w14:textId="6F887C39"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18" w:history="1">
            <w:r w:rsidRPr="00A768F0">
              <w:rPr>
                <w:rStyle w:val="Hipervnculo"/>
                <w:rFonts w:ascii="Arial" w:hAnsi="Arial" w:cs="Arial"/>
                <w:noProof/>
              </w:rPr>
              <w:t>1.4.</w:t>
            </w:r>
            <w:r w:rsidRPr="00A768F0">
              <w:rPr>
                <w:rFonts w:ascii="Arial" w:eastAsiaTheme="minorEastAsia" w:hAnsi="Arial" w:cs="Arial"/>
                <w:noProof/>
                <w:lang w:val="es-419" w:eastAsia="es-419"/>
              </w:rPr>
              <w:tab/>
            </w:r>
            <w:r w:rsidRPr="00A768F0">
              <w:rPr>
                <w:rStyle w:val="Hipervnculo"/>
                <w:rFonts w:ascii="Arial" w:hAnsi="Arial" w:cs="Arial"/>
                <w:noProof/>
              </w:rPr>
              <w:t>Análisis de Datos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23</w:t>
            </w:r>
            <w:r w:rsidRPr="00A768F0">
              <w:rPr>
                <w:rFonts w:ascii="Arial" w:hAnsi="Arial" w:cs="Arial"/>
                <w:noProof/>
                <w:webHidden/>
              </w:rPr>
              <w:fldChar w:fldCharType="end"/>
            </w:r>
          </w:hyperlink>
        </w:p>
        <w:p w14:paraId="1E97A5C6" w14:textId="7993EFAC"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19" w:history="1">
            <w:r w:rsidRPr="00A768F0">
              <w:rPr>
                <w:rStyle w:val="Hipervnculo"/>
                <w:rFonts w:ascii="Arial" w:hAnsi="Arial" w:cs="Arial"/>
                <w:noProof/>
              </w:rPr>
              <w:t>1.4.1.</w:t>
            </w:r>
            <w:r w:rsidRPr="00A768F0">
              <w:rPr>
                <w:rFonts w:ascii="Arial" w:eastAsiaTheme="minorEastAsia" w:hAnsi="Arial" w:cs="Arial"/>
                <w:noProof/>
                <w:lang w:val="es-419" w:eastAsia="es-419"/>
              </w:rPr>
              <w:tab/>
            </w:r>
            <w:r w:rsidRPr="00A768F0">
              <w:rPr>
                <w:rStyle w:val="Hipervnculo"/>
                <w:rFonts w:ascii="Arial" w:hAnsi="Arial" w:cs="Arial"/>
                <w:noProof/>
              </w:rPr>
              <w:t>Alcances y Limitaciones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_Toc201832419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27</w:t>
            </w:r>
            <w:r w:rsidRPr="00A768F0">
              <w:rPr>
                <w:rFonts w:ascii="Arial" w:hAnsi="Arial" w:cs="Arial"/>
                <w:noProof/>
                <w:webHidden/>
              </w:rPr>
              <w:fldChar w:fldCharType="end"/>
            </w:r>
          </w:hyperlink>
        </w:p>
        <w:p w14:paraId="3ABF605E" w14:textId="33F08CA7"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20" w:history="1">
            <w:r w:rsidRPr="00A768F0">
              <w:rPr>
                <w:rStyle w:val="Hipervnculo"/>
                <w:rFonts w:ascii="Arial" w:eastAsia="Times New Roman" w:hAnsi="Arial" w:cs="Arial"/>
                <w:noProof/>
                <w:kern w:val="36"/>
                <w:lang w:eastAsia="es-CR"/>
                <w14:ligatures w14:val="none"/>
              </w:rPr>
              <w:t>CAPÍTULO II. MARCO REFERENCIAL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31</w:t>
            </w:r>
            <w:r w:rsidRPr="00A768F0">
              <w:rPr>
                <w:rFonts w:ascii="Arial" w:hAnsi="Arial" w:cs="Arial"/>
                <w:noProof/>
                <w:webHidden/>
              </w:rPr>
              <w:fldChar w:fldCharType="end"/>
            </w:r>
          </w:hyperlink>
        </w:p>
        <w:p w14:paraId="5AE0BBE8" w14:textId="695CC468"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21" w:history="1">
            <w:r w:rsidRPr="00A768F0">
              <w:rPr>
                <w:rStyle w:val="Hipervnculo"/>
                <w:rFonts w:ascii="Arial" w:hAnsi="Arial" w:cs="Arial"/>
                <w:noProof/>
              </w:rPr>
              <w:t>2.</w:t>
            </w:r>
            <w:r w:rsidRPr="00A768F0">
              <w:rPr>
                <w:rFonts w:ascii="Arial" w:eastAsiaTheme="minorEastAsia" w:hAnsi="Arial" w:cs="Arial"/>
                <w:noProof/>
                <w:lang w:val="es-419" w:eastAsia="es-419"/>
              </w:rPr>
              <w:tab/>
            </w:r>
            <w:r w:rsidRPr="00A768F0">
              <w:rPr>
                <w:rStyle w:val="Hipervnculo"/>
                <w:rFonts w:ascii="Arial" w:hAnsi="Arial" w:cs="Arial"/>
                <w:noProof/>
              </w:rPr>
              <w:t>Capitulo II: Marco Referencial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32</w:t>
            </w:r>
            <w:r w:rsidRPr="00A768F0">
              <w:rPr>
                <w:rFonts w:ascii="Arial" w:hAnsi="Arial" w:cs="Arial"/>
                <w:noProof/>
                <w:webHidden/>
              </w:rPr>
              <w:fldChar w:fldCharType="end"/>
            </w:r>
          </w:hyperlink>
        </w:p>
        <w:p w14:paraId="7A95913D" w14:textId="22A49818"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22" w:history="1">
            <w:r w:rsidRPr="00A768F0">
              <w:rPr>
                <w:rStyle w:val="Hipervnculo"/>
                <w:rFonts w:ascii="Arial" w:hAnsi="Arial" w:cs="Arial"/>
                <w:noProof/>
              </w:rPr>
              <w:t>2.1.</w:t>
            </w:r>
            <w:r w:rsidRPr="00A768F0">
              <w:rPr>
                <w:rFonts w:ascii="Arial" w:eastAsiaTheme="minorEastAsia" w:hAnsi="Arial" w:cs="Arial"/>
                <w:noProof/>
                <w:lang w:val="es-419" w:eastAsia="es-419"/>
              </w:rPr>
              <w:tab/>
            </w:r>
            <w:r w:rsidRPr="00A768F0">
              <w:rPr>
                <w:rStyle w:val="Hipervnculo"/>
                <w:rFonts w:ascii="Arial" w:hAnsi="Arial" w:cs="Arial"/>
                <w:noProof/>
              </w:rPr>
              <w:t>Marco Institucional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32</w:t>
            </w:r>
            <w:r w:rsidRPr="00A768F0">
              <w:rPr>
                <w:rFonts w:ascii="Arial" w:hAnsi="Arial" w:cs="Arial"/>
                <w:noProof/>
                <w:webHidden/>
              </w:rPr>
              <w:fldChar w:fldCharType="end"/>
            </w:r>
          </w:hyperlink>
        </w:p>
        <w:p w14:paraId="56F1C8D2" w14:textId="7F58AEA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23" w:history="1">
            <w:r w:rsidRPr="00A768F0">
              <w:rPr>
                <w:rStyle w:val="Hipervnculo"/>
                <w:rFonts w:ascii="Arial" w:hAnsi="Arial" w:cs="Arial"/>
                <w:noProof/>
              </w:rPr>
              <w:t>2.1.1.</w:t>
            </w:r>
            <w:r w:rsidRPr="00A768F0">
              <w:rPr>
                <w:rFonts w:ascii="Arial" w:eastAsiaTheme="minorEastAsia" w:hAnsi="Arial" w:cs="Arial"/>
                <w:noProof/>
                <w:lang w:val="es-419" w:eastAsia="es-419"/>
              </w:rPr>
              <w:tab/>
            </w:r>
            <w:r w:rsidRPr="00A768F0">
              <w:rPr>
                <w:rStyle w:val="Hipervnculo"/>
                <w:rFonts w:ascii="Arial" w:hAnsi="Arial" w:cs="Arial"/>
                <w:noProof/>
              </w:rPr>
              <w:t>Aspectos Generales de la Superintendencia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33</w:t>
            </w:r>
            <w:r w:rsidRPr="00A768F0">
              <w:rPr>
                <w:rFonts w:ascii="Arial" w:hAnsi="Arial" w:cs="Arial"/>
                <w:noProof/>
                <w:webHidden/>
              </w:rPr>
              <w:fldChar w:fldCharType="end"/>
            </w:r>
          </w:hyperlink>
        </w:p>
        <w:p w14:paraId="14B1FD47" w14:textId="0B48A3EB"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24" w:history="1">
            <w:r w:rsidRPr="00A768F0">
              <w:rPr>
                <w:rStyle w:val="Hipervnculo"/>
                <w:rFonts w:ascii="Arial" w:hAnsi="Arial" w:cs="Arial"/>
                <w:noProof/>
                <w:lang w:val="es-MX"/>
              </w:rPr>
              <w:t>2.2.</w:t>
            </w:r>
            <w:r w:rsidRPr="00A768F0">
              <w:rPr>
                <w:rFonts w:ascii="Arial" w:eastAsiaTheme="minorEastAsia" w:hAnsi="Arial" w:cs="Arial"/>
                <w:noProof/>
                <w:lang w:val="es-419" w:eastAsia="es-419"/>
              </w:rPr>
              <w:tab/>
            </w:r>
            <w:r w:rsidRPr="00A768F0">
              <w:rPr>
                <w:rStyle w:val="Hipervnculo"/>
                <w:rFonts w:ascii="Arial" w:hAnsi="Arial" w:cs="Arial"/>
                <w:noProof/>
                <w:lang w:val="es-MX"/>
              </w:rPr>
              <w:t>Marco Histórico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34</w:t>
            </w:r>
            <w:r w:rsidRPr="00A768F0">
              <w:rPr>
                <w:rFonts w:ascii="Arial" w:hAnsi="Arial" w:cs="Arial"/>
                <w:noProof/>
                <w:webHidden/>
              </w:rPr>
              <w:fldChar w:fldCharType="end"/>
            </w:r>
          </w:hyperlink>
        </w:p>
        <w:p w14:paraId="0B4E503B" w14:textId="312379D8"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25" w:history="1">
            <w:r w:rsidRPr="00A768F0">
              <w:rPr>
                <w:rStyle w:val="Hipervnculo"/>
                <w:rFonts w:ascii="Arial" w:hAnsi="Arial" w:cs="Arial"/>
                <w:noProof/>
                <w:lang w:val="es-MX"/>
              </w:rPr>
              <w:t>2.2.1.</w:t>
            </w:r>
            <w:r w:rsidRPr="00A768F0">
              <w:rPr>
                <w:rFonts w:ascii="Arial" w:eastAsiaTheme="minorEastAsia" w:hAnsi="Arial" w:cs="Arial"/>
                <w:noProof/>
                <w:lang w:val="es-419" w:eastAsia="es-419"/>
              </w:rPr>
              <w:tab/>
            </w:r>
            <w:r w:rsidRPr="00A768F0">
              <w:rPr>
                <w:rStyle w:val="Hipervnculo"/>
                <w:rFonts w:ascii="Arial" w:hAnsi="Arial" w:cs="Arial"/>
                <w:noProof/>
                <w:lang w:val="es-MX"/>
              </w:rPr>
              <w:t>Antecedentes Históricos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34</w:t>
            </w:r>
            <w:r w:rsidRPr="00A768F0">
              <w:rPr>
                <w:rFonts w:ascii="Arial" w:hAnsi="Arial" w:cs="Arial"/>
                <w:noProof/>
                <w:webHidden/>
              </w:rPr>
              <w:fldChar w:fldCharType="end"/>
            </w:r>
          </w:hyperlink>
        </w:p>
        <w:p w14:paraId="5668AD31" w14:textId="38BAF2C6"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26" w:history="1">
            <w:r w:rsidRPr="00A768F0">
              <w:rPr>
                <w:rStyle w:val="Hipervnculo"/>
                <w:rFonts w:ascii="Arial" w:hAnsi="Arial" w:cs="Arial"/>
                <w:noProof/>
                <w:lang w:val="es-MX"/>
              </w:rPr>
              <w:t>2.3.</w:t>
            </w:r>
            <w:r w:rsidRPr="00A768F0">
              <w:rPr>
                <w:rFonts w:ascii="Arial" w:eastAsiaTheme="minorEastAsia" w:hAnsi="Arial" w:cs="Arial"/>
                <w:noProof/>
                <w:lang w:val="es-419" w:eastAsia="es-419"/>
              </w:rPr>
              <w:tab/>
            </w:r>
            <w:r w:rsidRPr="00A768F0">
              <w:rPr>
                <w:rStyle w:val="Hipervnculo"/>
                <w:rFonts w:ascii="Arial" w:hAnsi="Arial" w:cs="Arial"/>
                <w:noProof/>
                <w:lang w:val="es-MX"/>
              </w:rPr>
              <w:t>Marco Legal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35</w:t>
            </w:r>
            <w:r w:rsidRPr="00A768F0">
              <w:rPr>
                <w:rFonts w:ascii="Arial" w:hAnsi="Arial" w:cs="Arial"/>
                <w:noProof/>
                <w:webHidden/>
              </w:rPr>
              <w:fldChar w:fldCharType="end"/>
            </w:r>
          </w:hyperlink>
        </w:p>
        <w:p w14:paraId="08C90EC4" w14:textId="66EF28AF"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27" w:history="1">
            <w:r w:rsidRPr="00A768F0">
              <w:rPr>
                <w:rStyle w:val="Hipervnculo"/>
                <w:rFonts w:ascii="Arial" w:hAnsi="Arial" w:cs="Arial"/>
                <w:noProof/>
              </w:rPr>
              <w:t>2.3.1.</w:t>
            </w:r>
            <w:r w:rsidRPr="00A768F0">
              <w:rPr>
                <w:rFonts w:ascii="Arial" w:eastAsiaTheme="minorEastAsia" w:hAnsi="Arial" w:cs="Arial"/>
                <w:noProof/>
                <w:lang w:val="es-419" w:eastAsia="es-419"/>
              </w:rPr>
              <w:tab/>
            </w:r>
            <w:r w:rsidRPr="00A768F0">
              <w:rPr>
                <w:rStyle w:val="Hipervnculo"/>
                <w:rFonts w:ascii="Arial" w:hAnsi="Arial" w:cs="Arial"/>
                <w:noProof/>
              </w:rPr>
              <w:t>Funciones y Responsabilidades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36</w:t>
            </w:r>
            <w:r w:rsidRPr="00A768F0">
              <w:rPr>
                <w:rFonts w:ascii="Arial" w:hAnsi="Arial" w:cs="Arial"/>
                <w:noProof/>
                <w:webHidden/>
              </w:rPr>
              <w:fldChar w:fldCharType="end"/>
            </w:r>
          </w:hyperlink>
        </w:p>
        <w:p w14:paraId="24482024" w14:textId="0379D4A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28" w:history="1">
            <w:r w:rsidRPr="00A768F0">
              <w:rPr>
                <w:rStyle w:val="Hipervnculo"/>
                <w:rFonts w:ascii="Arial" w:hAnsi="Arial" w:cs="Arial"/>
                <w:noProof/>
              </w:rPr>
              <w:t>2.3.2.</w:t>
            </w:r>
            <w:r w:rsidRPr="00A768F0">
              <w:rPr>
                <w:rFonts w:ascii="Arial" w:eastAsiaTheme="minorEastAsia" w:hAnsi="Arial" w:cs="Arial"/>
                <w:noProof/>
                <w:lang w:val="es-419" w:eastAsia="es-419"/>
              </w:rPr>
              <w:tab/>
            </w:r>
            <w:r w:rsidRPr="00A768F0">
              <w:rPr>
                <w:rStyle w:val="Hipervnculo"/>
                <w:rFonts w:ascii="Arial" w:hAnsi="Arial" w:cs="Arial"/>
                <w:noProof/>
              </w:rPr>
              <w:t>Ámbito de Supervisión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37</w:t>
            </w:r>
            <w:r w:rsidRPr="00A768F0">
              <w:rPr>
                <w:rFonts w:ascii="Arial" w:hAnsi="Arial" w:cs="Arial"/>
                <w:noProof/>
                <w:webHidden/>
              </w:rPr>
              <w:fldChar w:fldCharType="end"/>
            </w:r>
          </w:hyperlink>
        </w:p>
        <w:p w14:paraId="7E05BB9F" w14:textId="43279D68"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29" w:history="1">
            <w:r w:rsidRPr="00A768F0">
              <w:rPr>
                <w:rStyle w:val="Hipervnculo"/>
                <w:rFonts w:ascii="Arial" w:hAnsi="Arial" w:cs="Arial"/>
                <w:noProof/>
              </w:rPr>
              <w:t>2.3.3.</w:t>
            </w:r>
            <w:r w:rsidRPr="00A768F0">
              <w:rPr>
                <w:rFonts w:ascii="Arial" w:eastAsiaTheme="minorEastAsia" w:hAnsi="Arial" w:cs="Arial"/>
                <w:noProof/>
                <w:lang w:val="es-419" w:eastAsia="es-419"/>
              </w:rPr>
              <w:tab/>
            </w:r>
            <w:r w:rsidRPr="00A768F0">
              <w:rPr>
                <w:rStyle w:val="Hipervnculo"/>
                <w:rFonts w:ascii="Arial" w:hAnsi="Arial" w:cs="Arial"/>
                <w:noProof/>
              </w:rPr>
              <w:t>Importancia en el Sistema Financiero Nacional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_Toc201832429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37</w:t>
            </w:r>
            <w:r w:rsidRPr="00A768F0">
              <w:rPr>
                <w:rFonts w:ascii="Arial" w:hAnsi="Arial" w:cs="Arial"/>
                <w:noProof/>
                <w:webHidden/>
              </w:rPr>
              <w:fldChar w:fldCharType="end"/>
            </w:r>
          </w:hyperlink>
        </w:p>
        <w:p w14:paraId="3CFBCBF5" w14:textId="4B1E249A"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0" w:history="1">
            <w:r w:rsidRPr="00A768F0">
              <w:rPr>
                <w:rStyle w:val="Hipervnculo"/>
                <w:rFonts w:ascii="Arial" w:hAnsi="Arial" w:cs="Arial"/>
                <w:noProof/>
              </w:rPr>
              <w:t>2.3.4.</w:t>
            </w:r>
            <w:r w:rsidRPr="00A768F0">
              <w:rPr>
                <w:rFonts w:ascii="Arial" w:eastAsiaTheme="minorEastAsia" w:hAnsi="Arial" w:cs="Arial"/>
                <w:noProof/>
                <w:lang w:val="es-419" w:eastAsia="es-419"/>
              </w:rPr>
              <w:tab/>
            </w:r>
            <w:r w:rsidRPr="00A768F0">
              <w:rPr>
                <w:rStyle w:val="Hipervnculo"/>
                <w:rFonts w:ascii="Arial" w:hAnsi="Arial" w:cs="Arial"/>
                <w:noProof/>
              </w:rPr>
              <w:t>Descripción del departamento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38</w:t>
            </w:r>
            <w:r w:rsidRPr="00A768F0">
              <w:rPr>
                <w:rFonts w:ascii="Arial" w:hAnsi="Arial" w:cs="Arial"/>
                <w:noProof/>
                <w:webHidden/>
              </w:rPr>
              <w:fldChar w:fldCharType="end"/>
            </w:r>
          </w:hyperlink>
        </w:p>
        <w:p w14:paraId="22CC3FF6" w14:textId="65BAF5A3"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1" w:history="1">
            <w:r w:rsidRPr="00A768F0">
              <w:rPr>
                <w:rStyle w:val="Hipervnculo"/>
                <w:rFonts w:ascii="Arial" w:hAnsi="Arial" w:cs="Arial"/>
                <w:noProof/>
              </w:rPr>
              <w:t>2.3.5.</w:t>
            </w:r>
            <w:r w:rsidRPr="00A768F0">
              <w:rPr>
                <w:rFonts w:ascii="Arial" w:eastAsiaTheme="minorEastAsia" w:hAnsi="Arial" w:cs="Arial"/>
                <w:noProof/>
                <w:lang w:val="es-419" w:eastAsia="es-419"/>
              </w:rPr>
              <w:tab/>
            </w:r>
            <w:r w:rsidRPr="00A768F0">
              <w:rPr>
                <w:rStyle w:val="Hipervnculo"/>
                <w:rFonts w:ascii="Arial" w:hAnsi="Arial" w:cs="Arial"/>
                <w:noProof/>
              </w:rPr>
              <w:t>Aspectos legales/ legislación que afecta la investigación en forma directa y/o indirectamente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39</w:t>
            </w:r>
            <w:r w:rsidRPr="00A768F0">
              <w:rPr>
                <w:rFonts w:ascii="Arial" w:hAnsi="Arial" w:cs="Arial"/>
                <w:noProof/>
                <w:webHidden/>
              </w:rPr>
              <w:fldChar w:fldCharType="end"/>
            </w:r>
          </w:hyperlink>
        </w:p>
        <w:p w14:paraId="10BE7E90" w14:textId="31DA923E"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32" w:history="1">
            <w:r w:rsidRPr="00A768F0">
              <w:rPr>
                <w:rStyle w:val="Hipervnculo"/>
                <w:rFonts w:ascii="Arial" w:eastAsia="Times New Roman" w:hAnsi="Arial" w:cs="Arial"/>
                <w:noProof/>
                <w:kern w:val="36"/>
                <w:lang w:eastAsia="es-CR"/>
                <w14:ligatures w14:val="none"/>
              </w:rPr>
              <w:t>CAPÍTULO III. MARCO CONCEPTUAL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49</w:t>
            </w:r>
            <w:r w:rsidRPr="00A768F0">
              <w:rPr>
                <w:rFonts w:ascii="Arial" w:hAnsi="Arial" w:cs="Arial"/>
                <w:noProof/>
                <w:webHidden/>
              </w:rPr>
              <w:fldChar w:fldCharType="end"/>
            </w:r>
          </w:hyperlink>
        </w:p>
        <w:p w14:paraId="770A04A5" w14:textId="295AD4B0"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33" w:history="1">
            <w:r w:rsidRPr="00A768F0">
              <w:rPr>
                <w:rStyle w:val="Hipervnculo"/>
                <w:rFonts w:ascii="Arial" w:hAnsi="Arial" w:cs="Arial"/>
                <w:noProof/>
              </w:rPr>
              <w:t>3.</w:t>
            </w:r>
            <w:r w:rsidRPr="00A768F0">
              <w:rPr>
                <w:rFonts w:ascii="Arial" w:eastAsiaTheme="minorEastAsia" w:hAnsi="Arial" w:cs="Arial"/>
                <w:noProof/>
                <w:lang w:val="es-419" w:eastAsia="es-419"/>
              </w:rPr>
              <w:tab/>
            </w:r>
            <w:r w:rsidRPr="00A768F0">
              <w:rPr>
                <w:rStyle w:val="Hipervnculo"/>
                <w:rFonts w:ascii="Arial" w:hAnsi="Arial" w:cs="Arial"/>
                <w:noProof/>
              </w:rPr>
              <w:t>Capítulo III: Marco Conceptual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50</w:t>
            </w:r>
            <w:r w:rsidRPr="00A768F0">
              <w:rPr>
                <w:rFonts w:ascii="Arial" w:hAnsi="Arial" w:cs="Arial"/>
                <w:noProof/>
                <w:webHidden/>
              </w:rPr>
              <w:fldChar w:fldCharType="end"/>
            </w:r>
          </w:hyperlink>
        </w:p>
        <w:p w14:paraId="56611FD5" w14:textId="797BFD97"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34" w:history="1">
            <w:r w:rsidRPr="00A768F0">
              <w:rPr>
                <w:rStyle w:val="Hipervnculo"/>
                <w:rFonts w:ascii="Arial" w:hAnsi="Arial" w:cs="Arial"/>
                <w:noProof/>
              </w:rPr>
              <w:t>3.1.</w:t>
            </w:r>
            <w:r w:rsidRPr="00A768F0">
              <w:rPr>
                <w:rFonts w:ascii="Arial" w:eastAsiaTheme="minorEastAsia" w:hAnsi="Arial" w:cs="Arial"/>
                <w:noProof/>
                <w:lang w:val="es-419" w:eastAsia="es-419"/>
              </w:rPr>
              <w:tab/>
            </w:r>
            <w:r w:rsidRPr="00A768F0">
              <w:rPr>
                <w:rStyle w:val="Hipervnculo"/>
                <w:rFonts w:ascii="Arial" w:hAnsi="Arial" w:cs="Arial"/>
                <w:noProof/>
              </w:rPr>
              <w:t>Productos financieros de deuda, acciones y alternativos.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50</w:t>
            </w:r>
            <w:r w:rsidRPr="00A768F0">
              <w:rPr>
                <w:rFonts w:ascii="Arial" w:hAnsi="Arial" w:cs="Arial"/>
                <w:noProof/>
                <w:webHidden/>
              </w:rPr>
              <w:fldChar w:fldCharType="end"/>
            </w:r>
          </w:hyperlink>
        </w:p>
        <w:p w14:paraId="670F0BD0" w14:textId="6C771C52"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5" w:history="1">
            <w:r w:rsidRPr="00A768F0">
              <w:rPr>
                <w:rStyle w:val="Hipervnculo"/>
                <w:rFonts w:ascii="Arial" w:hAnsi="Arial" w:cs="Arial"/>
                <w:noProof/>
              </w:rPr>
              <w:t>3.1.1.</w:t>
            </w:r>
            <w:r w:rsidRPr="00A768F0">
              <w:rPr>
                <w:rFonts w:ascii="Arial" w:eastAsiaTheme="minorEastAsia" w:hAnsi="Arial" w:cs="Arial"/>
                <w:noProof/>
                <w:lang w:val="es-419" w:eastAsia="es-419"/>
              </w:rPr>
              <w:tab/>
            </w:r>
            <w:r w:rsidRPr="00A768F0">
              <w:rPr>
                <w:rStyle w:val="Hipervnculo"/>
                <w:rFonts w:ascii="Arial" w:hAnsi="Arial" w:cs="Arial"/>
                <w:noProof/>
              </w:rPr>
              <w:t>Características de Productos de deuda, acciones y alternativos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53</w:t>
            </w:r>
            <w:r w:rsidRPr="00A768F0">
              <w:rPr>
                <w:rFonts w:ascii="Arial" w:hAnsi="Arial" w:cs="Arial"/>
                <w:noProof/>
                <w:webHidden/>
              </w:rPr>
              <w:fldChar w:fldCharType="end"/>
            </w:r>
          </w:hyperlink>
        </w:p>
        <w:p w14:paraId="474517CF" w14:textId="2D8F6F4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6" w:history="1">
            <w:r w:rsidRPr="00A768F0">
              <w:rPr>
                <w:rStyle w:val="Hipervnculo"/>
                <w:rFonts w:ascii="Arial" w:hAnsi="Arial" w:cs="Arial"/>
                <w:noProof/>
              </w:rPr>
              <w:t>3.1.2.</w:t>
            </w:r>
            <w:r w:rsidRPr="00A768F0">
              <w:rPr>
                <w:rFonts w:ascii="Arial" w:eastAsiaTheme="minorEastAsia" w:hAnsi="Arial" w:cs="Arial"/>
                <w:noProof/>
                <w:lang w:val="es-419" w:eastAsia="es-419"/>
              </w:rPr>
              <w:tab/>
            </w:r>
            <w:r w:rsidRPr="00A768F0">
              <w:rPr>
                <w:rStyle w:val="Hipervnculo"/>
                <w:rFonts w:ascii="Arial" w:hAnsi="Arial" w:cs="Arial"/>
                <w:noProof/>
              </w:rPr>
              <w:t>Impacto a los productos en las estrategias de inversión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56</w:t>
            </w:r>
            <w:r w:rsidRPr="00A768F0">
              <w:rPr>
                <w:rFonts w:ascii="Arial" w:hAnsi="Arial" w:cs="Arial"/>
                <w:noProof/>
                <w:webHidden/>
              </w:rPr>
              <w:fldChar w:fldCharType="end"/>
            </w:r>
          </w:hyperlink>
        </w:p>
        <w:p w14:paraId="40AF3398" w14:textId="12168404"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7" w:history="1">
            <w:r w:rsidRPr="00A768F0">
              <w:rPr>
                <w:rStyle w:val="Hipervnculo"/>
                <w:rFonts w:ascii="Arial" w:hAnsi="Arial" w:cs="Arial"/>
                <w:noProof/>
              </w:rPr>
              <w:t>3.1.3.</w:t>
            </w:r>
            <w:r w:rsidRPr="00A768F0">
              <w:rPr>
                <w:rFonts w:ascii="Arial" w:eastAsiaTheme="minorEastAsia" w:hAnsi="Arial" w:cs="Arial"/>
                <w:noProof/>
                <w:lang w:val="es-419" w:eastAsia="es-419"/>
              </w:rPr>
              <w:tab/>
            </w:r>
            <w:r w:rsidRPr="00A768F0">
              <w:rPr>
                <w:rStyle w:val="Hipervnculo"/>
                <w:rFonts w:ascii="Arial" w:hAnsi="Arial" w:cs="Arial"/>
                <w:noProof/>
              </w:rPr>
              <w:t>Nivel de riesgo asociado para cada tipo de producto financiero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57</w:t>
            </w:r>
            <w:r w:rsidRPr="00A768F0">
              <w:rPr>
                <w:rFonts w:ascii="Arial" w:hAnsi="Arial" w:cs="Arial"/>
                <w:noProof/>
                <w:webHidden/>
              </w:rPr>
              <w:fldChar w:fldCharType="end"/>
            </w:r>
          </w:hyperlink>
        </w:p>
        <w:p w14:paraId="1C5B2E6E" w14:textId="3820F41E"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38" w:history="1">
            <w:r w:rsidRPr="00A768F0">
              <w:rPr>
                <w:rStyle w:val="Hipervnculo"/>
                <w:rFonts w:ascii="Arial" w:hAnsi="Arial" w:cs="Arial"/>
                <w:noProof/>
              </w:rPr>
              <w:t>3.2.</w:t>
            </w:r>
            <w:r w:rsidRPr="00A768F0">
              <w:rPr>
                <w:rFonts w:ascii="Arial" w:eastAsiaTheme="minorEastAsia" w:hAnsi="Arial" w:cs="Arial"/>
                <w:noProof/>
                <w:lang w:val="es-419" w:eastAsia="es-419"/>
              </w:rPr>
              <w:tab/>
            </w:r>
            <w:r w:rsidRPr="00A768F0">
              <w:rPr>
                <w:rStyle w:val="Hipervnculo"/>
                <w:rFonts w:ascii="Arial" w:hAnsi="Arial" w:cs="Arial"/>
                <w:noProof/>
              </w:rPr>
              <w:t>Productos o Inversiones Alternativas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59</w:t>
            </w:r>
            <w:r w:rsidRPr="00A768F0">
              <w:rPr>
                <w:rFonts w:ascii="Arial" w:hAnsi="Arial" w:cs="Arial"/>
                <w:noProof/>
                <w:webHidden/>
              </w:rPr>
              <w:fldChar w:fldCharType="end"/>
            </w:r>
          </w:hyperlink>
        </w:p>
        <w:p w14:paraId="7110EE20" w14:textId="71ACDCD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39" w:history="1">
            <w:r w:rsidRPr="00A768F0">
              <w:rPr>
                <w:rStyle w:val="Hipervnculo"/>
                <w:rFonts w:ascii="Arial" w:hAnsi="Arial" w:cs="Arial"/>
                <w:noProof/>
              </w:rPr>
              <w:t>3.2.1.</w:t>
            </w:r>
            <w:r w:rsidRPr="00A768F0">
              <w:rPr>
                <w:rFonts w:ascii="Arial" w:eastAsiaTheme="minorEastAsia" w:hAnsi="Arial" w:cs="Arial"/>
                <w:noProof/>
                <w:lang w:val="es-419" w:eastAsia="es-419"/>
              </w:rPr>
              <w:tab/>
            </w:r>
            <w:r w:rsidRPr="00A768F0">
              <w:rPr>
                <w:rStyle w:val="Hipervnculo"/>
                <w:rFonts w:ascii="Arial" w:hAnsi="Arial" w:cs="Arial"/>
                <w:noProof/>
              </w:rPr>
              <w:t>Tipos de Inversiones Alternativas en los portafolios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_Toc201832439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61</w:t>
            </w:r>
            <w:r w:rsidRPr="00A768F0">
              <w:rPr>
                <w:rFonts w:ascii="Arial" w:hAnsi="Arial" w:cs="Arial"/>
                <w:noProof/>
                <w:webHidden/>
              </w:rPr>
              <w:fldChar w:fldCharType="end"/>
            </w:r>
          </w:hyperlink>
        </w:p>
        <w:p w14:paraId="318C3C5C" w14:textId="11260D9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0" w:history="1">
            <w:r w:rsidRPr="00A768F0">
              <w:rPr>
                <w:rStyle w:val="Hipervnculo"/>
                <w:rFonts w:ascii="Arial" w:hAnsi="Arial" w:cs="Arial"/>
                <w:noProof/>
              </w:rPr>
              <w:t>3.2.2.</w:t>
            </w:r>
            <w:r w:rsidRPr="00A768F0">
              <w:rPr>
                <w:rFonts w:ascii="Arial" w:eastAsiaTheme="minorEastAsia" w:hAnsi="Arial" w:cs="Arial"/>
                <w:noProof/>
                <w:lang w:val="es-419" w:eastAsia="es-419"/>
              </w:rPr>
              <w:tab/>
            </w:r>
            <w:r w:rsidRPr="00A768F0">
              <w:rPr>
                <w:rStyle w:val="Hipervnculo"/>
                <w:rFonts w:ascii="Arial" w:hAnsi="Arial" w:cs="Arial"/>
                <w:noProof/>
              </w:rPr>
              <w:t>Características de las inversiones alternativas en los portafolios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66</w:t>
            </w:r>
            <w:r w:rsidRPr="00A768F0">
              <w:rPr>
                <w:rFonts w:ascii="Arial" w:hAnsi="Arial" w:cs="Arial"/>
                <w:noProof/>
                <w:webHidden/>
              </w:rPr>
              <w:fldChar w:fldCharType="end"/>
            </w:r>
          </w:hyperlink>
        </w:p>
        <w:p w14:paraId="6BF45D47" w14:textId="21603E0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1" w:history="1">
            <w:r w:rsidRPr="00A768F0">
              <w:rPr>
                <w:rStyle w:val="Hipervnculo"/>
                <w:rFonts w:ascii="Arial" w:hAnsi="Arial" w:cs="Arial"/>
                <w:noProof/>
              </w:rPr>
              <w:t>3.2.3.</w:t>
            </w:r>
            <w:r w:rsidRPr="00A768F0">
              <w:rPr>
                <w:rFonts w:ascii="Arial" w:eastAsiaTheme="minorEastAsia" w:hAnsi="Arial" w:cs="Arial"/>
                <w:noProof/>
                <w:lang w:val="es-419" w:eastAsia="es-419"/>
              </w:rPr>
              <w:tab/>
            </w:r>
            <w:r w:rsidRPr="00A768F0">
              <w:rPr>
                <w:rStyle w:val="Hipervnculo"/>
                <w:rFonts w:ascii="Arial" w:hAnsi="Arial" w:cs="Arial"/>
                <w:noProof/>
              </w:rPr>
              <w:t>Rentabilidad de las inversiones alternativas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68</w:t>
            </w:r>
            <w:r w:rsidRPr="00A768F0">
              <w:rPr>
                <w:rFonts w:ascii="Arial" w:hAnsi="Arial" w:cs="Arial"/>
                <w:noProof/>
                <w:webHidden/>
              </w:rPr>
              <w:fldChar w:fldCharType="end"/>
            </w:r>
          </w:hyperlink>
        </w:p>
        <w:p w14:paraId="18AB4E0D" w14:textId="286B959B"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42" w:history="1">
            <w:r w:rsidRPr="00A768F0">
              <w:rPr>
                <w:rStyle w:val="Hipervnculo"/>
                <w:rFonts w:ascii="Arial" w:hAnsi="Arial" w:cs="Arial"/>
                <w:noProof/>
              </w:rPr>
              <w:t>3.3.</w:t>
            </w:r>
            <w:r w:rsidRPr="00A768F0">
              <w:rPr>
                <w:rFonts w:ascii="Arial" w:eastAsiaTheme="minorEastAsia" w:hAnsi="Arial" w:cs="Arial"/>
                <w:noProof/>
                <w:lang w:val="es-419" w:eastAsia="es-419"/>
              </w:rPr>
              <w:tab/>
            </w:r>
            <w:r w:rsidRPr="00A768F0">
              <w:rPr>
                <w:rStyle w:val="Hipervnculo"/>
                <w:rFonts w:ascii="Arial" w:hAnsi="Arial" w:cs="Arial"/>
                <w:noProof/>
              </w:rPr>
              <w:t>Normativa Contable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70</w:t>
            </w:r>
            <w:r w:rsidRPr="00A768F0">
              <w:rPr>
                <w:rFonts w:ascii="Arial" w:hAnsi="Arial" w:cs="Arial"/>
                <w:noProof/>
                <w:webHidden/>
              </w:rPr>
              <w:fldChar w:fldCharType="end"/>
            </w:r>
          </w:hyperlink>
        </w:p>
        <w:p w14:paraId="7EDE19DE" w14:textId="214C41C7"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3" w:history="1">
            <w:r w:rsidRPr="00A768F0">
              <w:rPr>
                <w:rStyle w:val="Hipervnculo"/>
                <w:rFonts w:ascii="Arial" w:hAnsi="Arial" w:cs="Arial"/>
                <w:noProof/>
              </w:rPr>
              <w:t>3.3.1.</w:t>
            </w:r>
            <w:r w:rsidRPr="00A768F0">
              <w:rPr>
                <w:rFonts w:ascii="Arial" w:eastAsiaTheme="minorEastAsia" w:hAnsi="Arial" w:cs="Arial"/>
                <w:noProof/>
                <w:lang w:val="es-419" w:eastAsia="es-419"/>
              </w:rPr>
              <w:tab/>
            </w:r>
            <w:r w:rsidRPr="00A768F0">
              <w:rPr>
                <w:rStyle w:val="Hipervnculo"/>
                <w:rFonts w:ascii="Arial" w:hAnsi="Arial" w:cs="Arial"/>
                <w:noProof/>
              </w:rPr>
              <w:t>Conformidad de la NIIF 9 y NIC 39</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70</w:t>
            </w:r>
            <w:r w:rsidRPr="00A768F0">
              <w:rPr>
                <w:rFonts w:ascii="Arial" w:hAnsi="Arial" w:cs="Arial"/>
                <w:noProof/>
                <w:webHidden/>
              </w:rPr>
              <w:fldChar w:fldCharType="end"/>
            </w:r>
          </w:hyperlink>
        </w:p>
        <w:p w14:paraId="29934EFD" w14:textId="3E6C753B"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4" w:history="1">
            <w:r w:rsidRPr="00A768F0">
              <w:rPr>
                <w:rStyle w:val="Hipervnculo"/>
                <w:rFonts w:ascii="Arial" w:hAnsi="Arial" w:cs="Arial"/>
                <w:noProof/>
              </w:rPr>
              <w:t>3.3.2.</w:t>
            </w:r>
            <w:r w:rsidRPr="00A768F0">
              <w:rPr>
                <w:rFonts w:ascii="Arial" w:eastAsiaTheme="minorEastAsia" w:hAnsi="Arial" w:cs="Arial"/>
                <w:noProof/>
                <w:lang w:val="es-419" w:eastAsia="es-419"/>
              </w:rPr>
              <w:tab/>
            </w:r>
            <w:r w:rsidRPr="00A768F0">
              <w:rPr>
                <w:rStyle w:val="Hipervnculo"/>
                <w:rFonts w:ascii="Arial" w:hAnsi="Arial" w:cs="Arial"/>
                <w:noProof/>
              </w:rPr>
              <w:t>Identificación de los límites y desafíos de la normativa contable vigente</w:t>
            </w:r>
            <w:r w:rsidRPr="00A768F0">
              <w:rPr>
                <w:rFonts w:ascii="Arial" w:hAnsi="Arial" w:cs="Arial"/>
                <w:noProof/>
                <w:webHidden/>
              </w:rPr>
              <w:tab/>
            </w:r>
            <w:r>
              <w:rPr>
                <w:rFonts w:ascii="Arial" w:hAnsi="Arial" w:cs="Arial"/>
                <w:noProof/>
                <w:webHidden/>
              </w:rPr>
              <w:t>……………………………………………………………………………..</w:t>
            </w:r>
            <w:r w:rsidRPr="00A768F0">
              <w:rPr>
                <w:rFonts w:ascii="Arial" w:hAnsi="Arial" w:cs="Arial"/>
                <w:noProof/>
                <w:webHidden/>
              </w:rPr>
              <w:fldChar w:fldCharType="begin"/>
            </w:r>
            <w:r w:rsidRPr="00A768F0">
              <w:rPr>
                <w:rFonts w:ascii="Arial" w:hAnsi="Arial" w:cs="Arial"/>
                <w:noProof/>
                <w:webHidden/>
              </w:rPr>
              <w:instrText xml:space="preserve"> PAGEREF _Toc201832444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72</w:t>
            </w:r>
            <w:r w:rsidRPr="00A768F0">
              <w:rPr>
                <w:rFonts w:ascii="Arial" w:hAnsi="Arial" w:cs="Arial"/>
                <w:noProof/>
                <w:webHidden/>
              </w:rPr>
              <w:fldChar w:fldCharType="end"/>
            </w:r>
          </w:hyperlink>
        </w:p>
        <w:p w14:paraId="134A04C6" w14:textId="0B9C2F89"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5" w:history="1">
            <w:r w:rsidRPr="00A768F0">
              <w:rPr>
                <w:rStyle w:val="Hipervnculo"/>
                <w:rFonts w:ascii="Arial" w:hAnsi="Arial" w:cs="Arial"/>
                <w:noProof/>
              </w:rPr>
              <w:t>3.3.3.</w:t>
            </w:r>
            <w:r w:rsidRPr="00A768F0">
              <w:rPr>
                <w:rFonts w:ascii="Arial" w:eastAsiaTheme="minorEastAsia" w:hAnsi="Arial" w:cs="Arial"/>
                <w:noProof/>
                <w:lang w:val="es-419" w:eastAsia="es-419"/>
              </w:rPr>
              <w:tab/>
            </w:r>
            <w:r w:rsidRPr="00A768F0">
              <w:rPr>
                <w:rStyle w:val="Hipervnculo"/>
                <w:rFonts w:ascii="Arial" w:hAnsi="Arial" w:cs="Arial"/>
                <w:noProof/>
              </w:rPr>
              <w:t>Eficiencia de la implementación de las normativas contables en los fondos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74</w:t>
            </w:r>
            <w:r w:rsidRPr="00A768F0">
              <w:rPr>
                <w:rFonts w:ascii="Arial" w:hAnsi="Arial" w:cs="Arial"/>
                <w:noProof/>
                <w:webHidden/>
              </w:rPr>
              <w:fldChar w:fldCharType="end"/>
            </w:r>
          </w:hyperlink>
        </w:p>
        <w:p w14:paraId="19A5D0A3" w14:textId="627815F8"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46" w:history="1">
            <w:r w:rsidRPr="00A768F0">
              <w:rPr>
                <w:rStyle w:val="Hipervnculo"/>
                <w:rFonts w:ascii="Arial" w:eastAsia="Times New Roman" w:hAnsi="Arial" w:cs="Arial"/>
                <w:noProof/>
                <w:kern w:val="36"/>
                <w:lang w:eastAsia="es-CR"/>
                <w14:ligatures w14:val="none"/>
              </w:rPr>
              <w:t>CAPÍTULO IV. ANÁLISIS DE RESULTADOS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76</w:t>
            </w:r>
            <w:r w:rsidRPr="00A768F0">
              <w:rPr>
                <w:rFonts w:ascii="Arial" w:hAnsi="Arial" w:cs="Arial"/>
                <w:noProof/>
                <w:webHidden/>
              </w:rPr>
              <w:fldChar w:fldCharType="end"/>
            </w:r>
          </w:hyperlink>
        </w:p>
        <w:p w14:paraId="0941B33E" w14:textId="106B55E4"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47" w:history="1">
            <w:r w:rsidRPr="00A768F0">
              <w:rPr>
                <w:rStyle w:val="Hipervnculo"/>
                <w:rFonts w:ascii="Arial" w:hAnsi="Arial" w:cs="Arial"/>
                <w:noProof/>
              </w:rPr>
              <w:t>4.</w:t>
            </w:r>
            <w:r w:rsidRPr="00A768F0">
              <w:rPr>
                <w:rFonts w:ascii="Arial" w:eastAsiaTheme="minorEastAsia" w:hAnsi="Arial" w:cs="Arial"/>
                <w:noProof/>
                <w:lang w:val="es-419" w:eastAsia="es-419"/>
              </w:rPr>
              <w:tab/>
            </w:r>
            <w:r w:rsidRPr="00A768F0">
              <w:rPr>
                <w:rStyle w:val="Hipervnculo"/>
                <w:rFonts w:ascii="Arial" w:hAnsi="Arial" w:cs="Arial"/>
                <w:noProof/>
              </w:rPr>
              <w:t>Capítulo IV: Análisis De Resultados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77</w:t>
            </w:r>
            <w:r w:rsidRPr="00A768F0">
              <w:rPr>
                <w:rFonts w:ascii="Arial" w:hAnsi="Arial" w:cs="Arial"/>
                <w:noProof/>
                <w:webHidden/>
              </w:rPr>
              <w:fldChar w:fldCharType="end"/>
            </w:r>
          </w:hyperlink>
        </w:p>
        <w:p w14:paraId="38860394" w14:textId="0052DFE5"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48" w:history="1">
            <w:r w:rsidRPr="00A768F0">
              <w:rPr>
                <w:rStyle w:val="Hipervnculo"/>
                <w:rFonts w:ascii="Arial" w:hAnsi="Arial" w:cs="Arial"/>
                <w:noProof/>
              </w:rPr>
              <w:t>4.1.</w:t>
            </w:r>
            <w:r w:rsidRPr="00A768F0">
              <w:rPr>
                <w:rFonts w:ascii="Arial" w:eastAsiaTheme="minorEastAsia" w:hAnsi="Arial" w:cs="Arial"/>
                <w:noProof/>
                <w:lang w:val="es-419" w:eastAsia="es-419"/>
              </w:rPr>
              <w:tab/>
            </w:r>
            <w:r w:rsidRPr="00A768F0">
              <w:rPr>
                <w:rStyle w:val="Hipervnculo"/>
                <w:rFonts w:ascii="Arial" w:hAnsi="Arial" w:cs="Arial"/>
                <w:noProof/>
              </w:rPr>
              <w:t>Productos financieros de deuda, acciones y alternativos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77</w:t>
            </w:r>
            <w:r w:rsidRPr="00A768F0">
              <w:rPr>
                <w:rFonts w:ascii="Arial" w:hAnsi="Arial" w:cs="Arial"/>
                <w:noProof/>
                <w:webHidden/>
              </w:rPr>
              <w:fldChar w:fldCharType="end"/>
            </w:r>
          </w:hyperlink>
        </w:p>
        <w:p w14:paraId="08440522" w14:textId="476FDDD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49" w:history="1">
            <w:r w:rsidRPr="00A768F0">
              <w:rPr>
                <w:rStyle w:val="Hipervnculo"/>
                <w:rFonts w:ascii="Arial" w:hAnsi="Arial" w:cs="Arial"/>
                <w:noProof/>
              </w:rPr>
              <w:t>4.1.1.</w:t>
            </w:r>
            <w:r w:rsidRPr="00A768F0">
              <w:rPr>
                <w:rFonts w:ascii="Arial" w:eastAsiaTheme="minorEastAsia" w:hAnsi="Arial" w:cs="Arial"/>
                <w:noProof/>
                <w:lang w:val="es-419" w:eastAsia="es-419"/>
              </w:rPr>
              <w:tab/>
            </w:r>
            <w:r w:rsidRPr="00A768F0">
              <w:rPr>
                <w:rStyle w:val="Hipervnculo"/>
                <w:rFonts w:ascii="Arial" w:hAnsi="Arial" w:cs="Arial"/>
                <w:noProof/>
              </w:rPr>
              <w:t>Características de Productos de Deuda, acciones y alternativos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_Toc201832449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78</w:t>
            </w:r>
            <w:r w:rsidRPr="00A768F0">
              <w:rPr>
                <w:rFonts w:ascii="Arial" w:hAnsi="Arial" w:cs="Arial"/>
                <w:noProof/>
                <w:webHidden/>
              </w:rPr>
              <w:fldChar w:fldCharType="end"/>
            </w:r>
          </w:hyperlink>
        </w:p>
        <w:p w14:paraId="34859DF4" w14:textId="1969DD4D"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0" w:history="1">
            <w:r w:rsidRPr="00A768F0">
              <w:rPr>
                <w:rStyle w:val="Hipervnculo"/>
                <w:rFonts w:ascii="Arial" w:hAnsi="Arial" w:cs="Arial"/>
                <w:noProof/>
              </w:rPr>
              <w:t>4.1.2.</w:t>
            </w:r>
            <w:r w:rsidRPr="00A768F0">
              <w:rPr>
                <w:rFonts w:ascii="Arial" w:eastAsiaTheme="minorEastAsia" w:hAnsi="Arial" w:cs="Arial"/>
                <w:noProof/>
                <w:lang w:val="es-419" w:eastAsia="es-419"/>
              </w:rPr>
              <w:tab/>
            </w:r>
            <w:r w:rsidRPr="00A768F0">
              <w:rPr>
                <w:rStyle w:val="Hipervnculo"/>
                <w:rFonts w:ascii="Arial" w:hAnsi="Arial" w:cs="Arial"/>
                <w:noProof/>
              </w:rPr>
              <w:t>Impacto a los Productos en las estrategias de Inversión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84</w:t>
            </w:r>
            <w:r w:rsidRPr="00A768F0">
              <w:rPr>
                <w:rFonts w:ascii="Arial" w:hAnsi="Arial" w:cs="Arial"/>
                <w:noProof/>
                <w:webHidden/>
              </w:rPr>
              <w:fldChar w:fldCharType="end"/>
            </w:r>
          </w:hyperlink>
        </w:p>
        <w:p w14:paraId="050960C0" w14:textId="0E32D992"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1" w:history="1">
            <w:r w:rsidRPr="00A768F0">
              <w:rPr>
                <w:rStyle w:val="Hipervnculo"/>
                <w:rFonts w:ascii="Arial" w:hAnsi="Arial" w:cs="Arial"/>
                <w:noProof/>
              </w:rPr>
              <w:t>4.1.3.</w:t>
            </w:r>
            <w:r w:rsidRPr="00A768F0">
              <w:rPr>
                <w:rFonts w:ascii="Arial" w:eastAsiaTheme="minorEastAsia" w:hAnsi="Arial" w:cs="Arial"/>
                <w:noProof/>
                <w:lang w:val="es-419" w:eastAsia="es-419"/>
              </w:rPr>
              <w:tab/>
            </w:r>
            <w:r w:rsidRPr="00A768F0">
              <w:rPr>
                <w:rStyle w:val="Hipervnculo"/>
                <w:rFonts w:ascii="Arial" w:hAnsi="Arial" w:cs="Arial"/>
                <w:noProof/>
              </w:rPr>
              <w:t>Nivel de Riesgo Asociado para cada tipo de Producto Financiero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101</w:t>
            </w:r>
            <w:r w:rsidRPr="00A768F0">
              <w:rPr>
                <w:rFonts w:ascii="Arial" w:hAnsi="Arial" w:cs="Arial"/>
                <w:noProof/>
                <w:webHidden/>
              </w:rPr>
              <w:fldChar w:fldCharType="end"/>
            </w:r>
          </w:hyperlink>
        </w:p>
        <w:p w14:paraId="53D167B0" w14:textId="2EE3C8F9"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52" w:history="1">
            <w:r w:rsidRPr="00A768F0">
              <w:rPr>
                <w:rStyle w:val="Hipervnculo"/>
                <w:rFonts w:ascii="Arial" w:hAnsi="Arial" w:cs="Arial"/>
                <w:noProof/>
              </w:rPr>
              <w:t>4.2.</w:t>
            </w:r>
            <w:r w:rsidRPr="00A768F0">
              <w:rPr>
                <w:rFonts w:ascii="Arial" w:eastAsiaTheme="minorEastAsia" w:hAnsi="Arial" w:cs="Arial"/>
                <w:noProof/>
                <w:lang w:val="es-419" w:eastAsia="es-419"/>
              </w:rPr>
              <w:tab/>
            </w:r>
            <w:r w:rsidRPr="00A768F0">
              <w:rPr>
                <w:rStyle w:val="Hipervnculo"/>
                <w:rFonts w:ascii="Arial" w:hAnsi="Arial" w:cs="Arial"/>
                <w:noProof/>
              </w:rPr>
              <w:t>Productos Alternativos o Inversiones Alternativas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109</w:t>
            </w:r>
            <w:r w:rsidRPr="00A768F0">
              <w:rPr>
                <w:rFonts w:ascii="Arial" w:hAnsi="Arial" w:cs="Arial"/>
                <w:noProof/>
                <w:webHidden/>
              </w:rPr>
              <w:fldChar w:fldCharType="end"/>
            </w:r>
          </w:hyperlink>
        </w:p>
        <w:p w14:paraId="23839EC9" w14:textId="1FA65AF6"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3" w:history="1">
            <w:r w:rsidRPr="00A768F0">
              <w:rPr>
                <w:rStyle w:val="Hipervnculo"/>
                <w:rFonts w:ascii="Arial" w:hAnsi="Arial" w:cs="Arial"/>
                <w:noProof/>
              </w:rPr>
              <w:t>4.2.1.</w:t>
            </w:r>
            <w:r w:rsidRPr="00A768F0">
              <w:rPr>
                <w:rFonts w:ascii="Arial" w:eastAsiaTheme="minorEastAsia" w:hAnsi="Arial" w:cs="Arial"/>
                <w:noProof/>
                <w:lang w:val="es-419" w:eastAsia="es-419"/>
              </w:rPr>
              <w:tab/>
            </w:r>
            <w:r w:rsidRPr="00A768F0">
              <w:rPr>
                <w:rStyle w:val="Hipervnculo"/>
                <w:rFonts w:ascii="Arial" w:hAnsi="Arial" w:cs="Arial"/>
                <w:noProof/>
              </w:rPr>
              <w:t>Tipos de Inversiones Alternativas en los Portafolios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110</w:t>
            </w:r>
            <w:r w:rsidRPr="00A768F0">
              <w:rPr>
                <w:rFonts w:ascii="Arial" w:hAnsi="Arial" w:cs="Arial"/>
                <w:noProof/>
                <w:webHidden/>
              </w:rPr>
              <w:fldChar w:fldCharType="end"/>
            </w:r>
          </w:hyperlink>
        </w:p>
        <w:p w14:paraId="0B6F4250" w14:textId="277AABB2"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4" w:history="1">
            <w:r w:rsidRPr="00A768F0">
              <w:rPr>
                <w:rStyle w:val="Hipervnculo"/>
                <w:rFonts w:ascii="Arial" w:hAnsi="Arial" w:cs="Arial"/>
                <w:noProof/>
              </w:rPr>
              <w:t>4.2.2.</w:t>
            </w:r>
            <w:r w:rsidRPr="00A768F0">
              <w:rPr>
                <w:rFonts w:ascii="Arial" w:eastAsiaTheme="minorEastAsia" w:hAnsi="Arial" w:cs="Arial"/>
                <w:noProof/>
                <w:lang w:val="es-419" w:eastAsia="es-419"/>
              </w:rPr>
              <w:tab/>
            </w:r>
            <w:r w:rsidRPr="00A768F0">
              <w:rPr>
                <w:rStyle w:val="Hipervnculo"/>
                <w:rFonts w:ascii="Arial" w:hAnsi="Arial" w:cs="Arial"/>
                <w:noProof/>
              </w:rPr>
              <w:t>Características de las Inversiones Alternativas en los Portafolios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114</w:t>
            </w:r>
            <w:r w:rsidRPr="00A768F0">
              <w:rPr>
                <w:rFonts w:ascii="Arial" w:hAnsi="Arial" w:cs="Arial"/>
                <w:noProof/>
                <w:webHidden/>
              </w:rPr>
              <w:fldChar w:fldCharType="end"/>
            </w:r>
          </w:hyperlink>
        </w:p>
        <w:p w14:paraId="464FC0DE" w14:textId="76C78762"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5" w:history="1">
            <w:r w:rsidRPr="00A768F0">
              <w:rPr>
                <w:rStyle w:val="Hipervnculo"/>
                <w:rFonts w:ascii="Arial" w:hAnsi="Arial" w:cs="Arial"/>
                <w:noProof/>
              </w:rPr>
              <w:t>4.2.3.</w:t>
            </w:r>
            <w:r w:rsidRPr="00A768F0">
              <w:rPr>
                <w:rFonts w:ascii="Arial" w:eastAsiaTheme="minorEastAsia" w:hAnsi="Arial" w:cs="Arial"/>
                <w:noProof/>
                <w:lang w:val="es-419" w:eastAsia="es-419"/>
              </w:rPr>
              <w:tab/>
            </w:r>
            <w:r w:rsidRPr="00A768F0">
              <w:rPr>
                <w:rStyle w:val="Hipervnculo"/>
                <w:rFonts w:ascii="Arial" w:hAnsi="Arial" w:cs="Arial"/>
                <w:noProof/>
              </w:rPr>
              <w:t>Rentabilidad de las Inversiones alternativas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127</w:t>
            </w:r>
            <w:r w:rsidRPr="00A768F0">
              <w:rPr>
                <w:rFonts w:ascii="Arial" w:hAnsi="Arial" w:cs="Arial"/>
                <w:noProof/>
                <w:webHidden/>
              </w:rPr>
              <w:fldChar w:fldCharType="end"/>
            </w:r>
          </w:hyperlink>
        </w:p>
        <w:p w14:paraId="7CA6DB43" w14:textId="5901542B"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56" w:history="1">
            <w:r w:rsidRPr="00A768F0">
              <w:rPr>
                <w:rStyle w:val="Hipervnculo"/>
                <w:rFonts w:ascii="Arial" w:hAnsi="Arial" w:cs="Arial"/>
                <w:noProof/>
              </w:rPr>
              <w:t>4.3.</w:t>
            </w:r>
            <w:r w:rsidRPr="00A768F0">
              <w:rPr>
                <w:rFonts w:ascii="Arial" w:eastAsiaTheme="minorEastAsia" w:hAnsi="Arial" w:cs="Arial"/>
                <w:noProof/>
                <w:lang w:val="es-419" w:eastAsia="es-419"/>
              </w:rPr>
              <w:tab/>
            </w:r>
            <w:r w:rsidRPr="00A768F0">
              <w:rPr>
                <w:rStyle w:val="Hipervnculo"/>
                <w:rFonts w:ascii="Arial" w:hAnsi="Arial" w:cs="Arial"/>
                <w:noProof/>
              </w:rPr>
              <w:t>Normativa Contable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131</w:t>
            </w:r>
            <w:r w:rsidRPr="00A768F0">
              <w:rPr>
                <w:rFonts w:ascii="Arial" w:hAnsi="Arial" w:cs="Arial"/>
                <w:noProof/>
                <w:webHidden/>
              </w:rPr>
              <w:fldChar w:fldCharType="end"/>
            </w:r>
          </w:hyperlink>
        </w:p>
        <w:p w14:paraId="283698A5" w14:textId="5BCC9FF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7" w:history="1">
            <w:r w:rsidRPr="00A768F0">
              <w:rPr>
                <w:rStyle w:val="Hipervnculo"/>
                <w:rFonts w:ascii="Arial" w:hAnsi="Arial" w:cs="Arial"/>
                <w:noProof/>
              </w:rPr>
              <w:t>4.3.1.</w:t>
            </w:r>
            <w:r w:rsidRPr="00A768F0">
              <w:rPr>
                <w:rFonts w:ascii="Arial" w:eastAsiaTheme="minorEastAsia" w:hAnsi="Arial" w:cs="Arial"/>
                <w:noProof/>
                <w:lang w:val="es-419" w:eastAsia="es-419"/>
              </w:rPr>
              <w:tab/>
            </w:r>
            <w:r w:rsidRPr="00A768F0">
              <w:rPr>
                <w:rStyle w:val="Hipervnculo"/>
                <w:rFonts w:ascii="Arial" w:hAnsi="Arial" w:cs="Arial"/>
                <w:noProof/>
              </w:rPr>
              <w:t>Conformidad de la normativa con NIIF 9 y NIC 39</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131</w:t>
            </w:r>
            <w:r w:rsidRPr="00A768F0">
              <w:rPr>
                <w:rFonts w:ascii="Arial" w:hAnsi="Arial" w:cs="Arial"/>
                <w:noProof/>
                <w:webHidden/>
              </w:rPr>
              <w:fldChar w:fldCharType="end"/>
            </w:r>
          </w:hyperlink>
        </w:p>
        <w:p w14:paraId="518ABCCB" w14:textId="019679D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8" w:history="1">
            <w:r w:rsidRPr="00A768F0">
              <w:rPr>
                <w:rStyle w:val="Hipervnculo"/>
                <w:rFonts w:ascii="Arial" w:hAnsi="Arial" w:cs="Arial"/>
                <w:noProof/>
              </w:rPr>
              <w:t>4.3.2.</w:t>
            </w:r>
            <w:r w:rsidRPr="00A768F0">
              <w:rPr>
                <w:rFonts w:ascii="Arial" w:eastAsiaTheme="minorEastAsia" w:hAnsi="Arial" w:cs="Arial"/>
                <w:noProof/>
                <w:lang w:val="es-419" w:eastAsia="es-419"/>
              </w:rPr>
              <w:tab/>
            </w:r>
            <w:r w:rsidRPr="00A768F0">
              <w:rPr>
                <w:rStyle w:val="Hipervnculo"/>
                <w:rFonts w:ascii="Arial" w:hAnsi="Arial" w:cs="Arial"/>
                <w:noProof/>
              </w:rPr>
              <w:t>Identificación de los límites y desafíos de la normativa contable vigente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142</w:t>
            </w:r>
            <w:r w:rsidRPr="00A768F0">
              <w:rPr>
                <w:rFonts w:ascii="Arial" w:hAnsi="Arial" w:cs="Arial"/>
                <w:noProof/>
                <w:webHidden/>
              </w:rPr>
              <w:fldChar w:fldCharType="end"/>
            </w:r>
          </w:hyperlink>
        </w:p>
        <w:p w14:paraId="5279A331" w14:textId="1A9AF4EC"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59" w:history="1">
            <w:r w:rsidRPr="00A768F0">
              <w:rPr>
                <w:rStyle w:val="Hipervnculo"/>
                <w:rFonts w:ascii="Arial" w:hAnsi="Arial" w:cs="Arial"/>
                <w:noProof/>
              </w:rPr>
              <w:t>4.3.3.</w:t>
            </w:r>
            <w:r w:rsidRPr="00A768F0">
              <w:rPr>
                <w:rFonts w:ascii="Arial" w:eastAsiaTheme="minorEastAsia" w:hAnsi="Arial" w:cs="Arial"/>
                <w:noProof/>
                <w:lang w:val="es-419" w:eastAsia="es-419"/>
              </w:rPr>
              <w:tab/>
            </w:r>
            <w:r w:rsidRPr="00A768F0">
              <w:rPr>
                <w:rStyle w:val="Hipervnculo"/>
                <w:rFonts w:ascii="Arial" w:hAnsi="Arial" w:cs="Arial"/>
                <w:noProof/>
              </w:rPr>
              <w:t>Eficiencia de la implementación de las normativas contables en los Fondos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_Toc201832459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169</w:t>
            </w:r>
            <w:r w:rsidRPr="00A768F0">
              <w:rPr>
                <w:rFonts w:ascii="Arial" w:hAnsi="Arial" w:cs="Arial"/>
                <w:noProof/>
                <w:webHidden/>
              </w:rPr>
              <w:fldChar w:fldCharType="end"/>
            </w:r>
          </w:hyperlink>
        </w:p>
        <w:p w14:paraId="1F767AC6" w14:textId="73AC2E90"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60" w:history="1">
            <w:r w:rsidRPr="00A768F0">
              <w:rPr>
                <w:rStyle w:val="Hipervnculo"/>
                <w:rFonts w:ascii="Arial" w:eastAsia="Times New Roman" w:hAnsi="Arial" w:cs="Arial"/>
                <w:noProof/>
                <w:kern w:val="36"/>
                <w:lang w:eastAsia="es-CR"/>
                <w14:ligatures w14:val="none"/>
              </w:rPr>
              <w:t>CAPÍTULO V. CONCLUSIONES Y RECOMENDACIONES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178</w:t>
            </w:r>
            <w:r w:rsidRPr="00A768F0">
              <w:rPr>
                <w:rFonts w:ascii="Arial" w:hAnsi="Arial" w:cs="Arial"/>
                <w:noProof/>
                <w:webHidden/>
              </w:rPr>
              <w:fldChar w:fldCharType="end"/>
            </w:r>
          </w:hyperlink>
        </w:p>
        <w:p w14:paraId="1F50CDF5" w14:textId="58B7D3C1"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61" w:history="1">
            <w:r w:rsidRPr="00A768F0">
              <w:rPr>
                <w:rStyle w:val="Hipervnculo"/>
                <w:rFonts w:ascii="Arial" w:hAnsi="Arial" w:cs="Arial"/>
                <w:noProof/>
              </w:rPr>
              <w:t>5.</w:t>
            </w:r>
            <w:r w:rsidRPr="00A768F0">
              <w:rPr>
                <w:rFonts w:ascii="Arial" w:eastAsiaTheme="minorEastAsia" w:hAnsi="Arial" w:cs="Arial"/>
                <w:noProof/>
                <w:lang w:val="es-419" w:eastAsia="es-419"/>
              </w:rPr>
              <w:tab/>
            </w:r>
            <w:r w:rsidRPr="00A768F0">
              <w:rPr>
                <w:rStyle w:val="Hipervnculo"/>
                <w:rFonts w:ascii="Arial" w:hAnsi="Arial" w:cs="Arial"/>
                <w:noProof/>
              </w:rPr>
              <w:t>Capitulo V: Conclusiones Y Recomendaciones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179</w:t>
            </w:r>
            <w:r w:rsidRPr="00A768F0">
              <w:rPr>
                <w:rFonts w:ascii="Arial" w:hAnsi="Arial" w:cs="Arial"/>
                <w:noProof/>
                <w:webHidden/>
              </w:rPr>
              <w:fldChar w:fldCharType="end"/>
            </w:r>
          </w:hyperlink>
        </w:p>
        <w:p w14:paraId="79F9E32D" w14:textId="7994F45A"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62" w:history="1">
            <w:r w:rsidRPr="00A768F0">
              <w:rPr>
                <w:rStyle w:val="Hipervnculo"/>
                <w:rFonts w:ascii="Arial" w:hAnsi="Arial" w:cs="Arial"/>
                <w:noProof/>
              </w:rPr>
              <w:t>5.1.</w:t>
            </w:r>
            <w:r w:rsidRPr="00A768F0">
              <w:rPr>
                <w:rFonts w:ascii="Arial" w:eastAsiaTheme="minorEastAsia" w:hAnsi="Arial" w:cs="Arial"/>
                <w:noProof/>
                <w:lang w:val="es-419" w:eastAsia="es-419"/>
              </w:rPr>
              <w:tab/>
            </w:r>
            <w:r w:rsidRPr="00A768F0">
              <w:rPr>
                <w:rStyle w:val="Hipervnculo"/>
                <w:rFonts w:ascii="Arial" w:hAnsi="Arial" w:cs="Arial"/>
                <w:noProof/>
              </w:rPr>
              <w:t>Conclusiones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179</w:t>
            </w:r>
            <w:r w:rsidRPr="00A768F0">
              <w:rPr>
                <w:rFonts w:ascii="Arial" w:hAnsi="Arial" w:cs="Arial"/>
                <w:noProof/>
                <w:webHidden/>
              </w:rPr>
              <w:fldChar w:fldCharType="end"/>
            </w:r>
          </w:hyperlink>
        </w:p>
        <w:p w14:paraId="028D37E0" w14:textId="5AAD1C2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3" w:history="1">
            <w:r w:rsidRPr="00A768F0">
              <w:rPr>
                <w:rStyle w:val="Hipervnculo"/>
                <w:rFonts w:ascii="Arial" w:hAnsi="Arial" w:cs="Arial"/>
                <w:noProof/>
              </w:rPr>
              <w:t>5.1.1.</w:t>
            </w:r>
            <w:r w:rsidRPr="00A768F0">
              <w:rPr>
                <w:rFonts w:ascii="Arial" w:eastAsiaTheme="minorEastAsia" w:hAnsi="Arial" w:cs="Arial"/>
                <w:noProof/>
                <w:lang w:val="es-419" w:eastAsia="es-419"/>
              </w:rPr>
              <w:tab/>
            </w:r>
            <w:r w:rsidRPr="00A768F0">
              <w:rPr>
                <w:rStyle w:val="Hipervnculo"/>
                <w:rFonts w:ascii="Arial" w:hAnsi="Arial" w:cs="Arial"/>
                <w:noProof/>
                <w:lang w:val="es-MX"/>
              </w:rPr>
              <w:t xml:space="preserve">Objetivo general: </w:t>
            </w:r>
            <w:r w:rsidRPr="00A768F0">
              <w:rPr>
                <w:rStyle w:val="Hipervnculo"/>
                <w:rFonts w:ascii="Arial" w:hAnsi="Arial" w:cs="Arial"/>
                <w:noProof/>
              </w:rPr>
              <w:t>Desarrollar una propuesta de registro contable para productos de inversión alternativos en los portafolios de pensiones costarricenses, alineada con las normativas nacionales e internacionales, que facilite la supervisión, valoración y gestión de riesgos por parte de las autoridades y operadores del sistema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179</w:t>
            </w:r>
            <w:r w:rsidRPr="00A768F0">
              <w:rPr>
                <w:rFonts w:ascii="Arial" w:hAnsi="Arial" w:cs="Arial"/>
                <w:noProof/>
                <w:webHidden/>
              </w:rPr>
              <w:fldChar w:fldCharType="end"/>
            </w:r>
          </w:hyperlink>
        </w:p>
        <w:p w14:paraId="7EA55008" w14:textId="77F1F678"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4" w:history="1">
            <w:r w:rsidRPr="00A768F0">
              <w:rPr>
                <w:rStyle w:val="Hipervnculo"/>
                <w:rFonts w:ascii="Arial" w:hAnsi="Arial" w:cs="Arial"/>
                <w:noProof/>
              </w:rPr>
              <w:t>5.1.2.</w:t>
            </w:r>
            <w:r w:rsidRPr="00A768F0">
              <w:rPr>
                <w:rFonts w:ascii="Arial" w:eastAsiaTheme="minorEastAsia" w:hAnsi="Arial" w:cs="Arial"/>
                <w:noProof/>
                <w:lang w:val="es-419" w:eastAsia="es-419"/>
              </w:rPr>
              <w:tab/>
            </w:r>
            <w:r w:rsidRPr="00A768F0">
              <w:rPr>
                <w:rStyle w:val="Hipervnculo"/>
                <w:rFonts w:ascii="Arial" w:hAnsi="Arial" w:cs="Arial"/>
                <w:noProof/>
              </w:rPr>
              <w:t xml:space="preserve">Objetivo 1: </w:t>
            </w:r>
            <w:r w:rsidRPr="00A768F0">
              <w:rPr>
                <w:rStyle w:val="Hipervnculo"/>
                <w:rFonts w:ascii="Arial" w:hAnsi="Arial" w:cs="Arial"/>
                <w:noProof/>
                <w:lang w:val="es-MX"/>
              </w:rPr>
              <w:t>Investigar los productos financieros de deuda, acciones y alternativos para comprender sus características principales y su impacto en las estrategias de inversión.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179</w:t>
            </w:r>
            <w:r w:rsidRPr="00A768F0">
              <w:rPr>
                <w:rFonts w:ascii="Arial" w:hAnsi="Arial" w:cs="Arial"/>
                <w:noProof/>
                <w:webHidden/>
              </w:rPr>
              <w:fldChar w:fldCharType="end"/>
            </w:r>
          </w:hyperlink>
        </w:p>
        <w:p w14:paraId="26FC43F0" w14:textId="68101B3C"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5" w:history="1">
            <w:r w:rsidRPr="00A768F0">
              <w:rPr>
                <w:rStyle w:val="Hipervnculo"/>
                <w:rFonts w:ascii="Arial" w:hAnsi="Arial" w:cs="Arial"/>
                <w:noProof/>
              </w:rPr>
              <w:t>5.1.3.</w:t>
            </w:r>
            <w:r w:rsidRPr="00A768F0">
              <w:rPr>
                <w:rFonts w:ascii="Arial" w:eastAsiaTheme="minorEastAsia" w:hAnsi="Arial" w:cs="Arial"/>
                <w:noProof/>
                <w:lang w:val="es-419" w:eastAsia="es-419"/>
              </w:rPr>
              <w:tab/>
            </w:r>
            <w:r w:rsidRPr="00A768F0">
              <w:rPr>
                <w:rStyle w:val="Hipervnculo"/>
                <w:rFonts w:ascii="Arial" w:hAnsi="Arial" w:cs="Arial"/>
                <w:noProof/>
              </w:rPr>
              <w:t>Objetivo 2: Identificar las inversiones alternativas que forman parte de los portafolios de los fondos de pensiones en Costa Rica para la clasificación de éstas según su naturaleza y características.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182</w:t>
            </w:r>
            <w:r w:rsidRPr="00A768F0">
              <w:rPr>
                <w:rFonts w:ascii="Arial" w:hAnsi="Arial" w:cs="Arial"/>
                <w:noProof/>
                <w:webHidden/>
              </w:rPr>
              <w:fldChar w:fldCharType="end"/>
            </w:r>
          </w:hyperlink>
        </w:p>
        <w:p w14:paraId="36C71080" w14:textId="737D68BB"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6" w:history="1">
            <w:r w:rsidRPr="00A768F0">
              <w:rPr>
                <w:rStyle w:val="Hipervnculo"/>
                <w:rFonts w:ascii="Arial" w:hAnsi="Arial" w:cs="Arial"/>
                <w:noProof/>
              </w:rPr>
              <w:t>5.1.4.</w:t>
            </w:r>
            <w:r w:rsidRPr="00A768F0">
              <w:rPr>
                <w:rFonts w:ascii="Arial" w:eastAsiaTheme="minorEastAsia" w:hAnsi="Arial" w:cs="Arial"/>
                <w:noProof/>
                <w:lang w:val="es-419" w:eastAsia="es-419"/>
              </w:rPr>
              <w:tab/>
            </w:r>
            <w:r w:rsidRPr="00A768F0">
              <w:rPr>
                <w:rStyle w:val="Hipervnculo"/>
                <w:rFonts w:ascii="Arial" w:hAnsi="Arial" w:cs="Arial"/>
                <w:noProof/>
              </w:rPr>
              <w:t>Objetivo 3: Examinar la normativa vigente relacionada con la contabilidad y la gestión de fondos de pensiones en Costa Rica, así como los lineamientos de NIIF 9 y NIC 39, para la identificación de los tipos de registros contables y su ajuste según la normativa costarricense.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184</w:t>
            </w:r>
            <w:r w:rsidRPr="00A768F0">
              <w:rPr>
                <w:rFonts w:ascii="Arial" w:hAnsi="Arial" w:cs="Arial"/>
                <w:noProof/>
                <w:webHidden/>
              </w:rPr>
              <w:fldChar w:fldCharType="end"/>
            </w:r>
          </w:hyperlink>
        </w:p>
        <w:p w14:paraId="0DD0CED4" w14:textId="6786EFA4"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7" w:history="1">
            <w:r w:rsidRPr="00A768F0">
              <w:rPr>
                <w:rStyle w:val="Hipervnculo"/>
                <w:rFonts w:ascii="Arial" w:hAnsi="Arial" w:cs="Arial"/>
                <w:noProof/>
              </w:rPr>
              <w:t>5.1.5.</w:t>
            </w:r>
            <w:r w:rsidRPr="00A768F0">
              <w:rPr>
                <w:rFonts w:ascii="Arial" w:eastAsiaTheme="minorEastAsia" w:hAnsi="Arial" w:cs="Arial"/>
                <w:noProof/>
                <w:lang w:val="es-419" w:eastAsia="es-419"/>
              </w:rPr>
              <w:tab/>
            </w:r>
            <w:r w:rsidRPr="00A768F0">
              <w:rPr>
                <w:rStyle w:val="Hipervnculo"/>
                <w:rFonts w:ascii="Arial" w:hAnsi="Arial" w:cs="Arial"/>
                <w:noProof/>
              </w:rPr>
              <w:t>Conclusión General</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186</w:t>
            </w:r>
            <w:r w:rsidRPr="00A768F0">
              <w:rPr>
                <w:rFonts w:ascii="Arial" w:hAnsi="Arial" w:cs="Arial"/>
                <w:noProof/>
                <w:webHidden/>
              </w:rPr>
              <w:fldChar w:fldCharType="end"/>
            </w:r>
          </w:hyperlink>
        </w:p>
        <w:p w14:paraId="1E9B43B4" w14:textId="3FC0A99A"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68" w:history="1">
            <w:r w:rsidRPr="00A768F0">
              <w:rPr>
                <w:rStyle w:val="Hipervnculo"/>
                <w:rFonts w:ascii="Arial" w:hAnsi="Arial" w:cs="Arial"/>
                <w:noProof/>
              </w:rPr>
              <w:t>5.2.</w:t>
            </w:r>
            <w:r w:rsidRPr="00A768F0">
              <w:rPr>
                <w:rFonts w:ascii="Arial" w:eastAsiaTheme="minorEastAsia" w:hAnsi="Arial" w:cs="Arial"/>
                <w:noProof/>
                <w:lang w:val="es-419" w:eastAsia="es-419"/>
              </w:rPr>
              <w:tab/>
            </w:r>
            <w:r w:rsidRPr="00A768F0">
              <w:rPr>
                <w:rStyle w:val="Hipervnculo"/>
                <w:rFonts w:ascii="Arial" w:hAnsi="Arial" w:cs="Arial"/>
                <w:noProof/>
              </w:rPr>
              <w:t>Recomendaciones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187</w:t>
            </w:r>
            <w:r w:rsidRPr="00A768F0">
              <w:rPr>
                <w:rFonts w:ascii="Arial" w:hAnsi="Arial" w:cs="Arial"/>
                <w:noProof/>
                <w:webHidden/>
              </w:rPr>
              <w:fldChar w:fldCharType="end"/>
            </w:r>
          </w:hyperlink>
        </w:p>
        <w:p w14:paraId="45811C11" w14:textId="2DF4204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69" w:history="1">
            <w:r w:rsidRPr="00A768F0">
              <w:rPr>
                <w:rStyle w:val="Hipervnculo"/>
                <w:rFonts w:ascii="Arial" w:hAnsi="Arial" w:cs="Arial"/>
                <w:noProof/>
              </w:rPr>
              <w:t>5.2.1.</w:t>
            </w:r>
            <w:r w:rsidRPr="00A768F0">
              <w:rPr>
                <w:rFonts w:ascii="Arial" w:eastAsiaTheme="minorEastAsia" w:hAnsi="Arial" w:cs="Arial"/>
                <w:noProof/>
                <w:lang w:val="es-419" w:eastAsia="es-419"/>
              </w:rPr>
              <w:tab/>
            </w:r>
            <w:r w:rsidRPr="00A768F0">
              <w:rPr>
                <w:rStyle w:val="Hipervnculo"/>
                <w:rFonts w:ascii="Arial" w:hAnsi="Arial" w:cs="Arial"/>
                <w:noProof/>
                <w:lang w:val="es-MX"/>
              </w:rPr>
              <w:t xml:space="preserve">Objetivo general: </w:t>
            </w:r>
            <w:r w:rsidRPr="00A768F0">
              <w:rPr>
                <w:rStyle w:val="Hipervnculo"/>
                <w:rFonts w:ascii="Arial" w:hAnsi="Arial" w:cs="Arial"/>
                <w:noProof/>
              </w:rPr>
              <w:t xml:space="preserve">Desarrollar una propuesta de registro contable para productos de inversión alternativos en los portafolios de pensiones costarricenses, alineada con las normativas nacionales e internacionales, que </w:t>
            </w:r>
            <w:r w:rsidRPr="00A768F0">
              <w:rPr>
                <w:rStyle w:val="Hipervnculo"/>
                <w:rFonts w:ascii="Arial" w:hAnsi="Arial" w:cs="Arial"/>
                <w:noProof/>
              </w:rPr>
              <w:lastRenderedPageBreak/>
              <w:t>facilite la supervisión, valoración y gestión de riesgos por parte de las autoridades y operadores del sistema de pensiones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_Toc201832469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187</w:t>
            </w:r>
            <w:r w:rsidRPr="00A768F0">
              <w:rPr>
                <w:rFonts w:ascii="Arial" w:hAnsi="Arial" w:cs="Arial"/>
                <w:noProof/>
                <w:webHidden/>
              </w:rPr>
              <w:fldChar w:fldCharType="end"/>
            </w:r>
          </w:hyperlink>
        </w:p>
        <w:p w14:paraId="051EA38D" w14:textId="7AC868C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0" w:history="1">
            <w:r w:rsidRPr="00A768F0">
              <w:rPr>
                <w:rStyle w:val="Hipervnculo"/>
                <w:rFonts w:ascii="Arial" w:hAnsi="Arial" w:cs="Arial"/>
                <w:noProof/>
              </w:rPr>
              <w:t>5.2.2.</w:t>
            </w:r>
            <w:r w:rsidRPr="00A768F0">
              <w:rPr>
                <w:rFonts w:ascii="Arial" w:eastAsiaTheme="minorEastAsia" w:hAnsi="Arial" w:cs="Arial"/>
                <w:noProof/>
                <w:lang w:val="es-419" w:eastAsia="es-419"/>
              </w:rPr>
              <w:tab/>
            </w:r>
            <w:r w:rsidRPr="00A768F0">
              <w:rPr>
                <w:rStyle w:val="Hipervnculo"/>
                <w:rFonts w:ascii="Arial" w:hAnsi="Arial" w:cs="Arial"/>
                <w:noProof/>
              </w:rPr>
              <w:t>Objetivo 1: Investigar los productos financieros de deuda, acciones y alternativos para comprender sus características principales y su impacto en las estrategias de inversión.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188</w:t>
            </w:r>
            <w:r w:rsidRPr="00A768F0">
              <w:rPr>
                <w:rFonts w:ascii="Arial" w:hAnsi="Arial" w:cs="Arial"/>
                <w:noProof/>
                <w:webHidden/>
              </w:rPr>
              <w:fldChar w:fldCharType="end"/>
            </w:r>
          </w:hyperlink>
        </w:p>
        <w:p w14:paraId="037516DE" w14:textId="6ECFF81B"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1" w:history="1">
            <w:r w:rsidRPr="00A768F0">
              <w:rPr>
                <w:rStyle w:val="Hipervnculo"/>
                <w:rFonts w:ascii="Arial" w:hAnsi="Arial" w:cs="Arial"/>
                <w:noProof/>
              </w:rPr>
              <w:t>5.2.3.</w:t>
            </w:r>
            <w:r w:rsidRPr="00A768F0">
              <w:rPr>
                <w:rFonts w:ascii="Arial" w:eastAsiaTheme="minorEastAsia" w:hAnsi="Arial" w:cs="Arial"/>
                <w:noProof/>
                <w:lang w:val="es-419" w:eastAsia="es-419"/>
              </w:rPr>
              <w:tab/>
            </w:r>
            <w:r w:rsidRPr="00A768F0">
              <w:rPr>
                <w:rStyle w:val="Hipervnculo"/>
                <w:rFonts w:ascii="Arial" w:hAnsi="Arial" w:cs="Arial"/>
                <w:noProof/>
              </w:rPr>
              <w:t>Objetivo 2: Identificar las inversiones alternativas que forman parte de los portafolios de los fondos de pensiones en Costa Rica para la clasificación de éstas según su naturaleza y características.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191</w:t>
            </w:r>
            <w:r w:rsidRPr="00A768F0">
              <w:rPr>
                <w:rFonts w:ascii="Arial" w:hAnsi="Arial" w:cs="Arial"/>
                <w:noProof/>
                <w:webHidden/>
              </w:rPr>
              <w:fldChar w:fldCharType="end"/>
            </w:r>
          </w:hyperlink>
        </w:p>
        <w:p w14:paraId="3DFAF06E" w14:textId="0BE6D326"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2" w:history="1">
            <w:r w:rsidRPr="00A768F0">
              <w:rPr>
                <w:rStyle w:val="Hipervnculo"/>
                <w:rFonts w:ascii="Arial" w:hAnsi="Arial" w:cs="Arial"/>
                <w:noProof/>
              </w:rPr>
              <w:t>5.2.4.</w:t>
            </w:r>
            <w:r w:rsidRPr="00A768F0">
              <w:rPr>
                <w:rFonts w:ascii="Arial" w:eastAsiaTheme="minorEastAsia" w:hAnsi="Arial" w:cs="Arial"/>
                <w:noProof/>
                <w:lang w:val="es-419" w:eastAsia="es-419"/>
              </w:rPr>
              <w:tab/>
            </w:r>
            <w:r w:rsidRPr="00A768F0">
              <w:rPr>
                <w:rStyle w:val="Hipervnculo"/>
                <w:rFonts w:ascii="Arial" w:hAnsi="Arial" w:cs="Arial"/>
                <w:noProof/>
              </w:rPr>
              <w:t>Objetivo 3: Examinar la normativa vigente relacionada con la contabilidad y la gestión de fondos de pensiones en Costa Rica, así como los lineamientos de NIIF 9 y NIC 39, para la identificación de los tipos de registros contables y su ajuste según la normativa costarricense.</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193</w:t>
            </w:r>
            <w:r w:rsidRPr="00A768F0">
              <w:rPr>
                <w:rFonts w:ascii="Arial" w:hAnsi="Arial" w:cs="Arial"/>
                <w:noProof/>
                <w:webHidden/>
              </w:rPr>
              <w:fldChar w:fldCharType="end"/>
            </w:r>
          </w:hyperlink>
        </w:p>
        <w:p w14:paraId="5EE68520" w14:textId="5D537A78"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3" w:history="1">
            <w:r w:rsidRPr="00A768F0">
              <w:rPr>
                <w:rStyle w:val="Hipervnculo"/>
                <w:rFonts w:ascii="Arial" w:hAnsi="Arial" w:cs="Arial"/>
                <w:noProof/>
              </w:rPr>
              <w:t>5.2.5.</w:t>
            </w:r>
            <w:r w:rsidRPr="00A768F0">
              <w:rPr>
                <w:rFonts w:ascii="Arial" w:eastAsiaTheme="minorEastAsia" w:hAnsi="Arial" w:cs="Arial"/>
                <w:noProof/>
                <w:lang w:val="es-419" w:eastAsia="es-419"/>
              </w:rPr>
              <w:tab/>
            </w:r>
            <w:r w:rsidRPr="00A768F0">
              <w:rPr>
                <w:rStyle w:val="Hipervnculo"/>
                <w:rFonts w:ascii="Arial" w:hAnsi="Arial" w:cs="Arial"/>
                <w:noProof/>
              </w:rPr>
              <w:t>Recomendaciones Generales: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197</w:t>
            </w:r>
            <w:r w:rsidRPr="00A768F0">
              <w:rPr>
                <w:rFonts w:ascii="Arial" w:hAnsi="Arial" w:cs="Arial"/>
                <w:noProof/>
                <w:webHidden/>
              </w:rPr>
              <w:fldChar w:fldCharType="end"/>
            </w:r>
          </w:hyperlink>
        </w:p>
        <w:p w14:paraId="4C8DFC4F" w14:textId="7A03D708"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74" w:history="1">
            <w:r w:rsidRPr="00A768F0">
              <w:rPr>
                <w:rStyle w:val="Hipervnculo"/>
                <w:rFonts w:ascii="Arial" w:hAnsi="Arial" w:cs="Arial"/>
                <w:noProof/>
              </w:rPr>
              <w:t>5.3.</w:t>
            </w:r>
            <w:r w:rsidRPr="00A768F0">
              <w:rPr>
                <w:rFonts w:ascii="Arial" w:eastAsiaTheme="minorEastAsia" w:hAnsi="Arial" w:cs="Arial"/>
                <w:noProof/>
                <w:lang w:val="es-419" w:eastAsia="es-419"/>
              </w:rPr>
              <w:tab/>
            </w:r>
            <w:r w:rsidRPr="00A768F0">
              <w:rPr>
                <w:rStyle w:val="Hipervnculo"/>
                <w:rFonts w:ascii="Arial" w:hAnsi="Arial" w:cs="Arial"/>
                <w:noProof/>
              </w:rPr>
              <w:t>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197</w:t>
            </w:r>
            <w:r w:rsidRPr="00A768F0">
              <w:rPr>
                <w:rFonts w:ascii="Arial" w:hAnsi="Arial" w:cs="Arial"/>
                <w:noProof/>
                <w:webHidden/>
              </w:rPr>
              <w:fldChar w:fldCharType="end"/>
            </w:r>
          </w:hyperlink>
        </w:p>
        <w:p w14:paraId="7E153AD0" w14:textId="155C8793"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5" w:history="1">
            <w:r w:rsidRPr="00A768F0">
              <w:rPr>
                <w:rStyle w:val="Hipervnculo"/>
                <w:rFonts w:ascii="Arial" w:hAnsi="Arial" w:cs="Arial"/>
                <w:noProof/>
              </w:rPr>
              <w:t>5.3.1.</w:t>
            </w:r>
            <w:r w:rsidRPr="00A768F0">
              <w:rPr>
                <w:rFonts w:ascii="Arial" w:eastAsiaTheme="minorEastAsia" w:hAnsi="Arial" w:cs="Arial"/>
                <w:noProof/>
                <w:lang w:val="es-419" w:eastAsia="es-419"/>
              </w:rPr>
              <w:tab/>
            </w:r>
            <w:r w:rsidRPr="00A768F0">
              <w:rPr>
                <w:rStyle w:val="Hipervnculo"/>
                <w:rFonts w:ascii="Arial" w:hAnsi="Arial" w:cs="Arial"/>
                <w:noProof/>
              </w:rPr>
              <w:t>Nombre de la 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197</w:t>
            </w:r>
            <w:r w:rsidRPr="00A768F0">
              <w:rPr>
                <w:rFonts w:ascii="Arial" w:hAnsi="Arial" w:cs="Arial"/>
                <w:noProof/>
                <w:webHidden/>
              </w:rPr>
              <w:fldChar w:fldCharType="end"/>
            </w:r>
          </w:hyperlink>
        </w:p>
        <w:p w14:paraId="0F7E2EC8" w14:textId="70599F01"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6" w:history="1">
            <w:r w:rsidRPr="00A768F0">
              <w:rPr>
                <w:rStyle w:val="Hipervnculo"/>
                <w:rFonts w:ascii="Arial" w:hAnsi="Arial" w:cs="Arial"/>
                <w:noProof/>
                <w:lang w:val="es-MX"/>
              </w:rPr>
              <w:t>5.3.2.</w:t>
            </w:r>
            <w:r w:rsidRPr="00A768F0">
              <w:rPr>
                <w:rFonts w:ascii="Arial" w:eastAsiaTheme="minorEastAsia" w:hAnsi="Arial" w:cs="Arial"/>
                <w:noProof/>
                <w:lang w:val="es-419" w:eastAsia="es-419"/>
              </w:rPr>
              <w:tab/>
            </w:r>
            <w:r w:rsidRPr="00A768F0">
              <w:rPr>
                <w:rStyle w:val="Hipervnculo"/>
                <w:rFonts w:ascii="Arial" w:hAnsi="Arial" w:cs="Arial"/>
                <w:noProof/>
                <w:lang w:val="es-MX"/>
              </w:rPr>
              <w:t>Justificación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198</w:t>
            </w:r>
            <w:r w:rsidRPr="00A768F0">
              <w:rPr>
                <w:rFonts w:ascii="Arial" w:hAnsi="Arial" w:cs="Arial"/>
                <w:noProof/>
                <w:webHidden/>
              </w:rPr>
              <w:fldChar w:fldCharType="end"/>
            </w:r>
          </w:hyperlink>
        </w:p>
        <w:p w14:paraId="76D573D0" w14:textId="60AFE30A"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7" w:history="1">
            <w:r w:rsidRPr="00A768F0">
              <w:rPr>
                <w:rStyle w:val="Hipervnculo"/>
                <w:rFonts w:ascii="Arial" w:hAnsi="Arial" w:cs="Arial"/>
                <w:noProof/>
              </w:rPr>
              <w:t>5.3.3.</w:t>
            </w:r>
            <w:r w:rsidRPr="00A768F0">
              <w:rPr>
                <w:rFonts w:ascii="Arial" w:eastAsiaTheme="minorEastAsia" w:hAnsi="Arial" w:cs="Arial"/>
                <w:noProof/>
                <w:lang w:val="es-419" w:eastAsia="es-419"/>
              </w:rPr>
              <w:tab/>
            </w:r>
            <w:r w:rsidRPr="00A768F0">
              <w:rPr>
                <w:rStyle w:val="Hipervnculo"/>
                <w:rFonts w:ascii="Arial" w:hAnsi="Arial" w:cs="Arial"/>
                <w:noProof/>
              </w:rPr>
              <w:t>Objetivos de la 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199</w:t>
            </w:r>
            <w:r w:rsidRPr="00A768F0">
              <w:rPr>
                <w:rFonts w:ascii="Arial" w:hAnsi="Arial" w:cs="Arial"/>
                <w:noProof/>
                <w:webHidden/>
              </w:rPr>
              <w:fldChar w:fldCharType="end"/>
            </w:r>
          </w:hyperlink>
        </w:p>
        <w:p w14:paraId="75C8E580" w14:textId="35F8B89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8" w:history="1">
            <w:r w:rsidRPr="00A768F0">
              <w:rPr>
                <w:rStyle w:val="Hipervnculo"/>
                <w:rFonts w:ascii="Arial" w:hAnsi="Arial" w:cs="Arial"/>
                <w:noProof/>
              </w:rPr>
              <w:t>5.3.4.</w:t>
            </w:r>
            <w:r w:rsidRPr="00A768F0">
              <w:rPr>
                <w:rFonts w:ascii="Arial" w:eastAsiaTheme="minorEastAsia" w:hAnsi="Arial" w:cs="Arial"/>
                <w:noProof/>
                <w:lang w:val="es-419" w:eastAsia="es-419"/>
              </w:rPr>
              <w:tab/>
            </w:r>
            <w:r w:rsidRPr="00A768F0">
              <w:rPr>
                <w:rStyle w:val="Hipervnculo"/>
                <w:rFonts w:ascii="Arial" w:hAnsi="Arial" w:cs="Arial"/>
                <w:noProof/>
              </w:rPr>
              <w:t>Metodología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200</w:t>
            </w:r>
            <w:r w:rsidRPr="00A768F0">
              <w:rPr>
                <w:rFonts w:ascii="Arial" w:hAnsi="Arial" w:cs="Arial"/>
                <w:noProof/>
                <w:webHidden/>
              </w:rPr>
              <w:fldChar w:fldCharType="end"/>
            </w:r>
          </w:hyperlink>
        </w:p>
        <w:p w14:paraId="371951EB" w14:textId="5C48297C"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79" w:history="1">
            <w:r w:rsidRPr="00A768F0">
              <w:rPr>
                <w:rStyle w:val="Hipervnculo"/>
                <w:rFonts w:ascii="Arial" w:hAnsi="Arial" w:cs="Arial"/>
                <w:noProof/>
              </w:rPr>
              <w:t>5.3.5.</w:t>
            </w:r>
            <w:r w:rsidRPr="00A768F0">
              <w:rPr>
                <w:rFonts w:ascii="Arial" w:eastAsiaTheme="minorEastAsia" w:hAnsi="Arial" w:cs="Arial"/>
                <w:noProof/>
                <w:lang w:val="es-419" w:eastAsia="es-419"/>
              </w:rPr>
              <w:tab/>
            </w:r>
            <w:r w:rsidRPr="00A768F0">
              <w:rPr>
                <w:rStyle w:val="Hipervnculo"/>
                <w:rFonts w:ascii="Arial" w:hAnsi="Arial" w:cs="Arial"/>
                <w:noProof/>
              </w:rPr>
              <w:t>Responsables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_Toc201832479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208</w:t>
            </w:r>
            <w:r w:rsidRPr="00A768F0">
              <w:rPr>
                <w:rFonts w:ascii="Arial" w:hAnsi="Arial" w:cs="Arial"/>
                <w:noProof/>
                <w:webHidden/>
              </w:rPr>
              <w:fldChar w:fldCharType="end"/>
            </w:r>
          </w:hyperlink>
        </w:p>
        <w:p w14:paraId="616865EE" w14:textId="7239D8DE"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80" w:history="1">
            <w:r w:rsidRPr="00A768F0">
              <w:rPr>
                <w:rStyle w:val="Hipervnculo"/>
                <w:rFonts w:ascii="Arial" w:hAnsi="Arial" w:cs="Arial"/>
                <w:noProof/>
              </w:rPr>
              <w:t>5.3.6.</w:t>
            </w:r>
            <w:r w:rsidRPr="00A768F0">
              <w:rPr>
                <w:rFonts w:ascii="Arial" w:eastAsiaTheme="minorEastAsia" w:hAnsi="Arial" w:cs="Arial"/>
                <w:noProof/>
                <w:lang w:val="es-419" w:eastAsia="es-419"/>
              </w:rPr>
              <w:tab/>
            </w:r>
            <w:r w:rsidRPr="00A768F0">
              <w:rPr>
                <w:rStyle w:val="Hipervnculo"/>
                <w:rFonts w:ascii="Arial" w:hAnsi="Arial" w:cs="Arial"/>
                <w:noProof/>
              </w:rPr>
              <w:t>Desarrollo de 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208</w:t>
            </w:r>
            <w:r w:rsidRPr="00A768F0">
              <w:rPr>
                <w:rFonts w:ascii="Arial" w:hAnsi="Arial" w:cs="Arial"/>
                <w:noProof/>
                <w:webHidden/>
              </w:rPr>
              <w:fldChar w:fldCharType="end"/>
            </w:r>
          </w:hyperlink>
        </w:p>
        <w:p w14:paraId="7D1B5930" w14:textId="61C38DE0"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81" w:history="1">
            <w:r w:rsidRPr="00A768F0">
              <w:rPr>
                <w:rStyle w:val="Hipervnculo"/>
                <w:rFonts w:ascii="Arial" w:hAnsi="Arial" w:cs="Arial"/>
                <w:noProof/>
              </w:rPr>
              <w:t>5.3.7.</w:t>
            </w:r>
            <w:r w:rsidRPr="00A768F0">
              <w:rPr>
                <w:rFonts w:ascii="Arial" w:eastAsiaTheme="minorEastAsia" w:hAnsi="Arial" w:cs="Arial"/>
                <w:noProof/>
                <w:lang w:val="es-419" w:eastAsia="es-419"/>
              </w:rPr>
              <w:tab/>
            </w:r>
            <w:r w:rsidRPr="00A768F0">
              <w:rPr>
                <w:rStyle w:val="Hipervnculo"/>
                <w:rFonts w:ascii="Arial" w:hAnsi="Arial" w:cs="Arial"/>
                <w:noProof/>
              </w:rPr>
              <w:t>Simulación</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_Toc201832481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217</w:t>
            </w:r>
            <w:r w:rsidRPr="00A768F0">
              <w:rPr>
                <w:rFonts w:ascii="Arial" w:hAnsi="Arial" w:cs="Arial"/>
                <w:noProof/>
                <w:webHidden/>
              </w:rPr>
              <w:fldChar w:fldCharType="end"/>
            </w:r>
          </w:hyperlink>
        </w:p>
        <w:p w14:paraId="1D397EB3" w14:textId="3345C5DA"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82" w:history="1">
            <w:r w:rsidRPr="00A768F0">
              <w:rPr>
                <w:rStyle w:val="Hipervnculo"/>
                <w:rFonts w:ascii="Arial" w:hAnsi="Arial" w:cs="Arial"/>
                <w:noProof/>
              </w:rPr>
              <w:t>5.3.8.</w:t>
            </w:r>
            <w:r w:rsidRPr="00A768F0">
              <w:rPr>
                <w:rFonts w:ascii="Arial" w:eastAsiaTheme="minorEastAsia" w:hAnsi="Arial" w:cs="Arial"/>
                <w:noProof/>
                <w:lang w:val="es-419" w:eastAsia="es-419"/>
              </w:rPr>
              <w:tab/>
            </w:r>
            <w:r w:rsidRPr="00A768F0">
              <w:rPr>
                <w:rStyle w:val="Hipervnculo"/>
                <w:rFonts w:ascii="Arial" w:hAnsi="Arial" w:cs="Arial"/>
                <w:noProof/>
              </w:rPr>
              <w:t>Evaluación de la 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_Toc201832482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222</w:t>
            </w:r>
            <w:r w:rsidRPr="00A768F0">
              <w:rPr>
                <w:rFonts w:ascii="Arial" w:hAnsi="Arial" w:cs="Arial"/>
                <w:noProof/>
                <w:webHidden/>
              </w:rPr>
              <w:fldChar w:fldCharType="end"/>
            </w:r>
          </w:hyperlink>
        </w:p>
        <w:p w14:paraId="41BE6109" w14:textId="7A7D1539"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83" w:history="1">
            <w:r w:rsidRPr="00A768F0">
              <w:rPr>
                <w:rStyle w:val="Hipervnculo"/>
                <w:rFonts w:ascii="Arial" w:hAnsi="Arial" w:cs="Arial"/>
                <w:noProof/>
              </w:rPr>
              <w:t>5.3.9.</w:t>
            </w:r>
            <w:r w:rsidRPr="00A768F0">
              <w:rPr>
                <w:rFonts w:ascii="Arial" w:eastAsiaTheme="minorEastAsia" w:hAnsi="Arial" w:cs="Arial"/>
                <w:noProof/>
                <w:lang w:val="es-419" w:eastAsia="es-419"/>
              </w:rPr>
              <w:tab/>
            </w:r>
            <w:r w:rsidRPr="00A768F0">
              <w:rPr>
                <w:rStyle w:val="Hipervnculo"/>
                <w:rFonts w:ascii="Arial" w:hAnsi="Arial" w:cs="Arial"/>
                <w:noProof/>
              </w:rPr>
              <w:t>Cronograma de actividades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_Toc201832483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222</w:t>
            </w:r>
            <w:r w:rsidRPr="00A768F0">
              <w:rPr>
                <w:rFonts w:ascii="Arial" w:hAnsi="Arial" w:cs="Arial"/>
                <w:noProof/>
                <w:webHidden/>
              </w:rPr>
              <w:fldChar w:fldCharType="end"/>
            </w:r>
          </w:hyperlink>
        </w:p>
        <w:p w14:paraId="3F9D5F1A" w14:textId="5551EEA9" w:rsidR="00C51607" w:rsidRPr="00A768F0" w:rsidRDefault="00C51607" w:rsidP="00C51607">
          <w:pPr>
            <w:pStyle w:val="TDC3"/>
            <w:tabs>
              <w:tab w:val="left" w:pos="1680"/>
              <w:tab w:val="right" w:leader="dot" w:pos="8828"/>
            </w:tabs>
            <w:spacing w:line="360" w:lineRule="auto"/>
            <w:rPr>
              <w:rFonts w:ascii="Arial" w:eastAsiaTheme="minorEastAsia" w:hAnsi="Arial" w:cs="Arial"/>
              <w:noProof/>
              <w:lang w:val="es-419" w:eastAsia="es-419"/>
            </w:rPr>
          </w:pPr>
          <w:hyperlink w:anchor="_Toc201832484" w:history="1">
            <w:r w:rsidRPr="00A768F0">
              <w:rPr>
                <w:rStyle w:val="Hipervnculo"/>
                <w:rFonts w:ascii="Arial" w:hAnsi="Arial" w:cs="Arial"/>
                <w:noProof/>
              </w:rPr>
              <w:t>5.3.10.</w:t>
            </w:r>
            <w:r w:rsidRPr="00A768F0">
              <w:rPr>
                <w:rFonts w:ascii="Arial" w:eastAsiaTheme="minorEastAsia" w:hAnsi="Arial" w:cs="Arial"/>
                <w:noProof/>
                <w:lang w:val="es-419" w:eastAsia="es-419"/>
              </w:rPr>
              <w:tab/>
            </w:r>
            <w:r w:rsidRPr="00A768F0">
              <w:rPr>
                <w:rStyle w:val="Hipervnculo"/>
                <w:rFonts w:ascii="Arial" w:hAnsi="Arial" w:cs="Arial"/>
                <w:noProof/>
              </w:rPr>
              <w:t>Presupuesto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_Toc201832484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223</w:t>
            </w:r>
            <w:r w:rsidRPr="00A768F0">
              <w:rPr>
                <w:rFonts w:ascii="Arial" w:hAnsi="Arial" w:cs="Arial"/>
                <w:noProof/>
                <w:webHidden/>
              </w:rPr>
              <w:fldChar w:fldCharType="end"/>
            </w:r>
          </w:hyperlink>
        </w:p>
        <w:p w14:paraId="13563134" w14:textId="32CAF702" w:rsidR="00C51607" w:rsidRPr="00A768F0" w:rsidRDefault="00C51607" w:rsidP="00C51607">
          <w:pPr>
            <w:pStyle w:val="TDC3"/>
            <w:tabs>
              <w:tab w:val="left" w:pos="1440"/>
              <w:tab w:val="right" w:leader="dot" w:pos="8828"/>
            </w:tabs>
            <w:spacing w:line="360" w:lineRule="auto"/>
            <w:rPr>
              <w:rFonts w:ascii="Arial" w:eastAsiaTheme="minorEastAsia" w:hAnsi="Arial" w:cs="Arial"/>
              <w:noProof/>
              <w:lang w:val="es-419" w:eastAsia="es-419"/>
            </w:rPr>
          </w:pPr>
          <w:hyperlink w:anchor="_Toc201832485" w:history="1">
            <w:r w:rsidRPr="00A768F0">
              <w:rPr>
                <w:rStyle w:val="Hipervnculo"/>
                <w:rFonts w:ascii="Arial" w:hAnsi="Arial" w:cs="Arial"/>
                <w:noProof/>
              </w:rPr>
              <w:t>5.3.11.</w:t>
            </w:r>
            <w:r w:rsidRPr="00A768F0">
              <w:rPr>
                <w:rFonts w:ascii="Arial" w:eastAsiaTheme="minorEastAsia" w:hAnsi="Arial" w:cs="Arial"/>
                <w:noProof/>
                <w:lang w:val="es-419" w:eastAsia="es-419"/>
              </w:rPr>
              <w:tab/>
            </w:r>
            <w:r w:rsidRPr="00A768F0">
              <w:rPr>
                <w:rStyle w:val="Hipervnculo"/>
                <w:rFonts w:ascii="Arial" w:hAnsi="Arial" w:cs="Arial"/>
                <w:noProof/>
              </w:rPr>
              <w:t>Plan de Implementación a futuro:</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_Toc201832485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224</w:t>
            </w:r>
            <w:r w:rsidRPr="00A768F0">
              <w:rPr>
                <w:rFonts w:ascii="Arial" w:hAnsi="Arial" w:cs="Arial"/>
                <w:noProof/>
                <w:webHidden/>
              </w:rPr>
              <w:fldChar w:fldCharType="end"/>
            </w:r>
          </w:hyperlink>
        </w:p>
        <w:p w14:paraId="6CAA59AD" w14:textId="62C3462F" w:rsidR="00C51607" w:rsidRPr="00A768F0" w:rsidRDefault="00C51607" w:rsidP="00C51607">
          <w:pPr>
            <w:pStyle w:val="TDC3"/>
            <w:tabs>
              <w:tab w:val="left" w:pos="1680"/>
              <w:tab w:val="right" w:leader="dot" w:pos="8828"/>
            </w:tabs>
            <w:spacing w:line="360" w:lineRule="auto"/>
            <w:rPr>
              <w:rFonts w:ascii="Arial" w:eastAsiaTheme="minorEastAsia" w:hAnsi="Arial" w:cs="Arial"/>
              <w:noProof/>
              <w:lang w:val="es-419" w:eastAsia="es-419"/>
            </w:rPr>
          </w:pPr>
          <w:hyperlink w:anchor="_Toc201832486" w:history="1">
            <w:r w:rsidRPr="00A768F0">
              <w:rPr>
                <w:rStyle w:val="Hipervnculo"/>
                <w:rFonts w:ascii="Arial" w:hAnsi="Arial" w:cs="Arial"/>
                <w:noProof/>
              </w:rPr>
              <w:t>5.3.12.</w:t>
            </w:r>
            <w:r w:rsidRPr="00A768F0">
              <w:rPr>
                <w:rFonts w:ascii="Arial" w:eastAsiaTheme="minorEastAsia" w:hAnsi="Arial" w:cs="Arial"/>
                <w:noProof/>
                <w:lang w:val="es-419" w:eastAsia="es-419"/>
              </w:rPr>
              <w:tab/>
            </w:r>
            <w:r w:rsidRPr="00A768F0">
              <w:rPr>
                <w:rStyle w:val="Hipervnculo"/>
                <w:rFonts w:ascii="Arial" w:hAnsi="Arial" w:cs="Arial"/>
                <w:noProof/>
              </w:rPr>
              <w:t>Conclusión y Aplicaciones de la Propuesta</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_Toc201832486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227</w:t>
            </w:r>
            <w:r w:rsidRPr="00A768F0">
              <w:rPr>
                <w:rFonts w:ascii="Arial" w:hAnsi="Arial" w:cs="Arial"/>
                <w:noProof/>
                <w:webHidden/>
              </w:rPr>
              <w:fldChar w:fldCharType="end"/>
            </w:r>
          </w:hyperlink>
        </w:p>
        <w:p w14:paraId="5E3F2E1E" w14:textId="5AAE0E37"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87" w:history="1">
            <w:r w:rsidRPr="00A768F0">
              <w:rPr>
                <w:rStyle w:val="Hipervnculo"/>
                <w:rFonts w:ascii="Arial" w:eastAsia="Times New Roman" w:hAnsi="Arial" w:cs="Arial"/>
                <w:noProof/>
                <w:kern w:val="36"/>
                <w:lang w:eastAsia="es-CR"/>
                <w14:ligatures w14:val="none"/>
              </w:rPr>
              <w:t>REFERENCIAS BIBLIOGRÁFICAS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_Toc201832487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229</w:t>
            </w:r>
            <w:r w:rsidRPr="00A768F0">
              <w:rPr>
                <w:rFonts w:ascii="Arial" w:hAnsi="Arial" w:cs="Arial"/>
                <w:noProof/>
                <w:webHidden/>
              </w:rPr>
              <w:fldChar w:fldCharType="end"/>
            </w:r>
          </w:hyperlink>
        </w:p>
        <w:p w14:paraId="38D920DF" w14:textId="38D9DBFA" w:rsidR="00C51607" w:rsidRPr="00A768F0" w:rsidRDefault="00C51607" w:rsidP="00C51607">
          <w:pPr>
            <w:pStyle w:val="TDC1"/>
            <w:tabs>
              <w:tab w:val="right" w:leader="dot" w:pos="8828"/>
            </w:tabs>
            <w:spacing w:line="360" w:lineRule="auto"/>
            <w:rPr>
              <w:rFonts w:ascii="Arial" w:eastAsiaTheme="minorEastAsia" w:hAnsi="Arial" w:cs="Arial"/>
              <w:noProof/>
              <w:lang w:val="es-419" w:eastAsia="es-419"/>
            </w:rPr>
          </w:pPr>
          <w:hyperlink w:anchor="_Toc201832488" w:history="1">
            <w:r w:rsidRPr="00A768F0">
              <w:rPr>
                <w:rStyle w:val="Hipervnculo"/>
                <w:rFonts w:ascii="Arial" w:eastAsia="Calibri" w:hAnsi="Arial" w:cs="Arial"/>
                <w:noProof/>
                <w:kern w:val="0"/>
                <w14:ligatures w14:val="none"/>
              </w:rPr>
              <w:t>Referencias Bibliográficas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_Toc201832488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230</w:t>
            </w:r>
            <w:r w:rsidRPr="00A768F0">
              <w:rPr>
                <w:rFonts w:ascii="Arial" w:hAnsi="Arial" w:cs="Arial"/>
                <w:noProof/>
                <w:webHidden/>
              </w:rPr>
              <w:fldChar w:fldCharType="end"/>
            </w:r>
          </w:hyperlink>
        </w:p>
        <w:p w14:paraId="7CCEDB08" w14:textId="541D1BA6" w:rsidR="00C51607" w:rsidRPr="00A768F0" w:rsidRDefault="00C51607" w:rsidP="00C51607">
          <w:pPr>
            <w:pStyle w:val="TDC1"/>
            <w:tabs>
              <w:tab w:val="left" w:pos="480"/>
              <w:tab w:val="right" w:leader="dot" w:pos="8828"/>
            </w:tabs>
            <w:spacing w:line="360" w:lineRule="auto"/>
            <w:rPr>
              <w:rFonts w:ascii="Arial" w:eastAsiaTheme="minorEastAsia" w:hAnsi="Arial" w:cs="Arial"/>
              <w:noProof/>
              <w:lang w:val="es-419" w:eastAsia="es-419"/>
            </w:rPr>
          </w:pPr>
          <w:hyperlink w:anchor="_Toc201832489" w:history="1">
            <w:r w:rsidRPr="00A768F0">
              <w:rPr>
                <w:rStyle w:val="Hipervnculo"/>
                <w:rFonts w:ascii="Arial" w:hAnsi="Arial" w:cs="Arial"/>
                <w:noProof/>
              </w:rPr>
              <w:t>6.</w:t>
            </w:r>
            <w:r w:rsidRPr="00A768F0">
              <w:rPr>
                <w:rFonts w:ascii="Arial" w:eastAsiaTheme="minorEastAsia" w:hAnsi="Arial" w:cs="Arial"/>
                <w:noProof/>
                <w:lang w:val="es-419" w:eastAsia="es-419"/>
              </w:rPr>
              <w:tab/>
            </w:r>
            <w:r w:rsidRPr="00A768F0">
              <w:rPr>
                <w:rStyle w:val="Hipervnculo"/>
                <w:rFonts w:ascii="Arial" w:hAnsi="Arial" w:cs="Arial"/>
                <w:noProof/>
              </w:rPr>
              <w:t>ANEXOS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_Toc201832489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240</w:t>
            </w:r>
            <w:r w:rsidRPr="00A768F0">
              <w:rPr>
                <w:rFonts w:ascii="Arial" w:hAnsi="Arial" w:cs="Arial"/>
                <w:noProof/>
                <w:webHidden/>
              </w:rPr>
              <w:fldChar w:fldCharType="end"/>
            </w:r>
          </w:hyperlink>
        </w:p>
        <w:p w14:paraId="26B5C1D0" w14:textId="420EB55E" w:rsidR="00C51607" w:rsidRPr="00A768F0" w:rsidRDefault="00C51607" w:rsidP="00C51607">
          <w:pPr>
            <w:pStyle w:val="TDC2"/>
            <w:tabs>
              <w:tab w:val="left" w:pos="960"/>
              <w:tab w:val="right" w:leader="dot" w:pos="8828"/>
            </w:tabs>
            <w:spacing w:line="360" w:lineRule="auto"/>
            <w:rPr>
              <w:rFonts w:ascii="Arial" w:eastAsiaTheme="minorEastAsia" w:hAnsi="Arial" w:cs="Arial"/>
              <w:noProof/>
              <w:lang w:val="es-419" w:eastAsia="es-419"/>
            </w:rPr>
          </w:pPr>
          <w:hyperlink w:anchor="_Toc201832490" w:history="1">
            <w:r w:rsidRPr="00A768F0">
              <w:rPr>
                <w:rStyle w:val="Hipervnculo"/>
                <w:rFonts w:ascii="Arial" w:hAnsi="Arial" w:cs="Arial"/>
                <w:noProof/>
              </w:rPr>
              <w:t>6.1.</w:t>
            </w:r>
            <w:r w:rsidRPr="00A768F0">
              <w:rPr>
                <w:rFonts w:ascii="Arial" w:eastAsiaTheme="minorEastAsia" w:hAnsi="Arial" w:cs="Arial"/>
                <w:noProof/>
                <w:lang w:val="es-419" w:eastAsia="es-419"/>
              </w:rPr>
              <w:tab/>
            </w:r>
            <w:r w:rsidRPr="00A768F0">
              <w:rPr>
                <w:rStyle w:val="Hipervnculo"/>
                <w:rFonts w:ascii="Arial" w:hAnsi="Arial" w:cs="Arial"/>
                <w:noProof/>
              </w:rPr>
              <w:t>Anexos</w:t>
            </w:r>
            <w:r w:rsidRPr="00A768F0">
              <w:rPr>
                <w:rFonts w:ascii="Arial" w:hAnsi="Arial" w:cs="Arial"/>
                <w:noProof/>
                <w:webHidden/>
              </w:rPr>
              <w:tab/>
            </w:r>
            <w:r w:rsidRPr="00A768F0">
              <w:rPr>
                <w:rFonts w:ascii="Arial" w:hAnsi="Arial" w:cs="Arial"/>
                <w:noProof/>
                <w:webHidden/>
              </w:rPr>
              <w:fldChar w:fldCharType="begin"/>
            </w:r>
            <w:r w:rsidRPr="00A768F0">
              <w:rPr>
                <w:rFonts w:ascii="Arial" w:hAnsi="Arial" w:cs="Arial"/>
                <w:noProof/>
                <w:webHidden/>
              </w:rPr>
              <w:instrText xml:space="preserve"> PAGEREF _Toc201832490 \h </w:instrText>
            </w:r>
            <w:r w:rsidRPr="00A768F0">
              <w:rPr>
                <w:rFonts w:ascii="Arial" w:hAnsi="Arial" w:cs="Arial"/>
                <w:noProof/>
                <w:webHidden/>
              </w:rPr>
            </w:r>
            <w:r w:rsidRPr="00A768F0">
              <w:rPr>
                <w:rFonts w:ascii="Arial" w:hAnsi="Arial" w:cs="Arial"/>
                <w:noProof/>
                <w:webHidden/>
              </w:rPr>
              <w:fldChar w:fldCharType="separate"/>
            </w:r>
            <w:r w:rsidR="00125018">
              <w:rPr>
                <w:rFonts w:ascii="Arial" w:hAnsi="Arial" w:cs="Arial"/>
                <w:noProof/>
                <w:webHidden/>
              </w:rPr>
              <w:t>240</w:t>
            </w:r>
            <w:r w:rsidRPr="00A768F0">
              <w:rPr>
                <w:rFonts w:ascii="Arial" w:hAnsi="Arial" w:cs="Arial"/>
                <w:noProof/>
                <w:webHidden/>
              </w:rPr>
              <w:fldChar w:fldCharType="end"/>
            </w:r>
          </w:hyperlink>
        </w:p>
        <w:p w14:paraId="25D8FE70" w14:textId="77777777" w:rsidR="00C51607" w:rsidRPr="00A768F0" w:rsidRDefault="00C51607" w:rsidP="00C51607">
          <w:pPr>
            <w:pStyle w:val="TDC1"/>
            <w:tabs>
              <w:tab w:val="right" w:leader="dot" w:pos="8828"/>
            </w:tabs>
            <w:spacing w:line="360" w:lineRule="auto"/>
            <w:rPr>
              <w:rFonts w:ascii="Arial" w:eastAsia="Calibri" w:hAnsi="Arial" w:cs="Arial"/>
              <w:color w:val="000000" w:themeColor="text1"/>
              <w:kern w:val="0"/>
              <w:lang w:val="es-ES"/>
              <w14:ligatures w14:val="none"/>
            </w:rPr>
            <w:sectPr w:rsidR="00C51607" w:rsidRPr="00A768F0" w:rsidSect="00C51607">
              <w:pgSz w:w="12240" w:h="15840" w:code="1"/>
              <w:pgMar w:top="1417" w:right="1701" w:bottom="1417" w:left="1701" w:header="709" w:footer="709" w:gutter="0"/>
              <w:pgNumType w:fmt="upperRoman"/>
              <w:cols w:space="708"/>
              <w:docGrid w:linePitch="360"/>
            </w:sectPr>
          </w:pPr>
          <w:r w:rsidRPr="00A768F0">
            <w:rPr>
              <w:rFonts w:ascii="Arial" w:eastAsia="Calibri" w:hAnsi="Arial" w:cs="Arial"/>
              <w:color w:val="000000" w:themeColor="text1"/>
              <w:kern w:val="0"/>
              <w:lang w:val="es-ES"/>
              <w14:ligatures w14:val="none"/>
            </w:rPr>
            <w:fldChar w:fldCharType="end"/>
          </w:r>
        </w:p>
      </w:sdtContent>
    </w:sdt>
    <w:p w14:paraId="10A5D92B" w14:textId="77777777" w:rsidR="00C51607" w:rsidRPr="002012E1" w:rsidRDefault="00C51607" w:rsidP="00C51607">
      <w:pPr>
        <w:spacing w:before="120" w:after="120" w:line="360" w:lineRule="auto"/>
        <w:outlineLvl w:val="0"/>
        <w:rPr>
          <w:rFonts w:ascii="Arial" w:eastAsia="Calibri" w:hAnsi="Arial" w:cs="Arial"/>
          <w:b/>
          <w:color w:val="000000" w:themeColor="text1"/>
          <w:kern w:val="0"/>
          <w:lang w:val="es-ES"/>
          <w14:ligatures w14:val="none"/>
        </w:rPr>
      </w:pPr>
      <w:bookmarkStart w:id="9" w:name="_Toc201832392"/>
      <w:r w:rsidRPr="002012E1">
        <w:rPr>
          <w:rFonts w:ascii="Arial" w:eastAsia="Calibri" w:hAnsi="Arial" w:cs="Arial"/>
          <w:b/>
          <w:color w:val="000000" w:themeColor="text1"/>
          <w:kern w:val="0"/>
          <w:lang w:val="es-ES"/>
          <w14:ligatures w14:val="none"/>
        </w:rPr>
        <w:lastRenderedPageBreak/>
        <w:t>Lista de Tablas</w:t>
      </w:r>
      <w:bookmarkEnd w:id="9"/>
    </w:p>
    <w:p w14:paraId="45890F3A" w14:textId="033F8FD7"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r w:rsidRPr="002012E1">
        <w:rPr>
          <w:rFonts w:ascii="Arial" w:eastAsia="Calibri" w:hAnsi="Arial" w:cs="Arial"/>
          <w:i/>
          <w:iCs/>
          <w:smallCaps/>
          <w:color w:val="000000" w:themeColor="text1"/>
          <w:kern w:val="0"/>
          <w:lang w:val="es-ES"/>
          <w14:ligatures w14:val="none"/>
        </w:rPr>
        <w:fldChar w:fldCharType="begin"/>
      </w:r>
      <w:r w:rsidRPr="002012E1">
        <w:rPr>
          <w:rFonts w:ascii="Arial" w:eastAsia="Calibri" w:hAnsi="Arial" w:cs="Arial"/>
          <w:i/>
          <w:iCs/>
          <w:smallCaps/>
          <w:color w:val="000000" w:themeColor="text1"/>
          <w:kern w:val="0"/>
          <w:lang w:val="es-ES"/>
          <w14:ligatures w14:val="none"/>
        </w:rPr>
        <w:instrText xml:space="preserve"> TOC \h \z \c "Tabla" </w:instrText>
      </w:r>
      <w:r w:rsidRPr="002012E1">
        <w:rPr>
          <w:rFonts w:ascii="Arial" w:eastAsia="Calibri" w:hAnsi="Arial" w:cs="Arial"/>
          <w:i/>
          <w:iCs/>
          <w:smallCaps/>
          <w:color w:val="000000" w:themeColor="text1"/>
          <w:kern w:val="0"/>
          <w:lang w:val="es-ES"/>
          <w14:ligatures w14:val="none"/>
        </w:rPr>
        <w:fldChar w:fldCharType="separate"/>
      </w:r>
      <w:hyperlink w:anchor="_Toc201322504" w:history="1">
        <w:r w:rsidRPr="002012E1">
          <w:rPr>
            <w:rStyle w:val="Hipervnculo"/>
            <w:rFonts w:ascii="Arial" w:hAnsi="Arial" w:cs="Arial"/>
            <w:noProof/>
            <w:u w:val="none"/>
            <w:lang w:val="es-MX"/>
          </w:rPr>
          <w:t>Tabla 1. Conceptualización, operacionalización e instrumentalización de las variables.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_Toc201322504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12</w:t>
        </w:r>
        <w:r w:rsidRPr="002012E1">
          <w:rPr>
            <w:rStyle w:val="Hipervnculo"/>
            <w:rFonts w:ascii="Arial" w:hAnsi="Arial" w:cs="Arial"/>
            <w:noProof/>
            <w:webHidden/>
            <w:u w:val="none"/>
            <w:lang w:val="es-MX"/>
          </w:rPr>
          <w:fldChar w:fldCharType="end"/>
        </w:r>
      </w:hyperlink>
    </w:p>
    <w:p w14:paraId="3619FE49" w14:textId="4E0AA03C"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05" w:history="1">
        <w:r w:rsidRPr="002012E1">
          <w:rPr>
            <w:rStyle w:val="Hipervnculo"/>
            <w:rFonts w:ascii="Arial" w:hAnsi="Arial" w:cs="Arial"/>
            <w:noProof/>
            <w:u w:val="none"/>
            <w:lang w:val="es-MX"/>
          </w:rPr>
          <w:t>Tabla 2. Análisis e Interpretación de la Información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_Toc201322505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24</w:t>
        </w:r>
        <w:r w:rsidRPr="002012E1">
          <w:rPr>
            <w:rStyle w:val="Hipervnculo"/>
            <w:rFonts w:ascii="Arial" w:hAnsi="Arial" w:cs="Arial"/>
            <w:noProof/>
            <w:webHidden/>
            <w:u w:val="none"/>
            <w:lang w:val="es-MX"/>
          </w:rPr>
          <w:fldChar w:fldCharType="end"/>
        </w:r>
      </w:hyperlink>
    </w:p>
    <w:p w14:paraId="1E3D04AC" w14:textId="31AEF4C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06" w:history="1">
        <w:r w:rsidRPr="002012E1">
          <w:rPr>
            <w:rStyle w:val="Hipervnculo"/>
            <w:rFonts w:ascii="Arial" w:hAnsi="Arial" w:cs="Arial"/>
            <w:noProof/>
            <w:u w:val="none"/>
            <w:lang w:val="es-MX"/>
          </w:rPr>
          <w:t>Tabla 3. Alcances y Limitaciones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_Toc201322506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27</w:t>
        </w:r>
        <w:r w:rsidRPr="002012E1">
          <w:rPr>
            <w:rStyle w:val="Hipervnculo"/>
            <w:rFonts w:ascii="Arial" w:hAnsi="Arial" w:cs="Arial"/>
            <w:noProof/>
            <w:webHidden/>
            <w:u w:val="none"/>
            <w:lang w:val="es-MX"/>
          </w:rPr>
          <w:fldChar w:fldCharType="end"/>
        </w:r>
      </w:hyperlink>
    </w:p>
    <w:p w14:paraId="25E8FF45" w14:textId="7D0553F9"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07" w:history="1">
        <w:r w:rsidRPr="002012E1">
          <w:rPr>
            <w:rStyle w:val="Hipervnculo"/>
            <w:rFonts w:ascii="Arial" w:hAnsi="Arial" w:cs="Arial"/>
            <w:noProof/>
            <w:u w:val="none"/>
            <w:lang w:val="es-MX"/>
          </w:rPr>
          <w:t>Tabla 4. Marco Institucional</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_Toc201322507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32</w:t>
        </w:r>
        <w:r w:rsidRPr="002012E1">
          <w:rPr>
            <w:rStyle w:val="Hipervnculo"/>
            <w:rFonts w:ascii="Arial" w:hAnsi="Arial" w:cs="Arial"/>
            <w:noProof/>
            <w:webHidden/>
            <w:u w:val="none"/>
            <w:lang w:val="es-MX"/>
          </w:rPr>
          <w:fldChar w:fldCharType="end"/>
        </w:r>
      </w:hyperlink>
    </w:p>
    <w:p w14:paraId="7695CA29" w14:textId="7A68ED34"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08" w:history="1">
        <w:r w:rsidRPr="002012E1">
          <w:rPr>
            <w:rStyle w:val="Hipervnculo"/>
            <w:rFonts w:ascii="Arial" w:hAnsi="Arial" w:cs="Arial"/>
            <w:noProof/>
            <w:u w:val="none"/>
            <w:lang w:val="es-MX"/>
          </w:rPr>
          <w:t>Tabla 5.  Leyes aplicadas a la investigación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_Toc201322508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39</w:t>
        </w:r>
        <w:r w:rsidRPr="002012E1">
          <w:rPr>
            <w:rStyle w:val="Hipervnculo"/>
            <w:rFonts w:ascii="Arial" w:hAnsi="Arial" w:cs="Arial"/>
            <w:noProof/>
            <w:webHidden/>
            <w:u w:val="none"/>
            <w:lang w:val="es-MX"/>
          </w:rPr>
          <w:fldChar w:fldCharType="end"/>
        </w:r>
      </w:hyperlink>
    </w:p>
    <w:p w14:paraId="6B798DC3" w14:textId="6B947BA3"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09" w:history="1">
        <w:r w:rsidRPr="002012E1">
          <w:rPr>
            <w:rStyle w:val="Hipervnculo"/>
            <w:rFonts w:ascii="Arial" w:hAnsi="Arial" w:cs="Arial"/>
            <w:noProof/>
            <w:u w:val="none"/>
            <w:lang w:val="es-MX"/>
          </w:rPr>
          <w:t>Tabla 6. Ventajas y desventajas de los productos de deuda, acciones e inversiones alternativas.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_Toc201322509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54</w:t>
        </w:r>
        <w:r w:rsidRPr="002012E1">
          <w:rPr>
            <w:rStyle w:val="Hipervnculo"/>
            <w:rFonts w:ascii="Arial" w:hAnsi="Arial" w:cs="Arial"/>
            <w:noProof/>
            <w:webHidden/>
            <w:u w:val="none"/>
            <w:lang w:val="es-MX"/>
          </w:rPr>
          <w:fldChar w:fldCharType="end"/>
        </w:r>
      </w:hyperlink>
    </w:p>
    <w:p w14:paraId="3140703F" w14:textId="5E86C660"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0" w:history="1">
        <w:r w:rsidRPr="002012E1">
          <w:rPr>
            <w:rStyle w:val="Hipervnculo"/>
            <w:rFonts w:ascii="Arial" w:hAnsi="Arial" w:cs="Arial"/>
            <w:noProof/>
            <w:u w:val="none"/>
            <w:lang w:val="es-MX"/>
          </w:rPr>
          <w:t>Tabla 7. Impacto a los productos en las estrategias de inversión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_Toc201322510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56</w:t>
        </w:r>
        <w:r w:rsidRPr="002012E1">
          <w:rPr>
            <w:rStyle w:val="Hipervnculo"/>
            <w:rFonts w:ascii="Arial" w:hAnsi="Arial" w:cs="Arial"/>
            <w:noProof/>
            <w:webHidden/>
            <w:u w:val="none"/>
            <w:lang w:val="es-MX"/>
          </w:rPr>
          <w:fldChar w:fldCharType="end"/>
        </w:r>
      </w:hyperlink>
    </w:p>
    <w:p w14:paraId="101EE4DA" w14:textId="74CE73CA"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1" w:history="1">
        <w:r w:rsidRPr="002012E1">
          <w:rPr>
            <w:rStyle w:val="Hipervnculo"/>
            <w:rFonts w:ascii="Arial" w:hAnsi="Arial" w:cs="Arial"/>
            <w:noProof/>
            <w:u w:val="none"/>
            <w:lang w:val="es-MX"/>
          </w:rPr>
          <w:t>Tabla 8. Tipos de Inversiones Alternativas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_Toc201322511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65</w:t>
        </w:r>
        <w:r w:rsidRPr="002012E1">
          <w:rPr>
            <w:rStyle w:val="Hipervnculo"/>
            <w:rFonts w:ascii="Arial" w:hAnsi="Arial" w:cs="Arial"/>
            <w:noProof/>
            <w:webHidden/>
            <w:u w:val="none"/>
            <w:lang w:val="es-MX"/>
          </w:rPr>
          <w:fldChar w:fldCharType="end"/>
        </w:r>
      </w:hyperlink>
    </w:p>
    <w:p w14:paraId="0C3E2902" w14:textId="54ED5EAB"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2" w:history="1">
        <w:r w:rsidRPr="002012E1">
          <w:rPr>
            <w:rStyle w:val="Hipervnculo"/>
            <w:rFonts w:ascii="Arial" w:hAnsi="Arial" w:cs="Arial"/>
            <w:noProof/>
            <w:u w:val="none"/>
            <w:lang w:val="es-MX"/>
          </w:rPr>
          <w:t>Tabla 9. Diferencias entre inversiones tradicionales y alternativas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_Toc201322512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69</w:t>
        </w:r>
        <w:r w:rsidRPr="002012E1">
          <w:rPr>
            <w:rStyle w:val="Hipervnculo"/>
            <w:rFonts w:ascii="Arial" w:hAnsi="Arial" w:cs="Arial"/>
            <w:noProof/>
            <w:webHidden/>
            <w:u w:val="none"/>
            <w:lang w:val="es-MX"/>
          </w:rPr>
          <w:fldChar w:fldCharType="end"/>
        </w:r>
      </w:hyperlink>
    </w:p>
    <w:p w14:paraId="47B7F2D7" w14:textId="3E2B436D"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3" w:history="1">
        <w:r w:rsidRPr="002012E1">
          <w:rPr>
            <w:rStyle w:val="Hipervnculo"/>
            <w:rFonts w:ascii="Arial" w:hAnsi="Arial" w:cs="Arial"/>
            <w:noProof/>
            <w:u w:val="none"/>
            <w:lang w:val="es-MX"/>
          </w:rPr>
          <w:t>Tabla 10. Límites y desafíos de la Normativa Contable</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_Toc201322513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73</w:t>
        </w:r>
        <w:r w:rsidRPr="002012E1">
          <w:rPr>
            <w:rStyle w:val="Hipervnculo"/>
            <w:rFonts w:ascii="Arial" w:hAnsi="Arial" w:cs="Arial"/>
            <w:noProof/>
            <w:webHidden/>
            <w:u w:val="none"/>
            <w:lang w:val="es-MX"/>
          </w:rPr>
          <w:fldChar w:fldCharType="end"/>
        </w:r>
      </w:hyperlink>
    </w:p>
    <w:p w14:paraId="76EBF606" w14:textId="0642F252"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4" w:history="1">
        <w:r w:rsidRPr="002012E1">
          <w:rPr>
            <w:rStyle w:val="Hipervnculo"/>
            <w:rFonts w:ascii="Arial" w:hAnsi="Arial" w:cs="Arial"/>
            <w:noProof/>
            <w:u w:val="none"/>
            <w:lang w:val="es-MX"/>
          </w:rPr>
          <w:t>Tabla 11. Características, riesgos principales y ejemplos de los Productos Financieros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_Toc201322514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78</w:t>
        </w:r>
        <w:r w:rsidRPr="002012E1">
          <w:rPr>
            <w:rStyle w:val="Hipervnculo"/>
            <w:rFonts w:ascii="Arial" w:hAnsi="Arial" w:cs="Arial"/>
            <w:noProof/>
            <w:webHidden/>
            <w:u w:val="none"/>
            <w:lang w:val="es-MX"/>
          </w:rPr>
          <w:fldChar w:fldCharType="end"/>
        </w:r>
      </w:hyperlink>
    </w:p>
    <w:p w14:paraId="554A2ECD" w14:textId="0F713C2E"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5" w:history="1">
        <w:r w:rsidRPr="002012E1">
          <w:rPr>
            <w:rStyle w:val="Hipervnculo"/>
            <w:rFonts w:ascii="Arial" w:hAnsi="Arial" w:cs="Arial"/>
            <w:noProof/>
            <w:u w:val="none"/>
            <w:lang w:val="es-MX"/>
          </w:rPr>
          <w:t>Tabla 12. Análisis Comparativo Costa Rica vs Países desarrollados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_Toc201322515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83</w:t>
        </w:r>
        <w:r w:rsidRPr="002012E1">
          <w:rPr>
            <w:rStyle w:val="Hipervnculo"/>
            <w:rFonts w:ascii="Arial" w:hAnsi="Arial" w:cs="Arial"/>
            <w:noProof/>
            <w:webHidden/>
            <w:u w:val="none"/>
            <w:lang w:val="es-MX"/>
          </w:rPr>
          <w:fldChar w:fldCharType="end"/>
        </w:r>
      </w:hyperlink>
    </w:p>
    <w:p w14:paraId="19F25A99" w14:textId="553E8AE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6" w:history="1">
        <w:r w:rsidRPr="002012E1">
          <w:rPr>
            <w:rStyle w:val="Hipervnculo"/>
            <w:rFonts w:ascii="Arial" w:hAnsi="Arial" w:cs="Arial"/>
            <w:noProof/>
            <w:u w:val="none"/>
            <w:lang w:val="es-MX"/>
          </w:rPr>
          <w:t>Tabla 13. Análisis Comparativo del Tipo de instrumento vs Impacto en la Estrategia de Inversión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_Toc201322516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84</w:t>
        </w:r>
        <w:r w:rsidRPr="002012E1">
          <w:rPr>
            <w:rStyle w:val="Hipervnculo"/>
            <w:rFonts w:ascii="Arial" w:hAnsi="Arial" w:cs="Arial"/>
            <w:noProof/>
            <w:webHidden/>
            <w:u w:val="none"/>
            <w:lang w:val="es-MX"/>
          </w:rPr>
          <w:fldChar w:fldCharType="end"/>
        </w:r>
      </w:hyperlink>
    </w:p>
    <w:p w14:paraId="018A572F" w14:textId="0DFEC18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7" w:history="1">
        <w:r w:rsidRPr="002012E1">
          <w:rPr>
            <w:rStyle w:val="Hipervnculo"/>
            <w:rFonts w:ascii="Arial" w:hAnsi="Arial" w:cs="Arial"/>
            <w:noProof/>
            <w:u w:val="none"/>
            <w:lang w:val="es-MX"/>
          </w:rPr>
          <w:t>Tabla 14. Tipo de instrumento e impacto en las estrategias de inversión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_Toc201322517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88</w:t>
        </w:r>
        <w:r w:rsidRPr="002012E1">
          <w:rPr>
            <w:rStyle w:val="Hipervnculo"/>
            <w:rFonts w:ascii="Arial" w:hAnsi="Arial" w:cs="Arial"/>
            <w:noProof/>
            <w:webHidden/>
            <w:u w:val="none"/>
            <w:lang w:val="es-MX"/>
          </w:rPr>
          <w:fldChar w:fldCharType="end"/>
        </w:r>
      </w:hyperlink>
    </w:p>
    <w:p w14:paraId="333F5102" w14:textId="5C93F8C1"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8" w:history="1">
        <w:r w:rsidRPr="002012E1">
          <w:rPr>
            <w:rStyle w:val="Hipervnculo"/>
            <w:rFonts w:ascii="Arial" w:hAnsi="Arial" w:cs="Arial"/>
            <w:noProof/>
            <w:u w:val="none"/>
            <w:lang w:val="es-MX"/>
          </w:rPr>
          <w:t>Tabla 15. Mapa de Calor de Riesgos asociados a productos financieros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_Toc201322518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102</w:t>
        </w:r>
        <w:r w:rsidRPr="002012E1">
          <w:rPr>
            <w:rStyle w:val="Hipervnculo"/>
            <w:rFonts w:ascii="Arial" w:hAnsi="Arial" w:cs="Arial"/>
            <w:noProof/>
            <w:webHidden/>
            <w:u w:val="none"/>
            <w:lang w:val="es-MX"/>
          </w:rPr>
          <w:fldChar w:fldCharType="end"/>
        </w:r>
      </w:hyperlink>
    </w:p>
    <w:p w14:paraId="1F1396A4" w14:textId="26FAE793"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19" w:history="1">
        <w:r w:rsidRPr="002012E1">
          <w:rPr>
            <w:rStyle w:val="Hipervnculo"/>
            <w:rFonts w:ascii="Arial" w:hAnsi="Arial" w:cs="Arial"/>
            <w:noProof/>
            <w:u w:val="none"/>
            <w:lang w:val="es-MX"/>
          </w:rPr>
          <w:t>Tabla 16. Tipos de Inversiones Alternativas en Fondos de Pensiones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_Toc201322519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112</w:t>
        </w:r>
        <w:r w:rsidRPr="002012E1">
          <w:rPr>
            <w:rStyle w:val="Hipervnculo"/>
            <w:rFonts w:ascii="Arial" w:hAnsi="Arial" w:cs="Arial"/>
            <w:noProof/>
            <w:webHidden/>
            <w:u w:val="none"/>
            <w:lang w:val="es-MX"/>
          </w:rPr>
          <w:fldChar w:fldCharType="end"/>
        </w:r>
      </w:hyperlink>
    </w:p>
    <w:p w14:paraId="4D86D98C" w14:textId="5239D4A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0" w:history="1">
        <w:r w:rsidRPr="002012E1">
          <w:rPr>
            <w:rStyle w:val="Hipervnculo"/>
            <w:rFonts w:ascii="Arial" w:hAnsi="Arial" w:cs="Arial"/>
            <w:noProof/>
            <w:u w:val="none"/>
            <w:lang w:val="es-MX"/>
          </w:rPr>
          <w:t>Tabla 17. Matriz Comparativa sobre desafíos contables, regulatorios y estratégicos en las Inversiones Alternativas.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_Toc201322520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119</w:t>
        </w:r>
        <w:r w:rsidRPr="002012E1">
          <w:rPr>
            <w:rStyle w:val="Hipervnculo"/>
            <w:rFonts w:ascii="Arial" w:hAnsi="Arial" w:cs="Arial"/>
            <w:noProof/>
            <w:webHidden/>
            <w:u w:val="none"/>
            <w:lang w:val="es-MX"/>
          </w:rPr>
          <w:fldChar w:fldCharType="end"/>
        </w:r>
      </w:hyperlink>
    </w:p>
    <w:p w14:paraId="4954A863" w14:textId="7C20D334"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1" w:history="1">
        <w:r w:rsidRPr="002012E1">
          <w:rPr>
            <w:rStyle w:val="Hipervnculo"/>
            <w:rFonts w:ascii="Arial" w:hAnsi="Arial" w:cs="Arial"/>
            <w:noProof/>
            <w:u w:val="none"/>
            <w:lang w:val="es-MX"/>
          </w:rPr>
          <w:t>Tabla 18. Matriz Comparativa sobre registro contable, aplicación de las NIIF 9 y NIC 39 y dificultades para medir el riesgo en las inversiones alternativas.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_Toc201322521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122</w:t>
        </w:r>
        <w:r w:rsidRPr="002012E1">
          <w:rPr>
            <w:rStyle w:val="Hipervnculo"/>
            <w:rFonts w:ascii="Arial" w:hAnsi="Arial" w:cs="Arial"/>
            <w:noProof/>
            <w:webHidden/>
            <w:u w:val="none"/>
            <w:lang w:val="es-MX"/>
          </w:rPr>
          <w:fldChar w:fldCharType="end"/>
        </w:r>
      </w:hyperlink>
    </w:p>
    <w:p w14:paraId="4FCCBBED" w14:textId="23F40F92"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2" w:history="1">
        <w:r w:rsidRPr="002012E1">
          <w:rPr>
            <w:rStyle w:val="Hipervnculo"/>
            <w:rFonts w:ascii="Arial" w:hAnsi="Arial" w:cs="Arial"/>
            <w:noProof/>
            <w:u w:val="none"/>
            <w:lang w:val="es-MX"/>
          </w:rPr>
          <w:t>Tabla 19. Matriz Comparativa de Normativas sobre Instrumentos Financieros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_Toc201322522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133</w:t>
        </w:r>
        <w:r w:rsidRPr="002012E1">
          <w:rPr>
            <w:rStyle w:val="Hipervnculo"/>
            <w:rFonts w:ascii="Arial" w:hAnsi="Arial" w:cs="Arial"/>
            <w:noProof/>
            <w:webHidden/>
            <w:u w:val="none"/>
            <w:lang w:val="es-MX"/>
          </w:rPr>
          <w:fldChar w:fldCharType="end"/>
        </w:r>
      </w:hyperlink>
    </w:p>
    <w:p w14:paraId="7C524464" w14:textId="37F88F79"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3" w:history="1">
        <w:r w:rsidRPr="002012E1">
          <w:rPr>
            <w:rStyle w:val="Hipervnculo"/>
            <w:rFonts w:ascii="Arial" w:hAnsi="Arial" w:cs="Arial"/>
            <w:noProof/>
            <w:u w:val="none"/>
            <w:lang w:val="es-MX"/>
          </w:rPr>
          <w:t>Tabla 20. Matriz Comparativa de las Operadoras de Pensiones: Limitantes y Desafíos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_Toc201322523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156</w:t>
        </w:r>
        <w:r w:rsidRPr="002012E1">
          <w:rPr>
            <w:rStyle w:val="Hipervnculo"/>
            <w:rFonts w:ascii="Arial" w:hAnsi="Arial" w:cs="Arial"/>
            <w:noProof/>
            <w:webHidden/>
            <w:u w:val="none"/>
            <w:lang w:val="es-MX"/>
          </w:rPr>
          <w:fldChar w:fldCharType="end"/>
        </w:r>
      </w:hyperlink>
    </w:p>
    <w:p w14:paraId="7B16B399" w14:textId="327B4484"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4" w:history="1">
        <w:r w:rsidRPr="002012E1">
          <w:rPr>
            <w:rStyle w:val="Hipervnculo"/>
            <w:rFonts w:ascii="Arial" w:hAnsi="Arial" w:cs="Arial"/>
            <w:noProof/>
            <w:u w:val="none"/>
            <w:lang w:val="es-MX"/>
          </w:rPr>
          <w:t>Tabla 21. Matriz de Evaluación del Índice Promedio por Operadora</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_Toc201322524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171</w:t>
        </w:r>
        <w:r w:rsidRPr="002012E1">
          <w:rPr>
            <w:rStyle w:val="Hipervnculo"/>
            <w:rFonts w:ascii="Arial" w:hAnsi="Arial" w:cs="Arial"/>
            <w:noProof/>
            <w:webHidden/>
            <w:u w:val="none"/>
            <w:lang w:val="es-MX"/>
          </w:rPr>
          <w:fldChar w:fldCharType="end"/>
        </w:r>
      </w:hyperlink>
    </w:p>
    <w:p w14:paraId="30F4FDC7" w14:textId="2D5B44C2"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5" w:history="1">
        <w:r w:rsidRPr="002012E1">
          <w:rPr>
            <w:rStyle w:val="Hipervnculo"/>
            <w:rFonts w:ascii="Arial" w:hAnsi="Arial" w:cs="Arial"/>
            <w:noProof/>
            <w:u w:val="none"/>
            <w:lang w:val="es-MX"/>
          </w:rPr>
          <w:t>Tabla 22. Resumen Contable del Ciclo de Inversión</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_Toc201322525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212</w:t>
        </w:r>
        <w:r w:rsidRPr="002012E1">
          <w:rPr>
            <w:rStyle w:val="Hipervnculo"/>
            <w:rFonts w:ascii="Arial" w:hAnsi="Arial" w:cs="Arial"/>
            <w:noProof/>
            <w:webHidden/>
            <w:u w:val="none"/>
            <w:lang w:val="es-MX"/>
          </w:rPr>
          <w:fldChar w:fldCharType="end"/>
        </w:r>
      </w:hyperlink>
    </w:p>
    <w:p w14:paraId="41B8853F" w14:textId="67EB26A1"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6" w:history="1">
        <w:r w:rsidRPr="002012E1">
          <w:rPr>
            <w:rStyle w:val="Hipervnculo"/>
            <w:rFonts w:ascii="Arial" w:hAnsi="Arial" w:cs="Arial"/>
            <w:noProof/>
            <w:u w:val="none"/>
            <w:lang w:val="es-MX"/>
          </w:rPr>
          <w:t>Tabla 23. Relación directa con el registro contable</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_Toc201322526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216</w:t>
        </w:r>
        <w:r w:rsidRPr="002012E1">
          <w:rPr>
            <w:rStyle w:val="Hipervnculo"/>
            <w:rFonts w:ascii="Arial" w:hAnsi="Arial" w:cs="Arial"/>
            <w:noProof/>
            <w:webHidden/>
            <w:u w:val="none"/>
            <w:lang w:val="es-MX"/>
          </w:rPr>
          <w:fldChar w:fldCharType="end"/>
        </w:r>
      </w:hyperlink>
    </w:p>
    <w:p w14:paraId="5EDCA670" w14:textId="0213A787"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7" w:history="1">
        <w:r w:rsidRPr="002012E1">
          <w:rPr>
            <w:rStyle w:val="Hipervnculo"/>
            <w:rFonts w:ascii="Arial" w:hAnsi="Arial" w:cs="Arial"/>
            <w:noProof/>
            <w:u w:val="none"/>
            <w:lang w:val="es-MX"/>
          </w:rPr>
          <w:t>Tabla 24. Cronograma de Actividades y Recursos a futuro</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_Toc201322527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223</w:t>
        </w:r>
        <w:r w:rsidRPr="002012E1">
          <w:rPr>
            <w:rStyle w:val="Hipervnculo"/>
            <w:rFonts w:ascii="Arial" w:hAnsi="Arial" w:cs="Arial"/>
            <w:noProof/>
            <w:webHidden/>
            <w:u w:val="none"/>
            <w:lang w:val="es-MX"/>
          </w:rPr>
          <w:fldChar w:fldCharType="end"/>
        </w:r>
      </w:hyperlink>
    </w:p>
    <w:p w14:paraId="51EA0DBF" w14:textId="14F0C2D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1322528" w:history="1">
        <w:r w:rsidRPr="002012E1">
          <w:rPr>
            <w:rStyle w:val="Hipervnculo"/>
            <w:rFonts w:ascii="Arial" w:hAnsi="Arial" w:cs="Arial"/>
            <w:noProof/>
            <w:u w:val="none"/>
            <w:lang w:val="es-MX"/>
          </w:rPr>
          <w:t>Tabla 25. Presupuesto Estimado por Aplicación de Propuesta a Futuro</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_Toc201322528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224</w:t>
        </w:r>
        <w:r w:rsidRPr="002012E1">
          <w:rPr>
            <w:rStyle w:val="Hipervnculo"/>
            <w:rFonts w:ascii="Arial" w:hAnsi="Arial" w:cs="Arial"/>
            <w:noProof/>
            <w:webHidden/>
            <w:u w:val="none"/>
            <w:lang w:val="es-MX"/>
          </w:rPr>
          <w:fldChar w:fldCharType="end"/>
        </w:r>
      </w:hyperlink>
    </w:p>
    <w:p w14:paraId="1B1E4A48" w14:textId="77777777" w:rsidR="00C51607" w:rsidRPr="002012E1" w:rsidRDefault="00C51607" w:rsidP="00C51607">
      <w:pPr>
        <w:spacing w:line="360" w:lineRule="auto"/>
        <w:jc w:val="both"/>
        <w:rPr>
          <w:rFonts w:ascii="Arial" w:eastAsia="Calibri" w:hAnsi="Arial" w:cs="Arial"/>
          <w:i/>
          <w:iCs/>
          <w:color w:val="000000" w:themeColor="text1"/>
          <w:kern w:val="0"/>
          <w:lang w:val="es-ES"/>
          <w14:ligatures w14:val="none"/>
        </w:rPr>
        <w:sectPr w:rsidR="00C51607" w:rsidRPr="002012E1" w:rsidSect="00C51607">
          <w:pgSz w:w="12240" w:h="15840" w:code="1"/>
          <w:pgMar w:top="1417" w:right="1701" w:bottom="1417" w:left="1701" w:header="709" w:footer="709" w:gutter="0"/>
          <w:pgNumType w:fmt="upperRoman"/>
          <w:cols w:space="708"/>
          <w:docGrid w:linePitch="360"/>
        </w:sectPr>
      </w:pPr>
      <w:r w:rsidRPr="002012E1">
        <w:rPr>
          <w:rFonts w:ascii="Arial" w:eastAsia="Calibri" w:hAnsi="Arial" w:cs="Arial"/>
          <w:i/>
          <w:iCs/>
          <w:color w:val="000000" w:themeColor="text1"/>
          <w:kern w:val="0"/>
          <w:lang w:val="es-ES"/>
          <w14:ligatures w14:val="none"/>
        </w:rPr>
        <w:fldChar w:fldCharType="end"/>
      </w:r>
    </w:p>
    <w:p w14:paraId="7414633A" w14:textId="77777777" w:rsidR="00C51607" w:rsidRPr="002012E1" w:rsidRDefault="00C51607" w:rsidP="00C51607">
      <w:pPr>
        <w:spacing w:before="120" w:after="120" w:line="360" w:lineRule="auto"/>
        <w:outlineLvl w:val="0"/>
        <w:rPr>
          <w:rFonts w:ascii="Arial" w:eastAsia="Calibri" w:hAnsi="Arial" w:cs="Arial"/>
          <w:b/>
          <w:color w:val="000000" w:themeColor="text1"/>
          <w:kern w:val="0"/>
          <w:lang w:val="es-ES"/>
          <w14:ligatures w14:val="none"/>
        </w:rPr>
      </w:pPr>
      <w:bookmarkStart w:id="10" w:name="_Toc201832393"/>
      <w:r w:rsidRPr="002012E1">
        <w:rPr>
          <w:rFonts w:ascii="Arial" w:eastAsia="Calibri" w:hAnsi="Arial" w:cs="Arial"/>
          <w:b/>
          <w:color w:val="000000" w:themeColor="text1"/>
          <w:kern w:val="0"/>
          <w:lang w:val="es-ES"/>
          <w14:ligatures w14:val="none"/>
        </w:rPr>
        <w:lastRenderedPageBreak/>
        <w:t>Lista de Gráficos</w:t>
      </w:r>
      <w:bookmarkEnd w:id="10"/>
    </w:p>
    <w:p w14:paraId="4D2F9551" w14:textId="089215CD"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r w:rsidRPr="002012E1">
        <w:rPr>
          <w:rFonts w:ascii="Arial" w:eastAsia="Calibri" w:hAnsi="Arial" w:cs="Arial"/>
          <w:i/>
          <w:iCs/>
          <w:smallCaps/>
          <w:noProof/>
          <w:color w:val="000000" w:themeColor="text1"/>
          <w:kern w:val="0"/>
          <w14:ligatures w14:val="none"/>
        </w:rPr>
        <w:fldChar w:fldCharType="begin"/>
      </w:r>
      <w:r w:rsidRPr="002012E1">
        <w:rPr>
          <w:rFonts w:ascii="Arial" w:eastAsia="Calibri" w:hAnsi="Arial" w:cs="Arial"/>
          <w:i/>
          <w:iCs/>
          <w:smallCaps/>
          <w:noProof/>
          <w:color w:val="000000" w:themeColor="text1"/>
          <w:kern w:val="0"/>
          <w14:ligatures w14:val="none"/>
        </w:rPr>
        <w:instrText xml:space="preserve"> TOC \h \z \c "Gráfico" </w:instrText>
      </w:r>
      <w:r w:rsidRPr="002012E1">
        <w:rPr>
          <w:rFonts w:ascii="Arial" w:eastAsia="Calibri" w:hAnsi="Arial" w:cs="Arial"/>
          <w:i/>
          <w:iCs/>
          <w:smallCaps/>
          <w:noProof/>
          <w:color w:val="000000" w:themeColor="text1"/>
          <w:kern w:val="0"/>
          <w14:ligatures w14:val="none"/>
        </w:rPr>
        <w:fldChar w:fldCharType="separate"/>
      </w:r>
      <w:hyperlink w:anchor="_Toc200314673" w:history="1">
        <w:r w:rsidRPr="002012E1">
          <w:rPr>
            <w:rStyle w:val="Hipervnculo"/>
            <w:rFonts w:ascii="Arial" w:hAnsi="Arial" w:cs="Arial"/>
            <w:noProof/>
            <w:u w:val="none"/>
            <w:lang w:val="es-MX"/>
          </w:rPr>
          <w:t>Gráfico 1. Rentabilidad de los Instrumentos Financieros</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_Toc200314673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100</w:t>
        </w:r>
        <w:r w:rsidRPr="002012E1">
          <w:rPr>
            <w:rStyle w:val="Hipervnculo"/>
            <w:rFonts w:ascii="Arial" w:hAnsi="Arial" w:cs="Arial"/>
            <w:noProof/>
            <w:webHidden/>
            <w:u w:val="none"/>
            <w:lang w:val="es-MX"/>
          </w:rPr>
          <w:fldChar w:fldCharType="end"/>
        </w:r>
      </w:hyperlink>
    </w:p>
    <w:p w14:paraId="358017F9" w14:textId="2DC9F865" w:rsidR="00C51607" w:rsidRPr="002012E1" w:rsidRDefault="00C51607" w:rsidP="00C51607">
      <w:pPr>
        <w:pStyle w:val="Tabladeilustraciones"/>
        <w:tabs>
          <w:tab w:val="right" w:leader="dot" w:pos="8828"/>
        </w:tabs>
        <w:spacing w:line="360" w:lineRule="auto"/>
        <w:rPr>
          <w:rStyle w:val="Hipervnculo"/>
          <w:rFonts w:ascii="Arial" w:hAnsi="Arial" w:cs="Arial"/>
          <w:noProof/>
          <w:u w:val="none"/>
          <w:lang w:val="es-MX"/>
        </w:rPr>
      </w:pPr>
      <w:hyperlink w:anchor="_Toc200314674" w:history="1">
        <w:r w:rsidRPr="002012E1">
          <w:rPr>
            <w:rStyle w:val="Hipervnculo"/>
            <w:rFonts w:ascii="Arial" w:hAnsi="Arial" w:cs="Arial"/>
            <w:noProof/>
            <w:u w:val="none"/>
            <w:lang w:val="es-MX"/>
          </w:rPr>
          <w:t>Gráfico 2. Nivel de Cumplimiento, Evaluación del Índice promedio por operadora basado en la Tabla 21</w:t>
        </w:r>
        <w:r w:rsidRPr="002012E1">
          <w:rPr>
            <w:rStyle w:val="Hipervnculo"/>
            <w:rFonts w:ascii="Arial" w:hAnsi="Arial" w:cs="Arial"/>
            <w:noProof/>
            <w:webHidden/>
            <w:u w:val="none"/>
            <w:lang w:val="es-MX"/>
          </w:rPr>
          <w:tab/>
        </w:r>
        <w:r w:rsidRPr="002012E1">
          <w:rPr>
            <w:rStyle w:val="Hipervnculo"/>
            <w:rFonts w:ascii="Arial" w:hAnsi="Arial" w:cs="Arial"/>
            <w:noProof/>
            <w:webHidden/>
            <w:u w:val="none"/>
            <w:lang w:val="es-MX"/>
          </w:rPr>
          <w:fldChar w:fldCharType="begin"/>
        </w:r>
        <w:r w:rsidRPr="002012E1">
          <w:rPr>
            <w:rStyle w:val="Hipervnculo"/>
            <w:rFonts w:ascii="Arial" w:hAnsi="Arial" w:cs="Arial"/>
            <w:noProof/>
            <w:webHidden/>
            <w:u w:val="none"/>
            <w:lang w:val="es-MX"/>
          </w:rPr>
          <w:instrText xml:space="preserve"> PAGEREF _Toc200314674 \h </w:instrText>
        </w:r>
        <w:r w:rsidRPr="002012E1">
          <w:rPr>
            <w:rStyle w:val="Hipervnculo"/>
            <w:rFonts w:ascii="Arial" w:hAnsi="Arial" w:cs="Arial"/>
            <w:noProof/>
            <w:webHidden/>
            <w:u w:val="none"/>
            <w:lang w:val="es-MX"/>
          </w:rPr>
        </w:r>
        <w:r w:rsidRPr="002012E1">
          <w:rPr>
            <w:rStyle w:val="Hipervnculo"/>
            <w:rFonts w:ascii="Arial" w:hAnsi="Arial" w:cs="Arial"/>
            <w:noProof/>
            <w:webHidden/>
            <w:u w:val="none"/>
            <w:lang w:val="es-MX"/>
          </w:rPr>
          <w:fldChar w:fldCharType="separate"/>
        </w:r>
        <w:r w:rsidR="00125018">
          <w:rPr>
            <w:rStyle w:val="Hipervnculo"/>
            <w:rFonts w:ascii="Arial" w:hAnsi="Arial" w:cs="Arial"/>
            <w:noProof/>
            <w:webHidden/>
            <w:u w:val="none"/>
            <w:lang w:val="es-MX"/>
          </w:rPr>
          <w:t>173</w:t>
        </w:r>
        <w:r w:rsidRPr="002012E1">
          <w:rPr>
            <w:rStyle w:val="Hipervnculo"/>
            <w:rFonts w:ascii="Arial" w:hAnsi="Arial" w:cs="Arial"/>
            <w:noProof/>
            <w:webHidden/>
            <w:u w:val="none"/>
            <w:lang w:val="es-MX"/>
          </w:rPr>
          <w:fldChar w:fldCharType="end"/>
        </w:r>
      </w:hyperlink>
    </w:p>
    <w:p w14:paraId="0E24733E" w14:textId="77777777" w:rsidR="00C51607" w:rsidRPr="002012E1" w:rsidRDefault="00C51607" w:rsidP="00C51607">
      <w:pPr>
        <w:tabs>
          <w:tab w:val="right" w:leader="dot" w:pos="8828"/>
        </w:tabs>
        <w:spacing w:after="0" w:line="360" w:lineRule="auto"/>
        <w:ind w:left="480" w:hanging="480"/>
        <w:jc w:val="both"/>
        <w:rPr>
          <w:rFonts w:ascii="Arial" w:eastAsia="Calibri" w:hAnsi="Arial" w:cs="Arial"/>
          <w:smallCaps/>
          <w:color w:val="000000" w:themeColor="text1"/>
          <w:kern w:val="0"/>
          <w:lang w:val="es-ES"/>
          <w14:ligatures w14:val="none"/>
        </w:rPr>
        <w:sectPr w:rsidR="00C51607" w:rsidRPr="002012E1" w:rsidSect="00C51607">
          <w:pgSz w:w="12240" w:h="15840" w:code="1"/>
          <w:pgMar w:top="1417" w:right="1701" w:bottom="1417" w:left="1701" w:header="709" w:footer="709" w:gutter="0"/>
          <w:pgNumType w:fmt="upperRoman"/>
          <w:cols w:space="708"/>
          <w:docGrid w:linePitch="360"/>
        </w:sectPr>
      </w:pPr>
      <w:r w:rsidRPr="002012E1">
        <w:rPr>
          <w:rFonts w:ascii="Arial" w:eastAsia="Calibri" w:hAnsi="Arial" w:cs="Arial"/>
          <w:i/>
          <w:iCs/>
          <w:smallCaps/>
          <w:noProof/>
          <w:color w:val="000000" w:themeColor="text1"/>
          <w:kern w:val="0"/>
          <w14:ligatures w14:val="none"/>
        </w:rPr>
        <w:fldChar w:fldCharType="end"/>
      </w:r>
    </w:p>
    <w:p w14:paraId="2765C573" w14:textId="77777777" w:rsidR="00C51607" w:rsidRPr="002012E1" w:rsidRDefault="00C51607" w:rsidP="00C51607">
      <w:pPr>
        <w:spacing w:before="120" w:after="120" w:line="360" w:lineRule="auto"/>
        <w:outlineLvl w:val="0"/>
        <w:rPr>
          <w:rFonts w:ascii="Arial" w:eastAsia="Calibri" w:hAnsi="Arial" w:cs="Arial"/>
          <w:b/>
          <w:color w:val="000000" w:themeColor="text1"/>
          <w:kern w:val="0"/>
          <w:lang w:val="es-ES"/>
          <w14:ligatures w14:val="none"/>
        </w:rPr>
      </w:pPr>
      <w:bookmarkStart w:id="11" w:name="_Toc201832394"/>
      <w:r w:rsidRPr="002012E1">
        <w:rPr>
          <w:rFonts w:ascii="Arial" w:eastAsia="Calibri" w:hAnsi="Arial" w:cs="Arial"/>
          <w:b/>
          <w:color w:val="000000" w:themeColor="text1"/>
          <w:kern w:val="0"/>
          <w:lang w:val="es-ES"/>
          <w14:ligatures w14:val="none"/>
        </w:rPr>
        <w:lastRenderedPageBreak/>
        <w:t>Lista de Figuras</w:t>
      </w:r>
      <w:bookmarkEnd w:id="11"/>
    </w:p>
    <w:p w14:paraId="0654A1E6" w14:textId="3217C5D3" w:rsidR="00C51607" w:rsidRPr="002012E1" w:rsidRDefault="00C51607" w:rsidP="00C51607">
      <w:pPr>
        <w:pStyle w:val="Tabladeilustraciones"/>
        <w:tabs>
          <w:tab w:val="right" w:leader="dot" w:pos="8828"/>
        </w:tabs>
        <w:spacing w:line="360" w:lineRule="auto"/>
        <w:rPr>
          <w:rStyle w:val="Hipervnculo"/>
          <w:rFonts w:ascii="Arial" w:eastAsia="Calibri" w:hAnsi="Arial" w:cs="Arial"/>
          <w:noProof/>
          <w:kern w:val="0"/>
          <w:u w:val="none"/>
          <w14:ligatures w14:val="none"/>
        </w:rPr>
      </w:pPr>
      <w:r w:rsidRPr="002012E1">
        <w:rPr>
          <w:rStyle w:val="Hipervnculo"/>
          <w:rFonts w:ascii="Arial" w:hAnsi="Arial" w:cs="Arial"/>
          <w:noProof/>
          <w:u w:val="none"/>
        </w:rPr>
        <w:fldChar w:fldCharType="begin"/>
      </w:r>
      <w:r w:rsidRPr="002012E1">
        <w:rPr>
          <w:rStyle w:val="Hipervnculo"/>
          <w:rFonts w:ascii="Arial" w:hAnsi="Arial" w:cs="Arial"/>
          <w:noProof/>
          <w:u w:val="none"/>
        </w:rPr>
        <w:instrText xml:space="preserve"> TOC \h \z \c "Ilustración" </w:instrText>
      </w:r>
      <w:r w:rsidRPr="002012E1">
        <w:rPr>
          <w:rStyle w:val="Hipervnculo"/>
          <w:rFonts w:ascii="Arial" w:hAnsi="Arial" w:cs="Arial"/>
          <w:noProof/>
          <w:u w:val="none"/>
        </w:rPr>
        <w:fldChar w:fldCharType="separate"/>
      </w:r>
      <w:hyperlink w:anchor="_Toc200314671" w:history="1">
        <w:r w:rsidRPr="002012E1">
          <w:rPr>
            <w:rStyle w:val="Hipervnculo"/>
            <w:rFonts w:ascii="Arial" w:hAnsi="Arial" w:cs="Arial"/>
            <w:noProof/>
            <w:u w:val="none"/>
          </w:rPr>
          <w:t>Figura 1: Relaciones e Interrelaciones</w:t>
        </w:r>
        <w:r w:rsidRPr="002012E1">
          <w:rPr>
            <w:rStyle w:val="Hipervnculo"/>
            <w:rFonts w:ascii="Arial" w:hAnsi="Arial" w:cs="Arial"/>
            <w:noProof/>
            <w:webHidden/>
            <w:u w:val="none"/>
          </w:rPr>
          <w:tab/>
        </w:r>
        <w:r w:rsidRPr="002012E1">
          <w:rPr>
            <w:rStyle w:val="Hipervnculo"/>
            <w:rFonts w:ascii="Arial" w:hAnsi="Arial" w:cs="Arial"/>
            <w:noProof/>
            <w:webHidden/>
            <w:u w:val="none"/>
          </w:rPr>
          <w:fldChar w:fldCharType="begin"/>
        </w:r>
        <w:r w:rsidRPr="002012E1">
          <w:rPr>
            <w:rStyle w:val="Hipervnculo"/>
            <w:rFonts w:ascii="Arial" w:hAnsi="Arial" w:cs="Arial"/>
            <w:noProof/>
            <w:webHidden/>
            <w:u w:val="none"/>
          </w:rPr>
          <w:instrText xml:space="preserve"> PAGEREF _Toc200314671 \h </w:instrText>
        </w:r>
        <w:r w:rsidRPr="002012E1">
          <w:rPr>
            <w:rStyle w:val="Hipervnculo"/>
            <w:rFonts w:ascii="Arial" w:hAnsi="Arial" w:cs="Arial"/>
            <w:noProof/>
            <w:webHidden/>
            <w:u w:val="none"/>
          </w:rPr>
        </w:r>
        <w:r w:rsidRPr="002012E1">
          <w:rPr>
            <w:rStyle w:val="Hipervnculo"/>
            <w:rFonts w:ascii="Arial" w:hAnsi="Arial" w:cs="Arial"/>
            <w:noProof/>
            <w:webHidden/>
            <w:u w:val="none"/>
          </w:rPr>
          <w:fldChar w:fldCharType="separate"/>
        </w:r>
        <w:r w:rsidR="00125018">
          <w:rPr>
            <w:rStyle w:val="Hipervnculo"/>
            <w:rFonts w:ascii="Arial" w:hAnsi="Arial" w:cs="Arial"/>
            <w:noProof/>
            <w:webHidden/>
            <w:u w:val="none"/>
          </w:rPr>
          <w:t>15</w:t>
        </w:r>
        <w:r w:rsidRPr="002012E1">
          <w:rPr>
            <w:rStyle w:val="Hipervnculo"/>
            <w:rFonts w:ascii="Arial" w:hAnsi="Arial" w:cs="Arial"/>
            <w:noProof/>
            <w:webHidden/>
            <w:u w:val="none"/>
          </w:rPr>
          <w:fldChar w:fldCharType="end"/>
        </w:r>
      </w:hyperlink>
    </w:p>
    <w:p w14:paraId="77D3B537" w14:textId="6BCB2B23" w:rsidR="00C51607" w:rsidRPr="002012E1" w:rsidRDefault="00C51607" w:rsidP="00C51607">
      <w:pPr>
        <w:pStyle w:val="Tabladeilustraciones"/>
        <w:tabs>
          <w:tab w:val="right" w:leader="dot" w:pos="8828"/>
        </w:tabs>
        <w:spacing w:line="360" w:lineRule="auto"/>
        <w:rPr>
          <w:rStyle w:val="Hipervnculo"/>
          <w:rFonts w:ascii="Arial" w:eastAsia="Calibri" w:hAnsi="Arial" w:cs="Arial"/>
          <w:noProof/>
          <w:kern w:val="0"/>
          <w:u w:val="none"/>
          <w14:ligatures w14:val="none"/>
        </w:rPr>
      </w:pPr>
      <w:hyperlink w:anchor="_Toc200314672" w:history="1">
        <w:r w:rsidRPr="002012E1">
          <w:rPr>
            <w:rStyle w:val="Hipervnculo"/>
            <w:rFonts w:ascii="Arial" w:hAnsi="Arial" w:cs="Arial"/>
            <w:noProof/>
            <w:u w:val="none"/>
          </w:rPr>
          <w:t xml:space="preserve">Figura 2: </w:t>
        </w:r>
        <w:r w:rsidRPr="002012E1">
          <w:rPr>
            <w:rStyle w:val="Hipervnculo"/>
            <w:rFonts w:ascii="Arial" w:eastAsia="Calibri" w:hAnsi="Arial" w:cs="Arial"/>
            <w:noProof/>
            <w:u w:val="none"/>
          </w:rPr>
          <w:t>Operadoras que inyectaron más ROP en el extranjero.</w:t>
        </w:r>
        <w:r w:rsidRPr="002012E1">
          <w:rPr>
            <w:rStyle w:val="Hipervnculo"/>
            <w:rFonts w:ascii="Arial" w:hAnsi="Arial" w:cs="Arial"/>
            <w:noProof/>
            <w:webHidden/>
            <w:u w:val="none"/>
          </w:rPr>
          <w:tab/>
        </w:r>
        <w:r w:rsidRPr="002012E1">
          <w:rPr>
            <w:rStyle w:val="Hipervnculo"/>
            <w:rFonts w:ascii="Arial" w:hAnsi="Arial" w:cs="Arial"/>
            <w:noProof/>
            <w:webHidden/>
            <w:u w:val="none"/>
          </w:rPr>
          <w:fldChar w:fldCharType="begin"/>
        </w:r>
        <w:r w:rsidRPr="002012E1">
          <w:rPr>
            <w:rStyle w:val="Hipervnculo"/>
            <w:rFonts w:ascii="Arial" w:hAnsi="Arial" w:cs="Arial"/>
            <w:noProof/>
            <w:webHidden/>
            <w:u w:val="none"/>
          </w:rPr>
          <w:instrText xml:space="preserve"> PAGEREF _Toc200314672 \h </w:instrText>
        </w:r>
        <w:r w:rsidRPr="002012E1">
          <w:rPr>
            <w:rStyle w:val="Hipervnculo"/>
            <w:rFonts w:ascii="Arial" w:hAnsi="Arial" w:cs="Arial"/>
            <w:noProof/>
            <w:webHidden/>
            <w:u w:val="none"/>
          </w:rPr>
        </w:r>
        <w:r w:rsidRPr="002012E1">
          <w:rPr>
            <w:rStyle w:val="Hipervnculo"/>
            <w:rFonts w:ascii="Arial" w:hAnsi="Arial" w:cs="Arial"/>
            <w:noProof/>
            <w:webHidden/>
            <w:u w:val="none"/>
          </w:rPr>
          <w:fldChar w:fldCharType="separate"/>
        </w:r>
        <w:r w:rsidR="00125018">
          <w:rPr>
            <w:rStyle w:val="Hipervnculo"/>
            <w:rFonts w:ascii="Arial" w:hAnsi="Arial" w:cs="Arial"/>
            <w:noProof/>
            <w:webHidden/>
            <w:u w:val="none"/>
          </w:rPr>
          <w:t>96</w:t>
        </w:r>
        <w:r w:rsidRPr="002012E1">
          <w:rPr>
            <w:rStyle w:val="Hipervnculo"/>
            <w:rFonts w:ascii="Arial" w:hAnsi="Arial" w:cs="Arial"/>
            <w:noProof/>
            <w:webHidden/>
            <w:u w:val="none"/>
          </w:rPr>
          <w:fldChar w:fldCharType="end"/>
        </w:r>
      </w:hyperlink>
    </w:p>
    <w:p w14:paraId="0FDBF5D2" w14:textId="77777777" w:rsidR="00C51607" w:rsidRPr="002012E1" w:rsidRDefault="00C51607" w:rsidP="00C51607">
      <w:pPr>
        <w:pStyle w:val="Tabladeilustraciones"/>
        <w:tabs>
          <w:tab w:val="right" w:leader="dot" w:pos="8828"/>
        </w:tabs>
        <w:spacing w:line="360" w:lineRule="auto"/>
        <w:rPr>
          <w:rStyle w:val="Hipervnculo"/>
          <w:rFonts w:ascii="Arial" w:hAnsi="Arial" w:cs="Arial"/>
          <w:noProof/>
          <w:u w:val="none"/>
        </w:rPr>
      </w:pPr>
      <w:r w:rsidRPr="002012E1">
        <w:rPr>
          <w:rStyle w:val="Hipervnculo"/>
          <w:rFonts w:ascii="Arial" w:hAnsi="Arial" w:cs="Arial"/>
          <w:noProof/>
          <w:u w:val="none"/>
        </w:rPr>
        <w:fldChar w:fldCharType="end"/>
      </w:r>
    </w:p>
    <w:p w14:paraId="04723011" w14:textId="77777777" w:rsidR="00C51607" w:rsidRPr="002012E1" w:rsidRDefault="00C51607" w:rsidP="00C51607">
      <w:pPr>
        <w:spacing w:before="120" w:after="120" w:line="360" w:lineRule="auto"/>
        <w:jc w:val="both"/>
        <w:outlineLvl w:val="0"/>
        <w:rPr>
          <w:rFonts w:ascii="Arial" w:eastAsia="Calibri" w:hAnsi="Arial" w:cs="Arial"/>
          <w:b/>
          <w:kern w:val="0"/>
          <w14:ligatures w14:val="none"/>
        </w:rPr>
      </w:pPr>
      <w:r w:rsidRPr="002012E1">
        <w:rPr>
          <w:rFonts w:ascii="Arial" w:eastAsia="Calibri" w:hAnsi="Arial" w:cs="Arial"/>
          <w:color w:val="000000" w:themeColor="text1"/>
          <w:kern w:val="0"/>
          <w:u w:val="single"/>
          <w14:ligatures w14:val="none"/>
        </w:rPr>
        <w:br w:type="page"/>
      </w:r>
      <w:bookmarkStart w:id="12" w:name="_Toc201832395"/>
      <w:r w:rsidRPr="002012E1">
        <w:rPr>
          <w:rFonts w:ascii="Arial" w:eastAsia="Calibri" w:hAnsi="Arial" w:cs="Arial"/>
          <w:b/>
          <w:kern w:val="0"/>
          <w14:ligatures w14:val="none"/>
        </w:rPr>
        <w:lastRenderedPageBreak/>
        <w:t>Lista de Abreviaturas</w:t>
      </w:r>
      <w:bookmarkEnd w:id="12"/>
    </w:p>
    <w:p w14:paraId="2BAAA73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CDC99F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AUM: Assets Under Management (Activos bajo gestión)</w:t>
      </w:r>
    </w:p>
    <w:p w14:paraId="460B045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ACOP: Asociación Costarricense de Operadoras de Pensiones</w:t>
      </w:r>
    </w:p>
    <w:p w14:paraId="2FB2BAF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BAC: Banco de América Central </w:t>
      </w:r>
    </w:p>
    <w:p w14:paraId="76BAD65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BCCR: Banco Central de Costa Rica</w:t>
      </w:r>
    </w:p>
    <w:p w14:paraId="78BDAE2E"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BCR: Banco de Costa Rica </w:t>
      </w:r>
    </w:p>
    <w:p w14:paraId="1FD00E2D"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BN: Banco Nacional de Costa Rica</w:t>
      </w:r>
    </w:p>
    <w:p w14:paraId="0BBCAABE"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BP: Banco Popular de Costa Rica</w:t>
      </w:r>
    </w:p>
    <w:p w14:paraId="5FEEFF0F"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CONASSIF: Consejo Nacional de Supervisión del Sistema Financiero</w:t>
      </w:r>
    </w:p>
    <w:p w14:paraId="6EBBB99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ICAC: Instituto de Contabilidad y Auditoría de Cuentas</w:t>
      </w:r>
    </w:p>
    <w:p w14:paraId="32CBB936"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LPT: Ley de Protección al Trabajador, Ley </w:t>
      </w:r>
      <w:r w:rsidRPr="002012E1">
        <w:rPr>
          <w:rFonts w:ascii="Arial" w:eastAsia="Calibri" w:hAnsi="Arial" w:cs="Arial"/>
          <w:kern w:val="0"/>
          <w:lang w:val="es-MX"/>
          <w14:ligatures w14:val="none"/>
        </w:rPr>
        <w:t>N° 7983</w:t>
      </w:r>
    </w:p>
    <w:p w14:paraId="4C8D211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NIIF: </w:t>
      </w:r>
      <w:r w:rsidRPr="002012E1">
        <w:rPr>
          <w:rFonts w:ascii="Arial" w:eastAsia="Calibri" w:hAnsi="Arial" w:cs="Arial"/>
          <w:kern w:val="0"/>
          <w:lang w:val="es-MX"/>
          <w14:ligatures w14:val="none"/>
        </w:rPr>
        <w:t>Normas Internacionales de Información Financiera</w:t>
      </w:r>
    </w:p>
    <w:p w14:paraId="5D3A317C"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OCDE: Organización para la Cooperación y el Desarrollo Económico</w:t>
      </w:r>
    </w:p>
    <w:p w14:paraId="1C89579D"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ODS: Objetivos de Desarrollo Sostenible</w:t>
      </w:r>
    </w:p>
    <w:p w14:paraId="5BF2D549"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ONU: Organización de Naciones Unidas</w:t>
      </w:r>
    </w:p>
    <w:p w14:paraId="0DED34A7" w14:textId="77777777" w:rsidR="00C51607" w:rsidRPr="00A743FD" w:rsidRDefault="00C51607" w:rsidP="00C51607">
      <w:pPr>
        <w:spacing w:after="0" w:line="360" w:lineRule="auto"/>
        <w:jc w:val="both"/>
        <w:rPr>
          <w:rFonts w:ascii="Arial" w:hAnsi="Arial" w:cs="Arial"/>
          <w:lang w:val="en-US"/>
        </w:rPr>
      </w:pPr>
      <w:r w:rsidRPr="00A743FD">
        <w:rPr>
          <w:rFonts w:ascii="Arial" w:hAnsi="Arial" w:cs="Arial"/>
          <w:lang w:val="en-US"/>
        </w:rPr>
        <w:t>OTC: Over the Counter</w:t>
      </w:r>
    </w:p>
    <w:p w14:paraId="6009AA0E" w14:textId="77777777" w:rsidR="00C51607" w:rsidRPr="00A743FD" w:rsidRDefault="00C51607" w:rsidP="00C51607">
      <w:pPr>
        <w:spacing w:after="0" w:line="360" w:lineRule="auto"/>
        <w:jc w:val="both"/>
        <w:rPr>
          <w:rFonts w:ascii="Arial" w:eastAsia="Calibri" w:hAnsi="Arial" w:cs="Arial"/>
          <w:kern w:val="0"/>
          <w:lang w:val="en-US"/>
          <w14:ligatures w14:val="none"/>
        </w:rPr>
      </w:pPr>
      <w:r w:rsidRPr="00A743FD">
        <w:rPr>
          <w:rFonts w:ascii="Arial" w:eastAsia="Calibri" w:hAnsi="Arial" w:cs="Arial"/>
          <w:kern w:val="0"/>
          <w:lang w:val="en-US"/>
          <w14:ligatures w14:val="none"/>
        </w:rPr>
        <w:t>ROE: Return of Equity</w:t>
      </w:r>
    </w:p>
    <w:p w14:paraId="6DCDCE8C"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ROP: Régimen Obligatorio de Pensiones</w:t>
      </w:r>
    </w:p>
    <w:p w14:paraId="0B79CD8B"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SUGEF: Superintendencia General de Entidades Financieras</w:t>
      </w:r>
    </w:p>
    <w:p w14:paraId="5ACF0A9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SUGEVAL: Superintendencia General de Valores</w:t>
      </w:r>
    </w:p>
    <w:p w14:paraId="53D51193"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SUPEN: Superintendencia de Pensiones</w:t>
      </w:r>
    </w:p>
    <w:p w14:paraId="3010176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VAR: Valor en Riesgo</w:t>
      </w:r>
    </w:p>
    <w:p w14:paraId="745DE26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C3F83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162BA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94643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1D4F8E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25CAF58" w14:textId="77777777" w:rsidR="00C51607" w:rsidRDefault="00C51607" w:rsidP="00C51607">
      <w:pPr>
        <w:spacing w:after="0" w:line="360" w:lineRule="auto"/>
        <w:jc w:val="both"/>
        <w:rPr>
          <w:rFonts w:ascii="Arial" w:eastAsia="Calibri" w:hAnsi="Arial" w:cs="Arial"/>
          <w:kern w:val="0"/>
          <w:lang w:val="es-MX"/>
          <w14:ligatures w14:val="none"/>
        </w:rPr>
      </w:pPr>
    </w:p>
    <w:p w14:paraId="18BFBA7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61E6AA" w14:textId="77777777" w:rsidR="00C51607" w:rsidRPr="002012E1" w:rsidRDefault="00C51607" w:rsidP="00C51607">
      <w:pPr>
        <w:spacing w:line="360" w:lineRule="auto"/>
        <w:rPr>
          <w:rFonts w:ascii="Arial" w:eastAsia="Calibri" w:hAnsi="Arial" w:cs="Arial"/>
          <w:color w:val="FF0000"/>
          <w:kern w:val="0"/>
          <w14:ligatures w14:val="none"/>
        </w:rPr>
      </w:pPr>
    </w:p>
    <w:p w14:paraId="5CDAC366" w14:textId="77777777" w:rsidR="00C51607" w:rsidRPr="002012E1" w:rsidRDefault="00C51607" w:rsidP="00C51607">
      <w:pPr>
        <w:pStyle w:val="apanivel1"/>
        <w:numPr>
          <w:ilvl w:val="0"/>
          <w:numId w:val="0"/>
        </w:numPr>
        <w:jc w:val="center"/>
        <w:rPr>
          <w:lang w:val="es-MX"/>
        </w:rPr>
      </w:pPr>
      <w:bookmarkStart w:id="13" w:name="_Toc201832396"/>
      <w:r w:rsidRPr="002012E1">
        <w:rPr>
          <w:lang w:val="es-MX"/>
        </w:rPr>
        <w:lastRenderedPageBreak/>
        <w:t>Resumen Ejecutivo</w:t>
      </w:r>
      <w:bookmarkEnd w:id="13"/>
    </w:p>
    <w:p w14:paraId="4F87105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Tema:</w:t>
      </w:r>
      <w:r w:rsidRPr="002012E1">
        <w:rPr>
          <w:rFonts w:ascii="Arial" w:eastAsia="Calibri" w:hAnsi="Arial" w:cs="Arial"/>
          <w:kern w:val="0"/>
          <w:lang w:val="es-MX"/>
          <w14:ligatures w14:val="none"/>
        </w:rPr>
        <w:t xml:space="preserve"> Propuesta de registro contable para productos de inversión alternativos en los portafolios de pensiones de Costa Rica.</w:t>
      </w:r>
    </w:p>
    <w:p w14:paraId="0B8BF112" w14:textId="77777777" w:rsidR="00C51607" w:rsidRPr="002012E1" w:rsidRDefault="00C51607" w:rsidP="00C51607">
      <w:pPr>
        <w:pStyle w:val="apaparrafo"/>
        <w:rPr>
          <w:b/>
          <w:bCs/>
        </w:rPr>
      </w:pPr>
    </w:p>
    <w:p w14:paraId="12ABE9E0" w14:textId="77777777" w:rsidR="00C51607" w:rsidRPr="002012E1" w:rsidRDefault="00C51607" w:rsidP="00C51607">
      <w:pPr>
        <w:pStyle w:val="apaparrafo"/>
      </w:pPr>
      <w:r w:rsidRPr="002012E1">
        <w:t>Este estudio se centra en desarrollar una propuesta contable que permita registrar adecuadamente los productos de inversión alternativos en los portafolios de pensiones costarricenses, dada la carencia normativa específica y la creciente incorporación de este tipo de inversiones en el mercado nacional e internacional.</w:t>
      </w:r>
    </w:p>
    <w:p w14:paraId="683801E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7ADD85A" w14:textId="77777777" w:rsidR="00C51607" w:rsidRPr="002012E1" w:rsidRDefault="00C51607" w:rsidP="00C51607">
      <w:pPr>
        <w:pStyle w:val="apaparrafo"/>
      </w:pPr>
      <w:r w:rsidRPr="002012E1">
        <w:rPr>
          <w:b/>
          <w:bCs/>
        </w:rPr>
        <w:t xml:space="preserve">Investigadores: </w:t>
      </w:r>
      <w:r w:rsidRPr="002012E1">
        <w:t>Daniel Enrique Piña Walsh, Diego Alejandro Fernández Araya, Gabriel Cabrera Agüero y Jean Carlo Molina Hernández.</w:t>
      </w:r>
    </w:p>
    <w:p w14:paraId="7351E1F0" w14:textId="77777777" w:rsidR="00C51607" w:rsidRPr="002012E1" w:rsidRDefault="00C51607" w:rsidP="00C51607">
      <w:pPr>
        <w:pStyle w:val="apaparrafo"/>
      </w:pPr>
    </w:p>
    <w:p w14:paraId="2755ADF3" w14:textId="77777777" w:rsidR="00C51607" w:rsidRPr="002012E1" w:rsidRDefault="00C51607" w:rsidP="00C51607">
      <w:pPr>
        <w:pStyle w:val="apaparrafo"/>
        <w:rPr>
          <w:b/>
          <w:bCs/>
        </w:rPr>
      </w:pPr>
      <w:r w:rsidRPr="002012E1">
        <w:rPr>
          <w:b/>
          <w:bCs/>
        </w:rPr>
        <w:t>Interrogante de la Investigación:</w:t>
      </w:r>
    </w:p>
    <w:p w14:paraId="1CFEFD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¿Cómo desarrollar una propuesta de registro contable para productos de inversión alternativos en los fondos de pensiones de Costa Rica, en busca de una transparencia y la supervisión efectiva de este tipo de inversiones?</w:t>
      </w:r>
    </w:p>
    <w:p w14:paraId="7D4450A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D75A02" w14:textId="77777777" w:rsidR="00C51607" w:rsidRPr="002012E1" w:rsidRDefault="00C51607" w:rsidP="00C51607">
      <w:pPr>
        <w:pStyle w:val="apaparrafo"/>
        <w:rPr>
          <w:b/>
          <w:bCs/>
        </w:rPr>
      </w:pPr>
      <w:r w:rsidRPr="002012E1">
        <w:rPr>
          <w:b/>
          <w:bCs/>
        </w:rPr>
        <w:t>Problema:</w:t>
      </w:r>
    </w:p>
    <w:p w14:paraId="20A4C6E2" w14:textId="77777777" w:rsidR="00C51607" w:rsidRPr="002012E1" w:rsidRDefault="00C51607" w:rsidP="00C51607">
      <w:pPr>
        <w:pStyle w:val="apaparrafo"/>
      </w:pPr>
      <w:r w:rsidRPr="002012E1">
        <w:t>El sistema de pensiones costarricense enfrenta importantes desafíos al integrar productos de inversión alternativos en sus portafolios, debido a la ausencia de una normativa contable específica que permita su adecuada valoración, gestión de riesgo y reporte. Esta carencia limita la transparencia financiera y dificulta la supervisión por parte de las autoridades, afectando la diversificación y sostenibilidad del sistema.</w:t>
      </w:r>
    </w:p>
    <w:p w14:paraId="6C6EA2DE"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6B6B0586"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Objetivo General:</w:t>
      </w:r>
    </w:p>
    <w:p w14:paraId="03BFCEA9" w14:textId="77777777" w:rsidR="00C51607" w:rsidRPr="002012E1" w:rsidRDefault="00C51607" w:rsidP="00C51607">
      <w:pPr>
        <w:numPr>
          <w:ilvl w:val="0"/>
          <w:numId w:val="4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Desarrollar una propuesta de registro contable para productos de inversión alternativos en los portafolios de pensiones costarricenses, alineada con las normativas nacionales e internacionales, que facilite la supervisión, valoración y gestión de riesgos por parte de las autoridades y operadores del sistema de pensiones.</w:t>
      </w:r>
    </w:p>
    <w:p w14:paraId="7067C8F0"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lastRenderedPageBreak/>
        <w:t>Objetivos específicos</w:t>
      </w:r>
    </w:p>
    <w:p w14:paraId="58948B15"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Investigar los productos financieros de deuda, acciones y alternativos, para la comprensión de sus características principales y su impacto en las estrategias de inversión.</w:t>
      </w:r>
    </w:p>
    <w:p w14:paraId="55A8940C"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Identificar las inversiones alternativas que forman parte de los portafolios de los fondos de pensiones en Costa Rica para la clasificación de éstas según su naturaleza y características.</w:t>
      </w:r>
    </w:p>
    <w:p w14:paraId="3F446E05"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Examinar la normativa vigente relacionada con la contabilidad y la gestión de fondos de pensiones en Costa Rica, para la identificación de los tipos de registros contables y su ajuste según la normativa costarricense.</w:t>
      </w:r>
    </w:p>
    <w:p w14:paraId="3F3D919B"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3807AE57"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Modelo de Análisis:</w:t>
      </w:r>
    </w:p>
    <w:p w14:paraId="19B820F1" w14:textId="77777777" w:rsidR="00C51607" w:rsidRPr="002012E1" w:rsidRDefault="00C51607" w:rsidP="00C51607">
      <w:pPr>
        <w:pStyle w:val="apaparrafo"/>
      </w:pPr>
      <w:r w:rsidRPr="002012E1">
        <w:t>El análisis se fundamenta en tres variables principales:</w:t>
      </w:r>
    </w:p>
    <w:p w14:paraId="47D46F27" w14:textId="77777777" w:rsidR="00C51607" w:rsidRPr="002012E1" w:rsidRDefault="00C51607" w:rsidP="00C51607">
      <w:pPr>
        <w:pStyle w:val="apaparrafo"/>
        <w:numPr>
          <w:ilvl w:val="0"/>
          <w:numId w:val="44"/>
        </w:numPr>
      </w:pPr>
      <w:r w:rsidRPr="002012E1">
        <w:rPr>
          <w:b/>
          <w:bCs/>
        </w:rPr>
        <w:t>Productos financieros tradicionales y alternativos</w:t>
      </w:r>
      <w:r w:rsidRPr="002012E1">
        <w:t>: análisis de sus características, rentabilidad, volatilidad y riesgo.</w:t>
      </w:r>
    </w:p>
    <w:p w14:paraId="3BB90E73" w14:textId="77777777" w:rsidR="00C51607" w:rsidRPr="002012E1" w:rsidRDefault="00C51607" w:rsidP="00C51607">
      <w:pPr>
        <w:pStyle w:val="apaparrafo"/>
        <w:numPr>
          <w:ilvl w:val="0"/>
          <w:numId w:val="44"/>
        </w:numPr>
      </w:pPr>
      <w:r w:rsidRPr="002012E1">
        <w:rPr>
          <w:b/>
          <w:bCs/>
        </w:rPr>
        <w:t>Inversiones alternativas</w:t>
      </w:r>
      <w:r w:rsidRPr="002012E1">
        <w:t>: evaluación de su inclusión en portafolios nacionales, clasificación por tipo y características (liquidez, horizonte de inversión, etc.).</w:t>
      </w:r>
    </w:p>
    <w:p w14:paraId="456C1F1A" w14:textId="77777777" w:rsidR="00C51607" w:rsidRPr="002012E1" w:rsidRDefault="00C51607" w:rsidP="00C51607">
      <w:pPr>
        <w:pStyle w:val="apaparrafo"/>
        <w:numPr>
          <w:ilvl w:val="0"/>
          <w:numId w:val="44"/>
        </w:numPr>
      </w:pPr>
      <w:r w:rsidRPr="002012E1">
        <w:rPr>
          <w:b/>
          <w:bCs/>
        </w:rPr>
        <w:t>Normativa contable vigente</w:t>
      </w:r>
      <w:r w:rsidRPr="002012E1">
        <w:t>: revisión de NIIF 9, NIC 39 y su aplicabilidad en el entorno costarricense.</w:t>
      </w:r>
    </w:p>
    <w:p w14:paraId="5FF213AB" w14:textId="77777777" w:rsidR="00C51607" w:rsidRPr="002012E1" w:rsidRDefault="00C51607" w:rsidP="00C51607">
      <w:pPr>
        <w:pStyle w:val="apaparrafo"/>
      </w:pPr>
    </w:p>
    <w:p w14:paraId="64E95E30" w14:textId="77777777" w:rsidR="00C51607" w:rsidRPr="002012E1" w:rsidRDefault="00C51607" w:rsidP="00C51607">
      <w:pPr>
        <w:pStyle w:val="apaparrafo"/>
      </w:pPr>
      <w:r w:rsidRPr="002012E1">
        <w:t>Se emplearon técnicas mixtas: análisis documental, entrevistas semiestructuradas, observación directa y análisis de sensibilidad. El enfoque es aplicado, con propósito propositivo.</w:t>
      </w:r>
    </w:p>
    <w:p w14:paraId="67CF33D2" w14:textId="77777777" w:rsidR="00C51607" w:rsidRPr="002012E1" w:rsidRDefault="00C51607" w:rsidP="00C51607">
      <w:pPr>
        <w:pStyle w:val="apaparrafo"/>
      </w:pPr>
    </w:p>
    <w:p w14:paraId="1303FE12" w14:textId="77777777" w:rsidR="00C51607" w:rsidRPr="002012E1" w:rsidRDefault="00C51607" w:rsidP="00C51607">
      <w:pPr>
        <w:pStyle w:val="apaparrafo"/>
        <w:rPr>
          <w:b/>
          <w:bCs/>
        </w:rPr>
      </w:pPr>
      <w:r w:rsidRPr="002012E1">
        <w:rPr>
          <w:b/>
          <w:bCs/>
        </w:rPr>
        <w:t>Síntesis del Capítulo de Análisis de Resultados:</w:t>
      </w:r>
    </w:p>
    <w:p w14:paraId="1B36B8E8" w14:textId="77777777" w:rsidR="00C51607" w:rsidRPr="002012E1" w:rsidRDefault="00C51607" w:rsidP="00C51607">
      <w:pPr>
        <w:pStyle w:val="apaparrafo"/>
      </w:pPr>
      <w:r w:rsidRPr="002012E1">
        <w:t>El análisis empírico permitió identificar los principales productos alternativos utilizados en los fondos de pensiones (capital privado, bienes raíces, infraestructura, entre otros), destacando su capacidad de diversificación y su rentabilidad frente a los instrumentos tradicionales.</w:t>
      </w:r>
    </w:p>
    <w:p w14:paraId="1D6050E2" w14:textId="77777777" w:rsidR="00C51607" w:rsidRPr="002012E1" w:rsidRDefault="00C51607" w:rsidP="00C51607">
      <w:pPr>
        <w:pStyle w:val="apaparrafo"/>
      </w:pPr>
    </w:p>
    <w:p w14:paraId="130BB536" w14:textId="77777777" w:rsidR="00C51607" w:rsidRPr="002012E1" w:rsidRDefault="00C51607" w:rsidP="00C51607">
      <w:pPr>
        <w:pStyle w:val="apaparrafo"/>
      </w:pPr>
      <w:r w:rsidRPr="002012E1">
        <w:lastRenderedPageBreak/>
        <w:t>Entre los hallazgos sobresalientes se encuentran:</w:t>
      </w:r>
    </w:p>
    <w:p w14:paraId="43339A8E" w14:textId="77777777" w:rsidR="00C51607" w:rsidRPr="002012E1" w:rsidRDefault="00C51607" w:rsidP="00C51607">
      <w:pPr>
        <w:pStyle w:val="apaparrafo"/>
        <w:numPr>
          <w:ilvl w:val="0"/>
          <w:numId w:val="45"/>
        </w:numPr>
      </w:pPr>
      <w:r w:rsidRPr="002012E1">
        <w:rPr>
          <w:b/>
          <w:bCs/>
        </w:rPr>
        <w:t>Impacto positivo en las estrategias de inversión:</w:t>
      </w:r>
      <w:r w:rsidRPr="002012E1">
        <w:t xml:space="preserve"> los activos alternativos aportan resiliencia y mejora de rendimiento a largo plazo.</w:t>
      </w:r>
    </w:p>
    <w:p w14:paraId="2DBD0D6F" w14:textId="77777777" w:rsidR="00C51607" w:rsidRPr="002012E1" w:rsidRDefault="00C51607" w:rsidP="00C51607">
      <w:pPr>
        <w:pStyle w:val="apaparrafo"/>
        <w:numPr>
          <w:ilvl w:val="0"/>
          <w:numId w:val="45"/>
        </w:numPr>
      </w:pPr>
      <w:r w:rsidRPr="002012E1">
        <w:rPr>
          <w:b/>
          <w:bCs/>
        </w:rPr>
        <w:t>Desafíos contables:</w:t>
      </w:r>
      <w:r w:rsidRPr="002012E1">
        <w:t xml:space="preserve"> se evidencia una gran heterogeneidad en la forma de registrar estos instrumentos, lo que dificulta la supervisión efectiva.</w:t>
      </w:r>
    </w:p>
    <w:p w14:paraId="48B9189E" w14:textId="77777777" w:rsidR="00C51607" w:rsidRPr="002012E1" w:rsidRDefault="00C51607" w:rsidP="00C51607">
      <w:pPr>
        <w:pStyle w:val="apaparrafo"/>
        <w:numPr>
          <w:ilvl w:val="0"/>
          <w:numId w:val="45"/>
        </w:numPr>
      </w:pPr>
      <w:r w:rsidRPr="002012E1">
        <w:rPr>
          <w:b/>
          <w:bCs/>
        </w:rPr>
        <w:t>Comparación internacional:</w:t>
      </w:r>
      <w:r w:rsidRPr="002012E1">
        <w:t xml:space="preserve"> países como Colombia y EE. UU. han desarrollado marcos regulatorios específicos, lo cual ha fortalecido la confianza del sistema.</w:t>
      </w:r>
    </w:p>
    <w:p w14:paraId="7FF22F33" w14:textId="77777777" w:rsidR="00C51607" w:rsidRPr="002012E1" w:rsidRDefault="00C51607" w:rsidP="00C51607">
      <w:pPr>
        <w:pStyle w:val="apaparrafo"/>
        <w:ind w:left="720"/>
      </w:pPr>
    </w:p>
    <w:p w14:paraId="0909B483" w14:textId="77777777" w:rsidR="00C51607" w:rsidRPr="002012E1" w:rsidRDefault="00C51607" w:rsidP="00C51607">
      <w:pPr>
        <w:pStyle w:val="apaparrafo"/>
      </w:pPr>
      <w:r w:rsidRPr="002012E1">
        <w:t>Además, se aplicaron indicadores como volatilidad histórica, VAR, ratios Sharpe y Treynor para evaluar los riesgos. Se identificó que la actual normativa contable presenta rigideces que impiden una clasificación eficiente de estos activos.</w:t>
      </w:r>
    </w:p>
    <w:p w14:paraId="545EB82A" w14:textId="77777777" w:rsidR="00C51607" w:rsidRPr="002012E1" w:rsidRDefault="00C51607" w:rsidP="00C51607">
      <w:pPr>
        <w:pStyle w:val="apaparrafo"/>
      </w:pPr>
    </w:p>
    <w:p w14:paraId="50CC1466"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Conclusiones:</w:t>
      </w:r>
    </w:p>
    <w:p w14:paraId="40377189" w14:textId="77777777" w:rsidR="00C51607" w:rsidRPr="002012E1" w:rsidRDefault="00C51607" w:rsidP="00C51607">
      <w:pPr>
        <w:numPr>
          <w:ilvl w:val="0"/>
          <w:numId w:val="3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ausencia de una normativa contable específica para inversiones alternativas en los portafolios de pensiones en Costa Rica genera dificultades en la valoración, medición de riesgos y transparencia de los informes financieros, lo que limita la diversificación y la gestión eficiente de los fondos.</w:t>
      </w:r>
    </w:p>
    <w:p w14:paraId="2A0B5E80" w14:textId="77777777" w:rsidR="00C51607" w:rsidRPr="002012E1" w:rsidRDefault="00C51607" w:rsidP="00C51607">
      <w:pPr>
        <w:numPr>
          <w:ilvl w:val="0"/>
          <w:numId w:val="3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experiencia internacional, especialmente en países como Colombia y Estados Unidos, demuestra que la implementación de marcos regulatorios y contables adecuados permite a los fondos de pensiones diversificar sus inversiones, mejorar la rentabilidad y contribuir al desarrollo sostenible.</w:t>
      </w:r>
    </w:p>
    <w:p w14:paraId="11352427" w14:textId="77777777" w:rsidR="00C51607" w:rsidRPr="002012E1" w:rsidRDefault="00C51607" w:rsidP="00C51607">
      <w:pPr>
        <w:numPr>
          <w:ilvl w:val="0"/>
          <w:numId w:val="3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Incorporar inversiones alternativas bajo un registro contable claro y adaptado al contexto nacional puede fortalecer la estabilidad y sostenibilidad del sistema de pensiones costarricense.</w:t>
      </w:r>
    </w:p>
    <w:p w14:paraId="3EB8A2DE"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4C4CE90D"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Recomendaciones:</w:t>
      </w:r>
    </w:p>
    <w:p w14:paraId="3D957FB9" w14:textId="77777777" w:rsidR="00C51607" w:rsidRPr="002012E1" w:rsidRDefault="00C51607" w:rsidP="00C51607">
      <w:pPr>
        <w:numPr>
          <w:ilvl w:val="0"/>
          <w:numId w:val="3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Adoptar la propuesta de registro contable desarrollada en esta investigación, ajustando los manuales y normativas vigentes para incluir lineamientos claros sobre la contabilización, valoración y reporte de inversiones alternativas en los portafolios de pensiones.</w:t>
      </w:r>
    </w:p>
    <w:p w14:paraId="2B51BA8B" w14:textId="77777777" w:rsidR="00C51607" w:rsidRPr="002012E1" w:rsidRDefault="00C51607" w:rsidP="00C51607">
      <w:pPr>
        <w:numPr>
          <w:ilvl w:val="0"/>
          <w:numId w:val="3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Fortalecer la capacitación del personal de las operadoras de pensiones y de la Superintendencia de Pensiones (SUPEN) en el manejo y supervisión de estos instrumentos financieros.</w:t>
      </w:r>
    </w:p>
    <w:p w14:paraId="796E3445" w14:textId="77777777" w:rsidR="00C51607" w:rsidRPr="002012E1" w:rsidRDefault="00C51607" w:rsidP="00C51607">
      <w:pPr>
        <w:numPr>
          <w:ilvl w:val="0"/>
          <w:numId w:val="3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Promover la actualización periódica de la normativa contable, tomando como referencia las mejores prácticas internacionales y la evolución del mercado financiero.</w:t>
      </w:r>
    </w:p>
    <w:p w14:paraId="13D829BD" w14:textId="77777777" w:rsidR="00C51607" w:rsidRPr="002012E1" w:rsidRDefault="00C51607" w:rsidP="00C51607">
      <w:pPr>
        <w:pStyle w:val="apaparrafo"/>
      </w:pPr>
    </w:p>
    <w:p w14:paraId="66C5F613" w14:textId="77777777" w:rsidR="00C51607" w:rsidRPr="002012E1" w:rsidRDefault="00C51607" w:rsidP="00C51607">
      <w:pPr>
        <w:pStyle w:val="apaparrafo"/>
        <w:rPr>
          <w:b/>
          <w:bCs/>
        </w:rPr>
      </w:pPr>
      <w:r w:rsidRPr="002012E1">
        <w:rPr>
          <w:b/>
          <w:bCs/>
        </w:rPr>
        <w:t>Propuesta:</w:t>
      </w:r>
    </w:p>
    <w:p w14:paraId="537E1C81" w14:textId="77777777" w:rsidR="00C51607" w:rsidRPr="002012E1" w:rsidRDefault="00C51607" w:rsidP="00C51607">
      <w:pPr>
        <w:pStyle w:val="apaparrafo"/>
      </w:pPr>
      <w:r w:rsidRPr="002012E1">
        <w:t>Se presenta un modelo contable flexible, con principios alineados a las normativas internacionales, que:</w:t>
      </w:r>
    </w:p>
    <w:p w14:paraId="28186665" w14:textId="77777777" w:rsidR="00C51607" w:rsidRPr="002012E1" w:rsidRDefault="00C51607" w:rsidP="00C51607">
      <w:pPr>
        <w:pStyle w:val="apaparrafo"/>
        <w:numPr>
          <w:ilvl w:val="0"/>
          <w:numId w:val="46"/>
        </w:numPr>
      </w:pPr>
      <w:r w:rsidRPr="002012E1">
        <w:t>Permite el reconocimiento inicial y posterior medición a valor razonable.</w:t>
      </w:r>
    </w:p>
    <w:p w14:paraId="4B1CE8E3" w14:textId="77777777" w:rsidR="00C51607" w:rsidRPr="002012E1" w:rsidRDefault="00C51607" w:rsidP="00C51607">
      <w:pPr>
        <w:pStyle w:val="apaparrafo"/>
        <w:numPr>
          <w:ilvl w:val="0"/>
          <w:numId w:val="46"/>
        </w:numPr>
      </w:pPr>
      <w:r w:rsidRPr="002012E1">
        <w:t>Integra criterios de clasificación según liquidez, horizonte de inversión y exposición a riesgo.</w:t>
      </w:r>
    </w:p>
    <w:p w14:paraId="2F1F2F26" w14:textId="77777777" w:rsidR="00C51607" w:rsidRPr="002012E1" w:rsidRDefault="00C51607" w:rsidP="00C51607">
      <w:pPr>
        <w:pStyle w:val="apaparrafo"/>
        <w:numPr>
          <w:ilvl w:val="0"/>
          <w:numId w:val="46"/>
        </w:numPr>
      </w:pPr>
      <w:r w:rsidRPr="002012E1">
        <w:t>Incluye directrices claras para la presentación en los estados financieros y evaluación del desempeño.</w:t>
      </w:r>
    </w:p>
    <w:p w14:paraId="5A6080BF" w14:textId="77777777" w:rsidR="00C51607" w:rsidRPr="002012E1" w:rsidRDefault="00C51607" w:rsidP="00C51607">
      <w:pPr>
        <w:pStyle w:val="apaparrafo"/>
        <w:numPr>
          <w:ilvl w:val="0"/>
          <w:numId w:val="46"/>
        </w:numPr>
      </w:pPr>
      <w:r w:rsidRPr="002012E1">
        <w:t>Se acompaña con un cronograma de implementación, metas, responsables, y un sistema de evaluación para medir su eficacia y adaptabilidad.</w:t>
      </w:r>
    </w:p>
    <w:p w14:paraId="43380537" w14:textId="77777777" w:rsidR="00C51607" w:rsidRPr="002012E1" w:rsidRDefault="00C51607" w:rsidP="00C51607">
      <w:pPr>
        <w:pStyle w:val="apaparrafo"/>
      </w:pPr>
    </w:p>
    <w:p w14:paraId="572CE30D"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Resultados esperados:</w:t>
      </w:r>
    </w:p>
    <w:p w14:paraId="700F3BEB" w14:textId="77777777" w:rsidR="00C51607" w:rsidRPr="002012E1" w:rsidRDefault="00C51607" w:rsidP="00C51607">
      <w:pPr>
        <w:numPr>
          <w:ilvl w:val="0"/>
          <w:numId w:val="3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Propuesta concreta de registro contable adaptable y flexible para productos de inversión alternativos.</w:t>
      </w:r>
    </w:p>
    <w:p w14:paraId="137A8A2E" w14:textId="77777777" w:rsidR="00C51607" w:rsidRPr="002012E1" w:rsidRDefault="00C51607" w:rsidP="00C51607">
      <w:pPr>
        <w:numPr>
          <w:ilvl w:val="0"/>
          <w:numId w:val="3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Herramienta que permita a SUPEN y a las operadoras de pensiones mejorar la transparencia, la gestión de riesgos y la toma de decisiones.</w:t>
      </w:r>
    </w:p>
    <w:p w14:paraId="5F13B816" w14:textId="77777777" w:rsidR="00C51607" w:rsidRPr="002012E1" w:rsidRDefault="00C51607" w:rsidP="00C51607">
      <w:pPr>
        <w:numPr>
          <w:ilvl w:val="0"/>
          <w:numId w:val="3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Contribución al fortalecimiento y sostenibilidad del sistema de pensiones costarricense, alineada con los Objetivos de Desarrollo Sostenible.</w:t>
      </w:r>
    </w:p>
    <w:p w14:paraId="128A18B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6E3979F" w14:textId="77777777" w:rsidR="00C51607" w:rsidRPr="002012E1" w:rsidRDefault="00C51607" w:rsidP="00C51607">
      <w:p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Logros:</w:t>
      </w:r>
    </w:p>
    <w:p w14:paraId="743C98DB" w14:textId="77777777" w:rsidR="00C51607" w:rsidRPr="002012E1" w:rsidRDefault="00C51607" w:rsidP="00C51607">
      <w:pPr>
        <w:numPr>
          <w:ilvl w:val="0"/>
          <w:numId w:val="3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diseñó una propuesta concreta y flexible de registro contable para productos de inversión alternativos, alineada con la normativa nacional e internacional.</w:t>
      </w:r>
    </w:p>
    <w:p w14:paraId="53C1118D" w14:textId="77777777" w:rsidR="00C51607" w:rsidRPr="002012E1" w:rsidRDefault="00C51607" w:rsidP="00C51607">
      <w:pPr>
        <w:numPr>
          <w:ilvl w:val="0"/>
          <w:numId w:val="3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propuesta contribuye al fortalecimiento del sistema de pensiones, facilitando la diversificación de portafolios y promoviendo la sostenibilidad financiera a largo plazo</w:t>
      </w:r>
    </w:p>
    <w:p w14:paraId="30CB422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0B512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la propuesta presentada responde a la necesidad urgente de modernizar los registros contables de los fondos de pensiones en Costa Rica, permitiendo una adecuada integración de inversiones alternativas. Esto facilitará la diversificación, reducirá la volatilidad y aumentará la rentabilidad de los portafolios, en beneficio de los afiliados y de la estabilidad del sistema de pensiones nacional.</w:t>
      </w:r>
    </w:p>
    <w:p w14:paraId="3D92C363" w14:textId="77777777" w:rsidR="00C51607" w:rsidRPr="002012E1" w:rsidRDefault="00C51607" w:rsidP="00C51607">
      <w:pPr>
        <w:tabs>
          <w:tab w:val="left" w:pos="960"/>
          <w:tab w:val="right" w:leader="dot" w:pos="8828"/>
        </w:tabs>
        <w:spacing w:after="100" w:line="360" w:lineRule="auto"/>
        <w:jc w:val="both"/>
        <w:rPr>
          <w:rFonts w:ascii="Arial" w:eastAsia="Calibri" w:hAnsi="Arial" w:cs="Arial"/>
          <w:kern w:val="0"/>
          <w14:ligatures w14:val="none"/>
        </w:rPr>
      </w:pPr>
    </w:p>
    <w:p w14:paraId="425E8A7A" w14:textId="77777777" w:rsidR="00C51607" w:rsidRPr="002012E1" w:rsidRDefault="00C51607" w:rsidP="00C51607">
      <w:pPr>
        <w:pStyle w:val="apaparrafo"/>
      </w:pPr>
      <w:r w:rsidRPr="002012E1">
        <w:t>Este resumen ejecutivo no solo recoge los principales aportes de la investigación, sino que destaca su pertinencia actual, su aplicabilidad y su contribución directa al fortalecimiento del sistema financiero costarricense, específicamente al régimen de pensiones, en un contexto global de transformación financiera.</w:t>
      </w:r>
    </w:p>
    <w:p w14:paraId="3FF343A3" w14:textId="77777777" w:rsidR="00C51607" w:rsidRPr="002012E1" w:rsidRDefault="00C51607" w:rsidP="00C51607">
      <w:pPr>
        <w:pStyle w:val="apaparrafo"/>
      </w:pPr>
    </w:p>
    <w:p w14:paraId="72768B78" w14:textId="77777777" w:rsidR="00C51607" w:rsidRPr="002012E1" w:rsidRDefault="00C51607" w:rsidP="00C51607">
      <w:pPr>
        <w:pStyle w:val="apaparrafo"/>
      </w:pPr>
    </w:p>
    <w:p w14:paraId="48D170D5" w14:textId="77777777" w:rsidR="00C51607" w:rsidRPr="002012E1" w:rsidRDefault="00C51607" w:rsidP="00C51607">
      <w:pPr>
        <w:pStyle w:val="apaparrafo"/>
      </w:pPr>
    </w:p>
    <w:p w14:paraId="25E26722" w14:textId="77777777" w:rsidR="00C51607" w:rsidRPr="002012E1" w:rsidRDefault="00C51607" w:rsidP="00C51607">
      <w:pPr>
        <w:pStyle w:val="apaparrafo"/>
      </w:pPr>
    </w:p>
    <w:p w14:paraId="799B4F53" w14:textId="77777777" w:rsidR="00C51607" w:rsidRPr="002012E1" w:rsidRDefault="00C51607" w:rsidP="00C51607">
      <w:pPr>
        <w:pStyle w:val="apaparrafo"/>
      </w:pPr>
    </w:p>
    <w:p w14:paraId="563F2A66" w14:textId="77777777" w:rsidR="00C51607" w:rsidRPr="002012E1" w:rsidRDefault="00C51607" w:rsidP="00C51607">
      <w:pPr>
        <w:pStyle w:val="apaparrafo"/>
      </w:pPr>
    </w:p>
    <w:p w14:paraId="504A5FA6" w14:textId="77777777" w:rsidR="00C51607" w:rsidRPr="002012E1" w:rsidRDefault="00C51607" w:rsidP="00C51607">
      <w:pPr>
        <w:pStyle w:val="apaparrafo"/>
      </w:pPr>
    </w:p>
    <w:p w14:paraId="50443FEA" w14:textId="77777777" w:rsidR="00C51607" w:rsidRPr="002012E1" w:rsidRDefault="00C51607" w:rsidP="00C51607">
      <w:pPr>
        <w:pStyle w:val="apaparrafo"/>
      </w:pPr>
    </w:p>
    <w:p w14:paraId="6554E154" w14:textId="77777777" w:rsidR="00C51607" w:rsidRPr="002012E1" w:rsidRDefault="00C51607" w:rsidP="00C51607">
      <w:pPr>
        <w:pStyle w:val="apaparrafo"/>
      </w:pPr>
    </w:p>
    <w:p w14:paraId="04552DE2" w14:textId="77777777" w:rsidR="00C51607" w:rsidRPr="002012E1" w:rsidRDefault="00C51607" w:rsidP="00C51607">
      <w:pPr>
        <w:pStyle w:val="apaparrafo"/>
      </w:pPr>
    </w:p>
    <w:p w14:paraId="52CDECD3" w14:textId="77777777" w:rsidR="00C51607" w:rsidRPr="002012E1" w:rsidRDefault="00C51607" w:rsidP="00C51607">
      <w:pPr>
        <w:pStyle w:val="apaparrafo"/>
      </w:pPr>
    </w:p>
    <w:p w14:paraId="41033D8F" w14:textId="77777777" w:rsidR="00C51607" w:rsidRPr="002012E1" w:rsidRDefault="00C51607" w:rsidP="00C51607">
      <w:pPr>
        <w:pStyle w:val="apaparrafo"/>
      </w:pPr>
    </w:p>
    <w:p w14:paraId="345D67CC" w14:textId="77777777" w:rsidR="00C51607" w:rsidRPr="002012E1" w:rsidRDefault="00C51607" w:rsidP="00C51607">
      <w:pPr>
        <w:pStyle w:val="apaparrafo"/>
      </w:pPr>
    </w:p>
    <w:p w14:paraId="7E63D692" w14:textId="77777777" w:rsidR="00C51607" w:rsidRPr="002012E1" w:rsidRDefault="00C51607" w:rsidP="00C51607">
      <w:pPr>
        <w:pStyle w:val="apaparrafo"/>
      </w:pPr>
    </w:p>
    <w:p w14:paraId="572B9A98" w14:textId="77777777" w:rsidR="00C51607" w:rsidRPr="002012E1" w:rsidRDefault="00C51607" w:rsidP="00C51607">
      <w:pPr>
        <w:pStyle w:val="apaparrafo"/>
      </w:pPr>
    </w:p>
    <w:p w14:paraId="3ED6A74A" w14:textId="77777777" w:rsidR="00C51607" w:rsidRPr="002012E1" w:rsidRDefault="00C51607" w:rsidP="00C51607">
      <w:pPr>
        <w:pStyle w:val="apaparrafo"/>
      </w:pPr>
    </w:p>
    <w:p w14:paraId="4BDC9534" w14:textId="77777777" w:rsidR="00C51607" w:rsidRPr="002012E1" w:rsidRDefault="00C51607" w:rsidP="00C51607">
      <w:pPr>
        <w:pStyle w:val="apaparrafo"/>
      </w:pPr>
    </w:p>
    <w:p w14:paraId="3E1EDEB6" w14:textId="77777777" w:rsidR="00C51607" w:rsidRDefault="00C51607" w:rsidP="00C51607">
      <w:pPr>
        <w:pStyle w:val="apanivel1"/>
        <w:numPr>
          <w:ilvl w:val="0"/>
          <w:numId w:val="0"/>
        </w:numPr>
        <w:jc w:val="center"/>
      </w:pPr>
      <w:bookmarkStart w:id="14" w:name="_Toc201832397"/>
      <w:r w:rsidRPr="002012E1">
        <w:lastRenderedPageBreak/>
        <w:t>Infografía</w:t>
      </w:r>
      <w:bookmarkEnd w:id="14"/>
    </w:p>
    <w:p w14:paraId="6854C521" w14:textId="70E7D234" w:rsidR="001B2F4E" w:rsidRPr="001B2F4E" w:rsidRDefault="001B2F4E" w:rsidP="001B2F4E">
      <w:pPr>
        <w:jc w:val="center"/>
        <w:sectPr w:rsidR="001B2F4E" w:rsidRPr="001B2F4E" w:rsidSect="00C51607">
          <w:pgSz w:w="12240" w:h="15840" w:code="1"/>
          <w:pgMar w:top="1417" w:right="1701" w:bottom="1417" w:left="1701" w:header="709" w:footer="709" w:gutter="0"/>
          <w:pgNumType w:fmt="upperRoman"/>
          <w:cols w:space="708"/>
          <w:docGrid w:linePitch="360"/>
        </w:sectPr>
      </w:pPr>
      <w:r>
        <w:rPr>
          <w:noProof/>
        </w:rPr>
        <w:drawing>
          <wp:inline distT="0" distB="0" distL="0" distR="0" wp14:anchorId="08780F7A" wp14:editId="4D40F030">
            <wp:extent cx="3714750" cy="7902198"/>
            <wp:effectExtent l="0" t="0" r="0" b="3810"/>
            <wp:docPr id="1480337742" name="Imagen 1" descr="Una captura de pantalla de una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337742" name="Imagen 1" descr="Una captura de pantalla de una computadora&#10;&#10;El contenido generado por IA puede ser incorrecto."/>
                    <pic:cNvPicPr/>
                  </pic:nvPicPr>
                  <pic:blipFill>
                    <a:blip r:embed="rId11"/>
                    <a:stretch>
                      <a:fillRect/>
                    </a:stretch>
                  </pic:blipFill>
                  <pic:spPr>
                    <a:xfrm>
                      <a:off x="0" y="0"/>
                      <a:ext cx="3725904" cy="7925926"/>
                    </a:xfrm>
                    <a:prstGeom prst="rect">
                      <a:avLst/>
                    </a:prstGeom>
                  </pic:spPr>
                </pic:pic>
              </a:graphicData>
            </a:graphic>
          </wp:inline>
        </w:drawing>
      </w:r>
    </w:p>
    <w:p w14:paraId="171B69A5" w14:textId="77777777" w:rsidR="00C51607" w:rsidRPr="002012E1" w:rsidRDefault="00C51607" w:rsidP="00C51607">
      <w:pPr>
        <w:pStyle w:val="apanivel1"/>
        <w:numPr>
          <w:ilvl w:val="0"/>
          <w:numId w:val="0"/>
        </w:numPr>
        <w:jc w:val="center"/>
        <w:rPr>
          <w:lang w:val="es-MX"/>
        </w:rPr>
      </w:pPr>
      <w:bookmarkStart w:id="15" w:name="_Toc201832398"/>
      <w:r w:rsidRPr="002012E1">
        <w:rPr>
          <w:lang w:val="es-MX"/>
        </w:rPr>
        <w:lastRenderedPageBreak/>
        <w:t>Introducción</w:t>
      </w:r>
      <w:bookmarkEnd w:id="15"/>
    </w:p>
    <w:p w14:paraId="11B08C9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presente investigación, titulada "</w:t>
      </w:r>
      <w:r w:rsidRPr="002012E1">
        <w:rPr>
          <w:rFonts w:ascii="Arial" w:eastAsia="Calibri" w:hAnsi="Arial" w:cs="Arial"/>
          <w:i/>
          <w:iCs/>
          <w:kern w:val="0"/>
          <w:lang w:val="es-MX"/>
          <w14:ligatures w14:val="none"/>
        </w:rPr>
        <w:t>Propuesta de registro contable para productos de inversión alternativos en los portafolios de pensiones de Costa Rica</w:t>
      </w:r>
      <w:r w:rsidRPr="002012E1">
        <w:rPr>
          <w:rFonts w:ascii="Arial" w:eastAsia="Calibri" w:hAnsi="Arial" w:cs="Arial"/>
          <w:kern w:val="0"/>
          <w:lang w:val="es-MX"/>
          <w14:ligatures w14:val="none"/>
        </w:rPr>
        <w:t xml:space="preserve">", aborda un tema de gran relevancia para el sector financiero nacional: la necesidad de adaptar los registros contables a la inclusión de productos de inversión alternativos en los portafolios de los fondos de pensiones. </w:t>
      </w:r>
    </w:p>
    <w:p w14:paraId="3D0DAEA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F13E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estudio se enfoca en analizar la situación actual de la normativa contable costarricense, identificar sus limitaciones frente a la evolución del mercado financiero y proponer una solución concreta que permita una gestión más transparente, eficiente y alineada con las mejores prácticas internacionales.</w:t>
      </w:r>
    </w:p>
    <w:p w14:paraId="51F43FE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243464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alcance de este trabajo es tanto descriptivo como propositivo. Por un lado, se realiza una caracterización detallada de la problemática que enfrentan las operadoras de pensiones y la Superintendencia de Pensiones (SUPEN) en la contabilización y supervisión de inversiones alternativas.  Por otro lado, se desarrolla una propuesta de registro contable que puede ser implementada en el contexto costarricense, considerando la experiencia internacional y las particularidades del mercado local.</w:t>
      </w:r>
    </w:p>
    <w:p w14:paraId="09EBB35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4CB8A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interés del equipo investigador en este tema surge de la importancia estratégica que tienen los fondos de pensiones para la estabilidad y el desarrollo económico y social del país. La diversificación de los portafolios, mediante la incorporación de inversiones alternativas, representa una oportunidad para mejorar la rentabilidad y reducir la exposición a riesgos de los afiliados. </w:t>
      </w:r>
    </w:p>
    <w:p w14:paraId="4454852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861D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Sin embargo, la falta de lineamientos contables claros dificulta la transparencia, la comparabilidad y la supervisión efectiva de estos instrumentos. Por ello, el desarrollo de una propuesta específica no solo responde a una necesidad técnica, sino también a un compromiso con la sostenibilidad y la confianza en el sistema de pensiones costarricense. </w:t>
      </w:r>
    </w:p>
    <w:p w14:paraId="29260DD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Durante el proceso de investigación, se presentaron tanto retos como oportunidades. Entre los factores positivos, destaca la apertura de expertos del sector para compartir sus experiencias y la disponibilidad de estudios internacionales que sirvieron de referencia. </w:t>
      </w:r>
    </w:p>
    <w:p w14:paraId="33EDCB3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49AF71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No obstante, se enfrentaron limitaciones relacionadas con la escasez de documentación local sobre inversiones alternativas y la falta de uniformidad en los registros actuales, lo que requirió un esfuerzo adicional en la recopilación y análisis de información.</w:t>
      </w:r>
    </w:p>
    <w:p w14:paraId="0805367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B0683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estructura del trabajo se organiza en varios capítulos. El primero expone el planteamiento del problema y los objetivos de la investigación. El segundo desarrolla el marco teórico y conceptual, abordando la evolución de los productos de inversión alternativos y su impacto en los fondos de pensiones. El tercer capítulo describe la metodología empleada, mientras que el cuarto presenta el análisis de la situación actual en Costa Rica y la comparación con experiencias internacionales. Finalmente, el quinto capítulo contiene la propuesta de registro contable, las conclusiones y recomendaciones.</w:t>
      </w:r>
    </w:p>
    <w:p w14:paraId="53E1B9B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9F9AA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invita al lector a adentrarse en este documento con la certeza de que encontrará un análisis riguroso, actualizado y práctico sobre un tema crucial para el futuro del sistema de pensiones costarricense. Se espera que la propuesta aquí presentada contribuya a fortalecer la gestión financiera y la transparencia en beneficio de todos los actores involucrados.</w:t>
      </w:r>
    </w:p>
    <w:p w14:paraId="26FD7A8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55134F3" w14:textId="77777777" w:rsidR="00C51607" w:rsidRPr="002012E1" w:rsidRDefault="00C51607" w:rsidP="00C51607">
      <w:pPr>
        <w:spacing w:after="0" w:line="360" w:lineRule="auto"/>
        <w:jc w:val="both"/>
        <w:rPr>
          <w:rFonts w:ascii="Arial" w:eastAsia="Calibri" w:hAnsi="Arial" w:cs="Arial"/>
          <w:kern w:val="0"/>
          <w:lang w:val="es-MX"/>
          <w14:ligatures w14:val="none"/>
        </w:rPr>
        <w:sectPr w:rsidR="00C51607" w:rsidRPr="002012E1" w:rsidSect="00C51607">
          <w:pgSz w:w="12240" w:h="15840" w:code="1"/>
          <w:pgMar w:top="1417" w:right="1701" w:bottom="1417" w:left="1701" w:header="709" w:footer="709" w:gutter="0"/>
          <w:pgNumType w:fmt="upperRoman"/>
          <w:cols w:space="708"/>
          <w:docGrid w:linePitch="360"/>
        </w:sectPr>
      </w:pPr>
      <w:r w:rsidRPr="002012E1">
        <w:rPr>
          <w:rFonts w:ascii="Arial" w:eastAsia="Calibri" w:hAnsi="Arial" w:cs="Arial"/>
          <w:kern w:val="0"/>
          <w:lang w:val="es-MX"/>
          <w14:ligatures w14:val="none"/>
        </w:rPr>
        <w:t>El taller sobre las normas APA impartido por la sección de Referencias y Educación de Usuario de la Biblioteca Joaquín García Monge fue el día 05 del mes de agosto del año 2024, dicha capacitación estuvo a cargo del señor Rafael Ángel Marín Marín.</w:t>
      </w:r>
    </w:p>
    <w:p w14:paraId="77692DCF"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b/>
          <w:bCs/>
          <w:kern w:val="36"/>
          <w:sz w:val="40"/>
          <w:szCs w:val="40"/>
          <w:lang w:eastAsia="es-CR"/>
          <w14:ligatures w14:val="none"/>
        </w:rPr>
        <w:sectPr w:rsidR="00C51607" w:rsidRPr="002012E1" w:rsidSect="00C51607">
          <w:headerReference w:type="default" r:id="rId12"/>
          <w:footerReference w:type="default" r:id="rId13"/>
          <w:pgSz w:w="12240" w:h="15840" w:code="1"/>
          <w:pgMar w:top="1417" w:right="1701" w:bottom="1417" w:left="1701" w:header="709" w:footer="709" w:gutter="0"/>
          <w:pgNumType w:start="1"/>
          <w:cols w:space="708"/>
          <w:vAlign w:val="center"/>
          <w:docGrid w:linePitch="360"/>
        </w:sectPr>
      </w:pPr>
      <w:bookmarkStart w:id="16" w:name="_Toc201832399"/>
      <w:bookmarkStart w:id="17" w:name="_Hlk172040627"/>
      <w:r w:rsidRPr="002012E1">
        <w:rPr>
          <w:rFonts w:ascii="Arial" w:eastAsia="Times New Roman" w:hAnsi="Arial" w:cs="Arial"/>
          <w:b/>
          <w:bCs/>
          <w:kern w:val="36"/>
          <w:sz w:val="40"/>
          <w:szCs w:val="40"/>
          <w:lang w:eastAsia="es-CR"/>
          <w14:ligatures w14:val="none"/>
        </w:rPr>
        <w:lastRenderedPageBreak/>
        <w:t>CAPÍTULO I. ASPECTOS METODOLOGICOS</w:t>
      </w:r>
      <w:bookmarkEnd w:id="16"/>
    </w:p>
    <w:p w14:paraId="190F4EBF" w14:textId="77777777" w:rsidR="00C51607" w:rsidRPr="002012E1" w:rsidRDefault="00C51607" w:rsidP="00C51607">
      <w:pPr>
        <w:pStyle w:val="apanivel1"/>
        <w:jc w:val="center"/>
      </w:pPr>
      <w:bookmarkStart w:id="18" w:name="_Toc196485411"/>
      <w:bookmarkStart w:id="19" w:name="_Toc201832400"/>
      <w:bookmarkEnd w:id="17"/>
      <w:r w:rsidRPr="002012E1">
        <w:lastRenderedPageBreak/>
        <w:t xml:space="preserve">Capítulo I: Aspectos </w:t>
      </w:r>
      <w:bookmarkEnd w:id="18"/>
      <w:r w:rsidRPr="002012E1">
        <w:t>Metodológicos</w:t>
      </w:r>
      <w:bookmarkEnd w:id="19"/>
    </w:p>
    <w:p w14:paraId="7B4CA244" w14:textId="77777777" w:rsidR="00C51607" w:rsidRPr="002012E1" w:rsidRDefault="00C51607" w:rsidP="00C51607">
      <w:pPr>
        <w:pStyle w:val="apanivel2"/>
        <w:rPr>
          <w:rFonts w:ascii="Arial" w:hAnsi="Arial" w:cs="Arial"/>
          <w:lang w:val="es-MX"/>
        </w:rPr>
      </w:pPr>
      <w:bookmarkStart w:id="20" w:name="_Toc201832401"/>
      <w:r w:rsidRPr="002012E1">
        <w:rPr>
          <w:rFonts w:ascii="Arial" w:hAnsi="Arial" w:cs="Arial"/>
          <w:lang w:val="es-MX"/>
        </w:rPr>
        <w:t>Planteamiento del Problema</w:t>
      </w:r>
      <w:bookmarkEnd w:id="20"/>
    </w:p>
    <w:p w14:paraId="45FA0356" w14:textId="77777777" w:rsidR="00C51607" w:rsidRPr="002012E1" w:rsidRDefault="00C51607" w:rsidP="00C51607">
      <w:pPr>
        <w:pStyle w:val="apanivel3"/>
        <w:rPr>
          <w:rFonts w:ascii="Arial" w:hAnsi="Arial" w:cs="Arial"/>
          <w:lang w:val="es-MX"/>
        </w:rPr>
      </w:pPr>
      <w:bookmarkStart w:id="21" w:name="_Toc201832402"/>
      <w:r w:rsidRPr="002012E1">
        <w:rPr>
          <w:rFonts w:ascii="Arial" w:hAnsi="Arial" w:cs="Arial"/>
          <w:lang w:val="es-MX"/>
        </w:rPr>
        <w:t>Descripción del problema.</w:t>
      </w:r>
      <w:bookmarkEnd w:id="21"/>
    </w:p>
    <w:p w14:paraId="235EE52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mercado financiero está en constante evolución, con nuevas opciones de inversión surgiendo cada día, estos cambios presentan un reto significativo, en cuanto a la necesidad de contar con una propuesta de registro contable que no solo se adapte a los retos actuales, sino que también sea flexible y versátil para permanecer relevante durante varios años. </w:t>
      </w:r>
    </w:p>
    <w:p w14:paraId="0A8A5DD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3DE16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Sobre este punto el International Financial Reporting Standards (2019) destaca que la falta de una normativa contable específica para los productos de inversión alternativa en algunos contextos puede resultar en dificultades para la valoración precisa, la medición de riesgos y la presentación de informes.</w:t>
      </w:r>
    </w:p>
    <w:p w14:paraId="55FE363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473B6F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Debido a esto, al tomar de referencia el mercado financiero de países como Colombia y Estados Unidos, que optan por este tipo de inversiones alternativas, se puede comprender de una manera más profunda la complejidad de estos productos a pesar de que son una iniciativa muy beneficiosa para la economía del país. </w:t>
      </w:r>
    </w:p>
    <w:p w14:paraId="363F4F1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5CAF18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Un claro ejemplo de esto es la entidad bancaria JP Morgan ubicada a nivel global que destaca en el año 2023 en el mercado bursátil estadounidense, que se presenta una recuperación de la renta fija fue encomiable y esto se debe gracias a las inversiones alternativas. </w:t>
      </w:r>
    </w:p>
    <w:p w14:paraId="45A0109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A9878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Tal como lo define esta entidad (2024), “Mirando hacia el futuro, creemos que los mercados privados podrían ofrecer, además de diversificación, rentabilidades competitivas frente a los mercados cotizados” (párr. 2).</w:t>
      </w:r>
    </w:p>
    <w:p w14:paraId="0AC1775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0B7BD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lo general las inversiones alternativas en Estados Unidos, han representado en los últimos años una enorme ventaja dentro de su mercado financiero, esto se debe </w:t>
      </w:r>
      <w:r w:rsidRPr="002012E1">
        <w:rPr>
          <w:rFonts w:ascii="Arial" w:eastAsia="Calibri" w:hAnsi="Arial" w:cs="Arial"/>
          <w:kern w:val="0"/>
          <w:lang w:val="es-MX"/>
          <w14:ligatures w14:val="none"/>
        </w:rPr>
        <w:lastRenderedPageBreak/>
        <w:t xml:space="preserve">en primer lugar a su alta capacidad de diversificación y el potencial que tiene de rentabilidad en diferentes condiciones. </w:t>
      </w:r>
    </w:p>
    <w:p w14:paraId="429B25B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50307A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diferencia de las inversiones tradicionales que son comúnmente conocidas como las acciones y bonos; las inversiones alternativas incluyen dentro de ellas diversos tipos de ámbitos, como lo pueden ser bienes raíces, capital privado, fondos de capital de riesgos, entre otras.</w:t>
      </w:r>
    </w:p>
    <w:p w14:paraId="70490BD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D57710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Estos tipos de inversiones alternativas ofrecen una mayor diversificación y pueden proteger a los inversores frente a la volatilidad de los mercados tradicionales, como el de acciones y bonos, al no estar directamente correlacionadas con ellos.</w:t>
      </w:r>
    </w:p>
    <w:p w14:paraId="5E98B9A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16B21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inversiones no solo generan rendimientos cuando los mercados tradicionales están a la baja, sino que también pueden hacerlo en diversas condiciones gracias a su capacidad de diversificación y su acceso a activos ilíquidos con potencial de apreciación a largo plazo. Según una publicación de J.P. Morgan (2024) detalla que:</w:t>
      </w:r>
    </w:p>
    <w:p w14:paraId="15BA7984"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mercado accionario estadounidense se ha ajustado un 5%. Las tasas de largo plazo, en cuestión de un mes, están arriba de más de 40 puntos base. Es un hecho: cada cierto tiempo, la volatilidad del mercado nos recuerda la importancia de tener una cartera diversificada tanto en los mercados internacionales como en los domésticos. (J.P Morgan 2024, párr. 1)</w:t>
      </w:r>
    </w:p>
    <w:p w14:paraId="2DD48509" w14:textId="77777777" w:rsidR="00C51607" w:rsidRDefault="00C51607" w:rsidP="00C51607">
      <w:pPr>
        <w:spacing w:after="0" w:line="360" w:lineRule="auto"/>
        <w:jc w:val="both"/>
        <w:rPr>
          <w:rFonts w:ascii="Arial" w:eastAsia="Calibri" w:hAnsi="Arial" w:cs="Arial"/>
          <w:kern w:val="0"/>
          <w:lang w:val="es-MX"/>
          <w14:ligatures w14:val="none"/>
        </w:rPr>
      </w:pPr>
    </w:p>
    <w:p w14:paraId="4D007A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Sin embargo, durante la pandemia muchas de las acciones a nivel global han presentado caídas significativas, en el caso contrario de diversos fondos alternativos, como los de capital privado, que siguen generando retornos positivos, destacando su capacidad para mitigar riesgos y capturar oportunidades fuera de los mercados tradicionales. Tal como García (2023) señala: </w:t>
      </w:r>
    </w:p>
    <w:p w14:paraId="2657C92D"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expertos apuntan a que se ha producido un cambio de escenario en la economía, donde hasta ahora había un crecimiento constante y </w:t>
      </w:r>
      <w:r w:rsidRPr="002012E1">
        <w:rPr>
          <w:rFonts w:ascii="Arial" w:eastAsia="Calibri" w:hAnsi="Arial" w:cs="Arial"/>
          <w:kern w:val="0"/>
          <w:lang w:val="es-MX"/>
          <w14:ligatures w14:val="none"/>
        </w:rPr>
        <w:lastRenderedPageBreak/>
        <w:t>una inflación controlada. Tras la pandemia del coronavirus y la guerra de Ucrania, la volatilidad seguirá estando presente en los mercados financieros. Por eso, recomiendan meter inversiones alternativas en cartera para reducir la volatilidad (párr. 2).</w:t>
      </w:r>
    </w:p>
    <w:p w14:paraId="10CD8583" w14:textId="77777777" w:rsidR="00C51607" w:rsidRDefault="00C51607" w:rsidP="00C51607">
      <w:pPr>
        <w:spacing w:after="0" w:line="360" w:lineRule="auto"/>
        <w:jc w:val="both"/>
        <w:rPr>
          <w:rFonts w:ascii="Arial" w:eastAsia="Calibri" w:hAnsi="Arial" w:cs="Arial"/>
          <w:kern w:val="0"/>
          <w:lang w:val="es-MX"/>
          <w14:ligatures w14:val="none"/>
        </w:rPr>
      </w:pPr>
    </w:p>
    <w:p w14:paraId="3787B4F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Tomando en consideración lo anterior, se destaca en este punto cómo los administradores de fondos de pensiones en otros países han aumentado su participación en los mercados bursátiles. </w:t>
      </w:r>
    </w:p>
    <w:p w14:paraId="6C36B21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5BCD7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se debe a la presión de generar rendimientos adecuados para cubrir las obligaciones de jubilación a largo plazo. Se ha presentado un aumento en la creciente volatilidad económica, en la baja de tasas de interés y en el envejecimiento de la población. Esto se logra debido a que los fondos se han diversificado, eligiendo acciones y otras clases de activos más riesgosos, como los mercados privados y activos alternativos.</w:t>
      </w:r>
    </w:p>
    <w:p w14:paraId="21E61A4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8B240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2023, las inversiones en acciones representaron en promedio un alto porcentaje de los activos gestionados por los 20 mayores fondos de pensiones globales, lo que refleja la relevancia del mercado bursátil en sus estrategias de crecimiento. </w:t>
      </w:r>
    </w:p>
    <w:p w14:paraId="5BF1312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F66EA4"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MX"/>
          <w14:ligatures w14:val="none"/>
        </w:rPr>
        <w:t>Cabe indicar que l</w:t>
      </w:r>
      <w:r w:rsidRPr="002012E1">
        <w:rPr>
          <w:rFonts w:ascii="Arial" w:eastAsia="Calibri" w:hAnsi="Arial" w:cs="Arial"/>
          <w:kern w:val="0"/>
          <w:lang w:val="es-419"/>
          <w14:ligatures w14:val="none"/>
        </w:rPr>
        <w:t xml:space="preserve">os fondos de pensiones globales son aquellos fondos que, a escala global, gestionan los volúmenes más altos de activos destinados a asegurar el pago de pensiones y jubilaciones para millones de trabajadores en sus respectivos países. </w:t>
      </w:r>
    </w:p>
    <w:p w14:paraId="5EFF777F"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clasificación se basa en el monto total de activos bajo gestión (AUM, por sus siglas en inglés) y se actualiza anualmente en informes especializados, como el Global Top 300 Pension Funds elaborado por el Thinking Ahead Institute de WTW, en colaboración con Pensions &amp; Investments” (Rial, 2024, parr. 2)</w:t>
      </w:r>
    </w:p>
    <w:p w14:paraId="09982EE3"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2E4B7596" w14:textId="77777777" w:rsidR="00C51607" w:rsidRPr="008E6BAC" w:rsidRDefault="00C51607" w:rsidP="00C51607">
      <w:pPr>
        <w:spacing w:after="0" w:line="360" w:lineRule="auto"/>
        <w:jc w:val="both"/>
        <w:rPr>
          <w:rFonts w:ascii="Arial" w:eastAsia="Calibri" w:hAnsi="Arial" w:cs="Arial"/>
          <w:kern w:val="0"/>
          <w:lang w:val="es-419"/>
          <w14:ligatures w14:val="none"/>
        </w:rPr>
      </w:pPr>
      <w:r w:rsidRPr="008E6BAC">
        <w:rPr>
          <w:rFonts w:ascii="Arial" w:eastAsia="Calibri" w:hAnsi="Arial" w:cs="Arial"/>
          <w:kern w:val="0"/>
          <w:lang w:val="es-419"/>
          <w14:ligatures w14:val="none"/>
        </w:rPr>
        <w:lastRenderedPageBreak/>
        <w:t>Estos fondos pueden ser públicos o privados y suelen estar vinculados a sistemas nacionales de seguridad social, fondos de empleados públicos, o planes de pensiones profesionales. Su importancia radica en el impacto que tienen tanto en la estabilidad financiera de los sistemas de pensiones como en los mercados financieros internacionales, ya que son actores clave en la inversión global</w:t>
      </w:r>
    </w:p>
    <w:p w14:paraId="1FEABB0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B15FCF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Bussines Insider (2024) “en promedio, los 20 mayores fondos de pensiones invirtieron aproximadamente el 43% de sus activos en acciones, el 35% en renta fija y el 22% en alternativas y efectivo”. (párr.9)</w:t>
      </w:r>
    </w:p>
    <w:p w14:paraId="65959DFD" w14:textId="77777777" w:rsidR="00C51607" w:rsidRPr="002012E1" w:rsidRDefault="00C51607" w:rsidP="00C51607">
      <w:pPr>
        <w:spacing w:after="0" w:line="360" w:lineRule="auto"/>
        <w:jc w:val="both"/>
        <w:rPr>
          <w:rFonts w:ascii="Arial" w:eastAsia="Calibri" w:hAnsi="Arial" w:cs="Arial"/>
          <w:kern w:val="0"/>
          <w:highlight w:val="yellow"/>
          <w:lang w:val="es-MX"/>
          <w14:ligatures w14:val="none"/>
        </w:rPr>
      </w:pPr>
    </w:p>
    <w:p w14:paraId="37DAD717" w14:textId="77777777" w:rsidR="00C51607" w:rsidRPr="002012E1" w:rsidRDefault="00C51607" w:rsidP="00C51607">
      <w:pPr>
        <w:spacing w:after="0" w:line="360" w:lineRule="auto"/>
        <w:jc w:val="both"/>
        <w:rPr>
          <w:rFonts w:ascii="Arial" w:eastAsia="Calibri" w:hAnsi="Arial" w:cs="Arial"/>
          <w:color w:val="FF0000"/>
          <w:kern w:val="0"/>
          <w:lang w:val="es-MX"/>
          <w14:ligatures w14:val="none"/>
        </w:rPr>
      </w:pPr>
      <w:r w:rsidRPr="002012E1">
        <w:rPr>
          <w:rFonts w:ascii="Arial" w:eastAsia="Calibri" w:hAnsi="Arial" w:cs="Arial"/>
          <w:kern w:val="0"/>
          <w:lang w:val="es-MX"/>
          <w14:ligatures w14:val="none"/>
        </w:rPr>
        <w:t>Gracias a esto se ve evidenciado como las inversiones alternativas representan aspectos sumamente positivos para los gobiernos. Para esto se tomó otro país como lo es el caso de Colombia en el cual nos permite analizar los beneficios y desafíos que presentan las inversiones alternativas en los mercados.</w:t>
      </w:r>
      <w:r w:rsidRPr="002012E1">
        <w:rPr>
          <w:rFonts w:ascii="Arial" w:eastAsia="Calibri" w:hAnsi="Arial" w:cs="Arial"/>
          <w:color w:val="FF0000"/>
          <w:kern w:val="0"/>
          <w:lang w:val="es-MX"/>
          <w14:ligatures w14:val="none"/>
        </w:rPr>
        <w:t xml:space="preserve"> </w:t>
      </w:r>
    </w:p>
    <w:p w14:paraId="617A6193" w14:textId="77777777" w:rsidR="00C51607" w:rsidRPr="002012E1" w:rsidRDefault="00C51607" w:rsidP="00C51607">
      <w:pPr>
        <w:spacing w:after="0" w:line="360" w:lineRule="auto"/>
        <w:jc w:val="both"/>
        <w:rPr>
          <w:rFonts w:ascii="Arial" w:eastAsia="Calibri" w:hAnsi="Arial" w:cs="Arial"/>
          <w:color w:val="FF0000"/>
          <w:kern w:val="0"/>
          <w:lang w:val="es-MX"/>
          <w14:ligatures w14:val="none"/>
        </w:rPr>
      </w:pPr>
    </w:p>
    <w:p w14:paraId="2EFE248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caso de Colombia se analiza cómo ha adoptado un enfoque gradual en tema de regulación para este tipo de inversiones, la evolución de su normativa ha llevado a que los fondos de pensiones puedan diversificar su cartera ya que han implementado un marco regulatorio contable para las inversiones alternativas en fondos de pensiones que se ha ido actualizando en los últimos años.</w:t>
      </w:r>
    </w:p>
    <w:p w14:paraId="66CC7754" w14:textId="77777777" w:rsidR="00C51607" w:rsidRPr="002012E1" w:rsidRDefault="00C51607" w:rsidP="00C51607">
      <w:pPr>
        <w:spacing w:after="0" w:line="360" w:lineRule="auto"/>
        <w:jc w:val="both"/>
        <w:rPr>
          <w:rFonts w:ascii="Arial" w:eastAsia="Calibri" w:hAnsi="Arial" w:cs="Arial"/>
          <w:color w:val="FF0000"/>
          <w:kern w:val="0"/>
          <w:highlight w:val="yellow"/>
          <w:lang w:val="es-MX"/>
          <w14:ligatures w14:val="none"/>
        </w:rPr>
      </w:pPr>
    </w:p>
    <w:p w14:paraId="4D0AD05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lo mencionado en Colombia el Decreto 2555 de 2010, modificado por el Decreto 1393 de 2020, los fondos de pensiones obligatorias en Colombia pueden invertir hasta un 5% de sus activos en fondos de capital privado locales y hasta un 5% adicional en fondos de capital privado del exterior. Además, se permite una inversión de hasta el 10% en inmuebles a través de fondos de inversión colectiva inmobiliarios o títulos de contenido crediticio.</w:t>
      </w:r>
      <w:r w:rsidRPr="002012E1">
        <w:rPr>
          <w:rFonts w:ascii="Arial" w:eastAsia="Calibri" w:hAnsi="Arial" w:cs="Arial"/>
          <w:kern w:val="0"/>
          <w:highlight w:val="yellow"/>
          <w:lang w:val="es-MX"/>
          <w14:ligatures w14:val="none"/>
        </w:rPr>
        <w:t xml:space="preserve"> </w:t>
      </w:r>
    </w:p>
    <w:p w14:paraId="32E893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7C9C5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Más Colombia (2023), Red Impacto (2022), OCDE (2022), Asofondos (2023) y Herrera &amp; Maldonado (2023)   en los últimos años, los fondos de pensión en Colombia han incrementado considerablemente sus inversiones en </w:t>
      </w:r>
      <w:r w:rsidRPr="002012E1">
        <w:rPr>
          <w:rFonts w:ascii="Arial" w:eastAsia="Calibri" w:hAnsi="Arial" w:cs="Arial"/>
          <w:kern w:val="0"/>
          <w:lang w:val="es-MX"/>
          <w14:ligatures w14:val="none"/>
        </w:rPr>
        <w:lastRenderedPageBreak/>
        <w:t xml:space="preserve">productos alternativos, como fondos de capital privado y Fintech (tecnología financiera), con el propósito de diversificar los riesgos y mejorar la productividad financiera. </w:t>
      </w:r>
    </w:p>
    <w:p w14:paraId="0A85708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C3B694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 ha tenido un impacto económico significativo, permitiendo a las Administradoras de Fondos de Pensiones (AFP) acceder a sectores innovadores y menos asociados con los mercados tradicionales, lo que ha fortalecido el crecimiento de sus portafolios. </w:t>
      </w:r>
    </w:p>
    <w:p w14:paraId="4E42880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969806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términos sociales, estas inversiones han sido fundamentales para potenciar el desarrollo sostenible mediante la financiación de proyectos con impactos ambientales y sociales positivos. </w:t>
      </w:r>
    </w:p>
    <w:p w14:paraId="0F7100E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3BC0C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lang w:val="es-MX"/>
          <w14:ligatures w14:val="none"/>
        </w:rPr>
        <w:t xml:space="preserve">Esto incluye una mayor inclusión financiera, </w:t>
      </w:r>
      <w:r w:rsidRPr="002012E1">
        <w:rPr>
          <w:rFonts w:ascii="Arial" w:eastAsia="Calibri" w:hAnsi="Arial" w:cs="Arial"/>
          <w:kern w:val="0"/>
          <w14:ligatures w14:val="none"/>
        </w:rPr>
        <w:t>porque están orientadas a facilitar el acceso a servicios financieros a poblaciones que históricamente han estado excluidas, especialmente en zonas rurales y entre personas de bajos ingresos.</w:t>
      </w:r>
      <w:r w:rsidRPr="002012E1">
        <w:rPr>
          <w:rFonts w:ascii="Arial" w:eastAsia="Calibri" w:hAnsi="Arial" w:cs="Arial"/>
          <w:kern w:val="0"/>
          <w:lang w:val="es-MX"/>
          <w14:ligatures w14:val="none"/>
        </w:rPr>
        <w:t xml:space="preserve"> </w:t>
      </w:r>
      <w:r w:rsidRPr="002012E1">
        <w:rPr>
          <w:rFonts w:ascii="Arial" w:eastAsia="Calibri" w:hAnsi="Arial" w:cs="Arial"/>
          <w:kern w:val="0"/>
          <w14:ligatures w14:val="none"/>
        </w:rPr>
        <w:t xml:space="preserve">Al financiar proyectos que promueven el acceso a créditos, ahorros, seguros y educación financiera, estas inversiones permiten que más personas puedan participar activamente en la economía formal, mejorar sus condiciones de vida y reducir las desigualdades sociales. </w:t>
      </w:r>
    </w:p>
    <w:p w14:paraId="785F9AF6" w14:textId="77777777" w:rsidR="00C51607" w:rsidRPr="002012E1" w:rsidRDefault="00C51607" w:rsidP="00C51607">
      <w:pPr>
        <w:spacing w:after="0" w:line="360" w:lineRule="auto"/>
        <w:jc w:val="both"/>
        <w:rPr>
          <w:rFonts w:ascii="Arial" w:eastAsia="Calibri" w:hAnsi="Arial" w:cs="Arial"/>
          <w:kern w:val="0"/>
          <w14:ligatures w14:val="none"/>
        </w:rPr>
      </w:pPr>
    </w:p>
    <w:p w14:paraId="06C8B5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 xml:space="preserve">Además, el uso de tecnologías financieras innovadoras amplía la cobertura de estos servicios, llegando a comunidades remotas y vulnerables, lo que contribuye al desarrollo sostenible y al cumplimiento de objetivos sociales clave en países como Colombia, siendo estas </w:t>
      </w:r>
      <w:r w:rsidRPr="002012E1">
        <w:rPr>
          <w:rFonts w:ascii="Arial" w:eastAsia="Calibri" w:hAnsi="Arial" w:cs="Arial"/>
          <w:kern w:val="0"/>
          <w:lang w:val="es-MX"/>
          <w14:ligatures w14:val="none"/>
        </w:rPr>
        <w:t>estrategias de inversión las que han contribuido al logro de los Objetivos de Desarrollo Sostenible (ODS) de la Organización de las Naciones Unidas (ONU), reforzando así la responsabilidad social de los fondos de pensión y su impacto en la sociedad. (Más Colombia 2023, Red Impacto (2022), OCDE 2022, Asofondos 2023 y Herrera &amp; Maldonado 2023)</w:t>
      </w:r>
    </w:p>
    <w:p w14:paraId="5CDC134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1DD96D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Haciendo referencia a los dos ejemplos de los países mencionados anteriormente se puede analizar o deducir que al aplicar inversiones alternativas en Costa Rica de forma adecuada y correcta, puede ser altamente beneficioso, especialmente para diversificar las carteras de inversionistas locales (fondos de pensiones), ya que la economía costarricense tiene un fuerte componente de inversión extranjera y está sujeta a la volatilidad de mercados globales, incorporar activos como bienes raíces, capital privado o fondos de capital de riesgo pueden ofrecer estabilidad.</w:t>
      </w:r>
    </w:p>
    <w:p w14:paraId="2CF17BF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72DB1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lo mencionado por Banco BBVA (2020) las inversiones alternativas tienen baja correlación con los mercados, lo que les convierte en una herramienta que puede ayudar a mejorar la diversificación, reducir la volatilidad e incrementar la rentabilidad de una cartera. (Párr.1)</w:t>
      </w:r>
    </w:p>
    <w:p w14:paraId="3EF44679" w14:textId="77777777" w:rsidR="00C51607" w:rsidRPr="002012E1" w:rsidRDefault="00C51607" w:rsidP="00C51607">
      <w:pPr>
        <w:spacing w:after="0" w:line="360" w:lineRule="auto"/>
        <w:jc w:val="both"/>
        <w:rPr>
          <w:rFonts w:ascii="Arial" w:eastAsia="Calibri" w:hAnsi="Arial" w:cs="Arial"/>
          <w:kern w:val="0"/>
          <w:highlight w:val="red"/>
          <w:lang w:val="es-MX"/>
          <w14:ligatures w14:val="none"/>
        </w:rPr>
      </w:pPr>
    </w:p>
    <w:p w14:paraId="3C40725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Las carencias en los registros contables para las inversiones alternativas en Costa Rica generan inconsistencias significativas que afectan la valoración y medición de riesgos. Estas incluyen la opacidad en la información disponible, lo que dificulta una evaluación adecuada de los activos y limita la transparencia para los inversionistas. </w:t>
      </w:r>
    </w:p>
    <w:p w14:paraId="0F6F3A0B" w14:textId="77777777" w:rsidR="00C51607" w:rsidRPr="002012E1" w:rsidRDefault="00C51607" w:rsidP="00C51607">
      <w:pPr>
        <w:spacing w:after="0" w:line="360" w:lineRule="auto"/>
        <w:jc w:val="both"/>
        <w:rPr>
          <w:rFonts w:ascii="Arial" w:eastAsia="Calibri" w:hAnsi="Arial" w:cs="Arial"/>
          <w:kern w:val="0"/>
          <w14:ligatures w14:val="none"/>
        </w:rPr>
      </w:pPr>
    </w:p>
    <w:p w14:paraId="39126195"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Asimismo, la falta de normativas claras y específicas provoca ambigüedades regulatorias y barreras de entrada, dificultando la comparabilidad de los informes financieros entre distintas entidades. </w:t>
      </w:r>
    </w:p>
    <w:p w14:paraId="113663B4" w14:textId="77777777" w:rsidR="00C51607" w:rsidRPr="002012E1" w:rsidRDefault="00C51607" w:rsidP="00C51607">
      <w:pPr>
        <w:spacing w:after="0" w:line="360" w:lineRule="auto"/>
        <w:jc w:val="both"/>
        <w:rPr>
          <w:rFonts w:ascii="Arial" w:eastAsia="Calibri" w:hAnsi="Arial" w:cs="Arial"/>
          <w:kern w:val="0"/>
          <w14:ligatures w14:val="none"/>
        </w:rPr>
      </w:pPr>
    </w:p>
    <w:p w14:paraId="6E9BAA4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También existen limitaciones en las estrategias de salida para los inversionistas, lo que complica la realización de ganancias y afecta la liquidez de las inversiones. En conjunto, estas inconsistencias pueden reducir la confianza del mercado y dificultar la diversificación eficiente de carteras, incrementando el riesgo financiero para los participantes</w:t>
      </w:r>
    </w:p>
    <w:p w14:paraId="64E1823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A4CAEC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documentación insuficiente y la dificultad para auditar estas inversiones contribuyen a una gestión financiera inadecuada, lo cual se traduce en un problema </w:t>
      </w:r>
      <w:r w:rsidRPr="002012E1">
        <w:rPr>
          <w:rFonts w:ascii="Arial" w:eastAsia="Calibri" w:hAnsi="Arial" w:cs="Arial"/>
          <w:kern w:val="0"/>
          <w:lang w:val="es-MX"/>
          <w14:ligatures w14:val="none"/>
        </w:rPr>
        <w:lastRenderedPageBreak/>
        <w:t xml:space="preserve">a la hora de diversificar los fondos de pensiones, sobre esto el magistrado de la </w:t>
      </w:r>
      <w:r w:rsidRPr="002012E1">
        <w:rPr>
          <w:rFonts w:ascii="Arial" w:eastAsia="Calibri" w:hAnsi="Arial" w:cs="Arial"/>
          <w:color w:val="000000"/>
          <w:kern w:val="0"/>
          <w:lang w:val="es-MX"/>
          <w14:ligatures w14:val="none"/>
        </w:rPr>
        <w:t xml:space="preserve">Superintendencia de Pensiones de Costa Rica (SUPEN) </w:t>
      </w:r>
      <w:r w:rsidRPr="002012E1">
        <w:rPr>
          <w:rFonts w:ascii="Arial" w:eastAsia="Calibri" w:hAnsi="Arial" w:cs="Arial"/>
          <w:kern w:val="0"/>
          <w:lang w:val="es-MX"/>
          <w14:ligatures w14:val="none"/>
        </w:rPr>
        <w:t xml:space="preserve">menciona que: </w:t>
      </w:r>
    </w:p>
    <w:p w14:paraId="2AD9D060"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evolución de los instrumentos financieros hace que constantemente deban modernizarse los catálogos contables y la normativa asociada al registro de la información, de manera que exista un alineamiento entre la información que se suministra al público, y las prácticas requeridas en las contrataciones de estos novedosos instrumentos que se están haciendo cada vez más cotidianos en nuestros mercados. </w:t>
      </w:r>
    </w:p>
    <w:p w14:paraId="011BC2AE"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este sentido resulta de particular interés que el supervisor cuente con información que le permita evaluar los riesgos a que se ven expuestos los ahorros que han sido dados en administración, los cuales respaldan los pagos de las futuras pensiones. (R. Vega, comunicación personal, 13 de septiembre 2024).</w:t>
      </w:r>
    </w:p>
    <w:p w14:paraId="21082B7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78F6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es fundamental contar con los registros necesarios a nivel contable para este tipo de inversiones alternativas. de ahí que esta investigación se centra en desarrollar una propuesta de registro contable para productos de inversión alternativos, que permita una adecuada comprensión, registro y control de estos productos en los portafolios de los fondos de pensiones de Costa Rica.</w:t>
      </w:r>
    </w:p>
    <w:p w14:paraId="288A438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4C91C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propuesta debe cumplir con las normativas contables y regulaciones aplicables, proporcionando a Superintendencia de Pensiones (SUPEN) las herramientas necesarias para una supervisión eficaz y continua. </w:t>
      </w:r>
    </w:p>
    <w:p w14:paraId="2380E73E" w14:textId="77777777" w:rsidR="00C51607" w:rsidRPr="002012E1" w:rsidRDefault="00C51607" w:rsidP="00C51607">
      <w:pPr>
        <w:spacing w:after="0" w:line="360" w:lineRule="auto"/>
        <w:jc w:val="both"/>
        <w:rPr>
          <w:rFonts w:ascii="Arial" w:eastAsia="Calibri" w:hAnsi="Arial" w:cs="Arial"/>
          <w:strike/>
          <w:color w:val="FF0000"/>
          <w:kern w:val="0"/>
          <w:lang w:val="es-MX"/>
          <w14:ligatures w14:val="none"/>
        </w:rPr>
      </w:pPr>
    </w:p>
    <w:p w14:paraId="2334039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Con esto se busca brindarle una herramienta al sistema de pensiones, la cual se adopte a los retos presentes y futuros del mercado financiero, donde es crucial que la propuesta se redacte de manera clara y comprensible, para que cualquier lector, independientemente de su nivel de conocimiento previo sobre el tema, pueda entender plenamente el problema, su contexto y la solución propuesta.  </w:t>
      </w:r>
    </w:p>
    <w:p w14:paraId="1D7AE8C3" w14:textId="77777777" w:rsidR="00C51607" w:rsidRPr="002012E1" w:rsidRDefault="00C51607" w:rsidP="00C51607">
      <w:pPr>
        <w:pStyle w:val="apanivel3"/>
        <w:rPr>
          <w:rFonts w:ascii="Arial" w:hAnsi="Arial" w:cs="Arial"/>
        </w:rPr>
      </w:pPr>
      <w:bookmarkStart w:id="22" w:name="_Toc201832403"/>
      <w:r w:rsidRPr="002012E1">
        <w:rPr>
          <w:rFonts w:ascii="Arial" w:hAnsi="Arial" w:cs="Arial"/>
        </w:rPr>
        <w:lastRenderedPageBreak/>
        <w:t>Interrogante de la Investigación</w:t>
      </w:r>
      <w:bookmarkEnd w:id="22"/>
    </w:p>
    <w:p w14:paraId="0F40551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¿Cómo desarrollar una propuesta de registro contable para productos de inversión alternativos en los fondos de pensiones de Costa Rica, en busca de una transparencia y la supervisión efectiva de este tipo de inversiones?</w:t>
      </w:r>
    </w:p>
    <w:p w14:paraId="320C0095" w14:textId="77777777" w:rsidR="00C51607" w:rsidRPr="002012E1" w:rsidRDefault="00C51607" w:rsidP="00C51607">
      <w:pPr>
        <w:spacing w:after="0" w:line="360" w:lineRule="auto"/>
        <w:rPr>
          <w:rFonts w:ascii="Arial" w:eastAsia="Calibri" w:hAnsi="Arial" w:cs="Arial"/>
          <w:kern w:val="0"/>
          <w14:ligatures w14:val="none"/>
        </w:rPr>
      </w:pPr>
    </w:p>
    <w:p w14:paraId="117F2FB2" w14:textId="77777777" w:rsidR="00C51607" w:rsidRPr="002012E1" w:rsidRDefault="00C51607" w:rsidP="00C51607">
      <w:pPr>
        <w:pStyle w:val="apanivel3"/>
        <w:rPr>
          <w:rFonts w:ascii="Arial" w:hAnsi="Arial" w:cs="Arial"/>
        </w:rPr>
      </w:pPr>
      <w:bookmarkStart w:id="23" w:name="_Toc201832404"/>
      <w:r w:rsidRPr="002012E1">
        <w:rPr>
          <w:rFonts w:ascii="Arial" w:hAnsi="Arial" w:cs="Arial"/>
        </w:rPr>
        <w:t>Justificación de la Investigación</w:t>
      </w:r>
      <w:bookmarkEnd w:id="23"/>
    </w:p>
    <w:p w14:paraId="575571C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necesidad de una nueva propuesta de registro contable para productos de inversión alternativos en los fondos de pensiones de Costa Rica se justifica por varios factores clave, respaldados por datos y experiencias internacionales investigadas (Estados Unidos, Colombia, mencionados en el apartado anterior), dado que esta investigación busca abordar las deficiencias actuales y proporcionar una solución versátil que vaya a favor de la transparencia, supervisión efectiva y sostenibilidad del sistema de pensiones a largo plazo.</w:t>
      </w:r>
    </w:p>
    <w:p w14:paraId="03FB401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8D6161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una reunión con el director de la SUPEN, comenta que actualmente las operadoras de pensiones carecen de una normativa específica para la supervisión y el registro contable de inversiones alternativas, debido a la complejidad del producto, donde un sistema de registro contable para estos productos es complejo debido a sus características específicas.</w:t>
      </w:r>
    </w:p>
    <w:p w14:paraId="281AF7A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D9BA67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volumen de inversiones en estos productos ha aumentado significativamente en los últimos años en países como Estados Unidos y Colombia, por lo cual, este crecimiento subraya la necesidad de desarrollar una propuesta de registro contable que pueda integrar y gestionar eficazmente estos activos complejos. </w:t>
      </w:r>
    </w:p>
    <w:p w14:paraId="474D490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AF703F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Según la Asociación Internacional de Fondos de Pensiones (2021): "Los productos de inversión alternativos han experimentado un crecimiento notable en los últimos años” Como se demuestra anteriormente en países con sistemas de pensiones avanzados, como Estados Unidos y Colombia, se han implementado normativas </w:t>
      </w:r>
      <w:r w:rsidRPr="002012E1">
        <w:rPr>
          <w:rFonts w:ascii="Arial" w:eastAsia="Calibri" w:hAnsi="Arial" w:cs="Arial"/>
          <w:kern w:val="0"/>
          <w:lang w:val="es-MX"/>
          <w14:ligatures w14:val="none"/>
        </w:rPr>
        <w:lastRenderedPageBreak/>
        <w:t>específicas para el registro y supervisión de productos de inversión alternativos, lo que ha mejorado la transparencia y la supervisión en estos mercados.</w:t>
      </w:r>
    </w:p>
    <w:p w14:paraId="716092B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EA65D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esta razón Costa Rica, al igual que otros mercados emergentes, enfrenta el desafío de no quedarse rezagada y de explorar los beneficios potenciales que estos nuevos métodos de inversión pueden ofrecer. </w:t>
      </w:r>
    </w:p>
    <w:p w14:paraId="5B524C8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4E222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 fundamental que esta nueva propuesta sea versátil y adaptativa, ya que constantemente surgen nuevas opciones de inversión, de esta forma, una propuesta adaptable permite a las operadoras de pensiones gestionar eficientemente las inversiones a futuro, que se base en el cumplimiento normativo y la transparencia a largo plazo.</w:t>
      </w:r>
    </w:p>
    <w:p w14:paraId="7380B62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D84E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Este estudio no solo busca cerrar la brecha existente en el registro contable de inversiones alternativas, sino que también aspira a proporcionar herramientas prácticas como modelos de registro ajustados a NIIF 9 y NIC 39 que puedan ser adoptadas por las instituciones financieras en Costa Rica. </w:t>
      </w:r>
    </w:p>
    <w:p w14:paraId="244F4DB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644909" w14:textId="77777777" w:rsidR="00C51607" w:rsidRPr="002012E1" w:rsidRDefault="00C51607" w:rsidP="00C51607">
      <w:pPr>
        <w:pStyle w:val="apanivel3"/>
        <w:rPr>
          <w:rFonts w:ascii="Arial" w:hAnsi="Arial" w:cs="Arial"/>
        </w:rPr>
      </w:pPr>
      <w:bookmarkStart w:id="24" w:name="_Toc201832405"/>
      <w:r w:rsidRPr="002012E1">
        <w:rPr>
          <w:rFonts w:ascii="Arial" w:hAnsi="Arial" w:cs="Arial"/>
        </w:rPr>
        <w:t>Delimitaciones y Enfoque</w:t>
      </w:r>
      <w:bookmarkEnd w:id="24"/>
    </w:p>
    <w:p w14:paraId="4F52878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esta sección se describen las delimitaciones de una manera que permita llevar a cabo la investigación más precisa y específica, lo cual facilitará el procesamiento de la información para obtener los datos necesarios, con la ideología que haya alineación con los objetivos propuestos. Por lo tanto, la delimitación temporal, espacial y empresarial se establecen de la siguiente manera:</w:t>
      </w:r>
    </w:p>
    <w:p w14:paraId="2C272FA6" w14:textId="77777777" w:rsidR="00C51607" w:rsidRPr="002012E1" w:rsidRDefault="00C51607" w:rsidP="00C51607">
      <w:pPr>
        <w:spacing w:line="360" w:lineRule="auto"/>
        <w:rPr>
          <w:rFonts w:ascii="Arial" w:eastAsia="Calibri" w:hAnsi="Arial" w:cs="Arial"/>
          <w:kern w:val="0"/>
          <w14:ligatures w14:val="none"/>
        </w:rPr>
      </w:pPr>
    </w:p>
    <w:p w14:paraId="765BBDB5" w14:textId="77777777" w:rsidR="00C51607" w:rsidRPr="002012E1" w:rsidRDefault="00C51607" w:rsidP="00C51607">
      <w:pPr>
        <w:pStyle w:val="apanivel4"/>
        <w:rPr>
          <w:rFonts w:ascii="Arial" w:hAnsi="Arial" w:cs="Arial"/>
        </w:rPr>
      </w:pPr>
      <w:r w:rsidRPr="002012E1">
        <w:rPr>
          <w:rFonts w:ascii="Arial" w:hAnsi="Arial" w:cs="Arial"/>
        </w:rPr>
        <w:t>Delimitación Temporal</w:t>
      </w:r>
    </w:p>
    <w:p w14:paraId="3889B0C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periodo temporal para la investigación comprende desde julio 2024 a agosto 2025.</w:t>
      </w:r>
    </w:p>
    <w:p w14:paraId="154EBA73" w14:textId="77777777" w:rsidR="00C51607" w:rsidRDefault="00C51607" w:rsidP="00C51607">
      <w:pPr>
        <w:spacing w:after="0" w:line="360" w:lineRule="auto"/>
        <w:jc w:val="both"/>
        <w:rPr>
          <w:rFonts w:ascii="Arial" w:eastAsia="Calibri" w:hAnsi="Arial" w:cs="Arial"/>
          <w:b/>
          <w:kern w:val="0"/>
          <w:lang w:val="es-MX"/>
          <w14:ligatures w14:val="none"/>
        </w:rPr>
      </w:pPr>
    </w:p>
    <w:p w14:paraId="08539B8E" w14:textId="77777777" w:rsidR="00C51607" w:rsidRPr="002012E1" w:rsidRDefault="00C51607" w:rsidP="00C51607">
      <w:pPr>
        <w:spacing w:after="0" w:line="360" w:lineRule="auto"/>
        <w:jc w:val="both"/>
        <w:rPr>
          <w:rFonts w:ascii="Arial" w:eastAsia="Calibri" w:hAnsi="Arial" w:cs="Arial"/>
          <w:b/>
          <w:kern w:val="0"/>
          <w:lang w:val="es-MX"/>
          <w14:ligatures w14:val="none"/>
        </w:rPr>
      </w:pPr>
    </w:p>
    <w:p w14:paraId="0A835EE5" w14:textId="77777777" w:rsidR="00C51607" w:rsidRPr="002012E1" w:rsidRDefault="00C51607" w:rsidP="00C51607">
      <w:pPr>
        <w:pStyle w:val="apanivel4"/>
        <w:rPr>
          <w:rFonts w:ascii="Arial" w:hAnsi="Arial" w:cs="Arial"/>
        </w:rPr>
      </w:pPr>
      <w:r w:rsidRPr="002012E1">
        <w:rPr>
          <w:rFonts w:ascii="Arial" w:hAnsi="Arial" w:cs="Arial"/>
        </w:rPr>
        <w:lastRenderedPageBreak/>
        <w:t>Delimitación Espacial</w:t>
      </w:r>
    </w:p>
    <w:p w14:paraId="6CDC3588"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lugar físico-geográfico se desarrolla en Costa Rica en la provincia de San José en el cantón de San José.</w:t>
      </w:r>
    </w:p>
    <w:p w14:paraId="56FE810A" w14:textId="77777777" w:rsidR="00C51607" w:rsidRPr="002012E1" w:rsidRDefault="00C51607" w:rsidP="00C51607">
      <w:pPr>
        <w:spacing w:after="0" w:line="360" w:lineRule="auto"/>
        <w:jc w:val="both"/>
        <w:rPr>
          <w:rFonts w:ascii="Arial" w:eastAsia="Calibri" w:hAnsi="Arial" w:cs="Arial"/>
          <w:b/>
          <w:kern w:val="0"/>
          <w:lang w:val="es-MX"/>
          <w14:ligatures w14:val="none"/>
        </w:rPr>
      </w:pPr>
    </w:p>
    <w:p w14:paraId="7CA9465A" w14:textId="77777777" w:rsidR="00C51607" w:rsidRPr="002012E1" w:rsidRDefault="00C51607" w:rsidP="00C51607">
      <w:pPr>
        <w:pStyle w:val="apanivel4"/>
        <w:rPr>
          <w:rFonts w:ascii="Arial" w:hAnsi="Arial" w:cs="Arial"/>
        </w:rPr>
      </w:pPr>
      <w:r w:rsidRPr="002012E1">
        <w:rPr>
          <w:rFonts w:ascii="Arial" w:hAnsi="Arial" w:cs="Arial"/>
        </w:rPr>
        <w:t>Delimitación Institucional</w:t>
      </w:r>
    </w:p>
    <w:p w14:paraId="04FCF637" w14:textId="77777777" w:rsidR="00C51607" w:rsidRPr="002012E1" w:rsidRDefault="00C51607" w:rsidP="00C51607">
      <w:pPr>
        <w:spacing w:after="0" w:line="360" w:lineRule="auto"/>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La investigación se lleva a cabo en el Sistema Nacional de Pensiones.</w:t>
      </w:r>
    </w:p>
    <w:p w14:paraId="777E57D8" w14:textId="77777777" w:rsidR="00C51607" w:rsidRPr="002012E1" w:rsidRDefault="00C51607" w:rsidP="00C51607">
      <w:pPr>
        <w:spacing w:after="0" w:line="360" w:lineRule="auto"/>
        <w:rPr>
          <w:rFonts w:ascii="Arial" w:eastAsia="Calibri" w:hAnsi="Arial" w:cs="Arial"/>
          <w:kern w:val="0"/>
          <w14:ligatures w14:val="none"/>
        </w:rPr>
      </w:pPr>
    </w:p>
    <w:p w14:paraId="44FCFEB1" w14:textId="77777777" w:rsidR="00C51607" w:rsidRPr="002012E1" w:rsidRDefault="00C51607" w:rsidP="00C51607">
      <w:pPr>
        <w:pStyle w:val="apanivel4"/>
        <w:rPr>
          <w:rFonts w:ascii="Arial" w:hAnsi="Arial" w:cs="Arial"/>
          <w:lang w:val="es-MX"/>
        </w:rPr>
      </w:pPr>
      <w:r w:rsidRPr="002012E1">
        <w:rPr>
          <w:rFonts w:ascii="Arial" w:hAnsi="Arial" w:cs="Arial"/>
          <w:lang w:val="es-MX"/>
        </w:rPr>
        <w:t>Enfoque</w:t>
      </w:r>
    </w:p>
    <w:p w14:paraId="38C3A4A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investigación se enfoca en la exploración, comprensión y análisis de los productos de inversión alternativos dentro de los portafolios de fondos de pensiones en Costa Rica que se encuentran bajo supervisión de la Superintendencia de Pensiones, con el fin de desarrollar una propuesta que permita incorporar estos productos en los estados financieros de los fondos de pensiones.</w:t>
      </w:r>
    </w:p>
    <w:p w14:paraId="4490075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4764D53" w14:textId="77777777" w:rsidR="00C51607" w:rsidRPr="002012E1" w:rsidRDefault="00C51607" w:rsidP="00C51607">
      <w:pPr>
        <w:numPr>
          <w:ilvl w:val="0"/>
          <w:numId w:val="3"/>
        </w:numPr>
        <w:spacing w:after="0" w:line="360" w:lineRule="auto"/>
        <w:jc w:val="both"/>
        <w:rPr>
          <w:rFonts w:ascii="Arial" w:eastAsia="Calibri" w:hAnsi="Arial" w:cs="Arial"/>
          <w:b/>
          <w:kern w:val="0"/>
          <w:lang w:val="es-MX"/>
          <w14:ligatures w14:val="none"/>
        </w:rPr>
      </w:pPr>
      <w:r w:rsidRPr="002012E1">
        <w:rPr>
          <w:rFonts w:ascii="Arial" w:eastAsia="Calibri" w:hAnsi="Arial" w:cs="Arial"/>
          <w:b/>
          <w:kern w:val="0"/>
          <w:lang w:val="es-MX"/>
          <w14:ligatures w14:val="none"/>
        </w:rPr>
        <w:t>Ámbito:</w:t>
      </w:r>
      <w:r w:rsidRPr="002012E1">
        <w:rPr>
          <w:rFonts w:ascii="Arial" w:eastAsia="Calibri" w:hAnsi="Arial" w:cs="Arial"/>
          <w:kern w:val="0"/>
          <w:lang w:val="es-MX"/>
          <w14:ligatures w14:val="none"/>
        </w:rPr>
        <w:t xml:space="preserve"> gestión financiera.</w:t>
      </w:r>
    </w:p>
    <w:p w14:paraId="29815640" w14:textId="77777777" w:rsidR="00C51607" w:rsidRPr="002012E1" w:rsidRDefault="00C51607" w:rsidP="00C51607">
      <w:pPr>
        <w:numPr>
          <w:ilvl w:val="0"/>
          <w:numId w:val="3"/>
        </w:numPr>
        <w:spacing w:after="0" w:line="360" w:lineRule="auto"/>
        <w:jc w:val="both"/>
        <w:rPr>
          <w:rFonts w:ascii="Arial" w:eastAsia="Calibri" w:hAnsi="Arial" w:cs="Arial"/>
          <w:b/>
          <w:kern w:val="0"/>
          <w:lang w:val="es-MX"/>
          <w14:ligatures w14:val="none"/>
        </w:rPr>
      </w:pPr>
      <w:r w:rsidRPr="002012E1">
        <w:rPr>
          <w:rFonts w:ascii="Arial" w:eastAsia="Calibri" w:hAnsi="Arial" w:cs="Arial"/>
          <w:b/>
          <w:kern w:val="0"/>
          <w:lang w:val="es-MX"/>
          <w14:ligatures w14:val="none"/>
        </w:rPr>
        <w:t>Área:</w:t>
      </w:r>
      <w:r w:rsidRPr="002012E1">
        <w:rPr>
          <w:rFonts w:ascii="Arial" w:eastAsia="Calibri" w:hAnsi="Arial" w:cs="Arial"/>
          <w:kern w:val="0"/>
          <w:lang w:val="es-MX"/>
          <w14:ligatures w14:val="none"/>
        </w:rPr>
        <w:t xml:space="preserve"> el mercado financiero costarricense.</w:t>
      </w:r>
    </w:p>
    <w:p w14:paraId="61D69AB5" w14:textId="77777777" w:rsidR="00C51607" w:rsidRPr="002012E1" w:rsidRDefault="00C51607" w:rsidP="00C51607">
      <w:pPr>
        <w:numPr>
          <w:ilvl w:val="0"/>
          <w:numId w:val="3"/>
        </w:numPr>
        <w:spacing w:after="0" w:line="360" w:lineRule="auto"/>
        <w:jc w:val="both"/>
        <w:rPr>
          <w:rFonts w:ascii="Arial" w:eastAsia="Calibri" w:hAnsi="Arial" w:cs="Arial"/>
          <w:b/>
          <w:kern w:val="0"/>
          <w:lang w:val="es-MX"/>
          <w14:ligatures w14:val="none"/>
        </w:rPr>
      </w:pPr>
      <w:r w:rsidRPr="002012E1">
        <w:rPr>
          <w:rFonts w:ascii="Arial" w:eastAsia="Calibri" w:hAnsi="Arial" w:cs="Arial"/>
          <w:b/>
          <w:kern w:val="0"/>
          <w:lang w:val="es-MX"/>
          <w14:ligatures w14:val="none"/>
        </w:rPr>
        <w:t xml:space="preserve">Moneda: </w:t>
      </w:r>
      <w:r w:rsidRPr="002012E1">
        <w:rPr>
          <w:rFonts w:ascii="Arial" w:eastAsia="Calibri" w:hAnsi="Arial" w:cs="Arial"/>
          <w:kern w:val="0"/>
          <w:lang w:val="es-MX"/>
          <w14:ligatures w14:val="none"/>
        </w:rPr>
        <w:t xml:space="preserve">colón costarricense. (₡) y dólar estadounidense ($) </w:t>
      </w:r>
    </w:p>
    <w:p w14:paraId="00F9FA3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007EAD" w14:textId="77777777" w:rsidR="00C51607" w:rsidRPr="002012E1" w:rsidRDefault="00C51607" w:rsidP="00C51607">
      <w:pPr>
        <w:pStyle w:val="apanivel2"/>
        <w:rPr>
          <w:rFonts w:ascii="Arial" w:hAnsi="Arial" w:cs="Arial"/>
          <w:lang w:val="es-MX"/>
        </w:rPr>
      </w:pPr>
      <w:bookmarkStart w:id="25" w:name="_Toc201832406"/>
      <w:r w:rsidRPr="002012E1">
        <w:rPr>
          <w:rFonts w:ascii="Arial" w:hAnsi="Arial" w:cs="Arial"/>
          <w:lang w:val="es-MX"/>
        </w:rPr>
        <w:t>Objetivos de la Investigación</w:t>
      </w:r>
      <w:bookmarkEnd w:id="25"/>
    </w:p>
    <w:p w14:paraId="5B0867E6" w14:textId="77777777" w:rsidR="00C51607" w:rsidRPr="002012E1" w:rsidRDefault="00C51607" w:rsidP="00C51607">
      <w:pPr>
        <w:pStyle w:val="apanivel3"/>
        <w:rPr>
          <w:rFonts w:ascii="Arial" w:hAnsi="Arial" w:cs="Arial"/>
          <w:lang w:val="es-MX"/>
        </w:rPr>
      </w:pPr>
      <w:bookmarkStart w:id="26" w:name="_Toc201832407"/>
      <w:r w:rsidRPr="002012E1">
        <w:rPr>
          <w:rFonts w:ascii="Arial" w:hAnsi="Arial" w:cs="Arial"/>
          <w:lang w:val="es-MX"/>
        </w:rPr>
        <w:t>Objetivo general</w:t>
      </w:r>
      <w:bookmarkEnd w:id="26"/>
    </w:p>
    <w:p w14:paraId="6C86B89C" w14:textId="77777777" w:rsidR="00C51607" w:rsidRPr="002012E1" w:rsidRDefault="00C51607" w:rsidP="00C51607">
      <w:pPr>
        <w:numPr>
          <w:ilvl w:val="0"/>
          <w:numId w:val="4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Desarrollar una propuesta de registro contable para productos de inversión alternativos en los portafolios de pensiones costarricenses, alineada con las normativas nacionales e internacionales, que facilite la supervisión, valoración y gestión de riesgos por parte de las autoridades y operadores del sistema de pensiones.</w:t>
      </w:r>
    </w:p>
    <w:p w14:paraId="076516EF"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4C2D95C8"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0BD7F406"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76B93FE6" w14:textId="77777777" w:rsidR="00C51607" w:rsidRPr="002012E1" w:rsidRDefault="00C51607" w:rsidP="00C51607">
      <w:pPr>
        <w:pStyle w:val="apanivel3"/>
        <w:rPr>
          <w:rFonts w:ascii="Arial" w:hAnsi="Arial" w:cs="Arial"/>
          <w:lang w:val="es-MX"/>
        </w:rPr>
      </w:pPr>
      <w:bookmarkStart w:id="27" w:name="_Toc201832408"/>
      <w:r w:rsidRPr="002012E1">
        <w:rPr>
          <w:rFonts w:ascii="Arial" w:hAnsi="Arial" w:cs="Arial"/>
          <w:lang w:val="es-MX"/>
        </w:rPr>
        <w:lastRenderedPageBreak/>
        <w:t>Objetivos específicos</w:t>
      </w:r>
      <w:bookmarkEnd w:id="27"/>
    </w:p>
    <w:p w14:paraId="3BD563D3"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Investigar los productos financieros de deuda, acciones y alternativos, para la comprensión de sus características principales y su impacto en las estrategias de inversión.</w:t>
      </w:r>
    </w:p>
    <w:p w14:paraId="04636681"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Identificar las inversiones alternativas que forman parte de los portafolios de los fondos de pensiones en Costa Rica para la clasificación de éstas según su naturaleza y características.</w:t>
      </w:r>
    </w:p>
    <w:p w14:paraId="746015F6" w14:textId="77777777" w:rsidR="00C51607" w:rsidRPr="002012E1" w:rsidRDefault="00C51607" w:rsidP="00C51607">
      <w:pPr>
        <w:numPr>
          <w:ilvl w:val="0"/>
          <w:numId w:val="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Examinar la normativa vigente relacionada con la contabilidad y la gestión de fondos de pensiones en Costa Rica, para la identificación de los tipos de registros contables y su ajuste según la normativa costarricense.</w:t>
      </w:r>
    </w:p>
    <w:p w14:paraId="253779ED" w14:textId="77777777" w:rsidR="00C51607" w:rsidRPr="002012E1" w:rsidRDefault="00C51607" w:rsidP="00C51607">
      <w:pPr>
        <w:pStyle w:val="apaparrafo"/>
      </w:pPr>
    </w:p>
    <w:p w14:paraId="5C4D40CD" w14:textId="77777777" w:rsidR="00C51607" w:rsidRPr="002012E1" w:rsidRDefault="00C51607" w:rsidP="00C51607">
      <w:pPr>
        <w:pStyle w:val="apanivel2"/>
        <w:rPr>
          <w:rFonts w:ascii="Arial" w:hAnsi="Arial" w:cs="Arial"/>
        </w:rPr>
      </w:pPr>
      <w:bookmarkStart w:id="28" w:name="_Toc201832409"/>
      <w:r w:rsidRPr="002012E1">
        <w:rPr>
          <w:rFonts w:ascii="Arial" w:hAnsi="Arial" w:cs="Arial"/>
        </w:rPr>
        <w:t>Modelo de Análisis</w:t>
      </w:r>
      <w:bookmarkEnd w:id="28"/>
    </w:p>
    <w:p w14:paraId="1ABBF229" w14:textId="77777777" w:rsidR="00C51607" w:rsidRPr="002012E1" w:rsidRDefault="00C51607" w:rsidP="00C51607">
      <w:pPr>
        <w:pStyle w:val="apanivel3"/>
        <w:rPr>
          <w:rFonts w:ascii="Arial" w:hAnsi="Arial" w:cs="Arial"/>
        </w:rPr>
      </w:pPr>
      <w:bookmarkStart w:id="29" w:name="_Toc201832410"/>
      <w:r w:rsidRPr="002012E1">
        <w:rPr>
          <w:rFonts w:ascii="Arial" w:hAnsi="Arial" w:cs="Arial"/>
        </w:rPr>
        <w:t>Conceptualización, operacionalización e instrumentalización de las variables.</w:t>
      </w:r>
      <w:bookmarkEnd w:id="29"/>
    </w:p>
    <w:p w14:paraId="3745C1C6" w14:textId="30BD1D17" w:rsidR="00C51607" w:rsidRPr="002012E1" w:rsidRDefault="00C51607" w:rsidP="00C51607">
      <w:pPr>
        <w:spacing w:after="200" w:line="360" w:lineRule="auto"/>
        <w:rPr>
          <w:rFonts w:ascii="Arial" w:eastAsia="Calibri" w:hAnsi="Arial" w:cs="Arial"/>
          <w:b/>
          <w:bCs/>
          <w:kern w:val="0"/>
          <w:lang w:val="es-419"/>
          <w14:ligatures w14:val="none"/>
        </w:rPr>
      </w:pPr>
      <w:bookmarkStart w:id="30" w:name="_Toc201322504"/>
      <w:r w:rsidRPr="002012E1">
        <w:rPr>
          <w:rFonts w:ascii="Arial" w:eastAsia="Calibri" w:hAnsi="Arial" w:cs="Arial"/>
          <w:b/>
          <w:bCs/>
          <w:kern w:val="0"/>
          <w14:ligatures w14:val="none"/>
        </w:rPr>
        <w:t xml:space="preserve">Tabla </w:t>
      </w:r>
      <w:r w:rsidRPr="002012E1">
        <w:rPr>
          <w:rFonts w:ascii="Arial" w:eastAsia="Calibri" w:hAnsi="Arial" w:cs="Arial"/>
          <w:b/>
          <w:b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kern w:val="0"/>
          <w14:ligatures w14:val="none"/>
        </w:rPr>
        <w:fldChar w:fldCharType="separate"/>
      </w:r>
      <w:r w:rsidR="00125018">
        <w:rPr>
          <w:rFonts w:ascii="Arial" w:eastAsia="Calibri" w:hAnsi="Arial" w:cs="Arial"/>
          <w:b/>
          <w:bCs/>
          <w:noProof/>
          <w:kern w:val="0"/>
          <w14:ligatures w14:val="none"/>
        </w:rPr>
        <w:t>1</w:t>
      </w:r>
      <w:r w:rsidRPr="002012E1">
        <w:rPr>
          <w:rFonts w:ascii="Arial" w:eastAsia="Calibri" w:hAnsi="Arial" w:cs="Arial"/>
          <w:b/>
          <w:bCs/>
          <w:kern w:val="0"/>
          <w14:ligatures w14:val="none"/>
        </w:rPr>
        <w:fldChar w:fldCharType="end"/>
      </w:r>
      <w:r w:rsidRPr="002012E1">
        <w:rPr>
          <w:rFonts w:ascii="Arial" w:eastAsia="Calibri" w:hAnsi="Arial" w:cs="Arial"/>
          <w:b/>
          <w:bCs/>
          <w:kern w:val="0"/>
          <w14:ligatures w14:val="none"/>
        </w:rPr>
        <w:t>. Conceptualización, operacionalización e instrumentalización de las variables.</w:t>
      </w:r>
      <w:bookmarkEnd w:id="30"/>
    </w:p>
    <w:tbl>
      <w:tblPr>
        <w:tblW w:w="0" w:type="auto"/>
        <w:tblBorders>
          <w:top w:val="nil"/>
          <w:left w:val="nil"/>
          <w:bottom w:val="nil"/>
          <w:right w:val="nil"/>
          <w:insideH w:val="nil"/>
          <w:insideV w:val="nil"/>
        </w:tblBorders>
        <w:tblLook w:val="0600" w:firstRow="0" w:lastRow="0" w:firstColumn="0" w:lastColumn="0" w:noHBand="1" w:noVBand="1"/>
      </w:tblPr>
      <w:tblGrid>
        <w:gridCol w:w="1414"/>
        <w:gridCol w:w="2639"/>
        <w:gridCol w:w="2361"/>
        <w:gridCol w:w="2414"/>
      </w:tblGrid>
      <w:tr w:rsidR="00C51607" w:rsidRPr="002012E1" w14:paraId="3C0E93C7" w14:textId="77777777" w:rsidTr="00C51607">
        <w:trPr>
          <w:trHeight w:val="525"/>
        </w:trPr>
        <w:tc>
          <w:tcPr>
            <w:tcW w:w="1347" w:type="dxa"/>
            <w:tcBorders>
              <w:top w:val="single" w:sz="4" w:space="0" w:color="000000"/>
              <w:left w:val="single" w:sz="4" w:space="0" w:color="000000"/>
              <w:bottom w:val="single" w:sz="4" w:space="0" w:color="000000"/>
              <w:right w:val="single" w:sz="4" w:space="0" w:color="000000"/>
            </w:tcBorders>
            <w:shd w:val="clear" w:color="auto" w:fill="auto"/>
            <w:tcMar>
              <w:top w:w="0" w:type="dxa"/>
              <w:left w:w="80" w:type="dxa"/>
              <w:bottom w:w="0" w:type="dxa"/>
              <w:right w:w="80" w:type="dxa"/>
            </w:tcMar>
            <w:vAlign w:val="center"/>
          </w:tcPr>
          <w:p w14:paraId="0A278939" w14:textId="77777777" w:rsidR="00C51607" w:rsidRPr="00C51607" w:rsidRDefault="00C51607" w:rsidP="005C1607">
            <w:pPr>
              <w:spacing w:before="240" w:after="0" w:line="360" w:lineRule="auto"/>
              <w:jc w:val="center"/>
              <w:rPr>
                <w:rFonts w:ascii="Arial" w:eastAsia="Times New Roman" w:hAnsi="Arial" w:cs="Arial"/>
                <w:b/>
                <w:kern w:val="0"/>
                <w14:ligatures w14:val="none"/>
              </w:rPr>
            </w:pPr>
            <w:r w:rsidRPr="00C51607">
              <w:rPr>
                <w:rFonts w:ascii="Arial" w:eastAsia="Times New Roman" w:hAnsi="Arial" w:cs="Arial"/>
                <w:b/>
                <w:kern w:val="0"/>
                <w14:ligatures w14:val="none"/>
              </w:rPr>
              <w:t>Variable</w:t>
            </w:r>
          </w:p>
        </w:tc>
        <w:tc>
          <w:tcPr>
            <w:tcW w:w="4035" w:type="dxa"/>
            <w:tcBorders>
              <w:top w:val="single" w:sz="4" w:space="0" w:color="000000"/>
              <w:left w:val="nil"/>
              <w:bottom w:val="single" w:sz="4" w:space="0" w:color="000000"/>
              <w:right w:val="single" w:sz="4" w:space="0" w:color="000000"/>
            </w:tcBorders>
            <w:shd w:val="clear" w:color="auto" w:fill="auto"/>
            <w:tcMar>
              <w:top w:w="0" w:type="dxa"/>
              <w:left w:w="80" w:type="dxa"/>
              <w:bottom w:w="0" w:type="dxa"/>
              <w:right w:w="80" w:type="dxa"/>
            </w:tcMar>
            <w:vAlign w:val="center"/>
          </w:tcPr>
          <w:p w14:paraId="29C7FD57" w14:textId="77777777" w:rsidR="00C51607" w:rsidRPr="00C51607" w:rsidRDefault="00C51607" w:rsidP="005C1607">
            <w:pPr>
              <w:spacing w:before="240" w:after="0" w:line="360" w:lineRule="auto"/>
              <w:jc w:val="center"/>
              <w:rPr>
                <w:rFonts w:ascii="Arial" w:eastAsia="Times New Roman" w:hAnsi="Arial" w:cs="Arial"/>
                <w:b/>
                <w:kern w:val="0"/>
                <w14:ligatures w14:val="none"/>
              </w:rPr>
            </w:pPr>
            <w:r w:rsidRPr="00C51607">
              <w:rPr>
                <w:rFonts w:ascii="Arial" w:eastAsia="Times New Roman" w:hAnsi="Arial" w:cs="Arial"/>
                <w:b/>
                <w:kern w:val="0"/>
                <w14:ligatures w14:val="none"/>
              </w:rPr>
              <w:t>Conceptualización</w:t>
            </w:r>
          </w:p>
        </w:tc>
        <w:tc>
          <w:tcPr>
            <w:tcW w:w="1219" w:type="dxa"/>
            <w:tcBorders>
              <w:top w:val="single" w:sz="4" w:space="0" w:color="000000"/>
              <w:left w:val="nil"/>
              <w:bottom w:val="single" w:sz="4" w:space="0" w:color="000000"/>
              <w:right w:val="single" w:sz="4" w:space="0" w:color="000000"/>
            </w:tcBorders>
            <w:shd w:val="clear" w:color="auto" w:fill="auto"/>
            <w:tcMar>
              <w:top w:w="0" w:type="dxa"/>
              <w:left w:w="80" w:type="dxa"/>
              <w:bottom w:w="0" w:type="dxa"/>
              <w:right w:w="80" w:type="dxa"/>
            </w:tcMar>
            <w:vAlign w:val="center"/>
          </w:tcPr>
          <w:p w14:paraId="784EBDD5" w14:textId="77777777" w:rsidR="00C51607" w:rsidRPr="00C51607" w:rsidRDefault="00C51607" w:rsidP="005C1607">
            <w:pPr>
              <w:spacing w:before="240" w:after="0" w:line="360" w:lineRule="auto"/>
              <w:jc w:val="center"/>
              <w:rPr>
                <w:rFonts w:ascii="Arial" w:eastAsia="Times New Roman" w:hAnsi="Arial" w:cs="Arial"/>
                <w:b/>
                <w:kern w:val="0"/>
                <w14:ligatures w14:val="none"/>
              </w:rPr>
            </w:pPr>
            <w:r w:rsidRPr="00C51607">
              <w:rPr>
                <w:rFonts w:ascii="Arial" w:eastAsia="Times New Roman" w:hAnsi="Arial" w:cs="Arial"/>
                <w:b/>
                <w:kern w:val="0"/>
                <w14:ligatures w14:val="none"/>
              </w:rPr>
              <w:t>Operacionalización</w:t>
            </w:r>
          </w:p>
        </w:tc>
        <w:tc>
          <w:tcPr>
            <w:tcW w:w="2227" w:type="dxa"/>
            <w:tcBorders>
              <w:top w:val="single" w:sz="4" w:space="0" w:color="000000"/>
              <w:left w:val="nil"/>
              <w:bottom w:val="single" w:sz="4" w:space="0" w:color="000000"/>
              <w:right w:val="single" w:sz="4" w:space="0" w:color="000000"/>
            </w:tcBorders>
            <w:shd w:val="clear" w:color="auto" w:fill="auto"/>
            <w:tcMar>
              <w:top w:w="0" w:type="dxa"/>
              <w:left w:w="80" w:type="dxa"/>
              <w:bottom w:w="0" w:type="dxa"/>
              <w:right w:w="80" w:type="dxa"/>
            </w:tcMar>
            <w:vAlign w:val="center"/>
          </w:tcPr>
          <w:p w14:paraId="7FD57C4D" w14:textId="77777777" w:rsidR="00C51607" w:rsidRPr="00C51607" w:rsidRDefault="00C51607" w:rsidP="005C1607">
            <w:pPr>
              <w:spacing w:before="240" w:after="0" w:line="360" w:lineRule="auto"/>
              <w:jc w:val="center"/>
              <w:rPr>
                <w:rFonts w:ascii="Arial" w:eastAsia="Times New Roman" w:hAnsi="Arial" w:cs="Arial"/>
                <w:b/>
                <w:kern w:val="0"/>
                <w14:ligatures w14:val="none"/>
              </w:rPr>
            </w:pPr>
            <w:r w:rsidRPr="00C51607">
              <w:rPr>
                <w:rFonts w:ascii="Arial" w:eastAsia="Times New Roman" w:hAnsi="Arial" w:cs="Arial"/>
                <w:b/>
                <w:kern w:val="0"/>
                <w14:ligatures w14:val="none"/>
              </w:rPr>
              <w:t>Instrumentalización</w:t>
            </w:r>
          </w:p>
        </w:tc>
      </w:tr>
      <w:tr w:rsidR="00C51607" w:rsidRPr="002012E1" w14:paraId="26948308" w14:textId="77777777" w:rsidTr="005C1607">
        <w:trPr>
          <w:trHeight w:val="1928"/>
        </w:trPr>
        <w:tc>
          <w:tcPr>
            <w:tcW w:w="1347" w:type="dxa"/>
            <w:tcBorders>
              <w:top w:val="nil"/>
              <w:left w:val="single" w:sz="4" w:space="0" w:color="000000"/>
              <w:bottom w:val="single" w:sz="4" w:space="0" w:color="000000"/>
              <w:right w:val="single" w:sz="4" w:space="0" w:color="000000"/>
            </w:tcBorders>
            <w:tcMar>
              <w:top w:w="0" w:type="dxa"/>
              <w:left w:w="80" w:type="dxa"/>
              <w:bottom w:w="0" w:type="dxa"/>
              <w:right w:w="80" w:type="dxa"/>
            </w:tcMar>
            <w:vAlign w:val="center"/>
          </w:tcPr>
          <w:p w14:paraId="1648123C"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Productos Financieros de Deuda, Acciones y Alternativos</w:t>
            </w:r>
          </w:p>
        </w:tc>
        <w:tc>
          <w:tcPr>
            <w:tcW w:w="4035" w:type="dxa"/>
            <w:tcBorders>
              <w:top w:val="nil"/>
              <w:left w:val="nil"/>
              <w:bottom w:val="single" w:sz="4" w:space="0" w:color="000000"/>
              <w:right w:val="single" w:sz="4" w:space="0" w:color="000000"/>
            </w:tcBorders>
            <w:tcMar>
              <w:top w:w="0" w:type="dxa"/>
              <w:left w:w="80" w:type="dxa"/>
              <w:bottom w:w="0" w:type="dxa"/>
              <w:right w:w="80" w:type="dxa"/>
            </w:tcMar>
            <w:vAlign w:val="center"/>
          </w:tcPr>
          <w:p w14:paraId="65F05293"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 xml:space="preserve">"Los productos financieros como la deuda, las acciones y las inversiones alternativas presentan diferentes perfiles de riesgo y rendimiento, lo que los hace adecuados para diferentes estrategias de inversión. La deuda </w:t>
            </w:r>
            <w:r w:rsidRPr="002012E1">
              <w:rPr>
                <w:rFonts w:ascii="Arial" w:eastAsia="Times New Roman" w:hAnsi="Arial" w:cs="Arial"/>
                <w:kern w:val="0"/>
                <w14:ligatures w14:val="none"/>
              </w:rPr>
              <w:lastRenderedPageBreak/>
              <w:t>ofrece ingresos fijos y estabilidad, mientras que las acciones proporcionan oportunidades de crecimiento de capital. Las inversiones alternativas, como el capital privado y los fondos de cobertura, pueden ofrecer diversificación adicional y potencial de rendimiento, aunque con un perfil de riesgo diferente." (PwC, 2019, p. 12).</w:t>
            </w:r>
          </w:p>
        </w:tc>
        <w:tc>
          <w:tcPr>
            <w:tcW w:w="1219" w:type="dxa"/>
            <w:tcBorders>
              <w:top w:val="nil"/>
              <w:left w:val="nil"/>
              <w:bottom w:val="single" w:sz="4" w:space="0" w:color="000000"/>
              <w:right w:val="single" w:sz="4" w:space="0" w:color="000000"/>
            </w:tcBorders>
            <w:tcMar>
              <w:top w:w="0" w:type="dxa"/>
              <w:left w:w="80" w:type="dxa"/>
              <w:bottom w:w="0" w:type="dxa"/>
              <w:right w:w="80" w:type="dxa"/>
            </w:tcMar>
            <w:vAlign w:val="center"/>
          </w:tcPr>
          <w:p w14:paraId="4F9CB5E1"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lastRenderedPageBreak/>
              <w:t>Análisis de los tipos de productos financieros, evaluando su composición, rentabilidad y riesgo asociado.</w:t>
            </w:r>
          </w:p>
        </w:tc>
        <w:tc>
          <w:tcPr>
            <w:tcW w:w="2227" w:type="dxa"/>
            <w:tcBorders>
              <w:top w:val="nil"/>
              <w:left w:val="nil"/>
              <w:bottom w:val="single" w:sz="4" w:space="0" w:color="000000"/>
              <w:right w:val="single" w:sz="4" w:space="0" w:color="000000"/>
            </w:tcBorders>
            <w:tcMar>
              <w:top w:w="0" w:type="dxa"/>
              <w:left w:w="80" w:type="dxa"/>
              <w:bottom w:w="0" w:type="dxa"/>
              <w:right w:w="80" w:type="dxa"/>
            </w:tcMar>
            <w:vAlign w:val="center"/>
          </w:tcPr>
          <w:p w14:paraId="49FA68D5" w14:textId="77777777" w:rsidR="00C51607" w:rsidRPr="002012E1" w:rsidRDefault="00C51607" w:rsidP="005C1607">
            <w:pPr>
              <w:numPr>
                <w:ilvl w:val="0"/>
                <w:numId w:val="4"/>
              </w:numPr>
              <w:pBdr>
                <w:top w:val="nil"/>
                <w:left w:val="nil"/>
                <w:bottom w:val="nil"/>
                <w:right w:val="nil"/>
                <w:between w:val="nil"/>
              </w:pBd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Guía de análisis documental.</w:t>
            </w:r>
          </w:p>
        </w:tc>
      </w:tr>
      <w:tr w:rsidR="00C51607" w:rsidRPr="002012E1" w14:paraId="3F96161F" w14:textId="77777777" w:rsidTr="005C1607">
        <w:trPr>
          <w:trHeight w:val="1275"/>
        </w:trPr>
        <w:tc>
          <w:tcPr>
            <w:tcW w:w="1347" w:type="dxa"/>
            <w:tcBorders>
              <w:top w:val="nil"/>
              <w:left w:val="single" w:sz="4" w:space="0" w:color="000000"/>
              <w:bottom w:val="single" w:sz="4" w:space="0" w:color="000000"/>
              <w:right w:val="single" w:sz="4" w:space="0" w:color="000000"/>
            </w:tcBorders>
            <w:tcMar>
              <w:top w:w="0" w:type="dxa"/>
              <w:left w:w="80" w:type="dxa"/>
              <w:bottom w:w="0" w:type="dxa"/>
              <w:right w:w="80" w:type="dxa"/>
            </w:tcMar>
          </w:tcPr>
          <w:p w14:paraId="2A73809B"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Inversiones Alternativas en Fondos de Pensiones</w:t>
            </w:r>
          </w:p>
        </w:tc>
        <w:tc>
          <w:tcPr>
            <w:tcW w:w="4035" w:type="dxa"/>
            <w:tcBorders>
              <w:top w:val="nil"/>
              <w:left w:val="nil"/>
              <w:bottom w:val="single" w:sz="4" w:space="0" w:color="000000"/>
              <w:right w:val="single" w:sz="4" w:space="0" w:color="000000"/>
            </w:tcBorders>
            <w:tcMar>
              <w:top w:w="0" w:type="dxa"/>
              <w:left w:w="80" w:type="dxa"/>
              <w:bottom w:w="0" w:type="dxa"/>
              <w:right w:w="80" w:type="dxa"/>
            </w:tcMar>
          </w:tcPr>
          <w:p w14:paraId="2C1984B7"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 xml:space="preserve">"Las inversiones alternativas en los portafolios de fondos de pensiones incluyen una variedad de activos como bienes raíces, capital privado, y fondos de cobertura. Cada tipo de inversión tiene características distintas en términos de liquidez, riesgo, y potencial de retorno, y </w:t>
            </w:r>
            <w:r w:rsidRPr="002012E1">
              <w:rPr>
                <w:rFonts w:ascii="Arial" w:eastAsia="Times New Roman" w:hAnsi="Arial" w:cs="Arial"/>
                <w:kern w:val="0"/>
                <w14:ligatures w14:val="none"/>
              </w:rPr>
              <w:lastRenderedPageBreak/>
              <w:t>es esencial que los fondos de pensiones clasifiquen estas inversiones correctamente para alinear sus estrategias con los objetivos de sostenibilidad a largo plazo." (OECD, 2020, p. 25)</w:t>
            </w:r>
          </w:p>
        </w:tc>
        <w:tc>
          <w:tcPr>
            <w:tcW w:w="1219" w:type="dxa"/>
            <w:tcBorders>
              <w:top w:val="nil"/>
              <w:left w:val="nil"/>
              <w:bottom w:val="single" w:sz="4" w:space="0" w:color="000000"/>
              <w:right w:val="single" w:sz="4" w:space="0" w:color="000000"/>
            </w:tcBorders>
            <w:tcMar>
              <w:top w:w="0" w:type="dxa"/>
              <w:left w:w="80" w:type="dxa"/>
              <w:bottom w:w="0" w:type="dxa"/>
              <w:right w:w="80" w:type="dxa"/>
            </w:tcMar>
          </w:tcPr>
          <w:p w14:paraId="6A05221E"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lastRenderedPageBreak/>
              <w:t>Clasificación de las inversiones alternativas presentes en los portafolios de fondos de pensiones, identificando características como la liquidez, horizonte de inversión y riesgos.</w:t>
            </w:r>
          </w:p>
        </w:tc>
        <w:tc>
          <w:tcPr>
            <w:tcW w:w="2227" w:type="dxa"/>
            <w:tcBorders>
              <w:top w:val="nil"/>
              <w:left w:val="nil"/>
              <w:bottom w:val="single" w:sz="4" w:space="0" w:color="000000"/>
              <w:right w:val="single" w:sz="4" w:space="0" w:color="000000"/>
            </w:tcBorders>
            <w:tcMar>
              <w:top w:w="0" w:type="dxa"/>
              <w:left w:w="80" w:type="dxa"/>
              <w:bottom w:w="0" w:type="dxa"/>
              <w:right w:w="80" w:type="dxa"/>
            </w:tcMar>
          </w:tcPr>
          <w:p w14:paraId="61FAB73B" w14:textId="77777777" w:rsidR="00C51607" w:rsidRPr="002012E1" w:rsidRDefault="00C51607" w:rsidP="005C1607">
            <w:pPr>
              <w:numPr>
                <w:ilvl w:val="0"/>
                <w:numId w:val="4"/>
              </w:numPr>
              <w:pBdr>
                <w:top w:val="nil"/>
                <w:left w:val="nil"/>
                <w:bottom w:val="nil"/>
                <w:right w:val="nil"/>
                <w:between w:val="nil"/>
              </w:pBd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Guía de entrevista (preguntas dirigidas al director de SUPEN)</w:t>
            </w:r>
          </w:p>
          <w:p w14:paraId="6A544692" w14:textId="77777777" w:rsidR="00C51607" w:rsidRPr="002012E1" w:rsidRDefault="00C51607" w:rsidP="005C1607">
            <w:pPr>
              <w:numPr>
                <w:ilvl w:val="0"/>
                <w:numId w:val="4"/>
              </w:numPr>
              <w:pBdr>
                <w:top w:val="nil"/>
                <w:left w:val="nil"/>
                <w:bottom w:val="nil"/>
                <w:right w:val="nil"/>
                <w:between w:val="nil"/>
              </w:pBd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Guía de observación</w:t>
            </w:r>
          </w:p>
          <w:p w14:paraId="3E243DB5" w14:textId="77777777" w:rsidR="00C51607" w:rsidRPr="002012E1" w:rsidRDefault="00C51607" w:rsidP="005C1607">
            <w:pPr>
              <w:pBdr>
                <w:top w:val="nil"/>
                <w:left w:val="nil"/>
                <w:bottom w:val="nil"/>
                <w:right w:val="nil"/>
                <w:between w:val="nil"/>
              </w:pBdr>
              <w:spacing w:after="0" w:line="360" w:lineRule="auto"/>
              <w:ind w:left="720"/>
              <w:jc w:val="both"/>
              <w:rPr>
                <w:rFonts w:ascii="Arial" w:eastAsia="Times New Roman" w:hAnsi="Arial" w:cs="Arial"/>
                <w:color w:val="000000"/>
                <w:kern w:val="0"/>
                <w14:ligatures w14:val="none"/>
              </w:rPr>
            </w:pPr>
          </w:p>
          <w:p w14:paraId="0F602D76" w14:textId="77777777" w:rsidR="00C51607" w:rsidRPr="002012E1" w:rsidRDefault="00C51607" w:rsidP="005C1607">
            <w:pPr>
              <w:spacing w:before="240" w:after="0" w:line="360" w:lineRule="auto"/>
              <w:jc w:val="both"/>
              <w:rPr>
                <w:rFonts w:ascii="Arial" w:eastAsia="Times New Roman" w:hAnsi="Arial" w:cs="Arial"/>
                <w:b/>
                <w:kern w:val="0"/>
                <w14:ligatures w14:val="none"/>
              </w:rPr>
            </w:pPr>
            <w:r w:rsidRPr="002012E1">
              <w:rPr>
                <w:rFonts w:ascii="Arial" w:eastAsia="Times New Roman" w:hAnsi="Arial" w:cs="Arial"/>
                <w:b/>
                <w:kern w:val="0"/>
                <w14:ligatures w14:val="none"/>
              </w:rPr>
              <w:t>Instrumentos para el análisis financiero:</w:t>
            </w:r>
          </w:p>
          <w:p w14:paraId="77BCC023" w14:textId="77777777" w:rsidR="00C51607" w:rsidRPr="002012E1" w:rsidRDefault="00C51607" w:rsidP="005C1607">
            <w:pPr>
              <w:numPr>
                <w:ilvl w:val="0"/>
                <w:numId w:val="4"/>
              </w:numPr>
              <w:pBdr>
                <w:top w:val="nil"/>
                <w:left w:val="nil"/>
                <w:bottom w:val="nil"/>
                <w:right w:val="nil"/>
                <w:between w:val="nil"/>
              </w:pBd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lastRenderedPageBreak/>
              <w:t>Análisis de sensibilidad.</w:t>
            </w:r>
          </w:p>
          <w:p w14:paraId="1F23E85E" w14:textId="77777777" w:rsidR="00C51607" w:rsidRPr="002012E1" w:rsidRDefault="00C51607" w:rsidP="005C1607">
            <w:pPr>
              <w:spacing w:before="240" w:after="0" w:line="360" w:lineRule="auto"/>
              <w:jc w:val="both"/>
              <w:rPr>
                <w:rFonts w:ascii="Arial" w:eastAsia="Times New Roman" w:hAnsi="Arial" w:cs="Arial"/>
                <w:kern w:val="0"/>
                <w14:ligatures w14:val="none"/>
              </w:rPr>
            </w:pPr>
          </w:p>
        </w:tc>
      </w:tr>
      <w:tr w:rsidR="00C51607" w:rsidRPr="002012E1" w14:paraId="77604295" w14:textId="77777777" w:rsidTr="005C1607">
        <w:trPr>
          <w:trHeight w:val="170"/>
        </w:trPr>
        <w:tc>
          <w:tcPr>
            <w:tcW w:w="1347" w:type="dxa"/>
            <w:tcBorders>
              <w:top w:val="nil"/>
              <w:left w:val="single" w:sz="4" w:space="0" w:color="000000"/>
              <w:bottom w:val="single" w:sz="4" w:space="0" w:color="000000"/>
              <w:right w:val="single" w:sz="4" w:space="0" w:color="000000"/>
            </w:tcBorders>
            <w:tcMar>
              <w:top w:w="0" w:type="dxa"/>
              <w:left w:w="80" w:type="dxa"/>
              <w:bottom w:w="0" w:type="dxa"/>
              <w:right w:w="80" w:type="dxa"/>
            </w:tcMar>
          </w:tcPr>
          <w:p w14:paraId="7BDB7109"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Normativa Contable Vigente</w:t>
            </w:r>
          </w:p>
        </w:tc>
        <w:tc>
          <w:tcPr>
            <w:tcW w:w="4035" w:type="dxa"/>
            <w:tcBorders>
              <w:top w:val="nil"/>
              <w:left w:val="nil"/>
              <w:bottom w:val="single" w:sz="4" w:space="0" w:color="000000"/>
              <w:right w:val="single" w:sz="4" w:space="0" w:color="000000"/>
            </w:tcBorders>
            <w:tcMar>
              <w:top w:w="0" w:type="dxa"/>
              <w:left w:w="80" w:type="dxa"/>
              <w:bottom w:w="0" w:type="dxa"/>
              <w:right w:w="80" w:type="dxa"/>
            </w:tcMar>
          </w:tcPr>
          <w:p w14:paraId="2C8C54F1"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 xml:space="preserve">“La NIIF 9, al reemplazar a la NIC 39, introduce un enfoque más dinámico y basado en principios para la clasificación y medición de activos financieros, lo que refleja de manera más precisa el riesgo y la volatilidad del mercado financiero moderno.” - </w:t>
            </w:r>
            <w:r w:rsidRPr="002012E1">
              <w:rPr>
                <w:rFonts w:ascii="Arial" w:eastAsia="Times New Roman" w:hAnsi="Arial" w:cs="Arial"/>
                <w:i/>
                <w:kern w:val="0"/>
                <w14:ligatures w14:val="none"/>
              </w:rPr>
              <w:t>IFRS Foundation, 2018</w:t>
            </w:r>
            <w:r w:rsidRPr="002012E1">
              <w:rPr>
                <w:rFonts w:ascii="Arial" w:eastAsia="Times New Roman" w:hAnsi="Arial" w:cs="Arial"/>
                <w:kern w:val="0"/>
                <w14:ligatures w14:val="none"/>
              </w:rPr>
              <w:t>.</w:t>
            </w:r>
          </w:p>
        </w:tc>
        <w:tc>
          <w:tcPr>
            <w:tcW w:w="1219" w:type="dxa"/>
            <w:tcBorders>
              <w:top w:val="nil"/>
              <w:left w:val="nil"/>
              <w:bottom w:val="single" w:sz="4" w:space="0" w:color="000000"/>
              <w:right w:val="single" w:sz="4" w:space="0" w:color="000000"/>
            </w:tcBorders>
            <w:tcMar>
              <w:top w:w="0" w:type="dxa"/>
              <w:left w:w="80" w:type="dxa"/>
              <w:bottom w:w="0" w:type="dxa"/>
              <w:right w:w="80" w:type="dxa"/>
            </w:tcMar>
          </w:tcPr>
          <w:p w14:paraId="1EA35FF8" w14:textId="77777777" w:rsidR="00C51607" w:rsidRPr="002012E1" w:rsidRDefault="00C51607" w:rsidP="005C1607">
            <w:pPr>
              <w:spacing w:before="240" w:after="0" w:line="360" w:lineRule="auto"/>
              <w:jc w:val="both"/>
              <w:rPr>
                <w:rFonts w:ascii="Arial" w:eastAsia="Times New Roman" w:hAnsi="Arial" w:cs="Arial"/>
                <w:kern w:val="0"/>
                <w14:ligatures w14:val="none"/>
              </w:rPr>
            </w:pPr>
            <w:r w:rsidRPr="002012E1">
              <w:rPr>
                <w:rFonts w:ascii="Arial" w:eastAsia="Times New Roman" w:hAnsi="Arial" w:cs="Arial"/>
                <w:kern w:val="0"/>
                <w14:ligatures w14:val="none"/>
              </w:rPr>
              <w:t>Evaluación de la adecuación de la normativa vigente (NIIF 9, NIC 39, y regulaciones locales) para la contabilidad de las inversiones alternativas en los fondos de pensiones.</w:t>
            </w:r>
          </w:p>
        </w:tc>
        <w:tc>
          <w:tcPr>
            <w:tcW w:w="2227" w:type="dxa"/>
            <w:tcBorders>
              <w:top w:val="nil"/>
              <w:left w:val="nil"/>
              <w:bottom w:val="single" w:sz="4" w:space="0" w:color="000000"/>
              <w:right w:val="single" w:sz="4" w:space="0" w:color="000000"/>
            </w:tcBorders>
            <w:tcMar>
              <w:top w:w="0" w:type="dxa"/>
              <w:left w:w="80" w:type="dxa"/>
              <w:bottom w:w="0" w:type="dxa"/>
              <w:right w:w="80" w:type="dxa"/>
            </w:tcMar>
          </w:tcPr>
          <w:p w14:paraId="7CA56C54" w14:textId="77777777" w:rsidR="00C51607" w:rsidRPr="002012E1" w:rsidRDefault="00C51607" w:rsidP="005C1607">
            <w:pPr>
              <w:numPr>
                <w:ilvl w:val="0"/>
                <w:numId w:val="4"/>
              </w:numPr>
              <w:pBdr>
                <w:top w:val="nil"/>
                <w:left w:val="nil"/>
                <w:bottom w:val="nil"/>
                <w:right w:val="nil"/>
                <w:between w:val="nil"/>
              </w:pBd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Guía de análisis documental</w:t>
            </w:r>
          </w:p>
          <w:p w14:paraId="7139DE67" w14:textId="77777777" w:rsidR="00C51607" w:rsidRPr="002012E1" w:rsidRDefault="00C51607" w:rsidP="005C1607">
            <w:pPr>
              <w:numPr>
                <w:ilvl w:val="0"/>
                <w:numId w:val="4"/>
              </w:numPr>
              <w:pBdr>
                <w:top w:val="nil"/>
                <w:left w:val="nil"/>
                <w:bottom w:val="nil"/>
                <w:right w:val="nil"/>
                <w:between w:val="nil"/>
              </w:pBd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Guía de observación </w:t>
            </w:r>
          </w:p>
          <w:p w14:paraId="54161A6A" w14:textId="77777777" w:rsidR="00C51607" w:rsidRPr="002012E1" w:rsidRDefault="00C51607" w:rsidP="005C1607">
            <w:pPr>
              <w:pBdr>
                <w:top w:val="nil"/>
                <w:left w:val="nil"/>
                <w:bottom w:val="nil"/>
                <w:right w:val="nil"/>
                <w:between w:val="nil"/>
              </w:pBdr>
              <w:spacing w:after="0" w:line="360" w:lineRule="auto"/>
              <w:ind w:left="720"/>
              <w:jc w:val="both"/>
              <w:rPr>
                <w:rFonts w:ascii="Arial" w:eastAsia="Times New Roman" w:hAnsi="Arial" w:cs="Arial"/>
                <w:color w:val="000000"/>
                <w:kern w:val="0"/>
                <w14:ligatures w14:val="none"/>
              </w:rPr>
            </w:pPr>
          </w:p>
          <w:p w14:paraId="6F003E3B" w14:textId="77777777" w:rsidR="00C51607" w:rsidRPr="002012E1" w:rsidRDefault="00C51607" w:rsidP="005C1607">
            <w:pPr>
              <w:pBdr>
                <w:top w:val="nil"/>
                <w:left w:val="nil"/>
                <w:bottom w:val="nil"/>
                <w:right w:val="nil"/>
                <w:between w:val="nil"/>
              </w:pBdr>
              <w:spacing w:after="0" w:line="360" w:lineRule="auto"/>
              <w:ind w:left="720"/>
              <w:jc w:val="both"/>
              <w:rPr>
                <w:rFonts w:ascii="Arial" w:eastAsia="Times New Roman" w:hAnsi="Arial" w:cs="Arial"/>
                <w:color w:val="000000"/>
                <w:kern w:val="0"/>
                <w14:ligatures w14:val="none"/>
              </w:rPr>
            </w:pPr>
          </w:p>
        </w:tc>
      </w:tr>
    </w:tbl>
    <w:p w14:paraId="42E756B9" w14:textId="77777777" w:rsidR="00C51607" w:rsidRPr="002012E1" w:rsidRDefault="00C51607" w:rsidP="00C51607">
      <w:pPr>
        <w:pBdr>
          <w:top w:val="nil"/>
          <w:left w:val="nil"/>
          <w:bottom w:val="nil"/>
          <w:right w:val="nil"/>
          <w:between w:val="nil"/>
        </w:pBdr>
        <w:spacing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 xml:space="preserve">Fuente: </w:t>
      </w:r>
      <w:r w:rsidRPr="002012E1">
        <w:rPr>
          <w:rFonts w:ascii="Arial" w:eastAsia="Times New Roman" w:hAnsi="Arial" w:cs="Arial"/>
          <w:color w:val="000000"/>
          <w:kern w:val="0"/>
          <w14:ligatures w14:val="none"/>
        </w:rPr>
        <w:t>Objetivos de la investigación.</w:t>
      </w:r>
      <w:r w:rsidRPr="002012E1">
        <w:rPr>
          <w:rFonts w:ascii="Arial" w:eastAsia="Times New Roman" w:hAnsi="Arial" w:cs="Arial"/>
          <w:b/>
          <w:color w:val="000000"/>
          <w:kern w:val="0"/>
          <w14:ligatures w14:val="none"/>
        </w:rPr>
        <w:t xml:space="preserve"> Elaboración: </w:t>
      </w:r>
      <w:r w:rsidRPr="002012E1">
        <w:rPr>
          <w:rFonts w:ascii="Arial" w:eastAsia="Times New Roman" w:hAnsi="Arial" w:cs="Arial"/>
          <w:color w:val="000000"/>
          <w:kern w:val="0"/>
          <w14:ligatures w14:val="none"/>
        </w:rPr>
        <w:t>Equipo investigador 2024, s. e.</w:t>
      </w:r>
    </w:p>
    <w:p w14:paraId="3FF6D624" w14:textId="77777777" w:rsidR="00C51607" w:rsidRDefault="00C51607" w:rsidP="00C51607">
      <w:pPr>
        <w:spacing w:after="0" w:line="360" w:lineRule="auto"/>
        <w:rPr>
          <w:rFonts w:ascii="Arial" w:eastAsia="Calibri" w:hAnsi="Arial" w:cs="Arial"/>
          <w:kern w:val="0"/>
          <w14:ligatures w14:val="none"/>
        </w:rPr>
      </w:pPr>
    </w:p>
    <w:p w14:paraId="7B82023C" w14:textId="77777777" w:rsidR="00C51607" w:rsidRDefault="00C51607" w:rsidP="00C51607">
      <w:pPr>
        <w:spacing w:after="0" w:line="360" w:lineRule="auto"/>
        <w:rPr>
          <w:rFonts w:ascii="Arial" w:eastAsia="Calibri" w:hAnsi="Arial" w:cs="Arial"/>
          <w:kern w:val="0"/>
          <w14:ligatures w14:val="none"/>
        </w:rPr>
      </w:pPr>
    </w:p>
    <w:p w14:paraId="459CABDC" w14:textId="77777777" w:rsidR="00C51607" w:rsidRDefault="00C51607" w:rsidP="00C51607">
      <w:pPr>
        <w:spacing w:after="0" w:line="360" w:lineRule="auto"/>
        <w:rPr>
          <w:rFonts w:ascii="Arial" w:eastAsia="Calibri" w:hAnsi="Arial" w:cs="Arial"/>
          <w:kern w:val="0"/>
          <w14:ligatures w14:val="none"/>
        </w:rPr>
      </w:pPr>
    </w:p>
    <w:p w14:paraId="2679FEB3" w14:textId="77777777" w:rsidR="00C51607" w:rsidRDefault="00C51607" w:rsidP="00C51607">
      <w:pPr>
        <w:spacing w:after="0" w:line="360" w:lineRule="auto"/>
        <w:rPr>
          <w:rFonts w:ascii="Arial" w:eastAsia="Calibri" w:hAnsi="Arial" w:cs="Arial"/>
          <w:kern w:val="0"/>
          <w14:ligatures w14:val="none"/>
        </w:rPr>
      </w:pPr>
    </w:p>
    <w:p w14:paraId="312CE275" w14:textId="77777777" w:rsidR="00C51607" w:rsidRDefault="00C51607" w:rsidP="00C51607">
      <w:pPr>
        <w:spacing w:after="0" w:line="360" w:lineRule="auto"/>
        <w:rPr>
          <w:rFonts w:ascii="Arial" w:eastAsia="Calibri" w:hAnsi="Arial" w:cs="Arial"/>
          <w:kern w:val="0"/>
          <w14:ligatures w14:val="none"/>
        </w:rPr>
      </w:pPr>
    </w:p>
    <w:p w14:paraId="21F87CA5" w14:textId="77777777" w:rsidR="00C51607" w:rsidRPr="002012E1" w:rsidRDefault="00C51607" w:rsidP="00C51607">
      <w:pPr>
        <w:spacing w:after="0" w:line="360" w:lineRule="auto"/>
        <w:rPr>
          <w:rFonts w:ascii="Arial" w:eastAsia="Calibri" w:hAnsi="Arial" w:cs="Arial"/>
          <w:kern w:val="0"/>
          <w14:ligatures w14:val="none"/>
        </w:rPr>
      </w:pPr>
    </w:p>
    <w:p w14:paraId="54D28D1F" w14:textId="77777777" w:rsidR="00C51607" w:rsidRPr="002012E1" w:rsidRDefault="00C51607" w:rsidP="00C51607">
      <w:pPr>
        <w:pStyle w:val="apanivel3"/>
        <w:rPr>
          <w:rFonts w:ascii="Arial" w:hAnsi="Arial" w:cs="Arial"/>
        </w:rPr>
      </w:pPr>
      <w:bookmarkStart w:id="31" w:name="_Toc201832411"/>
      <w:r w:rsidRPr="002012E1">
        <w:rPr>
          <w:rFonts w:ascii="Arial" w:hAnsi="Arial" w:cs="Arial"/>
        </w:rPr>
        <w:lastRenderedPageBreak/>
        <w:t>Relaciones e Interrelaciones</w:t>
      </w:r>
      <w:bookmarkEnd w:id="31"/>
    </w:p>
    <w:p w14:paraId="2C7CCD88" w14:textId="4B7A2EBC" w:rsidR="00C51607" w:rsidRPr="002012E1" w:rsidRDefault="00C51607" w:rsidP="00C51607">
      <w:pPr>
        <w:spacing w:after="0" w:line="360" w:lineRule="auto"/>
        <w:rPr>
          <w:rFonts w:ascii="Arial" w:eastAsia="Calibri" w:hAnsi="Arial" w:cs="Arial"/>
          <w:b/>
          <w:bCs/>
          <w:i/>
          <w:iCs/>
          <w:kern w:val="0"/>
          <w14:ligatures w14:val="none"/>
        </w:rPr>
      </w:pPr>
      <w:bookmarkStart w:id="32" w:name="_Toc200314671"/>
      <w:r w:rsidRPr="002012E1">
        <w:rPr>
          <w:rFonts w:ascii="Arial" w:eastAsia="Calibri" w:hAnsi="Arial" w:cs="Arial"/>
          <w:b/>
          <w:bCs/>
          <w:i/>
          <w:iCs/>
          <w:kern w:val="0"/>
          <w14:ligatures w14:val="none"/>
        </w:rPr>
        <w:t xml:space="preserve">Figura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Ilustración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1</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Relaciones e Interrelaciones</w:t>
      </w:r>
      <w:bookmarkEnd w:id="32"/>
    </w:p>
    <w:p w14:paraId="4AE5AA21" w14:textId="77777777" w:rsidR="00C51607" w:rsidRPr="002012E1" w:rsidRDefault="00C51607" w:rsidP="00C51607">
      <w:pPr>
        <w:spacing w:after="0" w:line="360" w:lineRule="auto"/>
        <w:jc w:val="center"/>
        <w:rPr>
          <w:rFonts w:ascii="Arial" w:eastAsia="Calibri" w:hAnsi="Arial" w:cs="Arial"/>
          <w:kern w:val="0"/>
          <w14:ligatures w14:val="none"/>
        </w:rPr>
      </w:pPr>
      <w:r w:rsidRPr="002012E1">
        <w:rPr>
          <w:rFonts w:ascii="Arial" w:eastAsia="Calibri" w:hAnsi="Arial" w:cs="Arial"/>
          <w:noProof/>
          <w:kern w:val="0"/>
          <w14:ligatures w14:val="none"/>
        </w:rPr>
        <w:drawing>
          <wp:inline distT="0" distB="0" distL="0" distR="0" wp14:anchorId="4071A2E5" wp14:editId="62831177">
            <wp:extent cx="4867275" cy="2905125"/>
            <wp:effectExtent l="0" t="0" r="9525" b="9525"/>
            <wp:docPr id="1278611233" name="image9.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9.png" descr="Imagen que contiene texto&#10;&#10;Descripción generada automáticamente"/>
                    <pic:cNvPicPr preferRelativeResize="0"/>
                  </pic:nvPicPr>
                  <pic:blipFill rotWithShape="1">
                    <a:blip r:embed="rId14"/>
                    <a:srcRect t="5658" b="13089"/>
                    <a:stretch>
                      <a:fillRect/>
                    </a:stretch>
                  </pic:blipFill>
                  <pic:spPr bwMode="auto">
                    <a:xfrm>
                      <a:off x="0" y="0"/>
                      <a:ext cx="4867830" cy="2905456"/>
                    </a:xfrm>
                    <a:prstGeom prst="rect">
                      <a:avLst/>
                    </a:prstGeom>
                    <a:ln>
                      <a:noFill/>
                    </a:ln>
                    <a:extLst>
                      <a:ext uri="{53640926-AAD7-44D8-BBD7-CCE9431645EC}">
                        <a14:shadowObscured xmlns:a14="http://schemas.microsoft.com/office/drawing/2010/main"/>
                      </a:ext>
                    </a:extLst>
                  </pic:spPr>
                </pic:pic>
              </a:graphicData>
            </a:graphic>
          </wp:inline>
        </w:drawing>
      </w:r>
    </w:p>
    <w:p w14:paraId="67BC9804" w14:textId="77777777" w:rsidR="00C51607" w:rsidRPr="002012E1" w:rsidRDefault="00C51607" w:rsidP="00C51607">
      <w:pPr>
        <w:spacing w:after="0" w:line="360" w:lineRule="auto"/>
        <w:rPr>
          <w:rFonts w:ascii="Arial" w:eastAsia="Calibri" w:hAnsi="Arial" w:cs="Arial"/>
          <w:kern w:val="0"/>
          <w14:ligatures w14:val="none"/>
        </w:rPr>
      </w:pPr>
    </w:p>
    <w:p w14:paraId="4920BE19" w14:textId="77777777" w:rsidR="00C51607" w:rsidRPr="002012E1" w:rsidRDefault="00C51607" w:rsidP="00C51607">
      <w:pPr>
        <w:spacing w:line="360" w:lineRule="auto"/>
        <w:jc w:val="both"/>
        <w:rPr>
          <w:rFonts w:ascii="Arial" w:eastAsia="Times New Roman" w:hAnsi="Arial" w:cs="Arial"/>
          <w:kern w:val="0"/>
          <w14:ligatures w14:val="none"/>
        </w:rPr>
      </w:pPr>
      <w:r w:rsidRPr="002012E1">
        <w:rPr>
          <w:rFonts w:ascii="Arial" w:eastAsia="Times New Roman" w:hAnsi="Arial" w:cs="Arial"/>
          <w:b/>
          <w:kern w:val="0"/>
          <w14:ligatures w14:val="none"/>
        </w:rPr>
        <w:t xml:space="preserve">Fuente: </w:t>
      </w:r>
      <w:r w:rsidRPr="002012E1">
        <w:rPr>
          <w:rFonts w:ascii="Arial" w:eastAsia="Times New Roman" w:hAnsi="Arial" w:cs="Arial"/>
          <w:kern w:val="0"/>
          <w14:ligatures w14:val="none"/>
        </w:rPr>
        <w:t>Objetivos de la investigación.</w:t>
      </w:r>
      <w:r w:rsidRPr="002012E1">
        <w:rPr>
          <w:rFonts w:ascii="Arial" w:eastAsia="Times New Roman" w:hAnsi="Arial" w:cs="Arial"/>
          <w:b/>
          <w:kern w:val="0"/>
          <w14:ligatures w14:val="none"/>
        </w:rPr>
        <w:t xml:space="preserve"> Elaboración: </w:t>
      </w:r>
      <w:r w:rsidRPr="002012E1">
        <w:rPr>
          <w:rFonts w:ascii="Arial" w:eastAsia="Times New Roman" w:hAnsi="Arial" w:cs="Arial"/>
          <w:kern w:val="0"/>
          <w14:ligatures w14:val="none"/>
        </w:rPr>
        <w:t>Equipo investigador 2024</w:t>
      </w:r>
    </w:p>
    <w:p w14:paraId="0829AD76" w14:textId="77777777" w:rsidR="00C51607" w:rsidRPr="002012E1" w:rsidRDefault="00C51607" w:rsidP="00C51607">
      <w:pPr>
        <w:spacing w:line="360" w:lineRule="auto"/>
        <w:jc w:val="both"/>
        <w:rPr>
          <w:rFonts w:ascii="Arial" w:eastAsia="Times New Roman" w:hAnsi="Arial" w:cs="Arial"/>
          <w:b/>
          <w:kern w:val="0"/>
          <w14:ligatures w14:val="none"/>
        </w:rPr>
      </w:pPr>
    </w:p>
    <w:p w14:paraId="41F03C51" w14:textId="77777777" w:rsidR="00C51607" w:rsidRPr="002012E1" w:rsidRDefault="00C51607" w:rsidP="00C51607">
      <w:pPr>
        <w:pStyle w:val="apanivel4"/>
        <w:rPr>
          <w:rFonts w:ascii="Arial" w:hAnsi="Arial" w:cs="Arial"/>
        </w:rPr>
      </w:pPr>
      <w:r w:rsidRPr="002012E1">
        <w:rPr>
          <w:rFonts w:ascii="Arial" w:hAnsi="Arial" w:cs="Arial"/>
        </w:rPr>
        <w:t>Variable 1: Productos Financieros de Deuda, Acciones y Alternativos.</w:t>
      </w:r>
    </w:p>
    <w:p w14:paraId="3846CE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evaluación de productos financieros como deuda, acciones e inversiones alternativas es fundamental para desarrollar una propuesta de registro contable efectiva para los fondos de pensiones en Costa Rica.</w:t>
      </w:r>
    </w:p>
    <w:p w14:paraId="0F7E7D8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A336F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Cada tipo de producto presenta diferentes perfiles de riesgo y rendimiento que influyen en la estrategia de inversión. La relación es directa ya que un análisis detallado de estos productos ayuda a determinar cómo registrar y gestionar adecuadamente cada tipo de inversión, contribuyendo a la transparencia y supervisión efectiva del sistema de pensiones, y asegurando que se alineen con los objetivos.</w:t>
      </w:r>
    </w:p>
    <w:p w14:paraId="4A80195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F58EB43" w14:textId="77777777" w:rsidR="00C51607" w:rsidRPr="002012E1" w:rsidRDefault="00C51607" w:rsidP="00C51607">
      <w:pPr>
        <w:pStyle w:val="apanivel4"/>
        <w:rPr>
          <w:rFonts w:ascii="Arial" w:hAnsi="Arial" w:cs="Arial"/>
        </w:rPr>
      </w:pPr>
      <w:r w:rsidRPr="002012E1">
        <w:rPr>
          <w:rFonts w:ascii="Arial" w:hAnsi="Arial" w:cs="Arial"/>
        </w:rPr>
        <w:lastRenderedPageBreak/>
        <w:t>Variable 2: Inversiones Alternativas en Fondos de Pensiones.</w:t>
      </w:r>
    </w:p>
    <w:p w14:paraId="01462CD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correcta clasificación y evaluación de las inversiones alternativas en los portafolios de fondos de pensiones son esenciales para desarrollar una propuesta de registro contable que garantice la transparencia y la supervisión efectiva. La identificación precisa de características como liquidez, horizonte de inversión y riesgos asociados con estas inversiones permite establecer prácticas contables que reflejen de manera adecuada el valor y el riesgo de estas inversiones.</w:t>
      </w:r>
    </w:p>
    <w:p w14:paraId="7C3373E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F2FE93" w14:textId="77777777" w:rsidR="00C51607" w:rsidRPr="002012E1" w:rsidRDefault="00C51607" w:rsidP="00C51607">
      <w:pPr>
        <w:pStyle w:val="apanivel4"/>
        <w:rPr>
          <w:rFonts w:ascii="Arial" w:hAnsi="Arial" w:cs="Arial"/>
        </w:rPr>
      </w:pPr>
      <w:r w:rsidRPr="002012E1">
        <w:rPr>
          <w:rFonts w:ascii="Arial" w:hAnsi="Arial" w:cs="Arial"/>
        </w:rPr>
        <w:t>Variable 3: Normativa Contable (NIIF 9 y NIC 39).</w:t>
      </w:r>
    </w:p>
    <w:p w14:paraId="711D2A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revisión de la normativa vigente relacionada con la contabilidad y la gestión de fondos de pensiones, así como los lineamientos de NIIF 9 y NIC 39, es esencial para identificar los tipos de registros contables que se ajustan a estas leyes, por esta razón la relación es directa, ya que el cumplimiento de estas normativas es necesario para asegurar la transparencia y la supervisión efectiva del sistema de pensiones.</w:t>
      </w:r>
    </w:p>
    <w:p w14:paraId="06FB8140" w14:textId="77777777" w:rsidR="00C51607" w:rsidRPr="002012E1" w:rsidRDefault="00C51607" w:rsidP="00C51607">
      <w:pPr>
        <w:spacing w:after="0" w:line="360" w:lineRule="auto"/>
        <w:rPr>
          <w:rFonts w:ascii="Arial" w:eastAsia="Calibri" w:hAnsi="Arial" w:cs="Arial"/>
          <w:kern w:val="0"/>
          <w14:ligatures w14:val="none"/>
        </w:rPr>
      </w:pPr>
    </w:p>
    <w:p w14:paraId="799A2985" w14:textId="77777777" w:rsidR="00C51607" w:rsidRPr="002012E1" w:rsidRDefault="00C51607" w:rsidP="00C51607">
      <w:pPr>
        <w:pStyle w:val="apanivel3"/>
        <w:rPr>
          <w:rFonts w:ascii="Arial" w:hAnsi="Arial" w:cs="Arial"/>
        </w:rPr>
      </w:pPr>
      <w:bookmarkStart w:id="33" w:name="_Toc201832412"/>
      <w:r w:rsidRPr="002012E1">
        <w:rPr>
          <w:rFonts w:ascii="Arial" w:hAnsi="Arial" w:cs="Arial"/>
        </w:rPr>
        <w:t>Estrategia de investigación aplicada</w:t>
      </w:r>
      <w:bookmarkEnd w:id="33"/>
    </w:p>
    <w:p w14:paraId="2A37D924" w14:textId="77777777" w:rsidR="00C51607" w:rsidRPr="002012E1" w:rsidRDefault="00C51607" w:rsidP="00C51607">
      <w:pPr>
        <w:pStyle w:val="apanivel3"/>
        <w:rPr>
          <w:rFonts w:ascii="Arial" w:hAnsi="Arial" w:cs="Arial"/>
        </w:rPr>
      </w:pPr>
      <w:bookmarkStart w:id="34" w:name="_Toc201832413"/>
      <w:r w:rsidRPr="002012E1">
        <w:rPr>
          <w:rFonts w:ascii="Arial" w:hAnsi="Arial" w:cs="Arial"/>
        </w:rPr>
        <w:t>Tipo de investigación</w:t>
      </w:r>
      <w:bookmarkEnd w:id="34"/>
    </w:p>
    <w:p w14:paraId="3B91FD7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tipos de investigación reflejan las tendencias emergentes y el avance tecnológico en la metodología de investigación, adaptándose a nuevas realidades y necesidades en diversos campos del conocimiento, según, Solís 2008 (citado por Teodoro y Nieto en el 2018) existen dos tipos de investigación: la investigación básica, pura o fundamental y la investigación aplicada, o tecnológica.</w:t>
      </w:r>
    </w:p>
    <w:p w14:paraId="6AB496D7" w14:textId="77777777" w:rsidR="00C51607" w:rsidRPr="002012E1" w:rsidRDefault="00C51607" w:rsidP="00C51607">
      <w:pPr>
        <w:spacing w:after="0" w:line="360" w:lineRule="auto"/>
        <w:jc w:val="both"/>
        <w:rPr>
          <w:rFonts w:ascii="Arial" w:eastAsia="Calibri" w:hAnsi="Arial" w:cs="Arial"/>
          <w:b/>
          <w:kern w:val="0"/>
          <w:lang w:val="es-MX"/>
          <w14:ligatures w14:val="none"/>
        </w:rPr>
      </w:pPr>
    </w:p>
    <w:p w14:paraId="2D0B9830" w14:textId="77777777" w:rsidR="00C51607" w:rsidRPr="002012E1" w:rsidRDefault="00C51607" w:rsidP="00C51607">
      <w:pPr>
        <w:spacing w:after="0" w:line="360" w:lineRule="auto"/>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Con base en las características investigativas en el presente documento, el tipo de investigación es la aplicada, la cual Teodoro y Nieto</w:t>
      </w:r>
      <w:r w:rsidRPr="002012E1">
        <w:rPr>
          <w:rFonts w:ascii="Arial" w:eastAsia="Calibri" w:hAnsi="Arial" w:cs="Arial"/>
          <w:color w:val="FF0000"/>
          <w:kern w:val="0"/>
          <w:lang w:val="es-MX"/>
          <w14:ligatures w14:val="none"/>
        </w:rPr>
        <w:t xml:space="preserve"> </w:t>
      </w:r>
      <w:r w:rsidRPr="002012E1">
        <w:rPr>
          <w:rFonts w:ascii="Arial" w:eastAsia="Calibri" w:hAnsi="Arial" w:cs="Arial"/>
          <w:kern w:val="0"/>
          <w:lang w:val="es-MX"/>
          <w14:ligatures w14:val="none"/>
        </w:rPr>
        <w:t>(2018) indican que este tipo de investigación:</w:t>
      </w:r>
    </w:p>
    <w:p w14:paraId="30DA3A5C"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Está orientada a resolver los problemas que se presentan en los procesos de producción, distribución, circulación, y consumo de bienes y servicios de cualquier actividad humana. Se denomina aplicadas; porque en base a investigación básica, pura o fundamental en las ciencias fácticas o formales se formulan problemas o hipótesis de trabajo para resolver los problemas de la vida productiva de la sociedad. (p.3)</w:t>
      </w:r>
    </w:p>
    <w:p w14:paraId="3EFDBBDB" w14:textId="77777777" w:rsidR="00C51607" w:rsidRDefault="00C51607" w:rsidP="00C51607">
      <w:pPr>
        <w:spacing w:after="0" w:line="360" w:lineRule="auto"/>
        <w:jc w:val="both"/>
        <w:rPr>
          <w:rFonts w:ascii="Arial" w:eastAsia="Calibri" w:hAnsi="Arial" w:cs="Arial"/>
          <w:kern w:val="0"/>
          <w:lang w:val="es-MX"/>
          <w14:ligatures w14:val="none"/>
        </w:rPr>
      </w:pPr>
    </w:p>
    <w:p w14:paraId="271C91A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presente investigación se ejecuta de manera aplicada ya que esta se basa en la realización de un estudio que permita resolver una situación particular, dando como resultado</w:t>
      </w:r>
      <w:r w:rsidRPr="002012E1">
        <w:rPr>
          <w:rFonts w:ascii="Arial" w:eastAsia="Calibri" w:hAnsi="Arial" w:cs="Arial"/>
          <w:color w:val="FF0000"/>
          <w:kern w:val="0"/>
          <w:lang w:val="es-MX"/>
          <w14:ligatures w14:val="none"/>
        </w:rPr>
        <w:t xml:space="preserve"> </w:t>
      </w:r>
      <w:r w:rsidRPr="002012E1">
        <w:rPr>
          <w:rFonts w:ascii="Arial" w:eastAsia="Calibri" w:hAnsi="Arial" w:cs="Arial"/>
          <w:kern w:val="0"/>
          <w:lang w:val="es-MX"/>
          <w14:ligatures w14:val="none"/>
        </w:rPr>
        <w:t>la creación de una propuesta de registro contable para productos de inversión alternativos en los portafolios de los fondos de pensiones.</w:t>
      </w:r>
    </w:p>
    <w:p w14:paraId="0E0BBBD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32AFC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otra parte, la investigación es de enfoque mixto, debido a que se basa en la combinación de técnicas cuantitativas y cualitativas para una comprensión más completa posible de un fenómeno, de acuerdo con Boeije 2009 (citado por Montero en el 2018) “las investigaciones mixtas se justifican porque son complementarias y proveen diferentes tipos de conocimientos y ventajas al investigador como, por ejemplo, información más detallada y nuevos enfoques de la investigación.” (p.179)</w:t>
      </w:r>
    </w:p>
    <w:p w14:paraId="7A8D47D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0AF7E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Teniendo en cuenta lo anterior, el trabajo de investigación se desarrolla bajo los parámetros de la investigación mixta, integrando tanto la recolección y análisis de datos numéricos como la interpretación de datos cualitativos y datos de inversiones. Esto para generar resultados y conclusiones tanto financieras y contables como con resultados literarios para brindar una visión más completa y profunda del fenómeno estudiado.</w:t>
      </w:r>
    </w:p>
    <w:p w14:paraId="54D41953" w14:textId="77777777" w:rsidR="00C51607" w:rsidRDefault="00C51607" w:rsidP="00C51607">
      <w:pPr>
        <w:spacing w:after="0" w:line="360" w:lineRule="auto"/>
        <w:jc w:val="both"/>
        <w:rPr>
          <w:rFonts w:ascii="Arial" w:eastAsia="Calibri" w:hAnsi="Arial" w:cs="Arial"/>
          <w:kern w:val="0"/>
          <w:lang w:val="es-MX"/>
          <w14:ligatures w14:val="none"/>
        </w:rPr>
      </w:pPr>
    </w:p>
    <w:p w14:paraId="67DC73E5" w14:textId="77777777" w:rsidR="00C51607" w:rsidRDefault="00C51607" w:rsidP="00C51607">
      <w:pPr>
        <w:spacing w:after="0" w:line="360" w:lineRule="auto"/>
        <w:jc w:val="both"/>
        <w:rPr>
          <w:rFonts w:ascii="Arial" w:eastAsia="Calibri" w:hAnsi="Arial" w:cs="Arial"/>
          <w:kern w:val="0"/>
          <w:lang w:val="es-MX"/>
          <w14:ligatures w14:val="none"/>
        </w:rPr>
      </w:pPr>
    </w:p>
    <w:p w14:paraId="0F5703DE" w14:textId="77777777" w:rsidR="00C51607" w:rsidRDefault="00C51607" w:rsidP="00C51607">
      <w:pPr>
        <w:spacing w:after="0" w:line="360" w:lineRule="auto"/>
        <w:jc w:val="both"/>
        <w:rPr>
          <w:rFonts w:ascii="Arial" w:eastAsia="Calibri" w:hAnsi="Arial" w:cs="Arial"/>
          <w:kern w:val="0"/>
          <w:lang w:val="es-MX"/>
          <w14:ligatures w14:val="none"/>
        </w:rPr>
      </w:pPr>
    </w:p>
    <w:p w14:paraId="183C0FCD" w14:textId="77777777" w:rsidR="00C51607" w:rsidRDefault="00C51607" w:rsidP="00C51607">
      <w:pPr>
        <w:spacing w:after="0" w:line="360" w:lineRule="auto"/>
        <w:jc w:val="both"/>
        <w:rPr>
          <w:rFonts w:ascii="Arial" w:eastAsia="Calibri" w:hAnsi="Arial" w:cs="Arial"/>
          <w:kern w:val="0"/>
          <w:lang w:val="es-MX"/>
          <w14:ligatures w14:val="none"/>
        </w:rPr>
      </w:pPr>
    </w:p>
    <w:p w14:paraId="5336EF2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80C603" w14:textId="77777777" w:rsidR="00C51607" w:rsidRPr="002012E1" w:rsidRDefault="00C51607" w:rsidP="00C51607">
      <w:pPr>
        <w:pStyle w:val="apanivel3"/>
        <w:rPr>
          <w:rFonts w:ascii="Arial" w:hAnsi="Arial" w:cs="Arial"/>
        </w:rPr>
      </w:pPr>
      <w:bookmarkStart w:id="35" w:name="_Toc201832414"/>
      <w:r w:rsidRPr="002012E1">
        <w:rPr>
          <w:rFonts w:ascii="Arial" w:hAnsi="Arial" w:cs="Arial"/>
        </w:rPr>
        <w:lastRenderedPageBreak/>
        <w:t>Fuentes y sujetos de investigación</w:t>
      </w:r>
      <w:bookmarkEnd w:id="35"/>
    </w:p>
    <w:p w14:paraId="5039590D" w14:textId="77777777" w:rsidR="00C51607" w:rsidRPr="002012E1" w:rsidRDefault="00C51607" w:rsidP="00C51607">
      <w:pPr>
        <w:pStyle w:val="apanivel3"/>
        <w:rPr>
          <w:rFonts w:ascii="Arial" w:hAnsi="Arial" w:cs="Arial"/>
        </w:rPr>
      </w:pPr>
      <w:bookmarkStart w:id="36" w:name="_Toc201832415"/>
      <w:r w:rsidRPr="002012E1">
        <w:rPr>
          <w:rFonts w:ascii="Arial" w:hAnsi="Arial" w:cs="Arial"/>
        </w:rPr>
        <w:t>Fuentes de investigación:</w:t>
      </w:r>
      <w:bookmarkEnd w:id="36"/>
    </w:p>
    <w:p w14:paraId="431A1A3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Weber y Maxwell (2020) las fuentes de investigación consisten en “los materiales o medios de los cuales se obtienen los datos necesarios para la investigación. Estas pueden incluir datos primarios, como encuestas o experimentos, y datos secundarios, como documentos previos o estadísticas existentes.” (pp. 56-57).</w:t>
      </w:r>
    </w:p>
    <w:p w14:paraId="5B6CAFA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9BADA6" w14:textId="77777777" w:rsidR="00C51607" w:rsidRPr="002012E1" w:rsidRDefault="00C51607" w:rsidP="00C51607">
      <w:pPr>
        <w:pStyle w:val="apanivel4"/>
        <w:rPr>
          <w:rFonts w:ascii="Arial" w:hAnsi="Arial" w:cs="Arial"/>
        </w:rPr>
      </w:pPr>
      <w:r w:rsidRPr="002012E1">
        <w:rPr>
          <w:rFonts w:ascii="Arial" w:hAnsi="Arial" w:cs="Arial"/>
        </w:rPr>
        <w:t>Primarias</w:t>
      </w:r>
    </w:p>
    <w:p w14:paraId="3661AF8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tipo de fuentes son aquellas que no han sido procesadas por otros autores, de manera que, según la indicación Ñaupas, Valdivia, Palacios y Romero (2018) las fuentes primarias:</w:t>
      </w:r>
    </w:p>
    <w:p w14:paraId="5C98333F" w14:textId="77777777" w:rsidR="00C51607" w:rsidRPr="002012E1" w:rsidRDefault="00C51607" w:rsidP="00C51607">
      <w:pPr>
        <w:spacing w:after="0" w:line="360" w:lineRule="auto"/>
        <w:jc w:val="both"/>
        <w:rPr>
          <w:rFonts w:ascii="Arial" w:eastAsia="Calibri" w:hAnsi="Arial" w:cs="Arial"/>
          <w:color w:val="FF0000"/>
          <w:kern w:val="0"/>
          <w:lang w:val="es-MX"/>
          <w14:ligatures w14:val="none"/>
        </w:rPr>
      </w:pPr>
    </w:p>
    <w:p w14:paraId="55F2EA3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Son las fuentes originales que provienen de investigaciones universitarias de postgrado, como las tesis de maestría y doctorales; informes de Institutos de investigación públicos o privados, y/o documentos públicos o privados generados por entidades públicas o privadas. … Por ser primarias, merecen confiabilidad, pero requiere investigación de autenticidad, con respecto de los autores y editores. (p.309)</w:t>
      </w:r>
    </w:p>
    <w:p w14:paraId="631093F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08CC2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el caso de la presente investigación, las fuentes primarias de información vienen de las diferentes entrevistas con los encargados de la SUPEN, las encuestas a gestores de fondos de pensiones, el análisis de los estados financieros auditados de diferentes fondos de pensiones costarricenses y los informes anuales de la SUPEN.</w:t>
      </w:r>
    </w:p>
    <w:p w14:paraId="028D168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A67735" w14:textId="77777777" w:rsidR="00C51607" w:rsidRPr="002012E1" w:rsidRDefault="00C51607" w:rsidP="00C51607">
      <w:pPr>
        <w:pStyle w:val="apanivel4"/>
        <w:rPr>
          <w:rFonts w:ascii="Arial" w:hAnsi="Arial" w:cs="Arial"/>
        </w:rPr>
      </w:pPr>
      <w:r w:rsidRPr="002012E1">
        <w:rPr>
          <w:rFonts w:ascii="Arial" w:hAnsi="Arial" w:cs="Arial"/>
        </w:rPr>
        <w:t>Secundarias</w:t>
      </w:r>
    </w:p>
    <w:p w14:paraId="02382C9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fuentes secundarias Las fuentes secundarias hacen referencia aquellas que articulan e integran distintas fuentes primarias; por consiguiente, Ñaupas, Valdivia, Palacios y Romero (2018) establecen que las fuentes secundarias.</w:t>
      </w:r>
    </w:p>
    <w:p w14:paraId="40142CE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Son documentos de segunda mano, es decir, que se han redactado basados en fuentes primarias y por ende merecen menos confiabilidad, más aún si es de tercera mano o cuarta mano como: la prensa (diarios, revistas), libros, enciclopedias, la comunicación radial, televisiva, etc. (p.309)</w:t>
      </w:r>
    </w:p>
    <w:p w14:paraId="610C21D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7A35B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fuentes de información secundaria de la presente investigación son estudios académicos sobre inversiones alternativas en fondos de pensiones, publicaciones de organismos internacionales (Banco Mundial) sobre mejores prácticas en gestión de fondos de pensiones e información de fuentes bibliográficas relacionadas con temas de gestión financiera.</w:t>
      </w:r>
    </w:p>
    <w:p w14:paraId="506C028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AA8D1D9" w14:textId="77777777" w:rsidR="00C51607" w:rsidRPr="002012E1" w:rsidRDefault="00C51607" w:rsidP="00C51607">
      <w:pPr>
        <w:pStyle w:val="apanivel3"/>
        <w:rPr>
          <w:rFonts w:ascii="Arial" w:hAnsi="Arial" w:cs="Arial"/>
        </w:rPr>
      </w:pPr>
      <w:bookmarkStart w:id="37" w:name="_Toc201832416"/>
      <w:bookmarkStart w:id="38" w:name="_Toc85617922"/>
      <w:r w:rsidRPr="002012E1">
        <w:rPr>
          <w:rFonts w:ascii="Arial" w:hAnsi="Arial" w:cs="Arial"/>
        </w:rPr>
        <w:t>Sujetos de investigación</w:t>
      </w:r>
      <w:bookmarkEnd w:id="37"/>
    </w:p>
    <w:p w14:paraId="19875A82" w14:textId="77777777" w:rsidR="00C51607" w:rsidRPr="002012E1" w:rsidRDefault="00C51607" w:rsidP="00C51607">
      <w:pPr>
        <w:pStyle w:val="apanivel4"/>
        <w:rPr>
          <w:rFonts w:ascii="Arial" w:hAnsi="Arial" w:cs="Arial"/>
        </w:rPr>
      </w:pPr>
      <w:r w:rsidRPr="002012E1">
        <w:rPr>
          <w:rFonts w:ascii="Arial" w:hAnsi="Arial" w:cs="Arial"/>
        </w:rPr>
        <w:t>Población</w:t>
      </w:r>
      <w:bookmarkEnd w:id="38"/>
    </w:p>
    <w:p w14:paraId="78A7FD8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la indicación Celorrio 1995 (citado por Ñaupas, Valdivia, Palacios y Romero en el 2018) “la población no es más que aquel conjunto de individuos o elementos que podemos observar, medir una característica o atributo”. (p.334)</w:t>
      </w:r>
    </w:p>
    <w:p w14:paraId="5FB6D94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4BA1E3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este sentido la población determinada para esta investigación está comprendida por los fondos de pensiones en Costa Rica. </w:t>
      </w:r>
    </w:p>
    <w:p w14:paraId="7324BD0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3757C9A" w14:textId="77777777" w:rsidR="00C51607" w:rsidRPr="002012E1" w:rsidRDefault="00C51607" w:rsidP="00C51607">
      <w:pPr>
        <w:pStyle w:val="apanivel3"/>
        <w:rPr>
          <w:rFonts w:ascii="Arial" w:hAnsi="Arial" w:cs="Arial"/>
        </w:rPr>
      </w:pPr>
      <w:bookmarkStart w:id="39" w:name="_Toc201832417"/>
      <w:bookmarkStart w:id="40" w:name="_Toc85617924"/>
      <w:r w:rsidRPr="002012E1">
        <w:rPr>
          <w:rFonts w:ascii="Arial" w:hAnsi="Arial" w:cs="Arial"/>
        </w:rPr>
        <w:t>Instrumentalización de la Investigación</w:t>
      </w:r>
      <w:bookmarkEnd w:id="39"/>
      <w:r w:rsidRPr="002012E1">
        <w:rPr>
          <w:rFonts w:ascii="Arial" w:hAnsi="Arial" w:cs="Arial"/>
        </w:rPr>
        <w:t xml:space="preserve">  </w:t>
      </w:r>
    </w:p>
    <w:bookmarkEnd w:id="40"/>
    <w:p w14:paraId="2D3A1AE7" w14:textId="77777777" w:rsidR="00C51607" w:rsidRPr="002012E1" w:rsidRDefault="00C51607" w:rsidP="00C51607">
      <w:pPr>
        <w:pStyle w:val="apanivel4"/>
        <w:rPr>
          <w:rFonts w:ascii="Arial" w:hAnsi="Arial" w:cs="Arial"/>
        </w:rPr>
      </w:pPr>
      <w:r w:rsidRPr="002012E1">
        <w:rPr>
          <w:rFonts w:ascii="Arial" w:hAnsi="Arial" w:cs="Arial"/>
        </w:rPr>
        <w:t>Descripción de instrumentos</w:t>
      </w:r>
    </w:p>
    <w:p w14:paraId="2926EC8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realizar un trabajo de investigación es necesario llevar a cabo un desarrollo metódico que permita la adecuada consecución de los objetivos propuestos, así como una formulación clara, concreta y precisa del problema y una metodología de investigación rigurosa y adecuada al tipo de trabajo.</w:t>
      </w:r>
    </w:p>
    <w:p w14:paraId="554CE45D" w14:textId="77777777" w:rsidR="00C51607" w:rsidRDefault="00C51607" w:rsidP="00C51607">
      <w:pPr>
        <w:spacing w:after="0" w:line="360" w:lineRule="auto"/>
        <w:jc w:val="both"/>
        <w:rPr>
          <w:rFonts w:ascii="Arial" w:eastAsia="Calibri" w:hAnsi="Arial" w:cs="Arial"/>
          <w:kern w:val="0"/>
          <w:lang w:val="es-MX"/>
          <w14:ligatures w14:val="none"/>
        </w:rPr>
      </w:pPr>
    </w:p>
    <w:p w14:paraId="01E19E27" w14:textId="77777777" w:rsidR="00C51607" w:rsidRDefault="00C51607" w:rsidP="00C51607">
      <w:pPr>
        <w:spacing w:after="0" w:line="360" w:lineRule="auto"/>
        <w:jc w:val="both"/>
        <w:rPr>
          <w:rFonts w:ascii="Arial" w:eastAsia="Calibri" w:hAnsi="Arial" w:cs="Arial"/>
          <w:kern w:val="0"/>
          <w:lang w:val="es-MX"/>
          <w14:ligatures w14:val="none"/>
        </w:rPr>
      </w:pPr>
    </w:p>
    <w:p w14:paraId="477CF3E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A554BD" w14:textId="77777777" w:rsidR="00C51607" w:rsidRPr="002012E1" w:rsidRDefault="00C51607" w:rsidP="00C51607">
      <w:pPr>
        <w:pStyle w:val="apanivel4"/>
        <w:rPr>
          <w:rFonts w:ascii="Arial" w:hAnsi="Arial" w:cs="Arial"/>
        </w:rPr>
      </w:pPr>
      <w:r w:rsidRPr="002012E1">
        <w:rPr>
          <w:rFonts w:ascii="Arial" w:hAnsi="Arial" w:cs="Arial"/>
        </w:rPr>
        <w:lastRenderedPageBreak/>
        <w:t>Métodos</w:t>
      </w:r>
    </w:p>
    <w:p w14:paraId="24B0982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métodos de recolección de datos según Santos (2023) “es un proceso reunir y medir información de diferentes fuentes para obtener una visualización completa y precisa acerca de un tema, zona o situación de interés. Dicho de otra forma: evalúa resultados para una mejor toma de decisiones.” (párr. 5). En este estudio se utilizan los siguientes métodos.</w:t>
      </w:r>
    </w:p>
    <w:p w14:paraId="25C9BA34" w14:textId="77777777" w:rsidR="00C51607" w:rsidRPr="002012E1" w:rsidRDefault="00C51607" w:rsidP="00C51607">
      <w:pPr>
        <w:spacing w:after="0" w:line="360" w:lineRule="auto"/>
        <w:rPr>
          <w:rFonts w:ascii="Arial" w:eastAsia="Calibri" w:hAnsi="Arial" w:cs="Arial"/>
          <w:kern w:val="0"/>
          <w14:ligatures w14:val="none"/>
        </w:rPr>
      </w:pPr>
    </w:p>
    <w:p w14:paraId="46F932E9" w14:textId="77777777" w:rsidR="00C51607" w:rsidRPr="002012E1" w:rsidRDefault="00C51607" w:rsidP="00C51607">
      <w:pPr>
        <w:pStyle w:val="apanivel5"/>
        <w:rPr>
          <w:rFonts w:ascii="Arial" w:hAnsi="Arial" w:cs="Arial"/>
        </w:rPr>
      </w:pPr>
      <w:r w:rsidRPr="002012E1">
        <w:rPr>
          <w:rFonts w:ascii="Arial" w:hAnsi="Arial" w:cs="Arial"/>
        </w:rPr>
        <w:t>Método Analítico - Sintético</w:t>
      </w:r>
    </w:p>
    <w:p w14:paraId="6122DC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Con respecto al método que se utiliza en esta investigación se hace referencia al siguiente concepto: </w:t>
      </w:r>
    </w:p>
    <w:p w14:paraId="11667C47"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refiere a dos procesos intelectuales inversos que operan en unidad: el análisis y la síntesis. El análisis es un procedimiento lógico que posibilita descomponer mentalmente un todo en sus partes y cualidades, en sus múltiples relaciones, propiedades y componentes, [...] La síntesis es la operación inversa, que establece mentalmente la unión o combinación de las partes previamente analizadas y posibilita descubrir relaciones y características generales entre los elementos de la realidad (Rodríguez Jiménez &amp; Pérez Jacinto, 2017, pp. 8-9)</w:t>
      </w:r>
    </w:p>
    <w:p w14:paraId="23BA6AEA" w14:textId="77777777" w:rsidR="00C51607" w:rsidRDefault="00C51607" w:rsidP="00C51607">
      <w:pPr>
        <w:spacing w:after="0" w:line="360" w:lineRule="auto"/>
        <w:jc w:val="both"/>
        <w:rPr>
          <w:rFonts w:ascii="Arial" w:eastAsia="Calibri" w:hAnsi="Arial" w:cs="Arial"/>
          <w:kern w:val="0"/>
          <w:lang w:val="es-MX"/>
          <w14:ligatures w14:val="none"/>
        </w:rPr>
      </w:pPr>
    </w:p>
    <w:p w14:paraId="41A4528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esta investigación, se analizan los diferentes productos financieros, inversiones alternativas y normativas contables, para posteriormente sintetizar esta información en una propuesta de registro contable.</w:t>
      </w:r>
    </w:p>
    <w:p w14:paraId="57FF9FE5" w14:textId="77777777" w:rsidR="00C51607" w:rsidRPr="002012E1" w:rsidRDefault="00C51607" w:rsidP="00C51607">
      <w:pPr>
        <w:spacing w:after="0" w:line="360" w:lineRule="auto"/>
        <w:rPr>
          <w:rFonts w:ascii="Arial" w:eastAsia="Calibri" w:hAnsi="Arial" w:cs="Arial"/>
          <w:kern w:val="0"/>
          <w14:ligatures w14:val="none"/>
        </w:rPr>
      </w:pPr>
    </w:p>
    <w:p w14:paraId="04A608A2" w14:textId="77777777" w:rsidR="00C51607" w:rsidRPr="002012E1" w:rsidRDefault="00C51607" w:rsidP="00C51607">
      <w:pPr>
        <w:pStyle w:val="apanivel4"/>
        <w:rPr>
          <w:rFonts w:ascii="Arial" w:hAnsi="Arial" w:cs="Arial"/>
        </w:rPr>
      </w:pPr>
      <w:r w:rsidRPr="002012E1">
        <w:rPr>
          <w:rFonts w:ascii="Arial" w:hAnsi="Arial" w:cs="Arial"/>
        </w:rPr>
        <w:t>Instrumentos</w:t>
      </w:r>
    </w:p>
    <w:p w14:paraId="70A5ECA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instrumentos de recolección de información registran datos o información sobre las variables que se desean medir, las que están presentes en el planteamiento del problema, como también, en la pregunta de investigación y objetivos: general y específicos. (Universidad del Desarrollo, 2021, párr,2).</w:t>
      </w:r>
    </w:p>
    <w:p w14:paraId="28753058" w14:textId="77777777" w:rsidR="00C51607" w:rsidRPr="002012E1" w:rsidRDefault="00C51607" w:rsidP="00C51607">
      <w:pPr>
        <w:pStyle w:val="apaparrafo"/>
      </w:pPr>
    </w:p>
    <w:p w14:paraId="32CC59BD" w14:textId="77777777" w:rsidR="00C51607" w:rsidRPr="002012E1" w:rsidRDefault="00C51607" w:rsidP="00C51607">
      <w:pPr>
        <w:pStyle w:val="apanivel5"/>
        <w:rPr>
          <w:rFonts w:ascii="Arial" w:hAnsi="Arial" w:cs="Arial"/>
        </w:rPr>
      </w:pPr>
      <w:r w:rsidRPr="002012E1">
        <w:rPr>
          <w:rFonts w:ascii="Arial" w:hAnsi="Arial" w:cs="Arial"/>
        </w:rPr>
        <w:lastRenderedPageBreak/>
        <w:t xml:space="preserve">Guía de análisis documental </w:t>
      </w:r>
    </w:p>
    <w:p w14:paraId="649B833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Pino y Urías 2021 (Citado Vivas y Polanco en el 2021) las guías consisten en es un recurso didáctico que integra en sí mismo otros recursos y componentes del proceso enseñanza-aprendizaje como los objetivos, los contenidos, estrategias metodológicas, los recursos de apoyo a las estrategias, las formas de organizar el proceso y las estrategias de evaluación. (p.226)</w:t>
      </w:r>
    </w:p>
    <w:p w14:paraId="3D05FA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5C3DD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la presente investigación se utilizan las guías de análisis para brindar estudio preciso de los documentos relacionados a los productos financieros y de las normativas contables, con la finalidad de obtener la mayor cantidad de información beneficiosa posible para la presente investigación. </w:t>
      </w:r>
    </w:p>
    <w:p w14:paraId="52BDF7C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D6E1AF" w14:textId="77777777" w:rsidR="00C51607" w:rsidRPr="002012E1" w:rsidRDefault="00C51607" w:rsidP="00C51607">
      <w:pPr>
        <w:pStyle w:val="apanivel5"/>
        <w:rPr>
          <w:rFonts w:ascii="Arial" w:hAnsi="Arial" w:cs="Arial"/>
        </w:rPr>
      </w:pPr>
      <w:r w:rsidRPr="002012E1">
        <w:rPr>
          <w:rFonts w:ascii="Arial" w:hAnsi="Arial" w:cs="Arial"/>
        </w:rPr>
        <w:t>Guía de entrevista</w:t>
      </w:r>
    </w:p>
    <w:p w14:paraId="3A9CDB5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León 2006 (citado por Sortini en el 2019) la guía de entrevista consiste en una herramienta que permite realizar un trabajo reflexivo para la organización de los temas posibles que se abordarán en la entrevista. (p.70)</w:t>
      </w:r>
    </w:p>
    <w:p w14:paraId="2E97F14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610D62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las entrevistas que se realizan a los expertos en los temas de inversiones alternativas, es necesario una guía de entrevista para la organización de las preguntas que se realizan durante dicha entrevista con la meta de obtener la información más relevante para la creación de la propuesta de registro contable.</w:t>
      </w:r>
    </w:p>
    <w:p w14:paraId="1EF3DB4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2FEF1D" w14:textId="77777777" w:rsidR="00C51607" w:rsidRPr="002012E1" w:rsidRDefault="00C51607" w:rsidP="00C51607">
      <w:pPr>
        <w:pStyle w:val="apanivel5"/>
        <w:rPr>
          <w:rFonts w:ascii="Arial" w:hAnsi="Arial" w:cs="Arial"/>
        </w:rPr>
      </w:pPr>
      <w:r w:rsidRPr="002012E1">
        <w:rPr>
          <w:rFonts w:ascii="Arial" w:hAnsi="Arial" w:cs="Arial"/>
        </w:rPr>
        <w:t>Guía de observación</w:t>
      </w:r>
    </w:p>
    <w:p w14:paraId="25F4E77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Según De Gracia Palomera 2021 (citado por Gracia en el 2014) la guía observación consiste en: </w:t>
      </w:r>
    </w:p>
    <w:p w14:paraId="3F611926"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pauta de observación se diseña según los objetivos de la investigación y de las expectativas, hipótesis, conceptos teóricos y lecturas realizadas. Consiste en la enunciación de las variables que son de interés para los objetivos de estudio y de los indicadores de estas. (párr. 2)</w:t>
      </w:r>
    </w:p>
    <w:p w14:paraId="0B0E9AE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En esta investigación, la guía de observación se emplea para analizar directamente los procesos contables y la administración de las inversiones alternativas en las operadoras de fondos de pensiones en Costa Rica, proporcionando una visión detallada y objetiva que contribuirá al desarrollo del modelo de registro contable propuesto.</w:t>
      </w:r>
    </w:p>
    <w:p w14:paraId="4A58559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9D7A5D8" w14:textId="77777777" w:rsidR="00C51607" w:rsidRPr="002012E1" w:rsidRDefault="00C51607" w:rsidP="00C51607">
      <w:pPr>
        <w:pStyle w:val="apanivel4"/>
        <w:rPr>
          <w:rFonts w:ascii="Arial" w:hAnsi="Arial" w:cs="Arial"/>
        </w:rPr>
      </w:pPr>
      <w:r w:rsidRPr="002012E1">
        <w:rPr>
          <w:rFonts w:ascii="Arial" w:hAnsi="Arial" w:cs="Arial"/>
        </w:rPr>
        <w:t>Técnicas</w:t>
      </w:r>
    </w:p>
    <w:p w14:paraId="210227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Saunders, Lewis y Thornhill (2021) definen las técnicas para la recopilación de datos como:</w:t>
      </w:r>
    </w:p>
    <w:p w14:paraId="6AA710FD"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procedimientos específicos que los investigadores utilizan para obtener información que les permita responder a sus preguntas de investigación. Estas técnicas pueden incluir encuestas, entrevistas, grupos focales, y observación directa. La elección de la técnica adecuada depende de la naturaleza del problema de investigación y los objetivos del estudio. (p. 134).</w:t>
      </w:r>
    </w:p>
    <w:p w14:paraId="2643B9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F41FC78" w14:textId="77777777" w:rsidR="00C51607" w:rsidRPr="002012E1" w:rsidRDefault="00C51607" w:rsidP="00C51607">
      <w:pPr>
        <w:pStyle w:val="apanivel5"/>
        <w:rPr>
          <w:rFonts w:ascii="Arial" w:hAnsi="Arial" w:cs="Arial"/>
        </w:rPr>
      </w:pPr>
      <w:r w:rsidRPr="002012E1">
        <w:rPr>
          <w:rFonts w:ascii="Arial" w:hAnsi="Arial" w:cs="Arial"/>
        </w:rPr>
        <w:t>Análisis de Contenido Documental</w:t>
      </w:r>
    </w:p>
    <w:p w14:paraId="717F42D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Arias 2006 (Citado Belloso en el 2018) el análisis de contenido documental consiste en el “análisis documental consiste en un proceso basado en la búsqueda, recuperación, análisis, críticas e interpretación de datos.” (p.56). </w:t>
      </w:r>
    </w:p>
    <w:p w14:paraId="3A34E5C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5F3CC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realiza una revisión de los documentos sobre productos financieros y de las normativas contables nacionales e internacionales vigentes, para desarrollar un análisis y destacar cuáles los puntos de interés e importancia para la investigación. </w:t>
      </w:r>
    </w:p>
    <w:p w14:paraId="52ABC7C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31C188D" w14:textId="77777777" w:rsidR="00C51607" w:rsidRPr="002012E1" w:rsidRDefault="00C51607" w:rsidP="00C51607">
      <w:pPr>
        <w:pStyle w:val="apanivel5"/>
        <w:rPr>
          <w:rFonts w:ascii="Arial" w:hAnsi="Arial" w:cs="Arial"/>
        </w:rPr>
      </w:pPr>
      <w:r w:rsidRPr="002012E1">
        <w:rPr>
          <w:rFonts w:ascii="Arial" w:hAnsi="Arial" w:cs="Arial"/>
        </w:rPr>
        <w:t>Entrevista semi estructurada</w:t>
      </w:r>
    </w:p>
    <w:p w14:paraId="07E6AB5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semiestructuradas son particularmente convenientes para la creación de situaciones de conversación que faciliten la expresión natural de </w:t>
      </w:r>
      <w:r w:rsidRPr="002012E1">
        <w:rPr>
          <w:rFonts w:ascii="Arial" w:eastAsia="Calibri" w:hAnsi="Arial" w:cs="Arial"/>
          <w:kern w:val="0"/>
          <w:lang w:val="es-MX"/>
          <w14:ligatures w14:val="none"/>
        </w:rPr>
        <w:lastRenderedPageBreak/>
        <w:t>percepciones y perspectivas por parte de las personas sujetos de investigación. (Mata, 2020, parr.2).</w:t>
      </w:r>
    </w:p>
    <w:p w14:paraId="37482BC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6C559B2"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la presente investigación se diseña una guía de preguntas semiestructuradas para entrevistar a gerentes de inversión, auditores y reguladores. Las preguntas abordan cómo gestionan y registran las inversiones alternativas, y qué desafíos enfrentan.</w:t>
      </w:r>
    </w:p>
    <w:p w14:paraId="3C0EF60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50147C1" w14:textId="77777777" w:rsidR="00C51607" w:rsidRPr="002012E1" w:rsidRDefault="00C51607" w:rsidP="00C51607">
      <w:pPr>
        <w:pStyle w:val="apanivel5"/>
        <w:rPr>
          <w:rFonts w:ascii="Arial" w:hAnsi="Arial" w:cs="Arial"/>
        </w:rPr>
      </w:pPr>
      <w:r w:rsidRPr="002012E1">
        <w:rPr>
          <w:rFonts w:ascii="Arial" w:hAnsi="Arial" w:cs="Arial"/>
        </w:rPr>
        <w:t xml:space="preserve">Observación </w:t>
      </w:r>
    </w:p>
    <w:p w14:paraId="3D2A8F7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Hernández (2018) la observación consiste en el registro sistemático, válido y confiable de comportamientos y situaciones observables, a través de un conjunto de categorías y subcategorías. (p. 290)</w:t>
      </w:r>
    </w:p>
    <w:p w14:paraId="24CE34E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D03AA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técnica es útil para captar comportamientos en su contexto natural, sin intervención de un investigador, lo que la convierte en una herramienta valiosa tanto en estudios cualitativos como cuantitativos.</w:t>
      </w:r>
    </w:p>
    <w:p w14:paraId="70666C4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55FE8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observación en esta investigación permite captar información directa y contextual sobre las prácticas contables y operacionales sin depender únicamente de datos cuantitativos o entrevistas, proporcionando una visión más completa.</w:t>
      </w:r>
    </w:p>
    <w:p w14:paraId="12121C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E94CDB" w14:textId="77777777" w:rsidR="00C51607" w:rsidRPr="002012E1" w:rsidRDefault="00C51607" w:rsidP="00C51607">
      <w:pPr>
        <w:pStyle w:val="apanivel2"/>
        <w:rPr>
          <w:rFonts w:ascii="Arial" w:hAnsi="Arial" w:cs="Arial"/>
        </w:rPr>
      </w:pPr>
      <w:bookmarkStart w:id="41" w:name="_Toc130892052"/>
      <w:bookmarkStart w:id="42" w:name="_Toc145352019"/>
      <w:bookmarkStart w:id="43" w:name="_Toc201832418"/>
      <w:r w:rsidRPr="002012E1">
        <w:rPr>
          <w:rFonts w:ascii="Arial" w:hAnsi="Arial" w:cs="Arial"/>
        </w:rPr>
        <w:t>Análisis de Datos</w:t>
      </w:r>
      <w:bookmarkEnd w:id="41"/>
      <w:bookmarkEnd w:id="42"/>
      <w:bookmarkEnd w:id="43"/>
    </w:p>
    <w:p w14:paraId="203644D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análisis de los datos es considerado como el proceso más complejo y sujeto a subjetividades dentro del proceso de investigación.</w:t>
      </w:r>
    </w:p>
    <w:p w14:paraId="5CFC2A1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E8D9A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ocasiones, el término análisis es entendido como el proceso de codificar, de agrupar según significados, de recuperar datos. En este sentido, el análisis adquiere matices propios de tareas o procedimientos de procesamiento y organización de los datos, estando relativamente aislado del ejercicio de interpretación.</w:t>
      </w:r>
    </w:p>
    <w:p w14:paraId="0FF3A9B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C2086E" w14:textId="21BCF3E5" w:rsidR="00C51607" w:rsidRPr="002012E1" w:rsidRDefault="00C51607" w:rsidP="00C51607">
      <w:pPr>
        <w:spacing w:after="0" w:line="360" w:lineRule="auto"/>
        <w:jc w:val="both"/>
        <w:rPr>
          <w:rFonts w:ascii="Arial" w:eastAsia="Calibri" w:hAnsi="Arial" w:cs="Arial"/>
          <w:kern w:val="0"/>
          <w:lang w:val="es-MX"/>
          <w14:ligatures w14:val="none"/>
        </w:rPr>
      </w:pPr>
      <w:bookmarkStart w:id="44" w:name="_Toc201322505"/>
      <w:r w:rsidRPr="002012E1">
        <w:rPr>
          <w:rFonts w:ascii="Arial" w:eastAsia="Calibri" w:hAnsi="Arial" w:cs="Arial"/>
          <w:b/>
          <w:bCs/>
          <w:kern w:val="0"/>
          <w:lang w:val="es-MX"/>
          <w14:ligatures w14:val="none"/>
        </w:rPr>
        <w:lastRenderedPageBreak/>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noProof/>
          <w:kern w:val="0"/>
          <w:lang w:val="es-MX"/>
          <w14:ligatures w14:val="none"/>
        </w:rPr>
        <w:t>2</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kern w:val="0"/>
          <w:lang w:val="es-MX"/>
          <w14:ligatures w14:val="none"/>
        </w:rPr>
        <w:t xml:space="preserve">. </w:t>
      </w:r>
      <w:r w:rsidRPr="002012E1">
        <w:rPr>
          <w:rFonts w:ascii="Arial" w:eastAsia="Calibri" w:hAnsi="Arial" w:cs="Arial"/>
          <w:b/>
          <w:bCs/>
          <w:i/>
          <w:iCs/>
          <w:kern w:val="0"/>
          <w:lang w:val="es-MX"/>
          <w14:ligatures w14:val="none"/>
        </w:rPr>
        <w:t>Análisis e Interpretación de la Información</w:t>
      </w:r>
      <w:bookmarkEnd w:id="44"/>
    </w:p>
    <w:tbl>
      <w:tblPr>
        <w:tblStyle w:val="Tablaconcuadrcula"/>
        <w:tblW w:w="5858" w:type="pct"/>
        <w:jc w:val="center"/>
        <w:tblLayout w:type="fixed"/>
        <w:tblLook w:val="04A0" w:firstRow="1" w:lastRow="0" w:firstColumn="1" w:lastColumn="0" w:noHBand="0" w:noVBand="1"/>
      </w:tblPr>
      <w:tblGrid>
        <w:gridCol w:w="1838"/>
        <w:gridCol w:w="1558"/>
        <w:gridCol w:w="1705"/>
        <w:gridCol w:w="1986"/>
        <w:gridCol w:w="1698"/>
        <w:gridCol w:w="1558"/>
      </w:tblGrid>
      <w:tr w:rsidR="00C51607" w:rsidRPr="002012E1" w14:paraId="44466A74" w14:textId="77777777" w:rsidTr="005C1607">
        <w:trPr>
          <w:trHeight w:val="630"/>
          <w:jc w:val="center"/>
        </w:trPr>
        <w:tc>
          <w:tcPr>
            <w:tcW w:w="889" w:type="pct"/>
            <w:vAlign w:val="center"/>
            <w:hideMark/>
          </w:tcPr>
          <w:p w14:paraId="5BCA139D"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Objetivos</w:t>
            </w:r>
          </w:p>
        </w:tc>
        <w:tc>
          <w:tcPr>
            <w:tcW w:w="753" w:type="pct"/>
            <w:vAlign w:val="center"/>
            <w:hideMark/>
          </w:tcPr>
          <w:p w14:paraId="725F5BF4"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Variables</w:t>
            </w:r>
          </w:p>
        </w:tc>
        <w:tc>
          <w:tcPr>
            <w:tcW w:w="824" w:type="pct"/>
            <w:vAlign w:val="center"/>
            <w:hideMark/>
          </w:tcPr>
          <w:p w14:paraId="4F578B63"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Indicadores</w:t>
            </w:r>
          </w:p>
        </w:tc>
        <w:tc>
          <w:tcPr>
            <w:tcW w:w="960" w:type="pct"/>
            <w:vAlign w:val="center"/>
            <w:hideMark/>
          </w:tcPr>
          <w:p w14:paraId="6C8B3698"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Instrumentos</w:t>
            </w:r>
          </w:p>
        </w:tc>
        <w:tc>
          <w:tcPr>
            <w:tcW w:w="821" w:type="pct"/>
            <w:vAlign w:val="center"/>
            <w:hideMark/>
          </w:tcPr>
          <w:p w14:paraId="33BA590F"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Tipo de Instrumento</w:t>
            </w:r>
          </w:p>
        </w:tc>
        <w:tc>
          <w:tcPr>
            <w:tcW w:w="753" w:type="pct"/>
            <w:vAlign w:val="center"/>
            <w:hideMark/>
          </w:tcPr>
          <w:p w14:paraId="0EF76766" w14:textId="77777777" w:rsidR="00C51607" w:rsidRPr="00D47F75" w:rsidRDefault="00C51607" w:rsidP="005C1607">
            <w:pPr>
              <w:spacing w:after="160" w:line="360" w:lineRule="auto"/>
              <w:jc w:val="center"/>
              <w:rPr>
                <w:rFonts w:ascii="Arial" w:eastAsia="Times New Roman" w:hAnsi="Arial" w:cs="Arial"/>
                <w:b/>
                <w:bCs/>
                <w:kern w:val="0"/>
                <w:lang w:val="es-419"/>
                <w14:ligatures w14:val="none"/>
              </w:rPr>
            </w:pPr>
            <w:r w:rsidRPr="00D47F75">
              <w:rPr>
                <w:rFonts w:ascii="Arial" w:eastAsia="Times New Roman" w:hAnsi="Arial" w:cs="Arial"/>
                <w:b/>
                <w:bCs/>
                <w:kern w:val="0"/>
                <w14:ligatures w14:val="none"/>
              </w:rPr>
              <w:t>Fuentes</w:t>
            </w:r>
          </w:p>
        </w:tc>
      </w:tr>
      <w:tr w:rsidR="00C51607" w:rsidRPr="002012E1" w14:paraId="290CFB91" w14:textId="77777777" w:rsidTr="005C1607">
        <w:trPr>
          <w:trHeight w:val="1800"/>
          <w:jc w:val="center"/>
        </w:trPr>
        <w:tc>
          <w:tcPr>
            <w:tcW w:w="889" w:type="pct"/>
            <w:vMerge w:val="restart"/>
            <w:vAlign w:val="center"/>
            <w:hideMark/>
          </w:tcPr>
          <w:p w14:paraId="5C6EB908"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Investigar los productos financieros de deuda, acciones y alternativos (activos y pasivos) para comprender sus características principales y su impacto en las estrategias de inversión.</w:t>
            </w:r>
          </w:p>
        </w:tc>
        <w:tc>
          <w:tcPr>
            <w:tcW w:w="753" w:type="pct"/>
            <w:vMerge w:val="restart"/>
            <w:vAlign w:val="center"/>
            <w:hideMark/>
          </w:tcPr>
          <w:p w14:paraId="1EBD606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 xml:space="preserve">3.1. </w:t>
            </w:r>
            <w:r w:rsidRPr="00D47F75">
              <w:rPr>
                <w:rFonts w:ascii="Arial" w:eastAsia="Times New Roman" w:hAnsi="Arial" w:cs="Arial"/>
                <w:bCs/>
                <w:kern w:val="0"/>
                <w14:ligatures w14:val="none"/>
              </w:rPr>
              <w:t>Productos Financieros de Deuda, Acciones y Alternativos</w:t>
            </w:r>
          </w:p>
        </w:tc>
        <w:tc>
          <w:tcPr>
            <w:tcW w:w="824" w:type="pct"/>
            <w:vAlign w:val="center"/>
            <w:hideMark/>
          </w:tcPr>
          <w:p w14:paraId="6227B92A" w14:textId="77777777" w:rsidR="00C51607" w:rsidRPr="002012E1" w:rsidRDefault="00C51607" w:rsidP="005C1607">
            <w:pPr>
              <w:spacing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3.1.</w:t>
            </w:r>
            <w:r w:rsidRPr="002012E1">
              <w:rPr>
                <w:rFonts w:ascii="Arial" w:eastAsia="Times New Roman" w:hAnsi="Arial" w:cs="Arial"/>
                <w:bCs/>
                <w:kern w:val="0"/>
                <w14:ligatures w14:val="none"/>
              </w:rPr>
              <w:t>1. Características de productos de deuda, acciones y alternativos.</w:t>
            </w:r>
          </w:p>
        </w:tc>
        <w:tc>
          <w:tcPr>
            <w:tcW w:w="960" w:type="pct"/>
            <w:vAlign w:val="center"/>
            <w:hideMark/>
          </w:tcPr>
          <w:p w14:paraId="28F75C1F"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análisis documental.</w:t>
            </w:r>
          </w:p>
        </w:tc>
        <w:tc>
          <w:tcPr>
            <w:tcW w:w="821" w:type="pct"/>
            <w:vAlign w:val="center"/>
            <w:hideMark/>
          </w:tcPr>
          <w:p w14:paraId="3495DF43"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Cuantitativo</w:t>
            </w:r>
          </w:p>
        </w:tc>
        <w:tc>
          <w:tcPr>
            <w:tcW w:w="753" w:type="pct"/>
            <w:vAlign w:val="center"/>
            <w:hideMark/>
          </w:tcPr>
          <w:p w14:paraId="74A2EA8C"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Reportes financieros, Documentación de productos, Entrevistas con expertos</w:t>
            </w:r>
          </w:p>
        </w:tc>
      </w:tr>
      <w:tr w:rsidR="00C51607" w:rsidRPr="002012E1" w14:paraId="7D35CC25" w14:textId="77777777" w:rsidTr="005C1607">
        <w:trPr>
          <w:trHeight w:val="900"/>
          <w:jc w:val="center"/>
        </w:trPr>
        <w:tc>
          <w:tcPr>
            <w:tcW w:w="889" w:type="pct"/>
            <w:vMerge/>
            <w:vAlign w:val="center"/>
            <w:hideMark/>
          </w:tcPr>
          <w:p w14:paraId="721BA32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294EA87F"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Align w:val="center"/>
            <w:hideMark/>
          </w:tcPr>
          <w:p w14:paraId="49A2D2E6"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3.1.</w:t>
            </w:r>
            <w:r w:rsidRPr="00D47F75">
              <w:rPr>
                <w:rFonts w:ascii="Arial" w:eastAsia="Times New Roman" w:hAnsi="Arial" w:cs="Arial"/>
                <w:bCs/>
                <w:kern w:val="0"/>
                <w14:ligatures w14:val="none"/>
              </w:rPr>
              <w:t xml:space="preserve">2. Impacto </w:t>
            </w:r>
            <w:r>
              <w:rPr>
                <w:rFonts w:ascii="Arial" w:eastAsia="Times New Roman" w:hAnsi="Arial" w:cs="Arial"/>
                <w:bCs/>
                <w:kern w:val="0"/>
                <w14:ligatures w14:val="none"/>
              </w:rPr>
              <w:t>a los</w:t>
            </w:r>
            <w:r w:rsidRPr="00D47F75">
              <w:rPr>
                <w:rFonts w:ascii="Arial" w:eastAsia="Times New Roman" w:hAnsi="Arial" w:cs="Arial"/>
                <w:bCs/>
                <w:kern w:val="0"/>
                <w14:ligatures w14:val="none"/>
              </w:rPr>
              <w:t xml:space="preserve"> productos en las estrategias de inversión.</w:t>
            </w:r>
          </w:p>
        </w:tc>
        <w:tc>
          <w:tcPr>
            <w:tcW w:w="960" w:type="pct"/>
            <w:vAlign w:val="center"/>
            <w:hideMark/>
          </w:tcPr>
          <w:p w14:paraId="06819554"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entrevista.</w:t>
            </w:r>
          </w:p>
        </w:tc>
        <w:tc>
          <w:tcPr>
            <w:tcW w:w="821" w:type="pct"/>
            <w:vAlign w:val="center"/>
            <w:hideMark/>
          </w:tcPr>
          <w:p w14:paraId="344A6DD7"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Cualitativo</w:t>
            </w:r>
          </w:p>
        </w:tc>
        <w:tc>
          <w:tcPr>
            <w:tcW w:w="753" w:type="pct"/>
            <w:vAlign w:val="center"/>
            <w:hideMark/>
          </w:tcPr>
          <w:p w14:paraId="26649F08"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Entrevistas con gestores y analistas</w:t>
            </w:r>
          </w:p>
        </w:tc>
      </w:tr>
      <w:tr w:rsidR="00C51607" w:rsidRPr="002012E1" w14:paraId="356AE30F" w14:textId="77777777" w:rsidTr="005C1607">
        <w:trPr>
          <w:trHeight w:val="2929"/>
          <w:jc w:val="center"/>
        </w:trPr>
        <w:tc>
          <w:tcPr>
            <w:tcW w:w="889" w:type="pct"/>
            <w:vMerge/>
            <w:vAlign w:val="center"/>
            <w:hideMark/>
          </w:tcPr>
          <w:p w14:paraId="13E5AA4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6CC1D23C"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Align w:val="center"/>
            <w:hideMark/>
          </w:tcPr>
          <w:p w14:paraId="62AB3856"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3.1.</w:t>
            </w:r>
            <w:r w:rsidRPr="00D47F75">
              <w:rPr>
                <w:rFonts w:ascii="Arial" w:eastAsia="Times New Roman" w:hAnsi="Arial" w:cs="Arial"/>
                <w:bCs/>
                <w:kern w:val="0"/>
                <w14:ligatures w14:val="none"/>
              </w:rPr>
              <w:t>3. Nivel de riesgo asociado a cada tipo de producto financiero.</w:t>
            </w:r>
          </w:p>
        </w:tc>
        <w:tc>
          <w:tcPr>
            <w:tcW w:w="960" w:type="pct"/>
            <w:vAlign w:val="center"/>
            <w:hideMark/>
          </w:tcPr>
          <w:p w14:paraId="5D9D34D9"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análisis documental.</w:t>
            </w:r>
          </w:p>
        </w:tc>
        <w:tc>
          <w:tcPr>
            <w:tcW w:w="821" w:type="pct"/>
            <w:vAlign w:val="center"/>
            <w:hideMark/>
          </w:tcPr>
          <w:p w14:paraId="73016177"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Cuantitativo</w:t>
            </w:r>
          </w:p>
        </w:tc>
        <w:tc>
          <w:tcPr>
            <w:tcW w:w="753" w:type="pct"/>
            <w:vAlign w:val="center"/>
            <w:hideMark/>
          </w:tcPr>
          <w:p w14:paraId="1704FD02"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Reportes de riesgo financiero, Entrevistas con gestores de riesgos</w:t>
            </w:r>
          </w:p>
        </w:tc>
      </w:tr>
      <w:tr w:rsidR="00C51607" w:rsidRPr="002012E1" w14:paraId="0AED60DF" w14:textId="77777777" w:rsidTr="005C1607">
        <w:trPr>
          <w:trHeight w:val="992"/>
          <w:jc w:val="center"/>
        </w:trPr>
        <w:tc>
          <w:tcPr>
            <w:tcW w:w="889" w:type="pct"/>
            <w:vMerge w:val="restart"/>
            <w:vAlign w:val="center"/>
            <w:hideMark/>
          </w:tcPr>
          <w:p w14:paraId="60958C2A"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 xml:space="preserve">Identificar las inversiones alternativas que forman parte de los </w:t>
            </w:r>
            <w:r w:rsidRPr="00D47F75">
              <w:rPr>
                <w:rFonts w:ascii="Arial" w:eastAsia="Times New Roman" w:hAnsi="Arial" w:cs="Arial"/>
                <w:bCs/>
                <w:kern w:val="0"/>
                <w14:ligatures w14:val="none"/>
              </w:rPr>
              <w:lastRenderedPageBreak/>
              <w:t>portafolios de los fondos de pensiones en Costa Rica para la clasificación de éstas según su naturaleza y características.</w:t>
            </w:r>
          </w:p>
        </w:tc>
        <w:tc>
          <w:tcPr>
            <w:tcW w:w="753" w:type="pct"/>
            <w:vMerge w:val="restart"/>
            <w:vAlign w:val="center"/>
            <w:hideMark/>
          </w:tcPr>
          <w:p w14:paraId="642F1FAA"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lastRenderedPageBreak/>
              <w:t xml:space="preserve">3.2. Productos o </w:t>
            </w:r>
            <w:r w:rsidRPr="00D47F75">
              <w:rPr>
                <w:rFonts w:ascii="Arial" w:eastAsia="Times New Roman" w:hAnsi="Arial" w:cs="Arial"/>
                <w:bCs/>
                <w:kern w:val="0"/>
                <w14:ligatures w14:val="none"/>
              </w:rPr>
              <w:t>Inversiones Alternativas</w:t>
            </w:r>
          </w:p>
        </w:tc>
        <w:tc>
          <w:tcPr>
            <w:tcW w:w="824" w:type="pct"/>
            <w:vAlign w:val="center"/>
            <w:hideMark/>
          </w:tcPr>
          <w:p w14:paraId="7EDEB8FC"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3.2.</w:t>
            </w:r>
            <w:r w:rsidRPr="00D47F75">
              <w:rPr>
                <w:rFonts w:ascii="Arial" w:eastAsia="Times New Roman" w:hAnsi="Arial" w:cs="Arial"/>
                <w:bCs/>
                <w:kern w:val="0"/>
                <w14:ligatures w14:val="none"/>
              </w:rPr>
              <w:t xml:space="preserve">1. Tipos de inversiones alternativas en los </w:t>
            </w:r>
            <w:r w:rsidRPr="00D47F75">
              <w:rPr>
                <w:rFonts w:ascii="Arial" w:eastAsia="Times New Roman" w:hAnsi="Arial" w:cs="Arial"/>
                <w:bCs/>
                <w:kern w:val="0"/>
                <w14:ligatures w14:val="none"/>
              </w:rPr>
              <w:lastRenderedPageBreak/>
              <w:t>portafolios de pensiones</w:t>
            </w:r>
          </w:p>
        </w:tc>
        <w:tc>
          <w:tcPr>
            <w:tcW w:w="960" w:type="pct"/>
            <w:vAlign w:val="center"/>
            <w:hideMark/>
          </w:tcPr>
          <w:p w14:paraId="416BA1E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lastRenderedPageBreak/>
              <w:t>Guía de análisis documental.</w:t>
            </w:r>
          </w:p>
        </w:tc>
        <w:tc>
          <w:tcPr>
            <w:tcW w:w="821" w:type="pct"/>
            <w:vAlign w:val="center"/>
            <w:hideMark/>
          </w:tcPr>
          <w:p w14:paraId="592E9BE4"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Cuantitativo</w:t>
            </w:r>
          </w:p>
        </w:tc>
        <w:tc>
          <w:tcPr>
            <w:tcW w:w="753" w:type="pct"/>
            <w:vAlign w:val="center"/>
            <w:hideMark/>
          </w:tcPr>
          <w:p w14:paraId="6C1F6187"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 xml:space="preserve">Reportes financieros de fondos de pensiones, </w:t>
            </w:r>
            <w:r w:rsidRPr="00D47F75">
              <w:rPr>
                <w:rFonts w:ascii="Arial" w:eastAsia="Times New Roman" w:hAnsi="Arial" w:cs="Arial"/>
                <w:bCs/>
                <w:kern w:val="0"/>
                <w14:ligatures w14:val="none"/>
              </w:rPr>
              <w:lastRenderedPageBreak/>
              <w:t>Entrevistas con gestores de fondos de pensiones</w:t>
            </w:r>
          </w:p>
        </w:tc>
      </w:tr>
      <w:tr w:rsidR="00C51607" w:rsidRPr="002012E1" w14:paraId="3E007BB8" w14:textId="77777777" w:rsidTr="005C1607">
        <w:trPr>
          <w:trHeight w:val="1500"/>
          <w:jc w:val="center"/>
        </w:trPr>
        <w:tc>
          <w:tcPr>
            <w:tcW w:w="889" w:type="pct"/>
            <w:vMerge/>
            <w:vAlign w:val="center"/>
            <w:hideMark/>
          </w:tcPr>
          <w:p w14:paraId="4FAA02FC"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48414B52"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Align w:val="center"/>
            <w:hideMark/>
          </w:tcPr>
          <w:p w14:paraId="0BF37776"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3.2.</w:t>
            </w:r>
            <w:r w:rsidRPr="00D47F75">
              <w:rPr>
                <w:rFonts w:ascii="Arial" w:eastAsia="Times New Roman" w:hAnsi="Arial" w:cs="Arial"/>
                <w:bCs/>
                <w:kern w:val="0"/>
                <w14:ligatures w14:val="none"/>
              </w:rPr>
              <w:t>2. Características de las inversiones alternativas en los portafolios de pensiones</w:t>
            </w:r>
          </w:p>
        </w:tc>
        <w:tc>
          <w:tcPr>
            <w:tcW w:w="960" w:type="pct"/>
            <w:vAlign w:val="center"/>
            <w:hideMark/>
          </w:tcPr>
          <w:p w14:paraId="163AA836"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análisis documental.</w:t>
            </w:r>
          </w:p>
        </w:tc>
        <w:tc>
          <w:tcPr>
            <w:tcW w:w="821" w:type="pct"/>
            <w:vAlign w:val="center"/>
            <w:hideMark/>
          </w:tcPr>
          <w:p w14:paraId="6353D7E3"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Cualitativo</w:t>
            </w:r>
          </w:p>
        </w:tc>
        <w:tc>
          <w:tcPr>
            <w:tcW w:w="753" w:type="pct"/>
            <w:vAlign w:val="center"/>
            <w:hideMark/>
          </w:tcPr>
          <w:p w14:paraId="228E091E"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Entrevistas con gestores, documentación interna de fondos de pensiones.</w:t>
            </w:r>
          </w:p>
        </w:tc>
      </w:tr>
      <w:tr w:rsidR="00C51607" w:rsidRPr="002012E1" w14:paraId="265DC5D3" w14:textId="77777777" w:rsidTr="005C1607">
        <w:trPr>
          <w:trHeight w:val="757"/>
          <w:jc w:val="center"/>
        </w:trPr>
        <w:tc>
          <w:tcPr>
            <w:tcW w:w="889" w:type="pct"/>
            <w:vMerge/>
            <w:vAlign w:val="center"/>
            <w:hideMark/>
          </w:tcPr>
          <w:p w14:paraId="3397280C"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48E824E8"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Merge w:val="restart"/>
            <w:vAlign w:val="center"/>
            <w:hideMark/>
          </w:tcPr>
          <w:p w14:paraId="0CDCBC3D"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3.2.</w:t>
            </w:r>
            <w:r w:rsidRPr="00D47F75">
              <w:rPr>
                <w:rFonts w:ascii="Arial" w:eastAsia="Times New Roman" w:hAnsi="Arial" w:cs="Arial"/>
                <w:bCs/>
                <w:kern w:val="0"/>
                <w14:ligatures w14:val="none"/>
              </w:rPr>
              <w:t>3. Rentabilidad de las inversiones alternativas.</w:t>
            </w:r>
          </w:p>
        </w:tc>
        <w:tc>
          <w:tcPr>
            <w:tcW w:w="960" w:type="pct"/>
            <w:vAlign w:val="center"/>
            <w:hideMark/>
          </w:tcPr>
          <w:p w14:paraId="0B2E2F7A"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entrevista.</w:t>
            </w:r>
          </w:p>
        </w:tc>
        <w:tc>
          <w:tcPr>
            <w:tcW w:w="821" w:type="pct"/>
            <w:vMerge w:val="restart"/>
            <w:vAlign w:val="center"/>
            <w:hideMark/>
          </w:tcPr>
          <w:p w14:paraId="05E0217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Cuantitativo</w:t>
            </w:r>
          </w:p>
        </w:tc>
        <w:tc>
          <w:tcPr>
            <w:tcW w:w="753" w:type="pct"/>
            <w:vMerge w:val="restart"/>
            <w:vAlign w:val="center"/>
            <w:hideMark/>
          </w:tcPr>
          <w:p w14:paraId="02703995"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Bases de datos financieras.</w:t>
            </w:r>
          </w:p>
        </w:tc>
      </w:tr>
      <w:tr w:rsidR="00C51607" w:rsidRPr="002012E1" w14:paraId="771FB2B1" w14:textId="77777777" w:rsidTr="005C1607">
        <w:trPr>
          <w:trHeight w:val="3025"/>
          <w:jc w:val="center"/>
        </w:trPr>
        <w:tc>
          <w:tcPr>
            <w:tcW w:w="889" w:type="pct"/>
            <w:vMerge/>
            <w:vAlign w:val="center"/>
            <w:hideMark/>
          </w:tcPr>
          <w:p w14:paraId="767AE813"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64260920"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Merge/>
            <w:vAlign w:val="center"/>
            <w:hideMark/>
          </w:tcPr>
          <w:p w14:paraId="223903F1"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960" w:type="pct"/>
            <w:vAlign w:val="center"/>
            <w:hideMark/>
          </w:tcPr>
          <w:p w14:paraId="0058FCF0"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lang w:val="es-419"/>
                <w14:ligatures w14:val="none"/>
              </w:rPr>
              <w:t>Análisis de estados financieros proyectados de proyectos similares</w:t>
            </w:r>
          </w:p>
        </w:tc>
        <w:tc>
          <w:tcPr>
            <w:tcW w:w="821" w:type="pct"/>
            <w:vMerge/>
            <w:vAlign w:val="center"/>
            <w:hideMark/>
          </w:tcPr>
          <w:p w14:paraId="70EC2221"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2DE64CDE"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r>
      <w:tr w:rsidR="00C51607" w:rsidRPr="002012E1" w14:paraId="40055278" w14:textId="77777777" w:rsidTr="005C1607">
        <w:trPr>
          <w:trHeight w:val="3543"/>
          <w:jc w:val="center"/>
        </w:trPr>
        <w:tc>
          <w:tcPr>
            <w:tcW w:w="889" w:type="pct"/>
            <w:vMerge w:val="restart"/>
            <w:vAlign w:val="center"/>
            <w:hideMark/>
          </w:tcPr>
          <w:p w14:paraId="16172C89"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lastRenderedPageBreak/>
              <w:t>Examinar la normativa vigente relacionada con la contabilidad y la gestión de fondos de pensiones en Costa Rica, así como los lineamientos de NIIF 9 y NIC 39, para la identificación de los tipos de registros contables y su ajuste según la normativa costarricense</w:t>
            </w:r>
          </w:p>
        </w:tc>
        <w:tc>
          <w:tcPr>
            <w:tcW w:w="753" w:type="pct"/>
            <w:vMerge w:val="restart"/>
            <w:vAlign w:val="center"/>
            <w:hideMark/>
          </w:tcPr>
          <w:p w14:paraId="12143D8B"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3.3. Normativa Contable</w:t>
            </w:r>
          </w:p>
        </w:tc>
        <w:tc>
          <w:tcPr>
            <w:tcW w:w="824" w:type="pct"/>
            <w:vAlign w:val="center"/>
            <w:hideMark/>
          </w:tcPr>
          <w:p w14:paraId="2D89B2B2"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3.3.</w:t>
            </w:r>
            <w:r w:rsidRPr="00D47F75">
              <w:rPr>
                <w:rFonts w:ascii="Arial" w:eastAsia="Times New Roman" w:hAnsi="Arial" w:cs="Arial"/>
                <w:bCs/>
                <w:kern w:val="0"/>
                <w14:ligatures w14:val="none"/>
              </w:rPr>
              <w:t>1. Conformidad de la normativa con NIIF 9 y NIC 39.</w:t>
            </w:r>
          </w:p>
        </w:tc>
        <w:tc>
          <w:tcPr>
            <w:tcW w:w="960" w:type="pct"/>
            <w:vAlign w:val="center"/>
            <w:hideMark/>
          </w:tcPr>
          <w:p w14:paraId="16992F28"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análisis documental.</w:t>
            </w:r>
          </w:p>
        </w:tc>
        <w:tc>
          <w:tcPr>
            <w:tcW w:w="821" w:type="pct"/>
            <w:vAlign w:val="center"/>
            <w:hideMark/>
          </w:tcPr>
          <w:p w14:paraId="0DB2D8DE"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Cuantitativo</w:t>
            </w:r>
          </w:p>
        </w:tc>
        <w:tc>
          <w:tcPr>
            <w:tcW w:w="753" w:type="pct"/>
            <w:vAlign w:val="center"/>
            <w:hideMark/>
          </w:tcPr>
          <w:p w14:paraId="21366D21"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Normas y regulaciones contables, Informes de expertos contables</w:t>
            </w:r>
          </w:p>
        </w:tc>
      </w:tr>
      <w:tr w:rsidR="00C51607" w:rsidRPr="002012E1" w14:paraId="4C7E60A3" w14:textId="77777777" w:rsidTr="005C1607">
        <w:trPr>
          <w:trHeight w:val="2400"/>
          <w:jc w:val="center"/>
        </w:trPr>
        <w:tc>
          <w:tcPr>
            <w:tcW w:w="889" w:type="pct"/>
            <w:vMerge/>
            <w:vAlign w:val="center"/>
            <w:hideMark/>
          </w:tcPr>
          <w:p w14:paraId="2739AA60"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6A49E41D"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Align w:val="center"/>
            <w:hideMark/>
          </w:tcPr>
          <w:p w14:paraId="2FC11210"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3.3.</w:t>
            </w:r>
            <w:r w:rsidRPr="00D47F75">
              <w:rPr>
                <w:rFonts w:ascii="Arial" w:eastAsia="Times New Roman" w:hAnsi="Arial" w:cs="Arial"/>
                <w:bCs/>
                <w:kern w:val="0"/>
                <w14:ligatures w14:val="none"/>
              </w:rPr>
              <w:t>2. Identificación de los límites y desafíos de la normativa contable vigente.</w:t>
            </w:r>
          </w:p>
        </w:tc>
        <w:tc>
          <w:tcPr>
            <w:tcW w:w="960" w:type="pct"/>
            <w:vAlign w:val="center"/>
            <w:hideMark/>
          </w:tcPr>
          <w:p w14:paraId="1CDECE60"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observación</w:t>
            </w:r>
          </w:p>
        </w:tc>
        <w:tc>
          <w:tcPr>
            <w:tcW w:w="821" w:type="pct"/>
            <w:vAlign w:val="center"/>
            <w:hideMark/>
          </w:tcPr>
          <w:p w14:paraId="2A9FF532"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Cualitativo</w:t>
            </w:r>
          </w:p>
        </w:tc>
        <w:tc>
          <w:tcPr>
            <w:tcW w:w="753" w:type="pct"/>
            <w:vAlign w:val="center"/>
            <w:hideMark/>
          </w:tcPr>
          <w:p w14:paraId="558E3B1B"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Análisis de casos prácticos, Entrevistas con contadores y reguladores, Estudios sobre brechas en la normativa</w:t>
            </w:r>
          </w:p>
        </w:tc>
      </w:tr>
      <w:tr w:rsidR="00C51607" w:rsidRPr="002012E1" w14:paraId="6F386CB8" w14:textId="77777777" w:rsidTr="005C1607">
        <w:trPr>
          <w:trHeight w:val="3219"/>
          <w:jc w:val="center"/>
        </w:trPr>
        <w:tc>
          <w:tcPr>
            <w:tcW w:w="889" w:type="pct"/>
            <w:vMerge/>
            <w:vAlign w:val="center"/>
            <w:hideMark/>
          </w:tcPr>
          <w:p w14:paraId="274E2149"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753" w:type="pct"/>
            <w:vMerge/>
            <w:vAlign w:val="center"/>
            <w:hideMark/>
          </w:tcPr>
          <w:p w14:paraId="7B5FBFB6"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p>
        </w:tc>
        <w:tc>
          <w:tcPr>
            <w:tcW w:w="824" w:type="pct"/>
            <w:vAlign w:val="center"/>
            <w:hideMark/>
          </w:tcPr>
          <w:p w14:paraId="234AB349"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Pr>
                <w:rFonts w:ascii="Arial" w:eastAsia="Times New Roman" w:hAnsi="Arial" w:cs="Arial"/>
                <w:bCs/>
                <w:kern w:val="0"/>
                <w14:ligatures w14:val="none"/>
              </w:rPr>
              <w:t>3.3.</w:t>
            </w:r>
            <w:r w:rsidRPr="00D47F75">
              <w:rPr>
                <w:rFonts w:ascii="Arial" w:eastAsia="Times New Roman" w:hAnsi="Arial" w:cs="Arial"/>
                <w:bCs/>
                <w:kern w:val="0"/>
                <w14:ligatures w14:val="none"/>
              </w:rPr>
              <w:t>3. Eficiencia de la implementación de las normativas contables en los fondos de pensiones.</w:t>
            </w:r>
          </w:p>
        </w:tc>
        <w:tc>
          <w:tcPr>
            <w:tcW w:w="960" w:type="pct"/>
            <w:vAlign w:val="center"/>
            <w:hideMark/>
          </w:tcPr>
          <w:p w14:paraId="03CCCF44"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Guía de análisis documental.</w:t>
            </w:r>
          </w:p>
        </w:tc>
        <w:tc>
          <w:tcPr>
            <w:tcW w:w="821" w:type="pct"/>
            <w:vAlign w:val="center"/>
            <w:hideMark/>
          </w:tcPr>
          <w:p w14:paraId="63380BB7"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Cualitativo</w:t>
            </w:r>
          </w:p>
        </w:tc>
        <w:tc>
          <w:tcPr>
            <w:tcW w:w="753" w:type="pct"/>
            <w:vAlign w:val="center"/>
            <w:hideMark/>
          </w:tcPr>
          <w:p w14:paraId="7826452B" w14:textId="77777777" w:rsidR="00C51607" w:rsidRPr="00D47F75" w:rsidRDefault="00C51607" w:rsidP="005C1607">
            <w:pPr>
              <w:spacing w:after="160" w:line="360" w:lineRule="auto"/>
              <w:jc w:val="center"/>
              <w:rPr>
                <w:rFonts w:ascii="Arial" w:eastAsia="Times New Roman" w:hAnsi="Arial" w:cs="Arial"/>
                <w:bCs/>
                <w:kern w:val="0"/>
                <w:lang w:val="es-419"/>
                <w14:ligatures w14:val="none"/>
              </w:rPr>
            </w:pPr>
            <w:r w:rsidRPr="00D47F75">
              <w:rPr>
                <w:rFonts w:ascii="Arial" w:eastAsia="Times New Roman" w:hAnsi="Arial" w:cs="Arial"/>
                <w:bCs/>
                <w:kern w:val="0"/>
                <w14:ligatures w14:val="none"/>
              </w:rPr>
              <w:t>Entrevistas con auditores, Reportes de implementación.</w:t>
            </w:r>
          </w:p>
        </w:tc>
      </w:tr>
    </w:tbl>
    <w:p w14:paraId="62AFB079" w14:textId="77777777" w:rsidR="00C51607" w:rsidRPr="002012E1" w:rsidRDefault="00C51607" w:rsidP="00C51607">
      <w:pPr>
        <w:spacing w:line="360" w:lineRule="auto"/>
        <w:jc w:val="both"/>
        <w:rPr>
          <w:rFonts w:ascii="Arial" w:eastAsia="Times New Roman" w:hAnsi="Arial" w:cs="Arial"/>
          <w:kern w:val="0"/>
          <w14:ligatures w14:val="none"/>
        </w:rPr>
      </w:pPr>
      <w:r w:rsidRPr="002012E1">
        <w:rPr>
          <w:rFonts w:ascii="Arial" w:eastAsia="Times New Roman" w:hAnsi="Arial" w:cs="Arial"/>
          <w:b/>
          <w:kern w:val="0"/>
          <w14:ligatures w14:val="none"/>
        </w:rPr>
        <w:t xml:space="preserve">Fuente: </w:t>
      </w:r>
      <w:r w:rsidRPr="002012E1">
        <w:rPr>
          <w:rFonts w:ascii="Arial" w:eastAsia="Times New Roman" w:hAnsi="Arial" w:cs="Arial"/>
          <w:kern w:val="0"/>
          <w14:ligatures w14:val="none"/>
        </w:rPr>
        <w:t>Objetivos de la investigación.</w:t>
      </w:r>
      <w:r w:rsidRPr="002012E1">
        <w:rPr>
          <w:rFonts w:ascii="Arial" w:eastAsia="Times New Roman" w:hAnsi="Arial" w:cs="Arial"/>
          <w:b/>
          <w:kern w:val="0"/>
          <w14:ligatures w14:val="none"/>
        </w:rPr>
        <w:t xml:space="preserve"> Elaboración: </w:t>
      </w:r>
      <w:r w:rsidRPr="002012E1">
        <w:rPr>
          <w:rFonts w:ascii="Arial" w:eastAsia="Times New Roman" w:hAnsi="Arial" w:cs="Arial"/>
          <w:kern w:val="0"/>
          <w14:ligatures w14:val="none"/>
        </w:rPr>
        <w:t>Equipo investigador 2024, s. e.</w:t>
      </w:r>
    </w:p>
    <w:p w14:paraId="091205E0" w14:textId="77777777" w:rsidR="00C51607" w:rsidRPr="002012E1" w:rsidRDefault="00C51607" w:rsidP="00C51607">
      <w:pPr>
        <w:pStyle w:val="apanivel3"/>
        <w:rPr>
          <w:rFonts w:ascii="Arial" w:hAnsi="Arial" w:cs="Arial"/>
        </w:rPr>
      </w:pPr>
      <w:bookmarkStart w:id="45" w:name="_Toc201832419"/>
      <w:r w:rsidRPr="002012E1">
        <w:rPr>
          <w:rFonts w:ascii="Arial" w:hAnsi="Arial" w:cs="Arial"/>
        </w:rPr>
        <w:lastRenderedPageBreak/>
        <w:t>Alcances y Limitaciones</w:t>
      </w:r>
      <w:bookmarkEnd w:id="45"/>
    </w:p>
    <w:p w14:paraId="137815C7" w14:textId="5E215635" w:rsidR="00C51607" w:rsidRPr="002012E1" w:rsidRDefault="00C51607" w:rsidP="00C51607">
      <w:pPr>
        <w:spacing w:after="0" w:line="360" w:lineRule="auto"/>
        <w:rPr>
          <w:rFonts w:ascii="Arial" w:eastAsia="Calibri" w:hAnsi="Arial" w:cs="Arial"/>
          <w:b/>
          <w:bCs/>
          <w:i/>
          <w:iCs/>
          <w:kern w:val="0"/>
          <w14:ligatures w14:val="none"/>
        </w:rPr>
      </w:pPr>
      <w:bookmarkStart w:id="46" w:name="_Toc201322506"/>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3</w:t>
      </w:r>
      <w:r w:rsidRPr="002012E1">
        <w:rPr>
          <w:rFonts w:ascii="Arial" w:eastAsia="Calibri" w:hAnsi="Arial" w:cs="Arial"/>
          <w:b/>
          <w:bCs/>
          <w:i/>
          <w:iCs/>
          <w:kern w:val="0"/>
          <w14:ligatures w14:val="none"/>
        </w:rPr>
        <w:fldChar w:fldCharType="end"/>
      </w:r>
      <w:r w:rsidRPr="002012E1">
        <w:rPr>
          <w:rFonts w:ascii="Arial" w:eastAsia="Calibri" w:hAnsi="Arial" w:cs="Arial"/>
          <w:b/>
          <w:bCs/>
          <w:kern w:val="0"/>
          <w14:ligatures w14:val="none"/>
        </w:rPr>
        <w:t xml:space="preserve">. </w:t>
      </w:r>
      <w:r w:rsidRPr="002012E1">
        <w:rPr>
          <w:rFonts w:ascii="Arial" w:eastAsia="Calibri" w:hAnsi="Arial" w:cs="Arial"/>
          <w:b/>
          <w:bCs/>
          <w:i/>
          <w:iCs/>
          <w:kern w:val="0"/>
          <w14:ligatures w14:val="none"/>
        </w:rPr>
        <w:t>Alcances y Limitaciones</w:t>
      </w:r>
      <w:bookmarkEnd w:id="46"/>
    </w:p>
    <w:tbl>
      <w:tblPr>
        <w:tblStyle w:val="Tablaconcuadrcula"/>
        <w:tblW w:w="9067" w:type="dxa"/>
        <w:jc w:val="center"/>
        <w:tblLook w:val="04A0" w:firstRow="1" w:lastRow="0" w:firstColumn="1" w:lastColumn="0" w:noHBand="0" w:noVBand="1"/>
      </w:tblPr>
      <w:tblGrid>
        <w:gridCol w:w="2127"/>
        <w:gridCol w:w="1470"/>
        <w:gridCol w:w="1897"/>
        <w:gridCol w:w="1631"/>
        <w:gridCol w:w="1942"/>
      </w:tblGrid>
      <w:tr w:rsidR="00C51607" w:rsidRPr="002012E1" w14:paraId="2390D3A7" w14:textId="77777777" w:rsidTr="005C1607">
        <w:trPr>
          <w:trHeight w:val="645"/>
          <w:jc w:val="center"/>
        </w:trPr>
        <w:tc>
          <w:tcPr>
            <w:tcW w:w="2127" w:type="dxa"/>
            <w:vAlign w:val="center"/>
            <w:hideMark/>
          </w:tcPr>
          <w:p w14:paraId="00E83E00" w14:textId="77777777" w:rsidR="00C51607" w:rsidRPr="00703506" w:rsidRDefault="00C51607" w:rsidP="005C1607">
            <w:pPr>
              <w:spacing w:after="160" w:line="360" w:lineRule="auto"/>
              <w:jc w:val="center"/>
              <w:rPr>
                <w:rFonts w:ascii="Arial" w:eastAsia="Times New Roman" w:hAnsi="Arial" w:cs="Arial"/>
                <w:b/>
                <w:bCs/>
                <w:kern w:val="0"/>
                <w:lang w:val="es-419"/>
                <w14:ligatures w14:val="none"/>
              </w:rPr>
            </w:pPr>
            <w:r w:rsidRPr="00703506">
              <w:rPr>
                <w:rFonts w:ascii="Arial" w:eastAsia="Times New Roman" w:hAnsi="Arial" w:cs="Arial"/>
                <w:b/>
                <w:bCs/>
                <w:kern w:val="0"/>
                <w14:ligatures w14:val="none"/>
              </w:rPr>
              <w:t>Objetivos</w:t>
            </w:r>
          </w:p>
        </w:tc>
        <w:tc>
          <w:tcPr>
            <w:tcW w:w="1470" w:type="dxa"/>
            <w:vAlign w:val="center"/>
            <w:hideMark/>
          </w:tcPr>
          <w:p w14:paraId="689F3D25" w14:textId="77777777" w:rsidR="00C51607" w:rsidRPr="00703506" w:rsidRDefault="00C51607" w:rsidP="005C1607">
            <w:pPr>
              <w:spacing w:after="160" w:line="360" w:lineRule="auto"/>
              <w:jc w:val="center"/>
              <w:rPr>
                <w:rFonts w:ascii="Arial" w:eastAsia="Times New Roman" w:hAnsi="Arial" w:cs="Arial"/>
                <w:b/>
                <w:bCs/>
                <w:kern w:val="0"/>
                <w:lang w:val="es-419"/>
                <w14:ligatures w14:val="none"/>
              </w:rPr>
            </w:pPr>
            <w:r w:rsidRPr="00703506">
              <w:rPr>
                <w:rFonts w:ascii="Arial" w:eastAsia="Times New Roman" w:hAnsi="Arial" w:cs="Arial"/>
                <w:b/>
                <w:bCs/>
                <w:kern w:val="0"/>
                <w14:ligatures w14:val="none"/>
              </w:rPr>
              <w:t>Variables</w:t>
            </w:r>
          </w:p>
        </w:tc>
        <w:tc>
          <w:tcPr>
            <w:tcW w:w="1897" w:type="dxa"/>
            <w:vAlign w:val="center"/>
            <w:hideMark/>
          </w:tcPr>
          <w:p w14:paraId="3FF9A8A8" w14:textId="77777777" w:rsidR="00C51607" w:rsidRPr="00703506" w:rsidRDefault="00C51607" w:rsidP="005C1607">
            <w:pPr>
              <w:spacing w:after="160" w:line="360" w:lineRule="auto"/>
              <w:jc w:val="center"/>
              <w:rPr>
                <w:rFonts w:ascii="Arial" w:eastAsia="Times New Roman" w:hAnsi="Arial" w:cs="Arial"/>
                <w:b/>
                <w:bCs/>
                <w:kern w:val="0"/>
                <w:lang w:val="es-419"/>
                <w14:ligatures w14:val="none"/>
              </w:rPr>
            </w:pPr>
            <w:r w:rsidRPr="00703506">
              <w:rPr>
                <w:rFonts w:ascii="Arial" w:eastAsia="Times New Roman" w:hAnsi="Arial" w:cs="Arial"/>
                <w:b/>
                <w:bCs/>
                <w:kern w:val="0"/>
                <w14:ligatures w14:val="none"/>
              </w:rPr>
              <w:t>Indicadores</w:t>
            </w:r>
          </w:p>
        </w:tc>
        <w:tc>
          <w:tcPr>
            <w:tcW w:w="1631" w:type="dxa"/>
            <w:vAlign w:val="center"/>
            <w:hideMark/>
          </w:tcPr>
          <w:p w14:paraId="67C80FC4" w14:textId="77777777" w:rsidR="00C51607" w:rsidRPr="00703506" w:rsidRDefault="00C51607" w:rsidP="005C1607">
            <w:pPr>
              <w:spacing w:after="160" w:line="360" w:lineRule="auto"/>
              <w:jc w:val="center"/>
              <w:rPr>
                <w:rFonts w:ascii="Arial" w:eastAsia="Times New Roman" w:hAnsi="Arial" w:cs="Arial"/>
                <w:b/>
                <w:bCs/>
                <w:kern w:val="0"/>
                <w:lang w:val="es-419"/>
                <w14:ligatures w14:val="none"/>
              </w:rPr>
            </w:pPr>
            <w:r w:rsidRPr="00703506">
              <w:rPr>
                <w:rFonts w:ascii="Arial" w:eastAsia="Times New Roman" w:hAnsi="Arial" w:cs="Arial"/>
                <w:b/>
                <w:bCs/>
                <w:kern w:val="0"/>
                <w14:ligatures w14:val="none"/>
              </w:rPr>
              <w:t>Alcances</w:t>
            </w:r>
          </w:p>
        </w:tc>
        <w:tc>
          <w:tcPr>
            <w:tcW w:w="1942" w:type="dxa"/>
            <w:vAlign w:val="center"/>
            <w:hideMark/>
          </w:tcPr>
          <w:p w14:paraId="0111D123" w14:textId="77777777" w:rsidR="00C51607" w:rsidRPr="00703506" w:rsidRDefault="00C51607" w:rsidP="005C1607">
            <w:pPr>
              <w:spacing w:after="160" w:line="360" w:lineRule="auto"/>
              <w:jc w:val="center"/>
              <w:rPr>
                <w:rFonts w:ascii="Arial" w:eastAsia="Times New Roman" w:hAnsi="Arial" w:cs="Arial"/>
                <w:b/>
                <w:bCs/>
                <w:kern w:val="0"/>
                <w:lang w:val="es-419"/>
                <w14:ligatures w14:val="none"/>
              </w:rPr>
            </w:pPr>
            <w:r w:rsidRPr="00703506">
              <w:rPr>
                <w:rFonts w:ascii="Arial" w:eastAsia="Times New Roman" w:hAnsi="Arial" w:cs="Arial"/>
                <w:b/>
                <w:bCs/>
                <w:kern w:val="0"/>
                <w14:ligatures w14:val="none"/>
              </w:rPr>
              <w:t>Limitaciones</w:t>
            </w:r>
          </w:p>
        </w:tc>
      </w:tr>
      <w:tr w:rsidR="00C51607" w:rsidRPr="002012E1" w14:paraId="129DBA2F" w14:textId="77777777" w:rsidTr="005C1607">
        <w:trPr>
          <w:trHeight w:val="3315"/>
          <w:jc w:val="center"/>
        </w:trPr>
        <w:tc>
          <w:tcPr>
            <w:tcW w:w="2127" w:type="dxa"/>
            <w:vMerge w:val="restart"/>
            <w:vAlign w:val="center"/>
            <w:hideMark/>
          </w:tcPr>
          <w:p w14:paraId="06148065"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Investigar los productos financieros de deuda, acciones y alternativos (activos y pasivos) para comprender sus características principales y su impacto en las estrategias de inversión.</w:t>
            </w:r>
          </w:p>
        </w:tc>
        <w:tc>
          <w:tcPr>
            <w:tcW w:w="1470" w:type="dxa"/>
            <w:vMerge w:val="restart"/>
            <w:vAlign w:val="center"/>
            <w:hideMark/>
          </w:tcPr>
          <w:p w14:paraId="5B8E4FA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kern w:val="0"/>
                <w14:ligatures w14:val="none"/>
              </w:rPr>
              <w:t xml:space="preserve">3.1. </w:t>
            </w:r>
            <w:r w:rsidRPr="00703506">
              <w:rPr>
                <w:rFonts w:ascii="Arial" w:eastAsia="Times New Roman" w:hAnsi="Arial" w:cs="Arial"/>
                <w:kern w:val="0"/>
                <w14:ligatures w14:val="none"/>
              </w:rPr>
              <w:t>Productos Financieros de Deuda, Acciones y Alternativos</w:t>
            </w:r>
          </w:p>
        </w:tc>
        <w:tc>
          <w:tcPr>
            <w:tcW w:w="1897" w:type="dxa"/>
            <w:vAlign w:val="center"/>
            <w:hideMark/>
          </w:tcPr>
          <w:p w14:paraId="7D93DC7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3.1.1. </w:t>
            </w:r>
            <w:r w:rsidRPr="002012E1">
              <w:rPr>
                <w:rFonts w:ascii="Arial" w:eastAsia="Times New Roman" w:hAnsi="Arial" w:cs="Arial"/>
                <w:bCs/>
                <w:kern w:val="0"/>
                <w14:ligatures w14:val="none"/>
              </w:rPr>
              <w:t>Características de productos de deuda, acciones y alternativos.</w:t>
            </w:r>
          </w:p>
        </w:tc>
        <w:tc>
          <w:tcPr>
            <w:tcW w:w="1631" w:type="dxa"/>
            <w:vAlign w:val="center"/>
            <w:hideMark/>
          </w:tcPr>
          <w:p w14:paraId="2C7E2C0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Facilita la comprensión de cómo estos productos afectan las estrategias de inversión de los fondos de pensiones.</w:t>
            </w:r>
          </w:p>
        </w:tc>
        <w:tc>
          <w:tcPr>
            <w:tcW w:w="1942" w:type="dxa"/>
            <w:vMerge w:val="restart"/>
            <w:vAlign w:val="center"/>
            <w:hideMark/>
          </w:tcPr>
          <w:p w14:paraId="7F6CF91D"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La disponibilidad y calidad de información sobre productos alternativos puede ser limitada o poco estandarizada, dificultando un análisis exhaustivo. Además, la volatilidad y complejidad de algunos productos alternativos pueden generar incertidumbre en la valoración y comparación.</w:t>
            </w:r>
          </w:p>
        </w:tc>
      </w:tr>
      <w:tr w:rsidR="00C51607" w:rsidRPr="002012E1" w14:paraId="483B4D34" w14:textId="77777777" w:rsidTr="005C1607">
        <w:trPr>
          <w:trHeight w:val="2715"/>
          <w:jc w:val="center"/>
        </w:trPr>
        <w:tc>
          <w:tcPr>
            <w:tcW w:w="2127" w:type="dxa"/>
            <w:vMerge/>
            <w:vAlign w:val="center"/>
            <w:hideMark/>
          </w:tcPr>
          <w:p w14:paraId="47FC5F3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37DE698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6A83F726"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3.1.2. </w:t>
            </w:r>
            <w:r w:rsidRPr="00D47F75">
              <w:rPr>
                <w:rFonts w:ascii="Arial" w:eastAsia="Times New Roman" w:hAnsi="Arial" w:cs="Arial"/>
                <w:bCs/>
                <w:kern w:val="0"/>
                <w14:ligatures w14:val="none"/>
              </w:rPr>
              <w:t xml:space="preserve">Impacto </w:t>
            </w:r>
            <w:r>
              <w:rPr>
                <w:rFonts w:ascii="Arial" w:eastAsia="Times New Roman" w:hAnsi="Arial" w:cs="Arial"/>
                <w:bCs/>
                <w:kern w:val="0"/>
                <w14:ligatures w14:val="none"/>
              </w:rPr>
              <w:t>a los</w:t>
            </w:r>
            <w:r w:rsidRPr="00D47F75">
              <w:rPr>
                <w:rFonts w:ascii="Arial" w:eastAsia="Times New Roman" w:hAnsi="Arial" w:cs="Arial"/>
                <w:bCs/>
                <w:kern w:val="0"/>
                <w14:ligatures w14:val="none"/>
              </w:rPr>
              <w:t xml:space="preserve"> productos en las estrategias de inversión.</w:t>
            </w:r>
          </w:p>
        </w:tc>
        <w:tc>
          <w:tcPr>
            <w:tcW w:w="1631" w:type="dxa"/>
            <w:vAlign w:val="center"/>
            <w:hideMark/>
          </w:tcPr>
          <w:p w14:paraId="63AD5E18"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Permite analizar cómo la inclusión de estos productos influye en las decisiones de inversión.</w:t>
            </w:r>
          </w:p>
        </w:tc>
        <w:tc>
          <w:tcPr>
            <w:tcW w:w="1942" w:type="dxa"/>
            <w:vMerge/>
            <w:vAlign w:val="center"/>
            <w:hideMark/>
          </w:tcPr>
          <w:p w14:paraId="0CFFB123"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r w:rsidR="00C51607" w:rsidRPr="002012E1" w14:paraId="13D7CACF" w14:textId="77777777" w:rsidTr="005C1607">
        <w:trPr>
          <w:trHeight w:val="2115"/>
          <w:jc w:val="center"/>
        </w:trPr>
        <w:tc>
          <w:tcPr>
            <w:tcW w:w="2127" w:type="dxa"/>
            <w:vMerge/>
            <w:vAlign w:val="center"/>
            <w:hideMark/>
          </w:tcPr>
          <w:p w14:paraId="260D944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71FEB0E6"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52D55579"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3.1.3. </w:t>
            </w:r>
            <w:r w:rsidRPr="00D47F75">
              <w:rPr>
                <w:rFonts w:ascii="Arial" w:eastAsia="Times New Roman" w:hAnsi="Arial" w:cs="Arial"/>
                <w:bCs/>
                <w:kern w:val="0"/>
                <w14:ligatures w14:val="none"/>
              </w:rPr>
              <w:t>Nivel de riesgo asociado a cada tipo de producto financiero.</w:t>
            </w:r>
          </w:p>
        </w:tc>
        <w:tc>
          <w:tcPr>
            <w:tcW w:w="1631" w:type="dxa"/>
            <w:vAlign w:val="center"/>
            <w:hideMark/>
          </w:tcPr>
          <w:p w14:paraId="5D3CEEC7"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 xml:space="preserve">Ayuda a identificar los niveles de riesgo para mejorar la </w:t>
            </w:r>
            <w:r w:rsidRPr="00703506">
              <w:rPr>
                <w:rFonts w:ascii="Arial" w:eastAsia="Times New Roman" w:hAnsi="Arial" w:cs="Arial"/>
                <w:kern w:val="0"/>
                <w14:ligatures w14:val="none"/>
              </w:rPr>
              <w:lastRenderedPageBreak/>
              <w:t>gestión del portafolio.</w:t>
            </w:r>
          </w:p>
        </w:tc>
        <w:tc>
          <w:tcPr>
            <w:tcW w:w="1942" w:type="dxa"/>
            <w:vMerge/>
            <w:vAlign w:val="center"/>
            <w:hideMark/>
          </w:tcPr>
          <w:p w14:paraId="05A130B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r w:rsidR="00C51607" w:rsidRPr="002012E1" w14:paraId="39A13033" w14:textId="77777777" w:rsidTr="005C1607">
        <w:trPr>
          <w:trHeight w:val="2415"/>
          <w:jc w:val="center"/>
        </w:trPr>
        <w:tc>
          <w:tcPr>
            <w:tcW w:w="2127" w:type="dxa"/>
            <w:vMerge w:val="restart"/>
            <w:vAlign w:val="center"/>
            <w:hideMark/>
          </w:tcPr>
          <w:p w14:paraId="588C1C3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Identificar las inversiones alternativas que forman parte de los portafolios de los fondos de pensiones en Costa Rica para la clasificación de éstas según su naturaleza y características.</w:t>
            </w:r>
          </w:p>
        </w:tc>
        <w:tc>
          <w:tcPr>
            <w:tcW w:w="1470" w:type="dxa"/>
            <w:vMerge w:val="restart"/>
            <w:vAlign w:val="center"/>
            <w:hideMark/>
          </w:tcPr>
          <w:p w14:paraId="12248DC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kern w:val="0"/>
                <w14:ligatures w14:val="none"/>
              </w:rPr>
              <w:t>3.2. Productos o I</w:t>
            </w:r>
            <w:r w:rsidRPr="00703506">
              <w:rPr>
                <w:rFonts w:ascii="Arial" w:eastAsia="Times New Roman" w:hAnsi="Arial" w:cs="Arial"/>
                <w:kern w:val="0"/>
                <w14:ligatures w14:val="none"/>
              </w:rPr>
              <w:t>nversiones Alternativas</w:t>
            </w:r>
          </w:p>
        </w:tc>
        <w:tc>
          <w:tcPr>
            <w:tcW w:w="1897" w:type="dxa"/>
            <w:vAlign w:val="center"/>
            <w:hideMark/>
          </w:tcPr>
          <w:p w14:paraId="1F60E769"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3.2.1. </w:t>
            </w:r>
            <w:r w:rsidRPr="00D47F75">
              <w:rPr>
                <w:rFonts w:ascii="Arial" w:eastAsia="Times New Roman" w:hAnsi="Arial" w:cs="Arial"/>
                <w:bCs/>
                <w:kern w:val="0"/>
                <w14:ligatures w14:val="none"/>
              </w:rPr>
              <w:t>Tipos de inversiones alternativas en los portafolios de pensiones</w:t>
            </w:r>
          </w:p>
        </w:tc>
        <w:tc>
          <w:tcPr>
            <w:tcW w:w="1631" w:type="dxa"/>
            <w:vAlign w:val="center"/>
            <w:hideMark/>
          </w:tcPr>
          <w:p w14:paraId="639A7D3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Permite identificar los tipos de inversiones alternativas utilizadas en los portafolios.</w:t>
            </w:r>
          </w:p>
        </w:tc>
        <w:tc>
          <w:tcPr>
            <w:tcW w:w="1942" w:type="dxa"/>
            <w:vMerge w:val="restart"/>
            <w:vAlign w:val="center"/>
            <w:hideMark/>
          </w:tcPr>
          <w:p w14:paraId="38C35BB0"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lang w:val="es-419"/>
                <w14:ligatures w14:val="none"/>
              </w:rPr>
              <w:t>La falta de registros contables detallados y estandarizados para inversiones alternativas en Costa Rica puede generar inconsistencias en la clasificación y análisis. También puede existir poca transparencia en la información reportada por las operadoras.</w:t>
            </w:r>
          </w:p>
        </w:tc>
      </w:tr>
      <w:tr w:rsidR="00C51607" w:rsidRPr="002012E1" w14:paraId="0BCDF139" w14:textId="77777777" w:rsidTr="005C1607">
        <w:trPr>
          <w:trHeight w:val="2415"/>
          <w:jc w:val="center"/>
        </w:trPr>
        <w:tc>
          <w:tcPr>
            <w:tcW w:w="2127" w:type="dxa"/>
            <w:vMerge/>
            <w:vAlign w:val="center"/>
            <w:hideMark/>
          </w:tcPr>
          <w:p w14:paraId="77C2F661"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0D72EFF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0D6D5D0F"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3.2.2. </w:t>
            </w:r>
            <w:r w:rsidRPr="00D47F75">
              <w:rPr>
                <w:rFonts w:ascii="Arial" w:eastAsia="Times New Roman" w:hAnsi="Arial" w:cs="Arial"/>
                <w:bCs/>
                <w:kern w:val="0"/>
                <w14:ligatures w14:val="none"/>
              </w:rPr>
              <w:t>Características de las inversiones alternativas en los portafolios de pensiones</w:t>
            </w:r>
          </w:p>
        </w:tc>
        <w:tc>
          <w:tcPr>
            <w:tcW w:w="1631" w:type="dxa"/>
            <w:vAlign w:val="center"/>
            <w:hideMark/>
          </w:tcPr>
          <w:p w14:paraId="3797B901"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Facilitan el análisis de la magnitud de las inversiones alternativas dentro de los portafolios.</w:t>
            </w:r>
          </w:p>
        </w:tc>
        <w:tc>
          <w:tcPr>
            <w:tcW w:w="1942" w:type="dxa"/>
            <w:vMerge/>
            <w:vAlign w:val="center"/>
            <w:hideMark/>
          </w:tcPr>
          <w:p w14:paraId="52A129D0"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r w:rsidR="00C51607" w:rsidRPr="002012E1" w14:paraId="3D45EA5C" w14:textId="77777777" w:rsidTr="005C1607">
        <w:trPr>
          <w:trHeight w:val="3015"/>
          <w:jc w:val="center"/>
        </w:trPr>
        <w:tc>
          <w:tcPr>
            <w:tcW w:w="2127" w:type="dxa"/>
            <w:vMerge/>
            <w:vAlign w:val="center"/>
            <w:hideMark/>
          </w:tcPr>
          <w:p w14:paraId="76ABD751"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397046C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2358CA11"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3.2.3. </w:t>
            </w:r>
            <w:r w:rsidRPr="00D47F75">
              <w:rPr>
                <w:rFonts w:ascii="Arial" w:eastAsia="Times New Roman" w:hAnsi="Arial" w:cs="Arial"/>
                <w:bCs/>
                <w:kern w:val="0"/>
                <w14:ligatures w14:val="none"/>
              </w:rPr>
              <w:t>Rentabilidad de las inversiones alternativas.</w:t>
            </w:r>
          </w:p>
        </w:tc>
        <w:tc>
          <w:tcPr>
            <w:tcW w:w="1631" w:type="dxa"/>
            <w:vAlign w:val="center"/>
            <w:hideMark/>
          </w:tcPr>
          <w:p w14:paraId="204CAC5E"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Permite comparar el rendimiento de las inversiones alternativas frente a los instrumentos tradicionales.</w:t>
            </w:r>
          </w:p>
        </w:tc>
        <w:tc>
          <w:tcPr>
            <w:tcW w:w="1942" w:type="dxa"/>
            <w:vMerge/>
            <w:vAlign w:val="center"/>
            <w:hideMark/>
          </w:tcPr>
          <w:p w14:paraId="387D62D9"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r w:rsidR="00C51607" w:rsidRPr="002012E1" w14:paraId="6E94B38A" w14:textId="77777777" w:rsidTr="005C1607">
        <w:trPr>
          <w:trHeight w:val="2415"/>
          <w:jc w:val="center"/>
        </w:trPr>
        <w:tc>
          <w:tcPr>
            <w:tcW w:w="2127" w:type="dxa"/>
            <w:vMerge w:val="restart"/>
            <w:vAlign w:val="center"/>
            <w:hideMark/>
          </w:tcPr>
          <w:p w14:paraId="3E3CA8D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lastRenderedPageBreak/>
              <w:t>Examinar la normativa vigente relacionada con la contabilidad y la gestión de fondos de pensiones en Costa Rica, así como los lineamientos de NIIF 9 y NIC 39, para la identificación de los tipos de registros contables y su ajuste según la normativa costarricense.</w:t>
            </w:r>
          </w:p>
        </w:tc>
        <w:tc>
          <w:tcPr>
            <w:tcW w:w="1470" w:type="dxa"/>
            <w:vMerge w:val="restart"/>
            <w:vAlign w:val="center"/>
            <w:hideMark/>
          </w:tcPr>
          <w:p w14:paraId="3826C6CE"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kern w:val="0"/>
                <w14:ligatures w14:val="none"/>
              </w:rPr>
              <w:t xml:space="preserve">3.3. </w:t>
            </w:r>
            <w:r w:rsidRPr="00703506">
              <w:rPr>
                <w:rFonts w:ascii="Arial" w:eastAsia="Times New Roman" w:hAnsi="Arial" w:cs="Arial"/>
                <w:kern w:val="0"/>
                <w14:ligatures w14:val="none"/>
              </w:rPr>
              <w:t>Normativa Contable</w:t>
            </w:r>
          </w:p>
        </w:tc>
        <w:tc>
          <w:tcPr>
            <w:tcW w:w="1897" w:type="dxa"/>
            <w:vAlign w:val="center"/>
            <w:hideMark/>
          </w:tcPr>
          <w:p w14:paraId="42A5A03B"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3.3.1. </w:t>
            </w:r>
            <w:r w:rsidRPr="00D47F75">
              <w:rPr>
                <w:rFonts w:ascii="Arial" w:eastAsia="Times New Roman" w:hAnsi="Arial" w:cs="Arial"/>
                <w:bCs/>
                <w:kern w:val="0"/>
                <w14:ligatures w14:val="none"/>
              </w:rPr>
              <w:t>Conformidad de la normativa con NIIF 9 y NIC 39.</w:t>
            </w:r>
          </w:p>
        </w:tc>
        <w:tc>
          <w:tcPr>
            <w:tcW w:w="1631" w:type="dxa"/>
            <w:vAlign w:val="center"/>
            <w:hideMark/>
          </w:tcPr>
          <w:p w14:paraId="6700D7A4"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Permite evaluar si la propuesta de registro contable está alineada con la normativa vigente</w:t>
            </w:r>
          </w:p>
        </w:tc>
        <w:tc>
          <w:tcPr>
            <w:tcW w:w="1942" w:type="dxa"/>
            <w:vMerge w:val="restart"/>
            <w:vAlign w:val="center"/>
            <w:hideMark/>
          </w:tcPr>
          <w:p w14:paraId="265D911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lang w:val="es-419"/>
                <w14:ligatures w14:val="none"/>
              </w:rPr>
              <w:t>La normativa vigente puede presentar lagunas o falta de adaptación específica para inversiones alternativas, generando ambigüedades en su aplicación. La implementación práctica de las normativas puede variar entre operadoras, afectando la comparabilidad y transparencia.</w:t>
            </w:r>
          </w:p>
        </w:tc>
      </w:tr>
      <w:tr w:rsidR="00C51607" w:rsidRPr="002012E1" w14:paraId="3EF095A2" w14:textId="77777777" w:rsidTr="005C1607">
        <w:trPr>
          <w:trHeight w:val="3615"/>
          <w:jc w:val="center"/>
        </w:trPr>
        <w:tc>
          <w:tcPr>
            <w:tcW w:w="2127" w:type="dxa"/>
            <w:vMerge/>
            <w:vAlign w:val="center"/>
            <w:hideMark/>
          </w:tcPr>
          <w:p w14:paraId="59B8A334"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1B59D54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605831B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3.3.2. </w:t>
            </w:r>
            <w:r w:rsidRPr="00D47F75">
              <w:rPr>
                <w:rFonts w:ascii="Arial" w:eastAsia="Times New Roman" w:hAnsi="Arial" w:cs="Arial"/>
                <w:bCs/>
                <w:kern w:val="0"/>
                <w14:ligatures w14:val="none"/>
              </w:rPr>
              <w:t>Identificación de los límites y desafíos de la normativa contable vigente.</w:t>
            </w:r>
          </w:p>
        </w:tc>
        <w:tc>
          <w:tcPr>
            <w:tcW w:w="1631" w:type="dxa"/>
            <w:vAlign w:val="center"/>
            <w:hideMark/>
          </w:tcPr>
          <w:p w14:paraId="32788F1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Identifica los límites de la normativa actual y las áreas que necesitan ajustes para mejorar la contabilidad de las inversiones alternativas.</w:t>
            </w:r>
          </w:p>
        </w:tc>
        <w:tc>
          <w:tcPr>
            <w:tcW w:w="1942" w:type="dxa"/>
            <w:vMerge/>
            <w:vAlign w:val="center"/>
            <w:hideMark/>
          </w:tcPr>
          <w:p w14:paraId="5616ACD0"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r w:rsidR="00C51607" w:rsidRPr="002012E1" w14:paraId="58DBE4E1" w14:textId="77777777" w:rsidTr="005C1607">
        <w:trPr>
          <w:trHeight w:val="850"/>
          <w:jc w:val="center"/>
        </w:trPr>
        <w:tc>
          <w:tcPr>
            <w:tcW w:w="2127" w:type="dxa"/>
            <w:vMerge/>
            <w:vAlign w:val="center"/>
            <w:hideMark/>
          </w:tcPr>
          <w:p w14:paraId="2EA93B2C"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470" w:type="dxa"/>
            <w:vMerge/>
            <w:vAlign w:val="center"/>
            <w:hideMark/>
          </w:tcPr>
          <w:p w14:paraId="2D4FE03A"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c>
          <w:tcPr>
            <w:tcW w:w="1897" w:type="dxa"/>
            <w:vAlign w:val="center"/>
            <w:hideMark/>
          </w:tcPr>
          <w:p w14:paraId="6C59D15B"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Pr>
                <w:rFonts w:ascii="Arial" w:eastAsia="Times New Roman" w:hAnsi="Arial" w:cs="Arial"/>
                <w:bCs/>
                <w:kern w:val="0"/>
                <w14:ligatures w14:val="none"/>
              </w:rPr>
              <w:t xml:space="preserve">3.3.3. </w:t>
            </w:r>
            <w:r w:rsidRPr="00D47F75">
              <w:rPr>
                <w:rFonts w:ascii="Arial" w:eastAsia="Times New Roman" w:hAnsi="Arial" w:cs="Arial"/>
                <w:bCs/>
                <w:kern w:val="0"/>
                <w14:ligatures w14:val="none"/>
              </w:rPr>
              <w:t>Eficiencia de la implementación de las normativas contables en los fondos de pensiones.</w:t>
            </w:r>
          </w:p>
        </w:tc>
        <w:tc>
          <w:tcPr>
            <w:tcW w:w="1631" w:type="dxa"/>
            <w:vAlign w:val="center"/>
            <w:hideMark/>
          </w:tcPr>
          <w:p w14:paraId="4CC18A6B"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r w:rsidRPr="00703506">
              <w:rPr>
                <w:rFonts w:ascii="Arial" w:eastAsia="Times New Roman" w:hAnsi="Arial" w:cs="Arial"/>
                <w:kern w:val="0"/>
                <w14:ligatures w14:val="none"/>
              </w:rPr>
              <w:t xml:space="preserve">Permite evaluar el grado de cumplimiento y adaptación de los fondos de pensiones a las </w:t>
            </w:r>
            <w:r w:rsidRPr="00703506">
              <w:rPr>
                <w:rFonts w:ascii="Arial" w:eastAsia="Times New Roman" w:hAnsi="Arial" w:cs="Arial"/>
                <w:kern w:val="0"/>
                <w14:ligatures w14:val="none"/>
              </w:rPr>
              <w:lastRenderedPageBreak/>
              <w:t>normativas vigentes.</w:t>
            </w:r>
          </w:p>
        </w:tc>
        <w:tc>
          <w:tcPr>
            <w:tcW w:w="1942" w:type="dxa"/>
            <w:vMerge/>
            <w:vAlign w:val="center"/>
            <w:hideMark/>
          </w:tcPr>
          <w:p w14:paraId="37E7F62D" w14:textId="77777777" w:rsidR="00C51607" w:rsidRPr="00703506" w:rsidRDefault="00C51607" w:rsidP="005C1607">
            <w:pPr>
              <w:spacing w:after="160" w:line="360" w:lineRule="auto"/>
              <w:jc w:val="center"/>
              <w:rPr>
                <w:rFonts w:ascii="Arial" w:eastAsia="Times New Roman" w:hAnsi="Arial" w:cs="Arial"/>
                <w:kern w:val="0"/>
                <w:lang w:val="es-419"/>
                <w14:ligatures w14:val="none"/>
              </w:rPr>
            </w:pPr>
          </w:p>
        </w:tc>
      </w:tr>
    </w:tbl>
    <w:p w14:paraId="06E85EFD" w14:textId="77777777" w:rsidR="00C51607" w:rsidRPr="002012E1" w:rsidRDefault="00C51607" w:rsidP="00C51607">
      <w:pPr>
        <w:spacing w:line="360" w:lineRule="auto"/>
        <w:jc w:val="both"/>
        <w:rPr>
          <w:rFonts w:ascii="Arial" w:eastAsia="Times New Roman" w:hAnsi="Arial" w:cs="Arial"/>
          <w:b/>
          <w:kern w:val="0"/>
          <w14:ligatures w14:val="none"/>
        </w:rPr>
      </w:pPr>
      <w:r w:rsidRPr="002012E1">
        <w:rPr>
          <w:rFonts w:ascii="Arial" w:eastAsia="Times New Roman" w:hAnsi="Arial" w:cs="Arial"/>
          <w:b/>
          <w:kern w:val="0"/>
          <w14:ligatures w14:val="none"/>
        </w:rPr>
        <w:t xml:space="preserve">Fuente: </w:t>
      </w:r>
      <w:r w:rsidRPr="002012E1">
        <w:rPr>
          <w:rFonts w:ascii="Arial" w:eastAsia="Times New Roman" w:hAnsi="Arial" w:cs="Arial"/>
          <w:kern w:val="0"/>
          <w14:ligatures w14:val="none"/>
        </w:rPr>
        <w:t>Objetivos de la investigación.</w:t>
      </w:r>
      <w:r w:rsidRPr="002012E1">
        <w:rPr>
          <w:rFonts w:ascii="Arial" w:eastAsia="Times New Roman" w:hAnsi="Arial" w:cs="Arial"/>
          <w:b/>
          <w:kern w:val="0"/>
          <w14:ligatures w14:val="none"/>
        </w:rPr>
        <w:t xml:space="preserve"> Elaboración: </w:t>
      </w:r>
      <w:r w:rsidRPr="002012E1">
        <w:rPr>
          <w:rFonts w:ascii="Arial" w:eastAsia="Times New Roman" w:hAnsi="Arial" w:cs="Arial"/>
          <w:kern w:val="0"/>
          <w14:ligatures w14:val="none"/>
        </w:rPr>
        <w:t>Equipo investigador 2024, s. e.</w:t>
      </w:r>
    </w:p>
    <w:p w14:paraId="1B90BBD2" w14:textId="77777777" w:rsidR="00C51607" w:rsidRPr="002012E1" w:rsidRDefault="00C51607" w:rsidP="00C51607">
      <w:pPr>
        <w:spacing w:after="0" w:line="360" w:lineRule="auto"/>
        <w:rPr>
          <w:rFonts w:ascii="Arial" w:eastAsia="Calibri" w:hAnsi="Arial" w:cs="Arial"/>
          <w:kern w:val="0"/>
          <w14:ligatures w14:val="none"/>
        </w:rPr>
      </w:pPr>
    </w:p>
    <w:p w14:paraId="1A822BB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el contexto de los fondos de pensiones en Costa Rica, la falta de un sistema de registro contable robusto y adaptable para productos de inversión alternativos destaca como un problema. </w:t>
      </w:r>
    </w:p>
    <w:p w14:paraId="0ED345A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A23C00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regulación actual no contempla adecuadamente estas nuevas opciones de inversión, lo que genera falta de conocimiento, pérdidas de oportunidades y desactualización del mercado, este estudio propone desarrollar un modelo de registro contable que de cierto modo logré cerrar esta brecha, en base de las experiencias internacionales y adaptándolas al contexto costarricense.</w:t>
      </w:r>
    </w:p>
    <w:p w14:paraId="288BAF41" w14:textId="77777777" w:rsidR="00C51607" w:rsidRPr="002012E1" w:rsidRDefault="00C51607" w:rsidP="00C51607">
      <w:pPr>
        <w:spacing w:after="0" w:line="360" w:lineRule="auto"/>
        <w:rPr>
          <w:rFonts w:ascii="Arial" w:eastAsia="Calibri" w:hAnsi="Arial" w:cs="Arial"/>
          <w:kern w:val="0"/>
          <w14:ligatures w14:val="none"/>
        </w:rPr>
        <w:sectPr w:rsidR="00C51607" w:rsidRPr="002012E1" w:rsidSect="00C51607">
          <w:headerReference w:type="default" r:id="rId15"/>
          <w:footerReference w:type="default" r:id="rId16"/>
          <w:pgSz w:w="12240" w:h="15840"/>
          <w:pgMar w:top="1417" w:right="1701" w:bottom="1417" w:left="1701" w:header="708" w:footer="708" w:gutter="0"/>
          <w:pgNumType w:start="2"/>
          <w:cols w:space="708"/>
          <w:docGrid w:linePitch="360"/>
        </w:sectPr>
      </w:pPr>
    </w:p>
    <w:p w14:paraId="11CF261C"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kern w:val="36"/>
          <w:sz w:val="40"/>
          <w:szCs w:val="40"/>
          <w:lang w:eastAsia="es-CR"/>
          <w14:ligatures w14:val="none"/>
        </w:rPr>
        <w:sectPr w:rsidR="00C51607" w:rsidRPr="002012E1" w:rsidSect="00C51607">
          <w:headerReference w:type="first" r:id="rId17"/>
          <w:footerReference w:type="first" r:id="rId18"/>
          <w:pgSz w:w="12240" w:h="15840"/>
          <w:pgMar w:top="1417" w:right="1701" w:bottom="1417" w:left="1701" w:header="709" w:footer="709" w:gutter="0"/>
          <w:cols w:space="708"/>
          <w:vAlign w:val="center"/>
          <w:titlePg/>
          <w:docGrid w:linePitch="360"/>
        </w:sectPr>
      </w:pPr>
      <w:bookmarkStart w:id="47" w:name="_Toc201832420"/>
      <w:r w:rsidRPr="002012E1">
        <w:rPr>
          <w:rFonts w:ascii="Arial" w:eastAsia="Times New Roman" w:hAnsi="Arial" w:cs="Arial"/>
          <w:b/>
          <w:bCs/>
          <w:kern w:val="36"/>
          <w:sz w:val="40"/>
          <w:szCs w:val="40"/>
          <w:lang w:eastAsia="es-CR"/>
          <w14:ligatures w14:val="none"/>
        </w:rPr>
        <w:lastRenderedPageBreak/>
        <w:t>CAPÍTULO II. MARCO REFERENCIAL</w:t>
      </w:r>
      <w:bookmarkEnd w:id="47"/>
    </w:p>
    <w:p w14:paraId="52F5BD50" w14:textId="77777777" w:rsidR="00C51607" w:rsidRPr="002012E1" w:rsidRDefault="00C51607" w:rsidP="00C51607">
      <w:pPr>
        <w:pStyle w:val="apanivel1"/>
        <w:jc w:val="center"/>
      </w:pPr>
      <w:bookmarkStart w:id="48" w:name="_Toc196485424"/>
      <w:bookmarkStart w:id="49" w:name="_Toc201832421"/>
      <w:r w:rsidRPr="002012E1">
        <w:lastRenderedPageBreak/>
        <w:t>Capitulo II: Marco Referencial</w:t>
      </w:r>
      <w:bookmarkEnd w:id="48"/>
      <w:bookmarkEnd w:id="49"/>
    </w:p>
    <w:p w14:paraId="386C884B" w14:textId="77777777" w:rsidR="00C51607" w:rsidRPr="002012E1" w:rsidRDefault="00C51607" w:rsidP="00C51607">
      <w:pPr>
        <w:pStyle w:val="apanivel2"/>
        <w:rPr>
          <w:rFonts w:ascii="Arial" w:hAnsi="Arial" w:cs="Arial"/>
        </w:rPr>
      </w:pPr>
      <w:bookmarkStart w:id="50" w:name="_Toc201832422"/>
      <w:r w:rsidRPr="002012E1">
        <w:rPr>
          <w:rFonts w:ascii="Arial" w:hAnsi="Arial" w:cs="Arial"/>
        </w:rPr>
        <w:t>Marco Institucional</w:t>
      </w:r>
      <w:bookmarkEnd w:id="50"/>
      <w:r w:rsidRPr="002012E1">
        <w:rPr>
          <w:rFonts w:ascii="Arial" w:hAnsi="Arial" w:cs="Arial"/>
        </w:rPr>
        <w:t xml:space="preserve"> </w:t>
      </w:r>
    </w:p>
    <w:p w14:paraId="36B5841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la presente sección se desarrolla el marco institucional de la SUPEN basado en la información de su página web oficial: </w:t>
      </w:r>
    </w:p>
    <w:p w14:paraId="6C99D7FF" w14:textId="0462A331" w:rsidR="00C51607" w:rsidRPr="002012E1" w:rsidRDefault="00C51607" w:rsidP="00C51607">
      <w:pPr>
        <w:spacing w:before="240" w:after="240" w:line="360" w:lineRule="auto"/>
        <w:ind w:firstLine="720"/>
        <w:jc w:val="both"/>
        <w:rPr>
          <w:rFonts w:ascii="Arial" w:eastAsia="Times New Roman" w:hAnsi="Arial" w:cs="Arial"/>
          <w:b/>
          <w:i/>
          <w:iCs/>
          <w:color w:val="000000"/>
          <w:kern w:val="0"/>
          <w14:ligatures w14:val="none"/>
        </w:rPr>
      </w:pPr>
      <w:bookmarkStart w:id="51" w:name="_Toc201322507"/>
      <w:r w:rsidRPr="002012E1">
        <w:rPr>
          <w:rFonts w:ascii="Arial" w:eastAsia="Calibri" w:hAnsi="Arial" w:cs="Arial"/>
          <w:b/>
          <w:bCs/>
          <w:i/>
          <w:i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4</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Marco Institucional</w:t>
      </w:r>
      <w:bookmarkEnd w:id="51"/>
      <w:r w:rsidRPr="002012E1">
        <w:rPr>
          <w:rFonts w:ascii="Arial" w:eastAsia="Times New Roman" w:hAnsi="Arial" w:cs="Arial"/>
          <w:b/>
          <w:i/>
          <w:iCs/>
          <w:color w:val="000000"/>
          <w:kern w:val="0"/>
          <w14:ligatures w14:val="none"/>
        </w:rPr>
        <w:t xml:space="preserve"> </w:t>
      </w:r>
    </w:p>
    <w:tbl>
      <w:tblPr>
        <w:tblW w:w="88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6864"/>
      </w:tblGrid>
      <w:tr w:rsidR="00C51607" w:rsidRPr="002012E1" w14:paraId="366E471B" w14:textId="77777777" w:rsidTr="005C1607">
        <w:trPr>
          <w:trHeight w:val="1474"/>
        </w:trPr>
        <w:tc>
          <w:tcPr>
            <w:tcW w:w="1975" w:type="dxa"/>
            <w:shd w:val="clear" w:color="auto" w:fill="auto"/>
            <w:tcMar>
              <w:top w:w="100" w:type="dxa"/>
              <w:left w:w="100" w:type="dxa"/>
              <w:bottom w:w="100" w:type="dxa"/>
              <w:right w:w="100" w:type="dxa"/>
            </w:tcMar>
            <w:vAlign w:val="center"/>
          </w:tcPr>
          <w:p w14:paraId="650049D2" w14:textId="77777777" w:rsidR="00C51607" w:rsidRPr="002012E1" w:rsidRDefault="00C51607" w:rsidP="005C1607">
            <w:pPr>
              <w:widowControl w:val="0"/>
              <w:pBdr>
                <w:top w:val="nil"/>
                <w:left w:val="nil"/>
                <w:bottom w:val="nil"/>
                <w:right w:val="nil"/>
                <w:between w:val="nil"/>
              </w:pBdr>
              <w:spacing w:after="0" w:line="360" w:lineRule="auto"/>
              <w:jc w:val="center"/>
              <w:rPr>
                <w:rFonts w:ascii="Arial" w:eastAsia="Times New Roman" w:hAnsi="Arial" w:cs="Arial"/>
                <w:b/>
                <w:color w:val="000000"/>
                <w:kern w:val="0"/>
                <w14:ligatures w14:val="none"/>
              </w:rPr>
            </w:pPr>
            <w:bookmarkStart w:id="52" w:name="_heading=h.gjdgxs" w:colFirst="0" w:colLast="0"/>
            <w:bookmarkEnd w:id="52"/>
            <w:r w:rsidRPr="002012E1">
              <w:rPr>
                <w:rFonts w:ascii="Arial" w:eastAsia="Times New Roman" w:hAnsi="Arial" w:cs="Arial"/>
                <w:b/>
                <w:color w:val="000000"/>
                <w:kern w:val="0"/>
                <w14:ligatures w14:val="none"/>
              </w:rPr>
              <w:t>Misión</w:t>
            </w:r>
          </w:p>
        </w:tc>
        <w:tc>
          <w:tcPr>
            <w:tcW w:w="6864" w:type="dxa"/>
            <w:shd w:val="clear" w:color="auto" w:fill="auto"/>
            <w:tcMar>
              <w:top w:w="100" w:type="dxa"/>
              <w:left w:w="100" w:type="dxa"/>
              <w:bottom w:w="100" w:type="dxa"/>
              <w:right w:w="100" w:type="dxa"/>
            </w:tcMar>
            <w:vAlign w:val="center"/>
          </w:tcPr>
          <w:p w14:paraId="571CE49D"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“Somos la institución encargada de supervisar el sistema costarricense de pensiones, para la protección de los intereses de los afiliados y pensionados”.</w:t>
            </w:r>
          </w:p>
          <w:p w14:paraId="0A7B4763"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Esta declaración refleja un enfoque centrado en la protección de los intereses de los trabajadores y pensionados, adaptándose a las cambiantes necesidades del sistema de pensiones.</w:t>
            </w:r>
          </w:p>
        </w:tc>
      </w:tr>
      <w:tr w:rsidR="00C51607" w:rsidRPr="002012E1" w14:paraId="372AF645" w14:textId="77777777" w:rsidTr="005C1607">
        <w:trPr>
          <w:trHeight w:val="1474"/>
        </w:trPr>
        <w:tc>
          <w:tcPr>
            <w:tcW w:w="1975" w:type="dxa"/>
            <w:shd w:val="clear" w:color="auto" w:fill="auto"/>
            <w:tcMar>
              <w:top w:w="100" w:type="dxa"/>
              <w:left w:w="100" w:type="dxa"/>
              <w:bottom w:w="100" w:type="dxa"/>
              <w:right w:w="100" w:type="dxa"/>
            </w:tcMar>
            <w:vAlign w:val="center"/>
          </w:tcPr>
          <w:p w14:paraId="3FAA9BBE" w14:textId="77777777" w:rsidR="00C51607" w:rsidRPr="002012E1" w:rsidRDefault="00C51607" w:rsidP="005C1607">
            <w:pPr>
              <w:widowControl w:val="0"/>
              <w:pBdr>
                <w:top w:val="nil"/>
                <w:left w:val="nil"/>
                <w:bottom w:val="nil"/>
                <w:right w:val="nil"/>
                <w:between w:val="nil"/>
              </w:pBdr>
              <w:spacing w:after="0" w:line="360" w:lineRule="auto"/>
              <w:jc w:val="center"/>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Visión</w:t>
            </w:r>
          </w:p>
        </w:tc>
        <w:tc>
          <w:tcPr>
            <w:tcW w:w="6864" w:type="dxa"/>
            <w:shd w:val="clear" w:color="auto" w:fill="auto"/>
            <w:tcMar>
              <w:top w:w="100" w:type="dxa"/>
              <w:left w:w="100" w:type="dxa"/>
              <w:bottom w:w="100" w:type="dxa"/>
              <w:right w:w="100" w:type="dxa"/>
            </w:tcMar>
            <w:vAlign w:val="center"/>
          </w:tcPr>
          <w:p w14:paraId="0F25A610"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“Ser referente internacional en el fortalecimiento del sistema multi pilar de Pensiones en procura del bienestar de las personas”.</w:t>
            </w:r>
          </w:p>
          <w:p w14:paraId="326065B7"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Esta visión subraya el compromiso de la institución con la excelencia y la confiabilidad en su función supervisora.</w:t>
            </w:r>
          </w:p>
        </w:tc>
      </w:tr>
      <w:tr w:rsidR="00C51607" w:rsidRPr="002012E1" w14:paraId="4B5580E5" w14:textId="77777777" w:rsidTr="005C1607">
        <w:trPr>
          <w:trHeight w:val="7969"/>
        </w:trPr>
        <w:tc>
          <w:tcPr>
            <w:tcW w:w="1975" w:type="dxa"/>
            <w:shd w:val="clear" w:color="auto" w:fill="auto"/>
            <w:tcMar>
              <w:top w:w="100" w:type="dxa"/>
              <w:left w:w="100" w:type="dxa"/>
              <w:bottom w:w="100" w:type="dxa"/>
              <w:right w:w="100" w:type="dxa"/>
            </w:tcMar>
            <w:vAlign w:val="center"/>
          </w:tcPr>
          <w:p w14:paraId="06369846" w14:textId="77777777" w:rsidR="00C51607" w:rsidRPr="002012E1" w:rsidRDefault="00C51607" w:rsidP="005C1607">
            <w:pPr>
              <w:widowControl w:val="0"/>
              <w:pBdr>
                <w:top w:val="nil"/>
                <w:left w:val="nil"/>
                <w:bottom w:val="nil"/>
                <w:right w:val="nil"/>
                <w:between w:val="nil"/>
              </w:pBdr>
              <w:spacing w:after="0" w:line="360" w:lineRule="auto"/>
              <w:jc w:val="center"/>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lastRenderedPageBreak/>
              <w:t>Estructura Organizacional</w:t>
            </w:r>
          </w:p>
        </w:tc>
        <w:tc>
          <w:tcPr>
            <w:tcW w:w="6864" w:type="dxa"/>
            <w:shd w:val="clear" w:color="auto" w:fill="auto"/>
            <w:tcMar>
              <w:top w:w="100" w:type="dxa"/>
              <w:left w:w="100" w:type="dxa"/>
              <w:bottom w:w="100" w:type="dxa"/>
              <w:right w:w="100" w:type="dxa"/>
            </w:tcMar>
            <w:vAlign w:val="center"/>
          </w:tcPr>
          <w:p w14:paraId="777C7BC9"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 estructura organizacional de la SUPEN ha evolucionado para adaptarse a sus crecientes responsabilidades. Según el organigrama más reciente (SUPEN, 2023), la institución está encabezada por el Superintendente, actualmente Rocío Aguilar Montoya, nombrada en mayo de 2021.</w:t>
            </w:r>
          </w:p>
          <w:p w14:paraId="7DA5BD5C"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 estructura se divide en las siguientes áreas principales:</w:t>
            </w:r>
          </w:p>
          <w:p w14:paraId="5A5E6FA0" w14:textId="77777777" w:rsidR="00C51607" w:rsidRPr="002012E1" w:rsidRDefault="00C51607" w:rsidP="005C1607">
            <w:pPr>
              <w:numPr>
                <w:ilvl w:val="0"/>
                <w:numId w:val="5"/>
              </w:num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Despacho del Superintendente</w:t>
            </w:r>
          </w:p>
          <w:p w14:paraId="73ED3B0B" w14:textId="77777777" w:rsidR="00C51607" w:rsidRPr="002012E1" w:rsidRDefault="00C51607" w:rsidP="005C1607">
            <w:pPr>
              <w:numPr>
                <w:ilvl w:val="0"/>
                <w:numId w:val="5"/>
              </w:numP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División Asesoría Jurídica</w:t>
            </w:r>
          </w:p>
          <w:p w14:paraId="6EFF00BE" w14:textId="77777777" w:rsidR="00C51607" w:rsidRPr="002012E1" w:rsidRDefault="00C51607" w:rsidP="005C1607">
            <w:pPr>
              <w:numPr>
                <w:ilvl w:val="0"/>
                <w:numId w:val="5"/>
              </w:numP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División de Planificación y Normativa</w:t>
            </w:r>
          </w:p>
          <w:p w14:paraId="47CC5AA8" w14:textId="77777777" w:rsidR="00C51607" w:rsidRPr="002012E1" w:rsidRDefault="00C51607" w:rsidP="005C1607">
            <w:pPr>
              <w:numPr>
                <w:ilvl w:val="0"/>
                <w:numId w:val="5"/>
              </w:numPr>
              <w:spacing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División Supervisión Operativa y Financiera</w:t>
            </w:r>
          </w:p>
          <w:p w14:paraId="05BEAC96" w14:textId="77777777" w:rsidR="00C51607" w:rsidRPr="002012E1" w:rsidRDefault="00C51607" w:rsidP="005C1607">
            <w:pPr>
              <w:numPr>
                <w:ilvl w:val="0"/>
                <w:numId w:val="5"/>
              </w:numPr>
              <w:spacing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División Supervisión de Riesgos</w:t>
            </w:r>
          </w:p>
          <w:p w14:paraId="7EEFA9E4" w14:textId="77777777" w:rsidR="00C51607" w:rsidRPr="002012E1" w:rsidRDefault="00C51607" w:rsidP="005C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 dirección de la SUPEN está conformada por: el Superintendente de Pensiones, el Intendente de Pensiones, el Asistente del Superintendente, Director de Planificación y Normativa, el director de División Supervisión de Riesgos, el Director de Supervisión Operativa y Financiera, el Director de Asesoría Jurídica y el ejecutivo de Comunicación y Servicios.</w:t>
            </w:r>
          </w:p>
        </w:tc>
      </w:tr>
    </w:tbl>
    <w:p w14:paraId="2A3EAEC7" w14:textId="77777777" w:rsidR="00C51607" w:rsidRPr="002012E1" w:rsidRDefault="00C51607" w:rsidP="00C51607">
      <w:pPr>
        <w:pBdr>
          <w:top w:val="nil"/>
          <w:left w:val="nil"/>
          <w:bottom w:val="nil"/>
          <w:right w:val="nil"/>
          <w:between w:val="nil"/>
        </w:pBdr>
        <w:spacing w:before="240" w:after="240" w:line="360" w:lineRule="auto"/>
        <w:jc w:val="right"/>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Fuente:</w:t>
      </w:r>
      <w:r w:rsidRPr="002012E1">
        <w:rPr>
          <w:rFonts w:ascii="Arial" w:eastAsia="Times New Roman" w:hAnsi="Arial" w:cs="Arial"/>
          <w:color w:val="000000"/>
          <w:kern w:val="0"/>
          <w14:ligatures w14:val="none"/>
        </w:rPr>
        <w:t xml:space="preserve"> Página Web oficial de la SUPEN </w:t>
      </w:r>
      <w:r w:rsidRPr="002012E1">
        <w:rPr>
          <w:rFonts w:ascii="Arial" w:eastAsia="Times New Roman" w:hAnsi="Arial" w:cs="Arial"/>
          <w:b/>
          <w:color w:val="000000"/>
          <w:kern w:val="0"/>
          <w14:ligatures w14:val="none"/>
        </w:rPr>
        <w:t xml:space="preserve">Elaboración: </w:t>
      </w:r>
      <w:r w:rsidRPr="002012E1">
        <w:rPr>
          <w:rFonts w:ascii="Arial" w:eastAsia="Times New Roman" w:hAnsi="Arial" w:cs="Arial"/>
          <w:color w:val="000000"/>
          <w:kern w:val="0"/>
          <w14:ligatures w14:val="none"/>
        </w:rPr>
        <w:t>Equipo investigador 2024.</w:t>
      </w:r>
    </w:p>
    <w:p w14:paraId="41C3DD1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2066CB1" w14:textId="77777777" w:rsidR="00C51607" w:rsidRPr="002012E1" w:rsidRDefault="00C51607" w:rsidP="00C51607">
      <w:pPr>
        <w:pStyle w:val="apanivel3"/>
        <w:rPr>
          <w:rFonts w:ascii="Arial" w:hAnsi="Arial" w:cs="Arial"/>
        </w:rPr>
      </w:pPr>
      <w:bookmarkStart w:id="53" w:name="_Toc201832423"/>
      <w:r w:rsidRPr="002012E1">
        <w:rPr>
          <w:rFonts w:ascii="Arial" w:hAnsi="Arial" w:cs="Arial"/>
        </w:rPr>
        <w:t>Aspectos Generales de la Superintendencia de Pensiones</w:t>
      </w:r>
      <w:bookmarkEnd w:id="53"/>
    </w:p>
    <w:p w14:paraId="1B847CE6" w14:textId="77777777" w:rsidR="00C51607" w:rsidRPr="002012E1" w:rsidRDefault="00C51607" w:rsidP="00C51607">
      <w:pPr>
        <w:spacing w:after="0" w:line="360" w:lineRule="auto"/>
        <w:jc w:val="both"/>
        <w:rPr>
          <w:rFonts w:ascii="Arial" w:eastAsia="Calibri" w:hAnsi="Arial" w:cs="Arial"/>
          <w:kern w:val="0"/>
          <w:lang w:val="es-MX"/>
          <w14:ligatures w14:val="none"/>
        </w:rPr>
      </w:pPr>
      <w:bookmarkStart w:id="54" w:name="_heading=h.e48q7ehm8gp0" w:colFirst="0" w:colLast="0"/>
      <w:bookmarkEnd w:id="54"/>
      <w:r w:rsidRPr="002012E1">
        <w:rPr>
          <w:rFonts w:ascii="Arial" w:eastAsia="Calibri" w:hAnsi="Arial" w:cs="Arial"/>
          <w:kern w:val="0"/>
          <w:lang w:val="es-MX"/>
          <w14:ligatures w14:val="none"/>
        </w:rPr>
        <w:t>En el presente capítulo se realiza un énfasis en los aspectos generales de La Superintendencia de Pensiones (SUPEN), así como la normativa de la contabilidad que se ven vinculados a los temas de inversiones alternativas.</w:t>
      </w:r>
    </w:p>
    <w:p w14:paraId="44B838AE" w14:textId="77777777" w:rsidR="00C51607" w:rsidRDefault="00C51607" w:rsidP="00C51607">
      <w:pPr>
        <w:spacing w:line="360" w:lineRule="auto"/>
        <w:rPr>
          <w:rFonts w:ascii="Arial" w:eastAsia="Calibri" w:hAnsi="Arial" w:cs="Arial"/>
          <w:kern w:val="0"/>
          <w:lang w:val="es-MX"/>
          <w14:ligatures w14:val="none"/>
        </w:rPr>
      </w:pPr>
    </w:p>
    <w:p w14:paraId="6A633CBB" w14:textId="77777777" w:rsidR="00C51607" w:rsidRPr="002012E1" w:rsidRDefault="00C51607" w:rsidP="00C51607">
      <w:pPr>
        <w:spacing w:line="360" w:lineRule="auto"/>
        <w:rPr>
          <w:rFonts w:ascii="Arial" w:eastAsia="Calibri" w:hAnsi="Arial" w:cs="Arial"/>
          <w:kern w:val="0"/>
          <w:lang w:val="es-MX"/>
          <w14:ligatures w14:val="none"/>
        </w:rPr>
      </w:pPr>
    </w:p>
    <w:p w14:paraId="7C1DC3BF" w14:textId="77777777" w:rsidR="00C51607" w:rsidRPr="002012E1" w:rsidRDefault="00C51607" w:rsidP="00C51607">
      <w:pPr>
        <w:pStyle w:val="apanivel2"/>
        <w:rPr>
          <w:rFonts w:ascii="Arial" w:hAnsi="Arial" w:cs="Arial"/>
          <w:lang w:val="es-MX"/>
        </w:rPr>
      </w:pPr>
      <w:bookmarkStart w:id="55" w:name="_Toc201832424"/>
      <w:r w:rsidRPr="002012E1">
        <w:rPr>
          <w:rFonts w:ascii="Arial" w:hAnsi="Arial" w:cs="Arial"/>
          <w:lang w:val="es-MX"/>
        </w:rPr>
        <w:lastRenderedPageBreak/>
        <w:t>Marco Histórico</w:t>
      </w:r>
      <w:bookmarkEnd w:id="55"/>
    </w:p>
    <w:p w14:paraId="1CEB7338" w14:textId="77777777" w:rsidR="00C51607" w:rsidRPr="002012E1" w:rsidRDefault="00C51607" w:rsidP="00C51607">
      <w:pPr>
        <w:pStyle w:val="apanivel3"/>
        <w:rPr>
          <w:rFonts w:ascii="Arial" w:hAnsi="Arial" w:cs="Arial"/>
          <w:lang w:val="es-MX"/>
        </w:rPr>
      </w:pPr>
      <w:bookmarkStart w:id="56" w:name="_Toc201832425"/>
      <w:r w:rsidRPr="002012E1">
        <w:rPr>
          <w:rFonts w:ascii="Arial" w:hAnsi="Arial" w:cs="Arial"/>
          <w:lang w:val="es-MX"/>
        </w:rPr>
        <w:t>Antecedentes Históricos</w:t>
      </w:r>
      <w:bookmarkEnd w:id="56"/>
    </w:p>
    <w:p w14:paraId="0FAFF68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la información de la página oficial de la SUPEN esta fue creada por la Ley del Régimen privado de Pensiones Complementarias, No. 7523 del 7 de julio de 1995, como un órgano de máxima desconcentración, con personalidad y capacidad jurídicas instrumentales, y adscrito al Banco Central de Costa Rica. Inicia sus funciones en agosto de 1996. </w:t>
      </w:r>
    </w:p>
    <w:p w14:paraId="6C90471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6043F3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el texto original del artículo 33 de esa Ley, corresponde a la SUPEN regular y fiscalizar el Régimen de Pensiones, no obstante, las funciones asignadas a este órgano en el artículo 35 de dicho cuerpo normativo circunscriben su competencia a autorizar y fiscalizar el funcionamiento de las operadoras de planes de pensiones complementarias creadas con el objeto de administrar planes privados de pensiones complementarias. </w:t>
      </w:r>
    </w:p>
    <w:p w14:paraId="1BF9A5D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5C6E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febrero de 2000, con la aprobación de la Ley de Protección al Trabajador, N° 7983, el ámbito de acción de la SUPEN varió considerablemente. Quedan bajo la supervisión de la SUPEN los regímenes básicos de pensiones, tanto el Régimen de Invalidez, Vejez y Muerte de la Caja Costarricense de Seguro Social (CCSS) como los regímenes especiales sustitutos de este (Régimen de Pensiones y Jubilaciones del Magisterio Nacional, Régimen de Pensiones y Jubilaciones del Poder Judicial, Régimen de Pensiones con cargo al Presupuesto Nacional y Régimen de Pensiones y Jubilaciones del Benemérito Cuerpo de Bomberos) y los fondos complementarios de pensiones creados por leyes especiales o convenciones colectivas. </w:t>
      </w:r>
    </w:p>
    <w:p w14:paraId="1C0F559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5455A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otra parte, a la SUPEN se le encarga la regulación y supervisión de los nuevos regímenes que se crean a partir de la Ley de Protección al Trabajador, Ley N° 7983; a saber: el Régimen Obligatorio de Pensiones Complementarias, los Fondos de Capitalización Laboral, el Ahorro Voluntario, y el Régimen Voluntario de Pensiones Complementarias, ambos basados en sistemas de capitalización individual. </w:t>
      </w:r>
    </w:p>
    <w:p w14:paraId="2566DDE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65BD8E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Además, la nueva ley le asigna la obligación de velar por el otorgamiento de los beneficios a los afiliados al sistema de pensiones por parte de las entidades autorizadas, regímenes básicos y fondos creados por leyes especiales, aspecto que no estaba contemplado en la legislación anterior. </w:t>
      </w:r>
    </w:p>
    <w:p w14:paraId="3C9C3A8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7D4FF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el contexto costarricense, la normativa contable se encuentra regulada principalmente por un marco legal local. La Ley Orgánica del Banco Central de Costa Rica (Ley N° 7558) y la Ley Reguladora del Mercado de Valores (Ley N° 7732) establecen las pautas fundamentales para la regulación financiera en el país, estas leyes proporcionan los lineamientos necesarios para la supervisión de las entidades financieras, incluidas las operadoras de fondos de pensiones, a las que se les exige seguir estrictos estándares contables. </w:t>
      </w:r>
    </w:p>
    <w:p w14:paraId="727270A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599FE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 Ley de Protección al Trabajador (Ley N° 7983) regula específicamente el funcionamiento de los fondos de pensiones en Costa Rica, asegurando la protección de los aportes de los trabajadores y garantizando su correcta gestión financiera. Esta información ha sido extraída de La Gaceta, el diario oficial donde se publican las leyes en Costa Rica, y de los manuales y guías emitidos por entidades locales como la SUPEN y la SUGEVAL.</w:t>
      </w:r>
    </w:p>
    <w:p w14:paraId="2858088F" w14:textId="77777777" w:rsidR="00C51607" w:rsidRPr="002012E1" w:rsidRDefault="00C51607" w:rsidP="00C51607">
      <w:pPr>
        <w:spacing w:line="360" w:lineRule="auto"/>
        <w:rPr>
          <w:rFonts w:ascii="Arial" w:eastAsia="Calibri" w:hAnsi="Arial" w:cs="Arial"/>
          <w:kern w:val="0"/>
          <w:lang w:val="es-MX"/>
          <w14:ligatures w14:val="none"/>
        </w:rPr>
      </w:pPr>
    </w:p>
    <w:p w14:paraId="544D0CCC" w14:textId="77777777" w:rsidR="00C51607" w:rsidRPr="002012E1" w:rsidRDefault="00C51607" w:rsidP="00C51607">
      <w:pPr>
        <w:pStyle w:val="apanivel2"/>
        <w:rPr>
          <w:rFonts w:ascii="Arial" w:hAnsi="Arial" w:cs="Arial"/>
          <w:lang w:val="es-MX"/>
        </w:rPr>
      </w:pPr>
      <w:bookmarkStart w:id="57" w:name="_Toc201832426"/>
      <w:bookmarkStart w:id="58" w:name="_Toc85617913"/>
      <w:r w:rsidRPr="002012E1">
        <w:rPr>
          <w:rFonts w:ascii="Arial" w:hAnsi="Arial" w:cs="Arial"/>
          <w:lang w:val="es-MX"/>
        </w:rPr>
        <w:t>Marco Legal</w:t>
      </w:r>
      <w:bookmarkEnd w:id="57"/>
    </w:p>
    <w:bookmarkEnd w:id="58"/>
    <w:p w14:paraId="2AF0C67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Según lo mencionado en la página oficial de la SUPEN el marco legal que rige las operaciones de la SUPEN se ha desarrollado y fortalecido a lo largo de los años. </w:t>
      </w:r>
    </w:p>
    <w:p w14:paraId="71FA098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4CABD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principales componentes incluyen:</w:t>
      </w:r>
    </w:p>
    <w:p w14:paraId="3869B75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AC5D93" w14:textId="77777777" w:rsidR="00C51607" w:rsidRPr="002012E1" w:rsidRDefault="00C51607" w:rsidP="00C51607">
      <w:pPr>
        <w:numPr>
          <w:ilvl w:val="0"/>
          <w:numId w:val="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Ley 7523 del Régimen Privado de Pensiones Complementarias (7 de julio de 1995): Esta ley fundacional estableció la SUPEN y definió su rol inicial en la supervisión de los regímenes de pensiones complementarias (Asamblea Legislativa de la República de Costa Rica, 1995).</w:t>
      </w:r>
    </w:p>
    <w:p w14:paraId="518EB4BB" w14:textId="77777777" w:rsidR="00C51607" w:rsidRPr="002012E1" w:rsidRDefault="00C51607" w:rsidP="00C51607">
      <w:pPr>
        <w:numPr>
          <w:ilvl w:val="0"/>
          <w:numId w:val="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Ley 7983 de Protección al Trabajador (16 de febrero de 2000): Amplió significativamente el alcance de la SUPEN, incluyendo la supervisión de los regímenes básicos de pensiones y el Fondo de Capitalización Laboral (Asamblea Legislativa de la República de Costa Rica, 2000).</w:t>
      </w:r>
    </w:p>
    <w:p w14:paraId="6AB84C16" w14:textId="77777777" w:rsidR="00C51607" w:rsidRPr="002012E1" w:rsidRDefault="00C51607" w:rsidP="00C51607">
      <w:pPr>
        <w:numPr>
          <w:ilvl w:val="0"/>
          <w:numId w:val="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Ley 7732 Reguladora del Mercado de Valores (17 de diciembre de 1997): Aunque no se enfoca directamente en pensiones, esta ley tiene implicaciones para la SUPEN en cuanto a la regulación de las inversiones de los fondos de pensiones (Asamblea Legislativa de la República de Costa Rica, 1997).</w:t>
      </w:r>
    </w:p>
    <w:p w14:paraId="3B4BE63F" w14:textId="77777777" w:rsidR="00C51607" w:rsidRPr="002012E1" w:rsidRDefault="00C51607" w:rsidP="00C51607">
      <w:pPr>
        <w:numPr>
          <w:ilvl w:val="0"/>
          <w:numId w:val="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Ley 8292 General de Control Interno (31 de julio de 2002): Establece los criterios mínimos que deben observar la SUPEN y las entidades supervisadas en el establecimiento, funcionamiento, mantenimiento, perfeccionamiento y evaluación de sus sistemas de control interno (Asamblea Legislativa de la República de Costa Rica, 2002).</w:t>
      </w:r>
    </w:p>
    <w:p w14:paraId="69CCDB3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0204F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 SUPEN emite regularmente normativas, reglamentos y acuerdos específicos para el sector, como el "Reglamento de Gestión de Activos" (última actualización en 2020) y el "Reglamento de Apertura y Funcionamiento de las Entidades Autorizadas" (SUPEN, 2023).</w:t>
      </w:r>
    </w:p>
    <w:p w14:paraId="2F85AF4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6A31E13" w14:textId="77777777" w:rsidR="00C51607" w:rsidRPr="002012E1" w:rsidRDefault="00C51607" w:rsidP="00C51607">
      <w:pPr>
        <w:pStyle w:val="apanivel3"/>
        <w:rPr>
          <w:rFonts w:ascii="Arial" w:hAnsi="Arial" w:cs="Arial"/>
        </w:rPr>
      </w:pPr>
      <w:bookmarkStart w:id="59" w:name="_heading=h.7sakzlmxu2y4" w:colFirst="0" w:colLast="0"/>
      <w:bookmarkStart w:id="60" w:name="_Toc201832427"/>
      <w:bookmarkEnd w:id="59"/>
      <w:r w:rsidRPr="002012E1">
        <w:rPr>
          <w:rFonts w:ascii="Arial" w:hAnsi="Arial" w:cs="Arial"/>
        </w:rPr>
        <w:t>Funciones y Responsabilidades</w:t>
      </w:r>
      <w:bookmarkEnd w:id="60"/>
    </w:p>
    <w:p w14:paraId="2AC5977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funciones de la institución de acuerdo con la página web oficial de la SUPEN se basan según se detalla en el artículo 38 de la Ley 7523, que incluyen:</w:t>
      </w:r>
    </w:p>
    <w:p w14:paraId="7950A4E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5D2B7EA"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Autorizar, regular y fiscalizar el funcionamiento de los regímenes de pensiones complementarias.</w:t>
      </w:r>
    </w:p>
    <w:p w14:paraId="1FE653DE"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Supervisar la inversión de los recursos de los fondos, velando por su seguridad y rentabilidad.</w:t>
      </w:r>
    </w:p>
    <w:p w14:paraId="622C268A"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Fiscalizar la publicidad de los productos que ofrecen las operadoras.</w:t>
      </w:r>
    </w:p>
    <w:p w14:paraId="52CF737E"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Velar por el equilibrio actuarial de los regímenes administrados y dictar las resoluciones correspondientes.</w:t>
      </w:r>
    </w:p>
    <w:p w14:paraId="7B8E902C"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Dictar las normas y directrices de carácter general aplicables a las entidades supervisadas.</w:t>
      </w:r>
    </w:p>
    <w:p w14:paraId="273DDB4D"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Supervisar el otorgamiento de los beneficios a los afiliados.</w:t>
      </w:r>
    </w:p>
    <w:p w14:paraId="0B12E16F" w14:textId="77777777" w:rsidR="00C51607" w:rsidRPr="002012E1" w:rsidRDefault="00C51607" w:rsidP="00C51607">
      <w:pPr>
        <w:numPr>
          <w:ilvl w:val="0"/>
          <w:numId w:val="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Establecer un sistema de control de los recursos aportados por los trabajadores.</w:t>
      </w:r>
    </w:p>
    <w:p w14:paraId="6E5F053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58CB8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funciones se han expandido y refinado con el tiempo, especialmente tras la promulgación de la Ley 7983, que añadió la supervisión de los regímenes básicos y el Fondo de Capitalización Laboral (SUPEN, 2021).</w:t>
      </w:r>
    </w:p>
    <w:p w14:paraId="3F85CAB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ABDECC7" w14:textId="77777777" w:rsidR="00C51607" w:rsidRPr="002012E1" w:rsidRDefault="00C51607" w:rsidP="00C51607">
      <w:pPr>
        <w:pStyle w:val="apanivel3"/>
        <w:rPr>
          <w:rFonts w:ascii="Arial" w:hAnsi="Arial" w:cs="Arial"/>
        </w:rPr>
      </w:pPr>
      <w:bookmarkStart w:id="61" w:name="_heading=h.k2lexl5sdrza" w:colFirst="0" w:colLast="0"/>
      <w:bookmarkStart w:id="62" w:name="_Toc201832428"/>
      <w:bookmarkEnd w:id="61"/>
      <w:r w:rsidRPr="002012E1">
        <w:rPr>
          <w:rFonts w:ascii="Arial" w:hAnsi="Arial" w:cs="Arial"/>
        </w:rPr>
        <w:t>Ámbito de Supervisión</w:t>
      </w:r>
      <w:bookmarkEnd w:id="62"/>
    </w:p>
    <w:p w14:paraId="3331472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base a lo mencionado en la página oficial de la SUPEN, el ámbito de supervisión abarca:</w:t>
      </w:r>
    </w:p>
    <w:p w14:paraId="0483EAE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D869AD" w14:textId="77777777" w:rsidR="00C51607" w:rsidRPr="002012E1" w:rsidRDefault="00C51607" w:rsidP="00C51607">
      <w:pPr>
        <w:numPr>
          <w:ilvl w:val="0"/>
          <w:numId w:val="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Operadoras de Pensiones Complementarias (OPC): 6 OPC supervisadas por la SUPEN (SUPEN, 2023).</w:t>
      </w:r>
    </w:p>
    <w:p w14:paraId="305AFB0C" w14:textId="77777777" w:rsidR="00C51607" w:rsidRPr="002012E1" w:rsidRDefault="00C51607" w:rsidP="00C51607">
      <w:pPr>
        <w:numPr>
          <w:ilvl w:val="0"/>
          <w:numId w:val="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Regímenes Básicos Sustitutos: Incluye el Régimen de Capitalización Colectiva del Magisterio Nacional y el Régimen de Pensiones y Jubilaciones del Poder Judicial.</w:t>
      </w:r>
    </w:p>
    <w:p w14:paraId="2D5DD619" w14:textId="77777777" w:rsidR="00C51607" w:rsidRPr="002012E1" w:rsidRDefault="00C51607" w:rsidP="00C51607">
      <w:pPr>
        <w:numPr>
          <w:ilvl w:val="0"/>
          <w:numId w:val="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Fondos Especiales: Como el Fondo de Garantías y Jubilaciones de los Empleados del Banco Nacional de Costa Rica y el Fondo de Retiro de los Empleados de la Caja Costarricense de Seguro Social.</w:t>
      </w:r>
    </w:p>
    <w:p w14:paraId="03EB55A7" w14:textId="77777777" w:rsidR="00C51607" w:rsidRPr="002012E1" w:rsidRDefault="00C51607" w:rsidP="00C51607">
      <w:pPr>
        <w:numPr>
          <w:ilvl w:val="0"/>
          <w:numId w:val="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Fondo de Capitalización Laboral: Administrado por las OPC.</w:t>
      </w:r>
    </w:p>
    <w:p w14:paraId="76418F9A" w14:textId="77777777" w:rsidR="00C51607" w:rsidRPr="002012E1" w:rsidRDefault="00C51607" w:rsidP="00C51607">
      <w:pPr>
        <w:numPr>
          <w:ilvl w:val="0"/>
          <w:numId w:val="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Regímenes Complementarios: Tanto los creados por leyes especiales como los voluntarios ofrecidos por las OPC.</w:t>
      </w:r>
    </w:p>
    <w:p w14:paraId="4C2F0007" w14:textId="77777777" w:rsidR="00C51607" w:rsidRPr="002012E1" w:rsidRDefault="00C51607" w:rsidP="00C51607">
      <w:pPr>
        <w:spacing w:after="0" w:line="360" w:lineRule="auto"/>
        <w:jc w:val="both"/>
        <w:rPr>
          <w:rFonts w:ascii="Arial" w:eastAsia="Calibri" w:hAnsi="Arial" w:cs="Arial"/>
          <w:kern w:val="0"/>
          <w:lang w:val="es-MX"/>
          <w14:ligatures w14:val="none"/>
        </w:rPr>
      </w:pPr>
      <w:bookmarkStart w:id="63" w:name="_heading=h.9f85ghyb2s7f" w:colFirst="0" w:colLast="0"/>
      <w:bookmarkEnd w:id="63"/>
    </w:p>
    <w:p w14:paraId="4220FAC3" w14:textId="77777777" w:rsidR="00C51607" w:rsidRPr="002012E1" w:rsidRDefault="00C51607" w:rsidP="00C51607">
      <w:pPr>
        <w:pStyle w:val="apanivel3"/>
        <w:rPr>
          <w:rFonts w:ascii="Arial" w:hAnsi="Arial" w:cs="Arial"/>
        </w:rPr>
      </w:pPr>
      <w:bookmarkStart w:id="64" w:name="_Toc201832429"/>
      <w:r w:rsidRPr="002012E1">
        <w:rPr>
          <w:rFonts w:ascii="Arial" w:hAnsi="Arial" w:cs="Arial"/>
        </w:rPr>
        <w:t>Importancia en el Sistema Financiero Nacional</w:t>
      </w:r>
      <w:bookmarkEnd w:id="64"/>
    </w:p>
    <w:p w14:paraId="0640EC1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SUPEN juega un papel crucial en el sistema financiero costarricense:</w:t>
      </w:r>
    </w:p>
    <w:p w14:paraId="03AE4C1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A982AA" w14:textId="77777777" w:rsidR="00C51607" w:rsidRPr="002012E1" w:rsidRDefault="00C51607" w:rsidP="00C51607">
      <w:pPr>
        <w:numPr>
          <w:ilvl w:val="0"/>
          <w:numId w:val="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Estabilidad Financiera: Al supervisar fondos que representan más de un tercio del PIB, la SUPEN contribuye significativamente a la estabilidad del sistema financiero nacional.</w:t>
      </w:r>
    </w:p>
    <w:p w14:paraId="1206A713" w14:textId="77777777" w:rsidR="00C51607" w:rsidRPr="002012E1" w:rsidRDefault="00C51607" w:rsidP="00C51607">
      <w:pPr>
        <w:numPr>
          <w:ilvl w:val="0"/>
          <w:numId w:val="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Protección al Trabajador: Vela por los intereses de más de 2.9 millones de afiliados al sistema de pensiones (SUPEN, 2023).</w:t>
      </w:r>
    </w:p>
    <w:p w14:paraId="24444C49" w14:textId="77777777" w:rsidR="00C51607" w:rsidRPr="002012E1" w:rsidRDefault="00C51607" w:rsidP="00C51607">
      <w:pPr>
        <w:numPr>
          <w:ilvl w:val="0"/>
          <w:numId w:val="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Transparencia: Promueve la divulgación de información clara y oportuna sobre el desempeño de los fondos de pensiones.</w:t>
      </w:r>
    </w:p>
    <w:p w14:paraId="6B2F51D3" w14:textId="77777777" w:rsidR="00C51607" w:rsidRPr="002012E1" w:rsidRDefault="00C51607" w:rsidP="00C51607">
      <w:pPr>
        <w:numPr>
          <w:ilvl w:val="0"/>
          <w:numId w:val="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Educación Financiera: Desarrolla programas de educación financiera para mejorar la comprensión del sistema de pensiones por parte de la población.</w:t>
      </w:r>
    </w:p>
    <w:p w14:paraId="11630C88" w14:textId="77777777" w:rsidR="00C51607" w:rsidRPr="002012E1" w:rsidRDefault="00C51607" w:rsidP="00C51607">
      <w:pPr>
        <w:numPr>
          <w:ilvl w:val="0"/>
          <w:numId w:val="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Innovación: Impulsa la modernización del sistema de pensiones, como la implementación del Sistema de Información de Gestión Integrada (SIGI) en 2021 para mejorar la eficiencia de la supervisión (SUPEN, 2021).</w:t>
      </w:r>
    </w:p>
    <w:p w14:paraId="1FE4811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C3843D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labor de la SUPEN es fundamental para garantizar la sostenibilidad a largo plazo del sistema de pensiones costarricense, contribuyendo así a la seguridad financiera de las generaciones actuales y futuras de trabajadores.</w:t>
      </w:r>
    </w:p>
    <w:p w14:paraId="358F60B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87DABD0" w14:textId="77777777" w:rsidR="00C51607" w:rsidRPr="002012E1" w:rsidRDefault="00C51607" w:rsidP="00C51607">
      <w:pPr>
        <w:pStyle w:val="apanivel3"/>
        <w:rPr>
          <w:rFonts w:ascii="Arial" w:hAnsi="Arial" w:cs="Arial"/>
        </w:rPr>
      </w:pPr>
      <w:bookmarkStart w:id="65" w:name="_Toc201832430"/>
      <w:r w:rsidRPr="002012E1">
        <w:rPr>
          <w:rFonts w:ascii="Arial" w:hAnsi="Arial" w:cs="Arial"/>
        </w:rPr>
        <w:t>Descripción del departamento</w:t>
      </w:r>
      <w:bookmarkEnd w:id="65"/>
      <w:r w:rsidRPr="002012E1">
        <w:rPr>
          <w:rFonts w:ascii="Arial" w:hAnsi="Arial" w:cs="Arial"/>
        </w:rPr>
        <w:t xml:space="preserve"> </w:t>
      </w:r>
    </w:p>
    <w:p w14:paraId="68351CE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departamento de la SUPEN donde se realiza la presente investigación la División de Planificación y Normativa, los cuales de acuerdo con los miembros de la SUPEN están encargados de:</w:t>
      </w:r>
    </w:p>
    <w:p w14:paraId="58A2E20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BC5CFAD" w14:textId="77777777" w:rsidR="00C51607" w:rsidRPr="002012E1" w:rsidRDefault="00C51607" w:rsidP="00C51607">
      <w:pPr>
        <w:numPr>
          <w:ilvl w:val="0"/>
          <w:numId w:val="1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Desarrollo de normativas: Crear, actualizar y revisar la normativa relacionada con los fondos de pensiones y las instituciones que los administran, asegurando que se ajusten a los cambios en la legislación o las políticas nacionales.</w:t>
      </w:r>
    </w:p>
    <w:p w14:paraId="6EBD1555" w14:textId="77777777" w:rsidR="00C51607" w:rsidRPr="002012E1" w:rsidRDefault="00C51607" w:rsidP="00C51607">
      <w:pPr>
        <w:numPr>
          <w:ilvl w:val="0"/>
          <w:numId w:val="1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Planificación estratégica: Diseñar y ejecutar planes a largo plazo para el desarrollo del sistema de pensiones. Esto incluye la identificación de objetivos estratégicos y la creación de planes operativos para garantizar que se cumplan.</w:t>
      </w:r>
    </w:p>
    <w:p w14:paraId="66E856E3" w14:textId="77777777" w:rsidR="00C51607" w:rsidRPr="002012E1" w:rsidRDefault="00C51607" w:rsidP="00C51607">
      <w:pPr>
        <w:numPr>
          <w:ilvl w:val="0"/>
          <w:numId w:val="1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Análisis de impacto: Evaluar los efectos de las normativas propuestas o existentes sobre el sistema de pensiones, los afiliados y las instituciones, considerando factores económicos, financieros y sociales.</w:t>
      </w:r>
    </w:p>
    <w:p w14:paraId="7A5A29C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00216BA" w14:textId="77777777" w:rsidR="00C51607" w:rsidRPr="002012E1" w:rsidRDefault="00C51607" w:rsidP="00C51607">
      <w:pPr>
        <w:pStyle w:val="apanivel3"/>
        <w:rPr>
          <w:rFonts w:ascii="Arial" w:hAnsi="Arial" w:cs="Arial"/>
        </w:rPr>
      </w:pPr>
      <w:bookmarkStart w:id="66" w:name="_Toc201832431"/>
      <w:r w:rsidRPr="002012E1">
        <w:rPr>
          <w:rFonts w:ascii="Arial" w:hAnsi="Arial" w:cs="Arial"/>
        </w:rPr>
        <w:t>Aspectos legales/ legislación que afecta la investigación en forma directa y/o indirectamente</w:t>
      </w:r>
      <w:bookmarkEnd w:id="66"/>
      <w:r w:rsidRPr="002012E1">
        <w:rPr>
          <w:rFonts w:ascii="Arial" w:hAnsi="Arial" w:cs="Arial"/>
        </w:rPr>
        <w:t xml:space="preserve"> </w:t>
      </w:r>
    </w:p>
    <w:p w14:paraId="1B2ED09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continuación, se procede a detallar los aspectos legales que giran en torno a las inversiones alternativas y generalidades de los Fondos de Pensiones supervisados por la SUPEN.</w:t>
      </w:r>
    </w:p>
    <w:p w14:paraId="6E04DD6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BAFEE73" w14:textId="7A1E4E2D" w:rsidR="00C51607" w:rsidRPr="002012E1" w:rsidRDefault="00C51607" w:rsidP="00C51607">
      <w:pPr>
        <w:spacing w:after="0" w:line="360" w:lineRule="auto"/>
        <w:jc w:val="both"/>
        <w:rPr>
          <w:rFonts w:ascii="Arial" w:eastAsia="Calibri" w:hAnsi="Arial" w:cs="Arial"/>
          <w:b/>
          <w:bCs/>
          <w:i/>
          <w:iCs/>
          <w:kern w:val="0"/>
          <w:lang w:val="es-MX"/>
          <w14:ligatures w14:val="none"/>
        </w:rPr>
      </w:pPr>
      <w:bookmarkStart w:id="67" w:name="_Toc201322508"/>
      <w:r w:rsidRPr="002012E1">
        <w:rPr>
          <w:rFonts w:ascii="Arial" w:eastAsia="Calibri" w:hAnsi="Arial" w:cs="Arial"/>
          <w:b/>
          <w:bCs/>
          <w:kern w:val="0"/>
          <w:lang w:val="es-MX"/>
          <w14:ligatures w14:val="none"/>
        </w:rPr>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noProof/>
          <w:kern w:val="0"/>
          <w:lang w:val="es-MX"/>
          <w14:ligatures w14:val="none"/>
        </w:rPr>
        <w:t>5</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Leyes aplicadas a la investigación</w:t>
      </w:r>
      <w:bookmarkEnd w:id="67"/>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393"/>
        <w:gridCol w:w="5425"/>
      </w:tblGrid>
      <w:tr w:rsidR="00C51607" w:rsidRPr="002012E1" w14:paraId="121058EE" w14:textId="77777777" w:rsidTr="005C1607">
        <w:tc>
          <w:tcPr>
            <w:tcW w:w="0" w:type="auto"/>
            <w:tcBorders>
              <w:bottom w:val="single" w:sz="4" w:space="0" w:color="000000"/>
            </w:tcBorders>
            <w:shd w:val="clear" w:color="auto" w:fill="002060"/>
            <w:tcMar>
              <w:top w:w="100" w:type="dxa"/>
              <w:left w:w="100" w:type="dxa"/>
              <w:bottom w:w="100" w:type="dxa"/>
              <w:right w:w="100" w:type="dxa"/>
            </w:tcMar>
            <w:vAlign w:val="center"/>
          </w:tcPr>
          <w:p w14:paraId="375B86D2" w14:textId="77777777" w:rsidR="00C51607" w:rsidRPr="002012E1" w:rsidRDefault="00C51607" w:rsidP="005C1607">
            <w:pPr>
              <w:widowControl w:val="0"/>
              <w:pBdr>
                <w:top w:val="nil"/>
                <w:left w:val="nil"/>
                <w:bottom w:val="nil"/>
                <w:right w:val="nil"/>
                <w:between w:val="nil"/>
              </w:pBdr>
              <w:spacing w:after="0" w:line="360" w:lineRule="auto"/>
              <w:jc w:val="center"/>
              <w:rPr>
                <w:rFonts w:ascii="Arial" w:eastAsia="Times New Roman" w:hAnsi="Arial" w:cs="Arial"/>
                <w:b/>
                <w:color w:val="FFFFFF"/>
                <w:kern w:val="0"/>
                <w14:ligatures w14:val="none"/>
              </w:rPr>
            </w:pPr>
            <w:r w:rsidRPr="002012E1">
              <w:rPr>
                <w:rFonts w:ascii="Arial" w:eastAsia="Times New Roman" w:hAnsi="Arial" w:cs="Arial"/>
                <w:b/>
                <w:color w:val="FFFFFF"/>
                <w:kern w:val="0"/>
                <w14:ligatures w14:val="none"/>
              </w:rPr>
              <w:t>Leyes</w:t>
            </w:r>
          </w:p>
        </w:tc>
        <w:tc>
          <w:tcPr>
            <w:tcW w:w="0" w:type="auto"/>
            <w:tcBorders>
              <w:bottom w:val="single" w:sz="4" w:space="0" w:color="000000"/>
            </w:tcBorders>
            <w:shd w:val="clear" w:color="auto" w:fill="002060"/>
            <w:tcMar>
              <w:top w:w="100" w:type="dxa"/>
              <w:left w:w="100" w:type="dxa"/>
              <w:bottom w:w="100" w:type="dxa"/>
              <w:right w:w="100" w:type="dxa"/>
            </w:tcMar>
            <w:vAlign w:val="center"/>
          </w:tcPr>
          <w:p w14:paraId="4D500659" w14:textId="77777777" w:rsidR="00C51607" w:rsidRPr="002012E1" w:rsidRDefault="00C51607" w:rsidP="005C1607">
            <w:pPr>
              <w:widowControl w:val="0"/>
              <w:pBdr>
                <w:top w:val="nil"/>
                <w:left w:val="nil"/>
                <w:bottom w:val="nil"/>
                <w:right w:val="nil"/>
                <w:between w:val="nil"/>
              </w:pBdr>
              <w:spacing w:after="0" w:line="360" w:lineRule="auto"/>
              <w:jc w:val="center"/>
              <w:rPr>
                <w:rFonts w:ascii="Arial" w:eastAsia="Times New Roman" w:hAnsi="Arial" w:cs="Arial"/>
                <w:b/>
                <w:color w:val="FFFFFF"/>
                <w:kern w:val="0"/>
                <w14:ligatures w14:val="none"/>
              </w:rPr>
            </w:pPr>
            <w:r w:rsidRPr="002012E1">
              <w:rPr>
                <w:rFonts w:ascii="Arial" w:eastAsia="Times New Roman" w:hAnsi="Arial" w:cs="Arial"/>
                <w:b/>
                <w:color w:val="FFFFFF"/>
                <w:kern w:val="0"/>
                <w14:ligatures w14:val="none"/>
              </w:rPr>
              <w:t>Artículos</w:t>
            </w:r>
          </w:p>
        </w:tc>
      </w:tr>
      <w:tr w:rsidR="00C51607" w:rsidRPr="002012E1" w14:paraId="2ED06B63"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183058B6"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Ley de Protección al Trabajador, Ley </w:t>
            </w:r>
            <w:r w:rsidRPr="002012E1">
              <w:rPr>
                <w:rFonts w:ascii="Arial" w:eastAsia="Calibri" w:hAnsi="Arial" w:cs="Arial"/>
                <w:kern w:val="0"/>
                <w14:ligatures w14:val="none"/>
              </w:rPr>
              <w:t>N° 7983</w:t>
            </w:r>
          </w:p>
          <w:p w14:paraId="11C80514" w14:textId="77777777" w:rsidR="00C51607" w:rsidRPr="002012E1" w:rsidRDefault="00C51607" w:rsidP="005C1607">
            <w:pPr>
              <w:widowControl w:val="0"/>
              <w:pBdr>
                <w:top w:val="nil"/>
                <w:left w:val="nil"/>
                <w:bottom w:val="nil"/>
                <w:right w:val="nil"/>
                <w:between w:val="nil"/>
              </w:pBdr>
              <w:spacing w:after="0" w:line="360" w:lineRule="auto"/>
              <w:jc w:val="both"/>
              <w:rPr>
                <w:rFonts w:ascii="Arial" w:eastAsia="Times New Roman" w:hAnsi="Arial" w:cs="Arial"/>
                <w:b/>
                <w:color w:val="000000"/>
                <w:kern w:val="0"/>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41778444"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Artículo 51: </w:t>
            </w:r>
            <w:r w:rsidRPr="002012E1">
              <w:rPr>
                <w:rFonts w:ascii="Arial" w:eastAsia="Times New Roman" w:hAnsi="Arial" w:cs="Arial"/>
                <w:color w:val="000000"/>
                <w:kern w:val="0"/>
                <w14:ligatures w14:val="none"/>
              </w:rPr>
              <w:t>Fondos Cada operadora u organización social podrá administrar más de un fondo, de conformidad con las disposiciones que emita la Superintendencia. Los fondos podrán establecerse, alternativamente, en colones o en moneda extranjera siempre y cuando sea autorizada por la Superintendencia.</w:t>
            </w:r>
          </w:p>
          <w:p w14:paraId="211A00CB"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Los afiliados podrán solicitar la transferencia de los recursos de su cuenta individual entre los fondos de la misma operadora.</w:t>
            </w:r>
          </w:p>
          <w:p w14:paraId="7D9D2849"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Artículo 60: </w:t>
            </w:r>
            <w:r w:rsidRPr="002012E1">
              <w:rPr>
                <w:rFonts w:ascii="Arial" w:eastAsia="Times New Roman" w:hAnsi="Arial" w:cs="Arial"/>
                <w:color w:val="000000"/>
                <w:kern w:val="0"/>
                <w14:ligatures w14:val="none"/>
              </w:rPr>
              <w:t>Principios rectores de las inversiones Las entidades autorizadas y reguladas por la Superintendencia se regirán por los siguientes principios:</w:t>
            </w:r>
          </w:p>
          <w:p w14:paraId="111F6FBC"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c) Los recursos de los fondos sólo podrán ser </w:t>
            </w:r>
            <w:r w:rsidRPr="002012E1">
              <w:rPr>
                <w:rFonts w:ascii="Arial" w:eastAsia="Times New Roman" w:hAnsi="Arial" w:cs="Arial"/>
                <w:color w:val="000000"/>
                <w:kern w:val="0"/>
                <w14:ligatures w14:val="none"/>
              </w:rPr>
              <w:lastRenderedPageBreak/>
              <w:t>invertidos en valores inscritos en el Registro Nacional de Valores e Intermediarios o en valores emitidos por entidades financieras supervisadas por la Superintendencia General de Entidades Financieras.</w:t>
            </w:r>
          </w:p>
          <w:p w14:paraId="7E0E3278"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 Deberán estar calificados, conforme a las disposiciones legales vigentes y las regulaciones emitidas por el Consejo Nacional de Supervisión del Sistema Financiero.</w:t>
            </w:r>
          </w:p>
          <w:p w14:paraId="01B3281F"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f) La Superintendencia deberá procurar que las operadoras, sin menoscabo del principio expuesto en el inciso b) de este artículo, inviertan los recursos de los fondos en instrumentos que permitan a los afiliados participar directamente de las rentas derivadas de la propiedad de los factores de producción. Adicionalmente, la Superintendencia procurará una estructura de cartera orientada a fortalecer el financiamiento de viviendas para la clase trabajadora.</w:t>
            </w:r>
          </w:p>
          <w:p w14:paraId="5116F0EC"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 La Superintendencia de Pensiones podrá excluir la adquisición de determinados valores, en función de la calificación de riesgo.</w:t>
            </w:r>
          </w:p>
          <w:p w14:paraId="78256866"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Artículo 61: </w:t>
            </w:r>
            <w:r w:rsidRPr="002012E1">
              <w:rPr>
                <w:rFonts w:ascii="Arial" w:eastAsia="Times New Roman" w:hAnsi="Arial" w:cs="Arial"/>
                <w:color w:val="000000"/>
                <w:kern w:val="0"/>
                <w14:ligatures w14:val="none"/>
              </w:rPr>
              <w:t>Límites en materia de inversión. La Superintendencia establecerá reglamentariamente límites en materia de inversión de los recursos de los fondos, con el fin de promover una adecuada diversificación de riesgo y regular posibles conflictos de interés.</w:t>
            </w:r>
          </w:p>
          <w:p w14:paraId="4E22F9A7"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lastRenderedPageBreak/>
              <w:t>En todo caso, las operadoras de pensiones deberán invertir, por lo menos, un quince por ciento (15%) de los fondos depositados en ellas por concepto del Régimen Obligatorio de Pensiones Complementarias, en títulos valores con garantía hipotecaria, emitidos por las entidades del Sistema Financiero Nacional para la Vivienda y que ofrezcan al menos un rendimiento igual que el rendimiento promedio de las otras inversiones que las operadoras realicen, de conformidad con lo que a este respecto establecerá reglamentariamente la Superintendencia de Pensiones. En ningún caso podrá invertirse en títulos emitidos por entidades del Sistema Financiero Nacional para la Vivienda que se encuentren, en el momento de realizar la inversión, en situación de irregularidad financiera, de acuerdo con lo establecido por la Superintendencia General de Entidades Financieras. Como parte del referido quince por ciento (15%).</w:t>
            </w:r>
          </w:p>
        </w:tc>
      </w:tr>
      <w:tr w:rsidR="00C51607" w:rsidRPr="002012E1" w14:paraId="1771F8A8"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0CB48824"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lastRenderedPageBreak/>
              <w:t>Régimen Privado de Pensiones</w:t>
            </w:r>
            <w:r w:rsidRPr="002012E1">
              <w:rPr>
                <w:rFonts w:ascii="Arial" w:eastAsia="Arial" w:hAnsi="Arial" w:cs="Arial"/>
                <w:color w:val="000000"/>
                <w:kern w:val="0"/>
                <w14:ligatures w14:val="none"/>
              </w:rPr>
              <w:t xml:space="preserve"> </w:t>
            </w:r>
            <w:r w:rsidRPr="002012E1">
              <w:rPr>
                <w:rFonts w:ascii="Arial" w:eastAsia="Times New Roman" w:hAnsi="Arial" w:cs="Arial"/>
                <w:color w:val="000000"/>
                <w:kern w:val="0"/>
                <w14:ligatures w14:val="none"/>
              </w:rPr>
              <w:t>Complementarias, Ley 7523</w:t>
            </w:r>
          </w:p>
          <w:p w14:paraId="04D77206" w14:textId="77777777" w:rsidR="00C51607" w:rsidRPr="002012E1" w:rsidRDefault="00C51607" w:rsidP="005C1607">
            <w:pPr>
              <w:widowControl w:val="0"/>
              <w:spacing w:before="240" w:after="0" w:line="360" w:lineRule="auto"/>
              <w:jc w:val="both"/>
              <w:rPr>
                <w:rFonts w:ascii="Arial" w:eastAsia="Arial" w:hAnsi="Arial" w:cs="Arial"/>
                <w:color w:val="000000"/>
                <w:kern w:val="0"/>
                <w14:ligatures w14:val="none"/>
              </w:rPr>
            </w:pPr>
          </w:p>
          <w:p w14:paraId="583DF259" w14:textId="77777777" w:rsidR="00C51607" w:rsidRPr="002012E1" w:rsidRDefault="00C51607" w:rsidP="005C1607">
            <w:pPr>
              <w:widowControl w:val="0"/>
              <w:spacing w:before="240" w:after="0" w:line="360" w:lineRule="auto"/>
              <w:jc w:val="both"/>
              <w:rPr>
                <w:rFonts w:ascii="Arial" w:eastAsia="Arial" w:hAnsi="Arial" w:cs="Arial"/>
                <w:color w:val="000000"/>
                <w:kern w:val="0"/>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5B871393"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Artículo 12 Inversiones: </w:t>
            </w:r>
            <w:r w:rsidRPr="002012E1">
              <w:rPr>
                <w:rFonts w:ascii="Arial" w:eastAsia="Times New Roman" w:hAnsi="Arial" w:cs="Arial"/>
                <w:color w:val="000000"/>
                <w:kern w:val="0"/>
                <w14:ligatures w14:val="none"/>
              </w:rPr>
              <w:t>Los fondos que constituyan las operadoras deberán ser invertidos para el provecho primordial de los afiliados, procurando el necesario equilibrio entre seguridad, incremento de su valor, rendimientos reales, rentabilidad y liquidez.</w:t>
            </w:r>
          </w:p>
          <w:p w14:paraId="6806E709"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Artículo 13 Modos de Inversiones: </w:t>
            </w:r>
            <w:r w:rsidRPr="002012E1">
              <w:rPr>
                <w:rFonts w:ascii="Arial" w:eastAsia="Times New Roman" w:hAnsi="Arial" w:cs="Arial"/>
                <w:color w:val="000000"/>
                <w:kern w:val="0"/>
                <w14:ligatures w14:val="none"/>
              </w:rPr>
              <w:t xml:space="preserve">Para </w:t>
            </w:r>
            <w:r w:rsidRPr="002012E1">
              <w:rPr>
                <w:rFonts w:ascii="Arial" w:eastAsia="Times New Roman" w:hAnsi="Arial" w:cs="Arial"/>
                <w:color w:val="000000"/>
                <w:kern w:val="0"/>
                <w14:ligatures w14:val="none"/>
              </w:rPr>
              <w:lastRenderedPageBreak/>
              <w:t>salvaguardar la seguridad de la inversión, los recursos del fondo deberán invertirse en:</w:t>
            </w:r>
          </w:p>
          <w:p w14:paraId="6BDA2F0A"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 Títulos emitidos, avalados o afianzados por el sector público.</w:t>
            </w:r>
          </w:p>
          <w:p w14:paraId="2C4B8C9E"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b) Depósitos a plazo y otros títulos representativos de captaciones de instituciones financieras debidamente reguladas por la Auditoría General de Entidades Financieras.</w:t>
            </w:r>
          </w:p>
          <w:p w14:paraId="695E5825"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 Títulos garantizados por entidades financieras.</w:t>
            </w:r>
          </w:p>
          <w:p w14:paraId="63687FF8"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 Letras de cambio emitidas o avaladas por instituciones financieras.</w:t>
            </w:r>
          </w:p>
          <w:p w14:paraId="3B0248F3"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 Bonos y otros instrumentos de renta fija de empresas públicas y privadas, inscritas en la Comisión Nacional de Valores.</w:t>
            </w:r>
          </w:p>
          <w:p w14:paraId="61B575C8"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f) Acciones de sociedades anónimas inscritas en la</w:t>
            </w:r>
          </w:p>
          <w:p w14:paraId="09745BE4"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Comisión Nacional de Valores.</w:t>
            </w:r>
          </w:p>
          <w:p w14:paraId="4FF5F253"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g) Otros instrumentos financieros autorizados por la Comisión Nacional de Valores.</w:t>
            </w:r>
          </w:p>
          <w:p w14:paraId="295E3258"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Las instituciones financieras mencionadas en los incisos b), c) y d) deberán estar autorizadas para funcionar en el país. Todos los instrumentos indicados en este artículo deberán ser de oferta pública y estar clasificados en alguna de las categorías de riesgo que establezcan las </w:t>
            </w:r>
            <w:r w:rsidRPr="002012E1">
              <w:rPr>
                <w:rFonts w:ascii="Arial" w:eastAsia="Times New Roman" w:hAnsi="Arial" w:cs="Arial"/>
                <w:color w:val="000000"/>
                <w:kern w:val="0"/>
                <w14:ligatures w14:val="none"/>
              </w:rPr>
              <w:lastRenderedPageBreak/>
              <w:t>compañías clasificadoras de riesgos, autorizadas al efecto por la Comisión Nacional de Valores. Las resoluciones de las clasificadoras de riesgos serán consideradas para el único efecto de determinar la diversificación de las inversiones.</w:t>
            </w:r>
          </w:p>
          <w:p w14:paraId="1DBE2BCB" w14:textId="77777777" w:rsidR="00C51607" w:rsidRPr="002012E1" w:rsidRDefault="00C51607" w:rsidP="005C1607">
            <w:pPr>
              <w:widowControl w:val="0"/>
              <w:spacing w:before="240" w:after="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Artículo 35 Funciones del ente regulador:</w:t>
            </w:r>
          </w:p>
          <w:p w14:paraId="23A2CBB6"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 Fiscalizar la inversión de los recursos de los fondos y la composición de la cartera de inversiones, así como solicitar información a los administradores de los demás regímenes públicos de pensiones sobre la composición de su cartera de inversiones.</w:t>
            </w:r>
          </w:p>
          <w:p w14:paraId="376DCB1A"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 Exigir a las operadoras el suministro, al público y al ente regulador, de informes sobre su situación financiera y los resultados de operación, así como cualquier otra información que considere de importancia, con la periodicidad, por los medios y bajo las condiciones que el propio ente regulador indique. Podrá solicitar la misma información sobre los fondos administrados. Toda información requerida por el ente regulador será de interés público.</w:t>
            </w:r>
          </w:p>
          <w:p w14:paraId="0A1570F3"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i) Cancelar la autorización de funcionamiento de una operadora, cuando deje de cumplir con los requisitos establecidos en esta Ley, sus reglamentos o con las disposiciones de carácter general emitidas por el ente regulador.</w:t>
            </w:r>
          </w:p>
          <w:p w14:paraId="739ADF35"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lastRenderedPageBreak/>
              <w:t>m) Las demás que establezca esta Ley y sus reglamentos.</w:t>
            </w:r>
          </w:p>
        </w:tc>
      </w:tr>
      <w:tr w:rsidR="00C51607" w:rsidRPr="002012E1" w14:paraId="7CB07DE0"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0A5CF703" w14:textId="77777777" w:rsidR="00C51607" w:rsidRPr="002012E1" w:rsidRDefault="00C51607" w:rsidP="005C1607">
            <w:pPr>
              <w:widowControl w:val="0"/>
              <w:spacing w:before="240" w:after="0" w:line="360" w:lineRule="auto"/>
              <w:jc w:val="both"/>
              <w:rPr>
                <w:rFonts w:ascii="Arial" w:eastAsia="Arial" w:hAnsi="Arial" w:cs="Arial"/>
                <w:color w:val="000000"/>
                <w:kern w:val="0"/>
                <w14:ligatures w14:val="none"/>
              </w:rPr>
            </w:pPr>
            <w:r w:rsidRPr="002012E1">
              <w:rPr>
                <w:rFonts w:ascii="Arial" w:eastAsia="Times New Roman" w:hAnsi="Arial" w:cs="Arial"/>
                <w:color w:val="000000"/>
                <w:kern w:val="0"/>
                <w14:ligatures w14:val="none"/>
              </w:rPr>
              <w:lastRenderedPageBreak/>
              <w:t>Normas Internacionales de Contabilidad (NIC) 26 - Contabilización e Información Financiera sobre Planes de Beneficio por Retiro</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2B7CE77D"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32. Valoración de activos del plan</w:t>
            </w:r>
          </w:p>
          <w:p w14:paraId="71C95F21"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Las inversiones del plan de beneficio por retiro deben contabilizarse por su valor razonable. En el caso de títulos cotizados, el valor razonable es el de mercado. Cuando existen inversiones dentro del plan cuyo valor razonable no puede estimarse, debe revelarse la razón por la cual no se ha podido usar tal método de valoración.</w:t>
            </w:r>
          </w:p>
          <w:p w14:paraId="55536215"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35. Información a revelar</w:t>
            </w:r>
          </w:p>
          <w:p w14:paraId="7AE6AB73"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 información proveniente de un plan de beneficio por retiro ya sea de aportaciones o de beneficios definidos, debe contener la siguiente información:</w:t>
            </w:r>
          </w:p>
          <w:p w14:paraId="7E4C4339"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 un estado de cambios en los activos netos disponibles para atender al pago de los beneficios;</w:t>
            </w:r>
          </w:p>
          <w:p w14:paraId="4EBBEA00"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(b) un resumen de las políticas contables significativas; y</w:t>
            </w:r>
          </w:p>
          <w:p w14:paraId="1A0CEB6D"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 una descripción del plan y del efecto de cualesquiera cambios habidos en el plan durante el periodo.</w:t>
            </w:r>
          </w:p>
        </w:tc>
      </w:tr>
      <w:tr w:rsidR="00C51607" w:rsidRPr="002012E1" w14:paraId="3134257B"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19D9ECF1" w14:textId="77777777" w:rsidR="00C51607" w:rsidRPr="002012E1" w:rsidRDefault="00C51607" w:rsidP="005C1607">
            <w:pPr>
              <w:widowControl w:val="0"/>
              <w:spacing w:before="240" w:after="0" w:line="360" w:lineRule="auto"/>
              <w:jc w:val="both"/>
              <w:rPr>
                <w:rFonts w:ascii="Arial" w:eastAsia="Arial" w:hAnsi="Arial" w:cs="Arial"/>
                <w:color w:val="000000"/>
                <w:kern w:val="0"/>
                <w14:ligatures w14:val="none"/>
              </w:rPr>
            </w:pPr>
            <w:r w:rsidRPr="002012E1">
              <w:rPr>
                <w:rFonts w:ascii="Arial" w:eastAsia="Times New Roman" w:hAnsi="Arial" w:cs="Arial"/>
                <w:color w:val="000000"/>
                <w:kern w:val="0"/>
                <w14:ligatures w14:val="none"/>
              </w:rPr>
              <w:t>Normas Internacionales de</w:t>
            </w:r>
            <w:r w:rsidRPr="002012E1">
              <w:rPr>
                <w:rFonts w:ascii="Arial" w:eastAsia="Arial" w:hAnsi="Arial" w:cs="Arial"/>
                <w:color w:val="000000"/>
                <w:kern w:val="0"/>
                <w14:ligatures w14:val="none"/>
              </w:rPr>
              <w:t xml:space="preserve"> </w:t>
            </w:r>
            <w:r w:rsidRPr="002012E1">
              <w:rPr>
                <w:rFonts w:ascii="Arial" w:eastAsia="Times New Roman" w:hAnsi="Arial" w:cs="Arial"/>
                <w:color w:val="000000"/>
                <w:kern w:val="0"/>
                <w14:ligatures w14:val="none"/>
              </w:rPr>
              <w:lastRenderedPageBreak/>
              <w:t>Contabilidad (NIC) 32 - Instrumentos financieros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5863A90C"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lastRenderedPageBreak/>
              <w:t xml:space="preserve">Sección 12: Clasificación de instrumentos </w:t>
            </w:r>
            <w:r w:rsidRPr="002012E1">
              <w:rPr>
                <w:rFonts w:ascii="Arial" w:eastAsia="Times New Roman" w:hAnsi="Arial" w:cs="Arial"/>
                <w:b/>
                <w:color w:val="000000"/>
                <w:kern w:val="0"/>
                <w14:ligatures w14:val="none"/>
              </w:rPr>
              <w:lastRenderedPageBreak/>
              <w:t>financieros:</w:t>
            </w:r>
          </w:p>
          <w:p w14:paraId="025926DA"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Define cómo deben clasificarse los instrumentos financieros como activos, pasivos o patrimonio, y cómo presentarlos en los estados financieros. Aclara las reglas sobre la compensación de activos y pasivos financieros.</w:t>
            </w:r>
          </w:p>
        </w:tc>
      </w:tr>
      <w:tr w:rsidR="00C51607" w:rsidRPr="002012E1" w14:paraId="17863422"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388EA093"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Normas Internacionales de Contabilidad (NIC) 39 - Instrumentos Financieros: Reconocimiento y medición.</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52B2FD6B"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Sección 5: Reconocimiento de activos y pasivos financieros:</w:t>
            </w:r>
          </w:p>
          <w:p w14:paraId="37B0DFCB"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Establece principios para reconocer, dar de baja y medir los instrumentos financieros, incluidos activos y pasivos financieros. Incluye directrices sobre la contabilización de coberturas y el deterioro. (Relevante aún en algunas jurisdicciones).</w:t>
            </w:r>
          </w:p>
        </w:tc>
      </w:tr>
      <w:tr w:rsidR="00C51607" w:rsidRPr="002012E1" w14:paraId="783E333C"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128AB779"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Normas Internacionales de Información Financiera (NIIF) 9 - Instrumentos Financieros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6EAD5C7E"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4.1 Clasificación de activos financieros:</w:t>
            </w:r>
          </w:p>
          <w:p w14:paraId="0BC24F2E"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4.1.1 Una entidad clasificará los activos financieros según se midan posteriormente a costo amortizado, a valor razonable con cambios en otro resultado integral o a valor razonable con cambios en resultados sobre la base de los dos siguientes:</w:t>
            </w:r>
          </w:p>
          <w:p w14:paraId="38643F80"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 modelo de negocio de la entidad para gestionar los activos financieros y</w:t>
            </w:r>
          </w:p>
          <w:p w14:paraId="78E4D648"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(b) de las características de los flujos de efectivo </w:t>
            </w:r>
            <w:r w:rsidRPr="002012E1">
              <w:rPr>
                <w:rFonts w:ascii="Arial" w:eastAsia="Times New Roman" w:hAnsi="Arial" w:cs="Arial"/>
                <w:color w:val="000000"/>
                <w:kern w:val="0"/>
                <w14:ligatures w14:val="none"/>
              </w:rPr>
              <w:lastRenderedPageBreak/>
              <w:t>contractuales del activo financiero.</w:t>
            </w:r>
          </w:p>
          <w:p w14:paraId="7DFD7E9D"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5.1 Reconocimiento inicial:</w:t>
            </w:r>
          </w:p>
          <w:p w14:paraId="00EF53FC"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5.1.1 Una entidad reconocerá un activo financiero o un pasivo financiero en su estado de situación financiera cuando, y sólo cuando, se convierta en parte de las cláusulas contractuales del instrumento.</w:t>
            </w:r>
          </w:p>
          <w:p w14:paraId="7875A344"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5.2 Medición posterior de activos financieros</w:t>
            </w:r>
          </w:p>
          <w:p w14:paraId="540554CD"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5.2.1 Después del reconocimiento inicial, una entidad medirá un activo financiero de acuerdo con los párrafos 4.1.1 a 4.1.5 a:</w:t>
            </w:r>
          </w:p>
          <w:p w14:paraId="6B930D78"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 costo amortizado;</w:t>
            </w:r>
          </w:p>
          <w:p w14:paraId="03789C00"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(b) valor razonable con cambios en otro resultado integral.</w:t>
            </w:r>
          </w:p>
          <w:p w14:paraId="45055297"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 valor razonable con cambios en resultados.</w:t>
            </w:r>
          </w:p>
        </w:tc>
      </w:tr>
      <w:tr w:rsidR="00C51607" w:rsidRPr="002012E1" w14:paraId="5DF066EE"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05407079"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Normas Internacionales de Información Financiera (NIIF) 13 - Medición del Valor Razonable</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1427862F"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9. Definición de valor razonable: </w:t>
            </w:r>
            <w:r w:rsidRPr="002012E1">
              <w:rPr>
                <w:rFonts w:ascii="Arial" w:eastAsia="Times New Roman" w:hAnsi="Arial" w:cs="Arial"/>
                <w:color w:val="000000"/>
                <w:kern w:val="0"/>
                <w14:ligatures w14:val="none"/>
              </w:rPr>
              <w:t>Esta NIIF define el valor razonable como el precio que sería recibido por vender un activo o pagado por transferir un pasivo en una transacción ordenada entre participantes del mercado en la fecha de la medición.</w:t>
            </w:r>
          </w:p>
          <w:p w14:paraId="4B5383B4"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61. Técnicas de valoración: </w:t>
            </w:r>
            <w:r w:rsidRPr="002012E1">
              <w:rPr>
                <w:rFonts w:ascii="Arial" w:eastAsia="Times New Roman" w:hAnsi="Arial" w:cs="Arial"/>
                <w:color w:val="000000"/>
                <w:kern w:val="0"/>
                <w14:ligatures w14:val="none"/>
              </w:rPr>
              <w:t xml:space="preserve">Una entidad utilizará las técnicas de valoración que sean apropiadas a las circunstancias y sobre las cuales </w:t>
            </w:r>
            <w:r w:rsidRPr="002012E1">
              <w:rPr>
                <w:rFonts w:ascii="Arial" w:eastAsia="Times New Roman" w:hAnsi="Arial" w:cs="Arial"/>
                <w:color w:val="000000"/>
                <w:kern w:val="0"/>
                <w14:ligatures w14:val="none"/>
              </w:rPr>
              <w:lastRenderedPageBreak/>
              <w:t>existan datos suficientes disponibles para medir el valor razonable, maximizando el uso de datos de entrada observables relevantes y minimizando el uso de datos de entrada no observables.</w:t>
            </w:r>
          </w:p>
        </w:tc>
      </w:tr>
      <w:tr w:rsidR="00C51607" w:rsidRPr="002012E1" w14:paraId="40609DD5"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6AA9B0CB"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Normas Internacionales de Contabilidad (NIC) 32 - Instrumentos Financieros: Presentación</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0AF05103"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11. Definiciones: </w:t>
            </w:r>
            <w:r w:rsidRPr="002012E1">
              <w:rPr>
                <w:rFonts w:ascii="Arial" w:eastAsia="Times New Roman" w:hAnsi="Arial" w:cs="Arial"/>
                <w:color w:val="000000"/>
                <w:kern w:val="0"/>
                <w14:ligatures w14:val="none"/>
              </w:rPr>
              <w:t>Un instrumento financiero es cualquier contrato que dé lugar a un activo financiero en una entidad y a un pasivo financiero o a un instrumento de patrimonio en otra entidad.</w:t>
            </w:r>
          </w:p>
        </w:tc>
      </w:tr>
      <w:tr w:rsidR="00C51607" w:rsidRPr="002012E1" w14:paraId="693F60A0"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5593C1A1"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Normas Internacionales de Información Financiera (NIIF) 7 - Instrumentos Financieros: Información a Revelar</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207821BF"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6. Clases de instrumentos financieros y nivel de información: </w:t>
            </w:r>
            <w:r w:rsidRPr="002012E1">
              <w:rPr>
                <w:rFonts w:ascii="Arial" w:eastAsia="Times New Roman" w:hAnsi="Arial" w:cs="Arial"/>
                <w:color w:val="000000"/>
                <w:kern w:val="0"/>
                <w14:ligatures w14:val="none"/>
              </w:rPr>
              <w:t>Cuando esta NIIF requiera que la información se suministre por clases de instrumentos financieros, una entidad los agrupará en clases que sean apropiadas según la naturaleza de la información a revelar y que tengan en cuenta las características de dichos instrumentos financieros.</w:t>
            </w:r>
          </w:p>
          <w:p w14:paraId="3BB35136"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 xml:space="preserve">7.Relevancia de los instrumentos financieros en la situación financiera y el rendimiento. </w:t>
            </w:r>
            <w:r w:rsidRPr="002012E1">
              <w:rPr>
                <w:rFonts w:ascii="Arial" w:eastAsia="Times New Roman" w:hAnsi="Arial" w:cs="Arial"/>
                <w:color w:val="000000"/>
                <w:kern w:val="0"/>
                <w14:ligatures w14:val="none"/>
              </w:rPr>
              <w:t>Una entidad revelará información que permita a los usuarios de sus estados financieros evaluar la significatividad de los instrumentos financieros en su situación financiera y en su rendimiento.</w:t>
            </w:r>
          </w:p>
        </w:tc>
      </w:tr>
      <w:tr w:rsidR="00C51607" w:rsidRPr="002012E1" w14:paraId="319E5256" w14:textId="77777777" w:rsidTr="005C1607">
        <w:tc>
          <w:tcPr>
            <w:tcW w:w="0" w:type="auto"/>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3F6ADC6D" w14:textId="77777777" w:rsidR="00C51607" w:rsidRPr="002012E1" w:rsidRDefault="00C51607" w:rsidP="005C1607">
            <w:pPr>
              <w:widowControl w:val="0"/>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Normas Internacionales de Información Financiera (NIIF) 12 - Información a Revelar </w:t>
            </w:r>
            <w:r w:rsidRPr="002012E1">
              <w:rPr>
                <w:rFonts w:ascii="Arial" w:eastAsia="Times New Roman" w:hAnsi="Arial" w:cs="Arial"/>
                <w:color w:val="000000"/>
                <w:kern w:val="0"/>
                <w14:ligatures w14:val="none"/>
              </w:rPr>
              <w:lastRenderedPageBreak/>
              <w:t>sobre Participaciones en Otras Entidades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vAlign w:val="center"/>
          </w:tcPr>
          <w:p w14:paraId="01971692" w14:textId="77777777" w:rsidR="00C51607" w:rsidRPr="002012E1" w:rsidRDefault="00C51607" w:rsidP="005C1607">
            <w:pPr>
              <w:widowControl w:val="0"/>
              <w:spacing w:before="240" w:after="240" w:line="360" w:lineRule="auto"/>
              <w:jc w:val="both"/>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lastRenderedPageBreak/>
              <w:t>1. Objetivo</w:t>
            </w:r>
          </w:p>
          <w:p w14:paraId="1C4991C5"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 xml:space="preserve">El objetivo de esta NIIF es requerir que una </w:t>
            </w:r>
            <w:r w:rsidRPr="002012E1">
              <w:rPr>
                <w:rFonts w:ascii="Arial" w:eastAsia="Times New Roman" w:hAnsi="Arial" w:cs="Arial"/>
                <w:color w:val="000000"/>
                <w:kern w:val="0"/>
                <w14:ligatures w14:val="none"/>
              </w:rPr>
              <w:lastRenderedPageBreak/>
              <w:t>entidad revele información que permita a los usuarios de sus estados financieros evaluar:</w:t>
            </w:r>
          </w:p>
          <w:p w14:paraId="4D69E4EB"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 la naturaleza de sus participaciones en otras entidades y los riesgos asociados con éstas; y</w:t>
            </w:r>
          </w:p>
          <w:p w14:paraId="727FF31B" w14:textId="77777777" w:rsidR="00C51607" w:rsidRPr="002012E1" w:rsidRDefault="00C51607" w:rsidP="005C1607">
            <w:pPr>
              <w:widowControl w:val="0"/>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(b) los efectos de esas participaciones en su situación financiera, rendimiento financiero y flujos de efectivo.</w:t>
            </w:r>
          </w:p>
        </w:tc>
      </w:tr>
    </w:tbl>
    <w:p w14:paraId="21C98D14" w14:textId="77777777" w:rsidR="00C51607" w:rsidRPr="002012E1" w:rsidRDefault="00C51607" w:rsidP="00C51607">
      <w:pPr>
        <w:spacing w:before="240" w:after="240" w:line="360" w:lineRule="auto"/>
        <w:jc w:val="right"/>
        <w:rPr>
          <w:rFonts w:ascii="Arial" w:eastAsia="Times New Roman" w:hAnsi="Arial" w:cs="Arial"/>
          <w:b/>
          <w:color w:val="000000"/>
          <w:kern w:val="0"/>
          <w14:ligatures w14:val="none"/>
        </w:rPr>
      </w:pPr>
      <w:r w:rsidRPr="002012E1">
        <w:rPr>
          <w:rFonts w:ascii="Arial" w:eastAsia="Times New Roman" w:hAnsi="Arial" w:cs="Arial"/>
          <w:b/>
          <w:color w:val="000000"/>
          <w:kern w:val="0"/>
          <w14:ligatures w14:val="none"/>
        </w:rPr>
        <w:t xml:space="preserve">Fuente: </w:t>
      </w:r>
      <w:r w:rsidRPr="002012E1">
        <w:rPr>
          <w:rFonts w:ascii="Arial" w:eastAsia="Times New Roman" w:hAnsi="Arial" w:cs="Arial"/>
          <w:color w:val="000000"/>
          <w:kern w:val="0"/>
          <w14:ligatures w14:val="none"/>
        </w:rPr>
        <w:t>Objetivos de la investigación.</w:t>
      </w:r>
      <w:r w:rsidRPr="002012E1">
        <w:rPr>
          <w:rFonts w:ascii="Arial" w:eastAsia="Times New Roman" w:hAnsi="Arial" w:cs="Arial"/>
          <w:b/>
          <w:color w:val="000000"/>
          <w:kern w:val="0"/>
          <w14:ligatures w14:val="none"/>
        </w:rPr>
        <w:t xml:space="preserve"> Elaboración: </w:t>
      </w:r>
      <w:r w:rsidRPr="002012E1">
        <w:rPr>
          <w:rFonts w:ascii="Arial" w:eastAsia="Times New Roman" w:hAnsi="Arial" w:cs="Arial"/>
          <w:color w:val="000000"/>
          <w:kern w:val="0"/>
          <w14:ligatures w14:val="none"/>
        </w:rPr>
        <w:t>Equipo investigador 2024.</w:t>
      </w:r>
    </w:p>
    <w:p w14:paraId="4C35F7F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Este capítulo ha sido crucial para comprender cómo las inversiones alternativas en los fondos de pensiones en Costa Rica están influenciadas por un marco normativo que aún está en proceso de adaptación. </w:t>
      </w:r>
    </w:p>
    <w:p w14:paraId="4D76349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CD573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Debido a esto, se evidencia que la evolución hacia un sistema más transparente y eficiente no solo depende de la normativa vigente, sino también de la capacidad de las operadoras de fondos y las autoridades regulatorias, para implementar cambios sostenibles. Sin duda, avanzar en la mejora de la contabilidad y la supervisión será esencial para fortalecer la confianza en el sistema de pensiones costarricense. </w:t>
      </w:r>
    </w:p>
    <w:p w14:paraId="4298575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95C57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Bajo esta regulación y un seguimiento efectivo, Costa Rica tiene el potencial de fortalecer su sistema de pensiones, permitiendo que los fondos de pensiones gestionen de forma eficiente y segura estos productos financieros.</w:t>
      </w:r>
    </w:p>
    <w:p w14:paraId="16A755A8" w14:textId="77777777" w:rsidR="00C51607" w:rsidRPr="002012E1" w:rsidRDefault="00C51607" w:rsidP="00C51607">
      <w:pPr>
        <w:spacing w:after="0" w:line="360" w:lineRule="auto"/>
        <w:jc w:val="both"/>
        <w:rPr>
          <w:rFonts w:ascii="Arial" w:eastAsia="Calibri" w:hAnsi="Arial" w:cs="Arial"/>
          <w:kern w:val="0"/>
          <w:lang w:val="es-MX"/>
          <w14:ligatures w14:val="none"/>
        </w:rPr>
        <w:sectPr w:rsidR="00C51607" w:rsidRPr="002012E1" w:rsidSect="00C51607">
          <w:headerReference w:type="default" r:id="rId19"/>
          <w:footerReference w:type="default" r:id="rId20"/>
          <w:footerReference w:type="first" r:id="rId21"/>
          <w:pgSz w:w="12240" w:h="15840"/>
          <w:pgMar w:top="1417" w:right="1701" w:bottom="1417" w:left="1701" w:header="708" w:footer="708" w:gutter="0"/>
          <w:cols w:space="708"/>
          <w:titlePg/>
          <w:docGrid w:linePitch="360"/>
        </w:sectPr>
      </w:pPr>
    </w:p>
    <w:p w14:paraId="2C8DC6FA"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kern w:val="36"/>
          <w:sz w:val="40"/>
          <w:szCs w:val="40"/>
          <w:lang w:eastAsia="es-CR"/>
          <w14:ligatures w14:val="none"/>
        </w:rPr>
        <w:sectPr w:rsidR="00C51607" w:rsidRPr="002012E1" w:rsidSect="00C51607">
          <w:headerReference w:type="first" r:id="rId22"/>
          <w:footerReference w:type="first" r:id="rId23"/>
          <w:pgSz w:w="12240" w:h="15840"/>
          <w:pgMar w:top="1417" w:right="1701" w:bottom="1417" w:left="1701" w:header="709" w:footer="709" w:gutter="0"/>
          <w:cols w:space="708"/>
          <w:vAlign w:val="center"/>
          <w:titlePg/>
          <w:docGrid w:linePitch="360"/>
        </w:sectPr>
      </w:pPr>
      <w:bookmarkStart w:id="68" w:name="_Toc201832432"/>
      <w:r w:rsidRPr="002012E1">
        <w:rPr>
          <w:rFonts w:ascii="Arial" w:eastAsia="Times New Roman" w:hAnsi="Arial" w:cs="Arial"/>
          <w:b/>
          <w:bCs/>
          <w:kern w:val="36"/>
          <w:sz w:val="40"/>
          <w:szCs w:val="40"/>
          <w:lang w:eastAsia="es-CR"/>
          <w14:ligatures w14:val="none"/>
        </w:rPr>
        <w:lastRenderedPageBreak/>
        <w:t>CAPÍTULO III. MARCO CONCEPTUAL</w:t>
      </w:r>
      <w:bookmarkEnd w:id="68"/>
    </w:p>
    <w:p w14:paraId="56174075" w14:textId="77777777" w:rsidR="00C51607" w:rsidRPr="002012E1" w:rsidRDefault="00C51607" w:rsidP="00C51607">
      <w:pPr>
        <w:pStyle w:val="apanivel1"/>
        <w:jc w:val="center"/>
        <w:rPr>
          <w:bCs/>
        </w:rPr>
      </w:pPr>
      <w:bookmarkStart w:id="69" w:name="_Toc196485438"/>
      <w:bookmarkStart w:id="70" w:name="_Toc201832433"/>
      <w:r w:rsidRPr="002012E1">
        <w:lastRenderedPageBreak/>
        <w:t xml:space="preserve">Capítulo III: Marco </w:t>
      </w:r>
      <w:bookmarkEnd w:id="69"/>
      <w:r w:rsidRPr="002012E1">
        <w:t>Conceptual</w:t>
      </w:r>
      <w:bookmarkEnd w:id="70"/>
    </w:p>
    <w:p w14:paraId="5510A7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el presente capítulo se abordan conceptos fundamentales que sirven como base teórica para la investigación, proporcionando un marco que permite entender y analizar las variables. </w:t>
      </w:r>
    </w:p>
    <w:p w14:paraId="7B0871F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0801C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primer lugar, se presentan definiciones precisas de los términos esenciales, con el objetivo de establecer un lenguaje común y claro que facilite la comprensión de los temas tratados. </w:t>
      </w:r>
    </w:p>
    <w:p w14:paraId="6438A68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C59593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continuación, se realiza un análisis de las características, comportamiento y relevancia de cada variable en el contexto del estudio, explorando las interacciones entre ellas y su impacto en la investigación.</w:t>
      </w:r>
    </w:p>
    <w:p w14:paraId="3AC07A7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526AE81" w14:textId="77777777" w:rsidR="00C51607" w:rsidRPr="002012E1" w:rsidRDefault="00C51607" w:rsidP="00C51607">
      <w:pPr>
        <w:pStyle w:val="apanivel2"/>
        <w:rPr>
          <w:rFonts w:ascii="Arial" w:hAnsi="Arial" w:cs="Arial"/>
        </w:rPr>
      </w:pPr>
      <w:bookmarkStart w:id="71" w:name="_Toc201832434"/>
      <w:r w:rsidRPr="002012E1">
        <w:rPr>
          <w:rFonts w:ascii="Arial" w:hAnsi="Arial" w:cs="Arial"/>
        </w:rPr>
        <w:t>Productos financieros de deuda, acciones y alternativos.</w:t>
      </w:r>
      <w:bookmarkEnd w:id="71"/>
    </w:p>
    <w:p w14:paraId="38012FBB" w14:textId="77777777" w:rsidR="00C51607" w:rsidRPr="002012E1" w:rsidRDefault="00C51607" w:rsidP="00C51607">
      <w:pPr>
        <w:pStyle w:val="apaparrafo"/>
      </w:pPr>
      <w:r w:rsidRPr="002012E1">
        <w:t xml:space="preserve">Las carteras de inversión se diseñan con el propósito fundamental de incrementar el capital de individuos u organizaciones a lo largo del tiempo, adaptándose a las diferentes necesidades y perfiles de riesgo de los inversores. </w:t>
      </w:r>
    </w:p>
    <w:p w14:paraId="2090DA80" w14:textId="77777777" w:rsidR="00C51607" w:rsidRPr="002012E1" w:rsidRDefault="00C51607" w:rsidP="00C51607">
      <w:pPr>
        <w:pStyle w:val="apaparrafo"/>
      </w:pPr>
    </w:p>
    <w:p w14:paraId="701B1180" w14:textId="77777777" w:rsidR="00C51607" w:rsidRPr="002012E1" w:rsidRDefault="00C51607" w:rsidP="00C51607">
      <w:pPr>
        <w:pStyle w:val="apaparrafo"/>
      </w:pPr>
      <w:r w:rsidRPr="002012E1">
        <w:t xml:space="preserve">Para lograr este objetivo, se han desarrollado diversas modalidades de inversión que permiten la generación de rendimientos, cada una con características específicas que influyen en la composición y estrategia del portafolio. </w:t>
      </w:r>
    </w:p>
    <w:p w14:paraId="597B53C2" w14:textId="77777777" w:rsidR="00C51607" w:rsidRPr="002012E1" w:rsidRDefault="00C51607" w:rsidP="00C51607">
      <w:pPr>
        <w:pStyle w:val="apaparrafo"/>
      </w:pPr>
    </w:p>
    <w:p w14:paraId="6B4927D8" w14:textId="77777777" w:rsidR="00C51607" w:rsidRPr="002012E1" w:rsidRDefault="00C51607" w:rsidP="00C51607">
      <w:pPr>
        <w:pStyle w:val="apaparrafo"/>
      </w:pPr>
      <w:r w:rsidRPr="002012E1">
        <w:t>Estas modalidades incluyen principalmente productos de deuda, acciones y productos alternativos, cada uno con particularidades que los hacen adecuados para distintos objetivos financieros.</w:t>
      </w:r>
    </w:p>
    <w:p w14:paraId="708A78A9" w14:textId="77777777" w:rsidR="00C51607" w:rsidRPr="002012E1" w:rsidRDefault="00C51607" w:rsidP="00C51607">
      <w:pPr>
        <w:pStyle w:val="apaparrafo"/>
      </w:pPr>
    </w:p>
    <w:p w14:paraId="0B43DA84" w14:textId="77777777" w:rsidR="00C51607" w:rsidRPr="002012E1" w:rsidRDefault="00C51607" w:rsidP="00C51607">
      <w:pPr>
        <w:pStyle w:val="apaparrafo"/>
        <w:rPr>
          <w:lang w:val="es-419"/>
        </w:rPr>
      </w:pPr>
      <w:r w:rsidRPr="002012E1">
        <w:rPr>
          <w:lang w:val="es-419"/>
        </w:rPr>
        <w:t xml:space="preserve">Entre los productos financieros más tradicionales se encuentran los productos de deuda, que, según Bahilo et al. (2010, citado por Rey Sanduende, 2019), “son títulos </w:t>
      </w:r>
      <w:r w:rsidRPr="002012E1">
        <w:rPr>
          <w:lang w:val="es-419"/>
        </w:rPr>
        <w:lastRenderedPageBreak/>
        <w:t>de renta fija que emiten empresas privadas o entes públicos, los cuales les permiten percibir un interés de forma periódica” (p. 24).</w:t>
      </w:r>
    </w:p>
    <w:p w14:paraId="4522BBD1" w14:textId="77777777" w:rsidR="00C51607" w:rsidRPr="002012E1" w:rsidRDefault="00C51607" w:rsidP="00C51607">
      <w:pPr>
        <w:pStyle w:val="apaparrafo"/>
        <w:rPr>
          <w:lang w:val="es-419"/>
        </w:rPr>
      </w:pPr>
    </w:p>
    <w:p w14:paraId="608C0DCD" w14:textId="77777777" w:rsidR="00C51607" w:rsidRPr="002012E1" w:rsidRDefault="00C51607" w:rsidP="00C51607">
      <w:pPr>
        <w:pStyle w:val="apaparrafo"/>
        <w:rPr>
          <w:lang w:val="es-419"/>
        </w:rPr>
      </w:pPr>
      <w:r w:rsidRPr="002012E1">
        <w:rPr>
          <w:lang w:val="es-419"/>
        </w:rPr>
        <w:t xml:space="preserve">Estos instrumentos, como los bonos, las letras y los pagarés, ofrecen un flujo de ingresos estable y predecible, lo que los convierte en una opción preferida para inversores que buscan seguridad y menor volatilidad. </w:t>
      </w:r>
    </w:p>
    <w:p w14:paraId="77FA593F" w14:textId="77777777" w:rsidR="00C51607" w:rsidRPr="002012E1" w:rsidRDefault="00C51607" w:rsidP="00C51607">
      <w:pPr>
        <w:pStyle w:val="apaparrafo"/>
        <w:rPr>
          <w:lang w:val="es-419"/>
        </w:rPr>
      </w:pPr>
    </w:p>
    <w:p w14:paraId="5A3EB5AE" w14:textId="77777777" w:rsidR="00C51607" w:rsidRPr="002012E1" w:rsidRDefault="00C51607" w:rsidP="00C51607">
      <w:pPr>
        <w:pStyle w:val="apaparrafo"/>
        <w:rPr>
          <w:lang w:val="es-419"/>
        </w:rPr>
      </w:pPr>
      <w:r w:rsidRPr="002012E1">
        <w:rPr>
          <w:lang w:val="es-419"/>
        </w:rPr>
        <w:t>La naturaleza de renta fija de estos productos implica que el inversionista conoce de antemano los pagos que recibirá, lo que facilita la planificación financiera y la gestión del riesgo.</w:t>
      </w:r>
    </w:p>
    <w:p w14:paraId="32CCAE5A" w14:textId="77777777" w:rsidR="00C51607" w:rsidRPr="002012E1" w:rsidRDefault="00C51607" w:rsidP="00C51607">
      <w:pPr>
        <w:pStyle w:val="apaparrafo"/>
        <w:rPr>
          <w:lang w:val="es-419"/>
        </w:rPr>
      </w:pPr>
    </w:p>
    <w:p w14:paraId="714979E0" w14:textId="77777777" w:rsidR="00C51607" w:rsidRPr="002012E1" w:rsidRDefault="00C51607" w:rsidP="00C51607">
      <w:pPr>
        <w:pStyle w:val="apaparrafo"/>
        <w:rPr>
          <w:lang w:val="es-419"/>
        </w:rPr>
      </w:pPr>
      <w:r w:rsidRPr="002012E1">
        <w:rPr>
          <w:lang w:val="es-419"/>
        </w:rPr>
        <w:t>Por otro lado, las acciones representan instrumentos de renta variable que otorgan a sus tenedores una participación en el capital social de una empresa. Según la SUGEVAL (2024), las acciones “son las distintas partes en las que se divide el capital social de una empresa”.</w:t>
      </w:r>
    </w:p>
    <w:p w14:paraId="2AD575A5" w14:textId="77777777" w:rsidR="00C51607" w:rsidRPr="002012E1" w:rsidRDefault="00C51607" w:rsidP="00C51607">
      <w:pPr>
        <w:pStyle w:val="apaparrafo"/>
        <w:rPr>
          <w:lang w:val="es-419"/>
        </w:rPr>
      </w:pPr>
    </w:p>
    <w:p w14:paraId="5A0F0ABD" w14:textId="77777777" w:rsidR="00C51607" w:rsidRPr="002012E1" w:rsidRDefault="00C51607" w:rsidP="00C51607">
      <w:pPr>
        <w:pStyle w:val="apaparrafo"/>
        <w:rPr>
          <w:lang w:val="es-419"/>
        </w:rPr>
      </w:pPr>
      <w:r w:rsidRPr="002012E1">
        <w:rPr>
          <w:lang w:val="es-419"/>
        </w:rPr>
        <w:t xml:space="preserve">La adquisición de acciones convierte al inversor en propietario parcial de la empresa, con derechos que varían según el tipo de acción, ya sean comunes o preferentes. </w:t>
      </w:r>
    </w:p>
    <w:p w14:paraId="0E1BDFA9" w14:textId="77777777" w:rsidR="00C51607" w:rsidRPr="002012E1" w:rsidRDefault="00C51607" w:rsidP="00C51607">
      <w:pPr>
        <w:pStyle w:val="apaparrafo"/>
        <w:rPr>
          <w:lang w:val="es-419"/>
        </w:rPr>
      </w:pPr>
    </w:p>
    <w:p w14:paraId="5E60188E" w14:textId="77777777" w:rsidR="00C51607" w:rsidRPr="002012E1" w:rsidRDefault="00C51607" w:rsidP="00C51607">
      <w:pPr>
        <w:pStyle w:val="apaparrafo"/>
        <w:rPr>
          <w:lang w:val="es-419"/>
        </w:rPr>
      </w:pPr>
      <w:r w:rsidRPr="002012E1">
        <w:rPr>
          <w:lang w:val="es-419"/>
        </w:rPr>
        <w:t>Esta propiedad implica que el rendimiento de la inversión está ligado al desempeño económico y financiero de la empresa, lo que conlleva un mayor nivel de riesgo, pero también la posibilidad de obtener ganancias significativas a través de la apreciación del precio de las acciones y dividendos.</w:t>
      </w:r>
    </w:p>
    <w:p w14:paraId="279AE856" w14:textId="77777777" w:rsidR="00C51607" w:rsidRPr="002012E1" w:rsidRDefault="00C51607" w:rsidP="00C51607">
      <w:pPr>
        <w:pStyle w:val="apaparrafo"/>
        <w:rPr>
          <w:lang w:val="es-419"/>
        </w:rPr>
      </w:pPr>
    </w:p>
    <w:p w14:paraId="7CD00288" w14:textId="77777777" w:rsidR="00C51607" w:rsidRPr="002012E1" w:rsidRDefault="00C51607" w:rsidP="00C51607">
      <w:pPr>
        <w:pStyle w:val="apaparrafo"/>
        <w:rPr>
          <w:lang w:val="es-419"/>
        </w:rPr>
      </w:pPr>
      <w:r w:rsidRPr="002012E1">
        <w:rPr>
          <w:lang w:val="es-419"/>
        </w:rPr>
        <w:t xml:space="preserve">Además de los productos tradicionales, las inversiones en productos alternativos han ganado relevancia en las carteras modernas. Matesanz (2022) define estos activos como “todos los activos que no tienen ningún tipo de correlación con los activos tradicionales ni siguen el comportamiento de los mercados financieros” (p. 03). </w:t>
      </w:r>
    </w:p>
    <w:p w14:paraId="52FE0CB2" w14:textId="77777777" w:rsidR="00C51607" w:rsidRPr="002012E1" w:rsidRDefault="00C51607" w:rsidP="00C51607">
      <w:pPr>
        <w:pStyle w:val="apaparrafo"/>
        <w:rPr>
          <w:lang w:val="es-419"/>
        </w:rPr>
      </w:pPr>
    </w:p>
    <w:p w14:paraId="7739FB14" w14:textId="77777777" w:rsidR="00C51607" w:rsidRPr="002012E1" w:rsidRDefault="00C51607" w:rsidP="00C51607">
      <w:pPr>
        <w:pStyle w:val="apaparrafo"/>
        <w:rPr>
          <w:lang w:val="es-419"/>
        </w:rPr>
      </w:pPr>
      <w:r w:rsidRPr="002012E1">
        <w:rPr>
          <w:lang w:val="es-419"/>
        </w:rPr>
        <w:lastRenderedPageBreak/>
        <w:t xml:space="preserve">Esta característica los hace especialmente valiosos para diversificar el riesgo, ya que su comportamiento no está directamente influenciado por las fluctuaciones del mercado bursátil o de deuda. </w:t>
      </w:r>
    </w:p>
    <w:p w14:paraId="0662161F" w14:textId="77777777" w:rsidR="00C51607" w:rsidRPr="002012E1" w:rsidRDefault="00C51607" w:rsidP="00C51607">
      <w:pPr>
        <w:pStyle w:val="apaparrafo"/>
        <w:rPr>
          <w:lang w:val="es-419"/>
        </w:rPr>
      </w:pPr>
    </w:p>
    <w:p w14:paraId="7BF74D71" w14:textId="77777777" w:rsidR="00C51607" w:rsidRPr="002012E1" w:rsidRDefault="00C51607" w:rsidP="00C51607">
      <w:pPr>
        <w:pStyle w:val="apaparrafo"/>
        <w:rPr>
          <w:lang w:val="es-419"/>
        </w:rPr>
      </w:pPr>
      <w:r w:rsidRPr="002012E1">
        <w:rPr>
          <w:lang w:val="es-419"/>
        </w:rPr>
        <w:t>Ejemplos de estos productos incluyen inversiones en infraestructura, bienes raíces y criptomonedas, que aunque presentan una menor liquidez, ofrecen oportunidades para obtener altos rendimientos y mejorar la estabilidad general del portafolio (Redondo, 2023).</w:t>
      </w:r>
    </w:p>
    <w:p w14:paraId="5962F25E" w14:textId="77777777" w:rsidR="00C51607" w:rsidRPr="002012E1" w:rsidRDefault="00C51607" w:rsidP="00C51607">
      <w:pPr>
        <w:pStyle w:val="apaparrafo"/>
        <w:rPr>
          <w:lang w:val="es-419"/>
        </w:rPr>
      </w:pPr>
    </w:p>
    <w:p w14:paraId="43F8E5FA" w14:textId="77777777" w:rsidR="00C51607" w:rsidRPr="002012E1" w:rsidRDefault="00C51607" w:rsidP="00C51607">
      <w:pPr>
        <w:pStyle w:val="apaparrafo"/>
        <w:rPr>
          <w:lang w:val="es-419"/>
        </w:rPr>
      </w:pPr>
      <w:r w:rsidRPr="002012E1">
        <w:rPr>
          <w:lang w:val="es-419"/>
        </w:rPr>
        <w:t xml:space="preserve">La inclusión de productos alternativos en las carteras no solo diversifica la inversión, sino que también presenta desafíos particulares en términos de valoración y registro contable. Debido a que estos activos no siguen un comportamiento tradicional, requieren métodos específicos para reflejar su valor real y considerar factores como el riesgo y la rentabilidad de manera adecuada. </w:t>
      </w:r>
    </w:p>
    <w:p w14:paraId="3E9B7BE4" w14:textId="77777777" w:rsidR="00C51607" w:rsidRPr="002012E1" w:rsidRDefault="00C51607" w:rsidP="00C51607">
      <w:pPr>
        <w:pStyle w:val="apaparrafo"/>
        <w:rPr>
          <w:lang w:val="es-419"/>
        </w:rPr>
      </w:pPr>
    </w:p>
    <w:p w14:paraId="6DECAC06" w14:textId="77777777" w:rsidR="00C51607" w:rsidRPr="002012E1" w:rsidRDefault="00C51607" w:rsidP="00C51607">
      <w:pPr>
        <w:pStyle w:val="apaparrafo"/>
        <w:rPr>
          <w:lang w:val="es-419"/>
        </w:rPr>
      </w:pPr>
      <w:r w:rsidRPr="002012E1">
        <w:rPr>
          <w:lang w:val="es-419"/>
        </w:rPr>
        <w:t>Esta complejidad obliga a los gestores y contadores a desarrollar técnicas y normativas que permitan una medición precisa y transparente, garantizando así una correcta gestión y supervisión de las inversiones.</w:t>
      </w:r>
    </w:p>
    <w:p w14:paraId="2B9045FC" w14:textId="77777777" w:rsidR="00C51607" w:rsidRPr="002012E1" w:rsidRDefault="00C51607" w:rsidP="00C51607">
      <w:pPr>
        <w:pStyle w:val="apaparrafo"/>
        <w:rPr>
          <w:lang w:val="es-419"/>
        </w:rPr>
      </w:pPr>
    </w:p>
    <w:p w14:paraId="58D9AC49" w14:textId="77777777" w:rsidR="00C51607" w:rsidRPr="002012E1" w:rsidRDefault="00C51607" w:rsidP="00C51607">
      <w:pPr>
        <w:pStyle w:val="apaparrafo"/>
        <w:rPr>
          <w:lang w:val="es-419"/>
        </w:rPr>
      </w:pPr>
      <w:r w:rsidRPr="002012E1">
        <w:rPr>
          <w:lang w:val="es-419"/>
        </w:rPr>
        <w:t xml:space="preserve">Comprender las características y diferencias entre productos de deuda, acciones y productos alternativos es crucial para los inversionistas, ya que les permite tomar decisiones informadas y diseñar estrategias de inversión que se ajusten a sus objetivos financieros y tolerancia al riesgo. </w:t>
      </w:r>
    </w:p>
    <w:p w14:paraId="31B36142" w14:textId="77777777" w:rsidR="00C51607" w:rsidRPr="002012E1" w:rsidRDefault="00C51607" w:rsidP="00C51607">
      <w:pPr>
        <w:pStyle w:val="apaparrafo"/>
        <w:rPr>
          <w:lang w:val="es-419"/>
        </w:rPr>
      </w:pPr>
    </w:p>
    <w:p w14:paraId="49A6FAAA" w14:textId="77777777" w:rsidR="00C51607" w:rsidRPr="002012E1" w:rsidRDefault="00C51607" w:rsidP="00C51607">
      <w:pPr>
        <w:pStyle w:val="apaparrafo"/>
        <w:rPr>
          <w:lang w:val="es-419"/>
        </w:rPr>
      </w:pPr>
      <w:r w:rsidRPr="002012E1">
        <w:rPr>
          <w:lang w:val="es-419"/>
        </w:rPr>
        <w:t>Esta visión integral facilita la planificación financiera y contribuye a la optimización del rendimiento del portafolio, al equilibrar la seguridad, el crecimiento y la diversificación.</w:t>
      </w:r>
    </w:p>
    <w:p w14:paraId="25EB35DC" w14:textId="77777777" w:rsidR="00C51607" w:rsidRPr="002012E1" w:rsidRDefault="00C51607" w:rsidP="00C51607">
      <w:pPr>
        <w:pStyle w:val="apaparrafo"/>
        <w:rPr>
          <w:lang w:val="es-419"/>
        </w:rPr>
      </w:pPr>
    </w:p>
    <w:p w14:paraId="4B7DF431" w14:textId="77777777" w:rsidR="00C51607" w:rsidRPr="002012E1" w:rsidRDefault="00C51607" w:rsidP="00C51607">
      <w:pPr>
        <w:pStyle w:val="apaparrafo"/>
        <w:rPr>
          <w:lang w:val="es-419"/>
        </w:rPr>
      </w:pPr>
      <w:r w:rsidRPr="002012E1">
        <w:rPr>
          <w:lang w:val="es-419"/>
        </w:rPr>
        <w:t xml:space="preserve">En conclusión, la correcta identificación y análisis de las distintas modalidades de inversión, junto con una adecuada valoración y registro contable, son elementos esenciales para la gestión eficiente de carteras. </w:t>
      </w:r>
    </w:p>
    <w:p w14:paraId="3A0DC947" w14:textId="77777777" w:rsidR="00C51607" w:rsidRPr="002012E1" w:rsidRDefault="00C51607" w:rsidP="00C51607">
      <w:pPr>
        <w:pStyle w:val="apaparrafo"/>
        <w:rPr>
          <w:lang w:val="es-419"/>
        </w:rPr>
      </w:pPr>
      <w:r w:rsidRPr="002012E1">
        <w:rPr>
          <w:lang w:val="es-419"/>
        </w:rPr>
        <w:lastRenderedPageBreak/>
        <w:t>Esto es especialmente relevante en el contexto de fondos de pensiones y otras instituciones financieras, donde la transparencia, la gestión del riesgo y la maximización del rendimiento son prioridades fundamentales para asegurar la sostenibilidad y confianza de los inversionistas.</w:t>
      </w:r>
    </w:p>
    <w:p w14:paraId="3DEF7B9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651EAF" w14:textId="77777777" w:rsidR="00C51607" w:rsidRPr="002012E1" w:rsidRDefault="00C51607" w:rsidP="00C51607">
      <w:pPr>
        <w:pStyle w:val="apanivel3"/>
        <w:rPr>
          <w:rFonts w:ascii="Arial" w:hAnsi="Arial" w:cs="Arial"/>
        </w:rPr>
      </w:pPr>
      <w:bookmarkStart w:id="72" w:name="_Toc201832435"/>
      <w:r w:rsidRPr="002012E1">
        <w:rPr>
          <w:rFonts w:ascii="Arial" w:hAnsi="Arial" w:cs="Arial"/>
          <w:bCs/>
        </w:rPr>
        <w:t xml:space="preserve">Características </w:t>
      </w:r>
      <w:r w:rsidRPr="002012E1">
        <w:rPr>
          <w:rFonts w:ascii="Arial" w:hAnsi="Arial" w:cs="Arial"/>
        </w:rPr>
        <w:t>de Productos de deuda, acciones y alternativos</w:t>
      </w:r>
      <w:bookmarkEnd w:id="72"/>
    </w:p>
    <w:p w14:paraId="6D56D65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 bien los productos de deuda, las acciones y los productos alternativos tienen como finalidad generar rendimientos para aumentar el capital de los inversionistas, cada uno de ellos posee diferencias, ventajas y desventajas que pueden afectar la cartera de inversión.</w:t>
      </w:r>
    </w:p>
    <w:p w14:paraId="3769E5B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9E0E6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productos de deuda, que otorgan a los inversionistas una ganancia de forma constante, se caracterizan porque debe existir el pago de un interés fijo o variable durante un plazo establecido (que puede ser corto, mediano o largo) y que al final de dicho plazo, debe realizarse la devolución del monto principal del préstamo. (Villanueva, 2024) Este tipo de producto es bastante seguro, puesto que los intereses percibidos corresponden a una obligación contractual.</w:t>
      </w:r>
    </w:p>
    <w:p w14:paraId="6E9C0B8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72AF7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las acciones representan una fracción de la propiedad de una empresa, y estas se ponen en venta para aumentar el capital de una organización. Según la SUGEVAL (2024) en su glosario define las acciones como:</w:t>
      </w:r>
    </w:p>
    <w:p w14:paraId="11C2C426"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Instrumentos de renta variable que representan las partes en que se divide el capital de la empresa. Confiere a sus tenedores la calidad de socio. Los inversionistas obtienen rentabilidad por la ganancia de precio y los dividendos otorgados por las empresas. (p.1)</w:t>
      </w:r>
    </w:p>
    <w:p w14:paraId="77EB9DC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510A91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Al contrario de las acciones comunes, las acciones preferentes otorgan a sus propietarios dividendos fijos, independientemente del rendimiento de la empresa, además de que estos poseen prioridad en la recuperación de sus capitales cuando </w:t>
      </w:r>
      <w:r w:rsidRPr="002012E1">
        <w:rPr>
          <w:rFonts w:ascii="Arial" w:eastAsia="Calibri" w:hAnsi="Arial" w:cs="Arial"/>
          <w:kern w:val="0"/>
          <w:lang w:val="es-MX"/>
          <w14:ligatures w14:val="none"/>
        </w:rPr>
        <w:lastRenderedPageBreak/>
        <w:t>se disuelve la organización, pero no permite a sus dueños el participar en la toma de decisiones organizacional (Kane, 2024).</w:t>
      </w:r>
    </w:p>
    <w:p w14:paraId="0B32E00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9C805EA" w14:textId="539E1DA4"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bookmarkStart w:id="73" w:name="_Toc201322509"/>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6</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Ventajas y desventajas de los productos de deuda, acciones e inversiones alternativas.</w:t>
      </w:r>
      <w:bookmarkEnd w:id="73"/>
    </w:p>
    <w:tbl>
      <w:tblPr>
        <w:tblStyle w:val="Tablaconcuadrcula1"/>
        <w:tblW w:w="0" w:type="auto"/>
        <w:tblInd w:w="3" w:type="dxa"/>
        <w:tblLook w:val="0600" w:firstRow="0" w:lastRow="0" w:firstColumn="0" w:lastColumn="0" w:noHBand="1" w:noVBand="1"/>
      </w:tblPr>
      <w:tblGrid>
        <w:gridCol w:w="1710"/>
        <w:gridCol w:w="2697"/>
        <w:gridCol w:w="4418"/>
      </w:tblGrid>
      <w:tr w:rsidR="00C51607" w:rsidRPr="002012E1" w14:paraId="390A0583" w14:textId="77777777" w:rsidTr="005C1607">
        <w:trPr>
          <w:trHeight w:val="300"/>
        </w:trPr>
        <w:tc>
          <w:tcPr>
            <w:tcW w:w="0" w:type="auto"/>
            <w:vAlign w:val="center"/>
          </w:tcPr>
          <w:p w14:paraId="4997B866" w14:textId="77777777" w:rsidR="00C51607" w:rsidRPr="002012E1" w:rsidRDefault="00C51607" w:rsidP="005C1607">
            <w:pPr>
              <w:spacing w:before="240" w:line="360" w:lineRule="auto"/>
              <w:jc w:val="center"/>
              <w:rPr>
                <w:rFonts w:eastAsia="Times New Roman"/>
                <w:b/>
              </w:rPr>
            </w:pPr>
            <w:r w:rsidRPr="002012E1">
              <w:rPr>
                <w:rFonts w:eastAsia="Times New Roman"/>
                <w:b/>
              </w:rPr>
              <w:t>Producto</w:t>
            </w:r>
          </w:p>
        </w:tc>
        <w:tc>
          <w:tcPr>
            <w:tcW w:w="0" w:type="auto"/>
            <w:vAlign w:val="center"/>
          </w:tcPr>
          <w:p w14:paraId="5C8A0B74" w14:textId="77777777" w:rsidR="00C51607" w:rsidRPr="002012E1" w:rsidRDefault="00C51607" w:rsidP="005C1607">
            <w:pPr>
              <w:spacing w:before="240" w:line="360" w:lineRule="auto"/>
              <w:jc w:val="center"/>
              <w:rPr>
                <w:rFonts w:eastAsia="Times New Roman"/>
                <w:b/>
              </w:rPr>
            </w:pPr>
            <w:r w:rsidRPr="002012E1">
              <w:rPr>
                <w:rFonts w:eastAsia="Times New Roman"/>
                <w:b/>
              </w:rPr>
              <w:t>Ventajas</w:t>
            </w:r>
          </w:p>
        </w:tc>
        <w:tc>
          <w:tcPr>
            <w:tcW w:w="0" w:type="auto"/>
            <w:vAlign w:val="center"/>
          </w:tcPr>
          <w:p w14:paraId="36E63848" w14:textId="77777777" w:rsidR="00C51607" w:rsidRPr="002012E1" w:rsidRDefault="00C51607" w:rsidP="005C1607">
            <w:pPr>
              <w:spacing w:before="240" w:line="360" w:lineRule="auto"/>
              <w:jc w:val="center"/>
              <w:rPr>
                <w:rFonts w:eastAsia="Times New Roman"/>
                <w:b/>
              </w:rPr>
            </w:pPr>
            <w:r w:rsidRPr="002012E1">
              <w:rPr>
                <w:rFonts w:eastAsia="Times New Roman"/>
                <w:b/>
              </w:rPr>
              <w:t>Desventajas</w:t>
            </w:r>
          </w:p>
        </w:tc>
      </w:tr>
      <w:tr w:rsidR="00C51607" w:rsidRPr="002012E1" w14:paraId="67097ABE" w14:textId="77777777" w:rsidTr="005C1607">
        <w:trPr>
          <w:trHeight w:val="1119"/>
        </w:trPr>
        <w:tc>
          <w:tcPr>
            <w:tcW w:w="0" w:type="auto"/>
            <w:vMerge w:val="restart"/>
            <w:vAlign w:val="center"/>
          </w:tcPr>
          <w:p w14:paraId="508246E2" w14:textId="77777777" w:rsidR="00C51607" w:rsidRPr="002012E1" w:rsidRDefault="00C51607" w:rsidP="005C1607">
            <w:pPr>
              <w:spacing w:before="240" w:line="360" w:lineRule="auto"/>
              <w:jc w:val="center"/>
              <w:rPr>
                <w:rFonts w:eastAsia="Times New Roman"/>
                <w:b/>
                <w:color w:val="000000"/>
              </w:rPr>
            </w:pPr>
            <w:r w:rsidRPr="002012E1">
              <w:rPr>
                <w:rFonts w:eastAsia="Times New Roman"/>
                <w:b/>
                <w:color w:val="000000"/>
              </w:rPr>
              <w:t>Productos de Deuda</w:t>
            </w:r>
          </w:p>
        </w:tc>
        <w:tc>
          <w:tcPr>
            <w:tcW w:w="0" w:type="auto"/>
            <w:vAlign w:val="center"/>
          </w:tcPr>
          <w:p w14:paraId="30E63334"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Ingresos Predecibles: Pagos de intereses regulares para planificación financiera.</w:t>
            </w:r>
          </w:p>
        </w:tc>
        <w:tc>
          <w:tcPr>
            <w:tcW w:w="0" w:type="auto"/>
            <w:vAlign w:val="center"/>
          </w:tcPr>
          <w:p w14:paraId="0A472956"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Rendimiento Limitado: Rendimientos generalmente más bajos en comparación con acciones.</w:t>
            </w:r>
          </w:p>
        </w:tc>
      </w:tr>
      <w:tr w:rsidR="00C51607" w:rsidRPr="002012E1" w14:paraId="4CAE681F" w14:textId="77777777" w:rsidTr="005C1607">
        <w:trPr>
          <w:trHeight w:val="735"/>
        </w:trPr>
        <w:tc>
          <w:tcPr>
            <w:tcW w:w="0" w:type="auto"/>
            <w:vMerge/>
            <w:vAlign w:val="center"/>
          </w:tcPr>
          <w:p w14:paraId="71B6B532"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Align w:val="center"/>
          </w:tcPr>
          <w:p w14:paraId="095227C5"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Menor Riesgo: Menos volátiles, ofreciendo mayor seguridad.</w:t>
            </w:r>
          </w:p>
        </w:tc>
        <w:tc>
          <w:tcPr>
            <w:tcW w:w="0" w:type="auto"/>
            <w:vAlign w:val="center"/>
          </w:tcPr>
          <w:p w14:paraId="2FCC538F"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Riesgo de Tasa de Interés: Caída de precios si las tasas de interés suben.</w:t>
            </w:r>
          </w:p>
        </w:tc>
      </w:tr>
      <w:tr w:rsidR="00C51607" w:rsidRPr="002012E1" w14:paraId="49A527C5" w14:textId="77777777" w:rsidTr="005C1607">
        <w:trPr>
          <w:trHeight w:val="3135"/>
        </w:trPr>
        <w:tc>
          <w:tcPr>
            <w:tcW w:w="0" w:type="auto"/>
            <w:vMerge w:val="restart"/>
            <w:vAlign w:val="center"/>
          </w:tcPr>
          <w:p w14:paraId="59DD3890" w14:textId="77777777" w:rsidR="00C51607" w:rsidRPr="002012E1" w:rsidRDefault="00C51607" w:rsidP="005C1607">
            <w:pPr>
              <w:spacing w:before="240" w:line="360" w:lineRule="auto"/>
              <w:jc w:val="center"/>
              <w:rPr>
                <w:rFonts w:eastAsia="Times New Roman"/>
                <w:b/>
                <w:color w:val="000000"/>
              </w:rPr>
            </w:pPr>
            <w:r w:rsidRPr="002012E1">
              <w:rPr>
                <w:rFonts w:eastAsia="Times New Roman"/>
                <w:b/>
                <w:color w:val="000000"/>
              </w:rPr>
              <w:t>Acciones</w:t>
            </w:r>
          </w:p>
        </w:tc>
        <w:tc>
          <w:tcPr>
            <w:tcW w:w="0" w:type="auto"/>
            <w:vAlign w:val="center"/>
          </w:tcPr>
          <w:p w14:paraId="16CFDB36"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Potencial de Alto Rendimiento: Posibilidad de mayores rendimientos a largo plazo.</w:t>
            </w:r>
          </w:p>
        </w:tc>
        <w:tc>
          <w:tcPr>
            <w:tcW w:w="0" w:type="auto"/>
            <w:vAlign w:val="center"/>
          </w:tcPr>
          <w:p w14:paraId="3F195380"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Riesgo de gestión: Ocurre si la compañía tiene un desempeño inadecuado que tiene como consecuencia que el valor de su inversión disminuye e incluso se pierda en su totalidad. Por otra parte, si se requiere vender las acciones y la cantidad de compradores y vendedores de las acciones es limitada, se podría tener dificultad para convertir sus acciones en efectivo o hacerlas líquidas.</w:t>
            </w:r>
          </w:p>
        </w:tc>
      </w:tr>
      <w:tr w:rsidR="00C51607" w:rsidRPr="002012E1" w14:paraId="5726FD75" w14:textId="77777777" w:rsidTr="005C1607">
        <w:trPr>
          <w:trHeight w:val="2126"/>
        </w:trPr>
        <w:tc>
          <w:tcPr>
            <w:tcW w:w="0" w:type="auto"/>
            <w:vMerge/>
            <w:vAlign w:val="center"/>
          </w:tcPr>
          <w:p w14:paraId="5FF39B56"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Align w:val="center"/>
          </w:tcPr>
          <w:p w14:paraId="1F9B2C3A"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Al comprar una acción usted obtiene el derecho a participar en las utilidades que obtenga la empresa.</w:t>
            </w:r>
          </w:p>
        </w:tc>
        <w:tc>
          <w:tcPr>
            <w:tcW w:w="0" w:type="auto"/>
            <w:vAlign w:val="center"/>
          </w:tcPr>
          <w:p w14:paraId="1EFC7BD3"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Requiere Análisis: Necesita seguimiento y análisis continuo del mercado.</w:t>
            </w:r>
          </w:p>
        </w:tc>
      </w:tr>
      <w:tr w:rsidR="00C51607" w:rsidRPr="002012E1" w14:paraId="007748A3" w14:textId="77777777" w:rsidTr="005C1607">
        <w:trPr>
          <w:trHeight w:val="630"/>
        </w:trPr>
        <w:tc>
          <w:tcPr>
            <w:tcW w:w="0" w:type="auto"/>
            <w:vMerge w:val="restart"/>
            <w:vAlign w:val="center"/>
          </w:tcPr>
          <w:p w14:paraId="0DD64700" w14:textId="77777777" w:rsidR="00C51607" w:rsidRPr="002012E1" w:rsidRDefault="00C51607" w:rsidP="005C1607">
            <w:pPr>
              <w:spacing w:before="240" w:line="360" w:lineRule="auto"/>
              <w:jc w:val="center"/>
              <w:rPr>
                <w:rFonts w:eastAsia="Times New Roman"/>
                <w:b/>
                <w:color w:val="000000"/>
              </w:rPr>
            </w:pPr>
            <w:r w:rsidRPr="002012E1">
              <w:rPr>
                <w:rFonts w:eastAsia="Times New Roman"/>
                <w:b/>
                <w:color w:val="000000"/>
              </w:rPr>
              <w:t>Inversiones Alternativas</w:t>
            </w:r>
          </w:p>
        </w:tc>
        <w:tc>
          <w:tcPr>
            <w:tcW w:w="0" w:type="auto"/>
            <w:vMerge w:val="restart"/>
            <w:vAlign w:val="center"/>
          </w:tcPr>
          <w:p w14:paraId="706E8824"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Rentabilidad: Se considera una mejor rentabilidad con este tipo de inversiones.</w:t>
            </w:r>
          </w:p>
        </w:tc>
        <w:tc>
          <w:tcPr>
            <w:tcW w:w="0" w:type="auto"/>
            <w:vAlign w:val="center"/>
          </w:tcPr>
          <w:p w14:paraId="5B69AF4F"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Mayor riesgo y volatilidad asociados a la búsqueda de altos rendimientos </w:t>
            </w:r>
          </w:p>
        </w:tc>
      </w:tr>
      <w:tr w:rsidR="00C51607" w:rsidRPr="002012E1" w14:paraId="6895B968" w14:textId="77777777" w:rsidTr="005C1607">
        <w:trPr>
          <w:trHeight w:val="630"/>
        </w:trPr>
        <w:tc>
          <w:tcPr>
            <w:tcW w:w="0" w:type="auto"/>
            <w:vMerge/>
            <w:vAlign w:val="center"/>
          </w:tcPr>
          <w:p w14:paraId="7B2A4E02" w14:textId="77777777" w:rsidR="00C51607" w:rsidRPr="002012E1" w:rsidRDefault="00C51607" w:rsidP="005C1607">
            <w:pPr>
              <w:spacing w:before="240" w:line="360" w:lineRule="auto"/>
              <w:jc w:val="center"/>
              <w:rPr>
                <w:rFonts w:eastAsia="Times New Roman"/>
                <w:b/>
                <w:color w:val="000000"/>
              </w:rPr>
            </w:pPr>
          </w:p>
        </w:tc>
        <w:tc>
          <w:tcPr>
            <w:tcW w:w="0" w:type="auto"/>
            <w:vMerge/>
            <w:vAlign w:val="center"/>
          </w:tcPr>
          <w:p w14:paraId="20FF96CB" w14:textId="77777777" w:rsidR="00C51607" w:rsidRPr="002012E1" w:rsidRDefault="00C51607" w:rsidP="005C1607">
            <w:pPr>
              <w:spacing w:before="240" w:line="360" w:lineRule="auto"/>
              <w:jc w:val="center"/>
              <w:rPr>
                <w:rFonts w:eastAsia="Times New Roman"/>
                <w:color w:val="000000"/>
              </w:rPr>
            </w:pPr>
          </w:p>
        </w:tc>
        <w:tc>
          <w:tcPr>
            <w:tcW w:w="0" w:type="auto"/>
            <w:vAlign w:val="center"/>
          </w:tcPr>
          <w:p w14:paraId="0848B6B4"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Comisiones y costos de gestión elevados que pueden reducir la rentabilidad neta </w:t>
            </w:r>
          </w:p>
        </w:tc>
      </w:tr>
      <w:tr w:rsidR="00C51607" w:rsidRPr="002012E1" w14:paraId="599A3AF6" w14:textId="77777777" w:rsidTr="005C1607">
        <w:trPr>
          <w:trHeight w:val="630"/>
        </w:trPr>
        <w:tc>
          <w:tcPr>
            <w:tcW w:w="0" w:type="auto"/>
            <w:vMerge/>
            <w:vAlign w:val="center"/>
          </w:tcPr>
          <w:p w14:paraId="52F6B674" w14:textId="77777777" w:rsidR="00C51607" w:rsidRPr="002012E1" w:rsidRDefault="00C51607" w:rsidP="005C1607">
            <w:pPr>
              <w:spacing w:before="240" w:line="360" w:lineRule="auto"/>
              <w:jc w:val="center"/>
              <w:rPr>
                <w:rFonts w:eastAsia="Times New Roman"/>
                <w:b/>
                <w:color w:val="000000"/>
              </w:rPr>
            </w:pPr>
          </w:p>
        </w:tc>
        <w:tc>
          <w:tcPr>
            <w:tcW w:w="0" w:type="auto"/>
            <w:vMerge/>
            <w:vAlign w:val="center"/>
          </w:tcPr>
          <w:p w14:paraId="5DC25AA7" w14:textId="77777777" w:rsidR="00C51607" w:rsidRPr="002012E1" w:rsidRDefault="00C51607" w:rsidP="005C1607">
            <w:pPr>
              <w:spacing w:before="240" w:line="360" w:lineRule="auto"/>
              <w:jc w:val="center"/>
              <w:rPr>
                <w:rFonts w:eastAsia="Times New Roman"/>
                <w:color w:val="000000"/>
              </w:rPr>
            </w:pPr>
          </w:p>
        </w:tc>
        <w:tc>
          <w:tcPr>
            <w:tcW w:w="0" w:type="auto"/>
            <w:vAlign w:val="center"/>
          </w:tcPr>
          <w:p w14:paraId="041CA2B2"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Incertidumbre en la valoración debido a la falta de precios de mercado claros </w:t>
            </w:r>
          </w:p>
        </w:tc>
      </w:tr>
      <w:tr w:rsidR="00C51607" w:rsidRPr="002012E1" w14:paraId="540B8326" w14:textId="77777777" w:rsidTr="005C1607">
        <w:trPr>
          <w:trHeight w:val="684"/>
        </w:trPr>
        <w:tc>
          <w:tcPr>
            <w:tcW w:w="0" w:type="auto"/>
            <w:vMerge/>
            <w:vAlign w:val="center"/>
          </w:tcPr>
          <w:p w14:paraId="0CD4E755"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Merge w:val="restart"/>
            <w:vAlign w:val="center"/>
          </w:tcPr>
          <w:p w14:paraId="5EBB53EF"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Potencial de Rendimiento: Rendimientos no correlacionados con mercados tradicionales.</w:t>
            </w:r>
          </w:p>
        </w:tc>
        <w:tc>
          <w:tcPr>
            <w:tcW w:w="0" w:type="auto"/>
            <w:vAlign w:val="center"/>
          </w:tcPr>
          <w:p w14:paraId="538FF088"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Liquidez limitada, dificultando la venta rápida de activos como bienes raíces o capital privado</w:t>
            </w:r>
          </w:p>
        </w:tc>
      </w:tr>
      <w:tr w:rsidR="00C51607" w:rsidRPr="002012E1" w14:paraId="079994D8" w14:textId="77777777" w:rsidTr="005C1607">
        <w:trPr>
          <w:trHeight w:val="682"/>
        </w:trPr>
        <w:tc>
          <w:tcPr>
            <w:tcW w:w="0" w:type="auto"/>
            <w:vMerge/>
            <w:vAlign w:val="center"/>
          </w:tcPr>
          <w:p w14:paraId="58B3184D"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Merge/>
            <w:vAlign w:val="center"/>
          </w:tcPr>
          <w:p w14:paraId="69B83775" w14:textId="77777777" w:rsidR="00C51607" w:rsidRPr="002012E1" w:rsidRDefault="00C51607" w:rsidP="005C1607">
            <w:pPr>
              <w:spacing w:before="240" w:line="360" w:lineRule="auto"/>
              <w:jc w:val="center"/>
              <w:rPr>
                <w:rFonts w:eastAsia="Times New Roman"/>
                <w:color w:val="000000"/>
              </w:rPr>
            </w:pPr>
          </w:p>
        </w:tc>
        <w:tc>
          <w:tcPr>
            <w:tcW w:w="0" w:type="auto"/>
            <w:vAlign w:val="center"/>
          </w:tcPr>
          <w:p w14:paraId="5B347C83"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Barreras de entrada altas, requiriendo capital significativo para invertir</w:t>
            </w:r>
          </w:p>
        </w:tc>
      </w:tr>
      <w:tr w:rsidR="00C51607" w:rsidRPr="002012E1" w14:paraId="315FB8A1" w14:textId="77777777" w:rsidTr="005C1607">
        <w:trPr>
          <w:trHeight w:val="682"/>
        </w:trPr>
        <w:tc>
          <w:tcPr>
            <w:tcW w:w="0" w:type="auto"/>
            <w:vMerge/>
            <w:vAlign w:val="center"/>
          </w:tcPr>
          <w:p w14:paraId="29EFE17C"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Merge/>
            <w:vAlign w:val="center"/>
          </w:tcPr>
          <w:p w14:paraId="72AA22AB" w14:textId="77777777" w:rsidR="00C51607" w:rsidRPr="002012E1" w:rsidRDefault="00C51607" w:rsidP="005C1607">
            <w:pPr>
              <w:spacing w:before="240" w:line="360" w:lineRule="auto"/>
              <w:jc w:val="center"/>
              <w:rPr>
                <w:rFonts w:eastAsia="Times New Roman"/>
                <w:color w:val="000000"/>
              </w:rPr>
            </w:pPr>
          </w:p>
        </w:tc>
        <w:tc>
          <w:tcPr>
            <w:tcW w:w="0" w:type="auto"/>
            <w:vAlign w:val="center"/>
          </w:tcPr>
          <w:p w14:paraId="0400E50C"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Riesgo elevado y falta de regulación estricta que puede aumentar la exposición a pérdidas</w:t>
            </w:r>
          </w:p>
        </w:tc>
      </w:tr>
      <w:tr w:rsidR="00C51607" w:rsidRPr="002012E1" w14:paraId="36B145C9" w14:textId="77777777" w:rsidTr="005C1607">
        <w:trPr>
          <w:trHeight w:val="682"/>
        </w:trPr>
        <w:tc>
          <w:tcPr>
            <w:tcW w:w="0" w:type="auto"/>
            <w:vMerge/>
            <w:vAlign w:val="center"/>
          </w:tcPr>
          <w:p w14:paraId="403AC5F7" w14:textId="77777777" w:rsidR="00C51607" w:rsidRPr="002012E1" w:rsidRDefault="00C51607" w:rsidP="005C1607">
            <w:pPr>
              <w:widowControl w:val="0"/>
              <w:pBdr>
                <w:top w:val="nil"/>
                <w:left w:val="nil"/>
                <w:bottom w:val="nil"/>
                <w:right w:val="nil"/>
                <w:between w:val="nil"/>
              </w:pBdr>
              <w:spacing w:line="360" w:lineRule="auto"/>
              <w:jc w:val="center"/>
              <w:rPr>
                <w:rFonts w:eastAsia="Times New Roman"/>
                <w:color w:val="000000"/>
              </w:rPr>
            </w:pPr>
          </w:p>
        </w:tc>
        <w:tc>
          <w:tcPr>
            <w:tcW w:w="0" w:type="auto"/>
            <w:vMerge/>
            <w:vAlign w:val="center"/>
          </w:tcPr>
          <w:p w14:paraId="29C96787" w14:textId="77777777" w:rsidR="00C51607" w:rsidRPr="002012E1" w:rsidRDefault="00C51607" w:rsidP="005C1607">
            <w:pPr>
              <w:spacing w:before="240" w:line="360" w:lineRule="auto"/>
              <w:jc w:val="center"/>
              <w:rPr>
                <w:rFonts w:eastAsia="Times New Roman"/>
                <w:color w:val="000000"/>
              </w:rPr>
            </w:pPr>
          </w:p>
        </w:tc>
        <w:tc>
          <w:tcPr>
            <w:tcW w:w="0" w:type="auto"/>
            <w:vAlign w:val="center"/>
          </w:tcPr>
          <w:p w14:paraId="2E9574DE" w14:textId="77777777" w:rsidR="00C51607" w:rsidRPr="002012E1" w:rsidRDefault="00C51607" w:rsidP="005C1607">
            <w:pPr>
              <w:spacing w:before="240" w:line="360" w:lineRule="auto"/>
              <w:jc w:val="center"/>
              <w:rPr>
                <w:rFonts w:eastAsia="Times New Roman"/>
                <w:color w:val="000000"/>
              </w:rPr>
            </w:pPr>
            <w:r w:rsidRPr="002012E1">
              <w:rPr>
                <w:rFonts w:eastAsia="Times New Roman"/>
                <w:color w:val="000000"/>
              </w:rPr>
              <w:t>Valor subjetivo en algunos activos alternativos, como arte o coleccionables, que dificulta la valoración objetiva</w:t>
            </w:r>
          </w:p>
        </w:tc>
      </w:tr>
    </w:tbl>
    <w:p w14:paraId="49CF0164" w14:textId="77777777" w:rsidR="00C51607" w:rsidRPr="002012E1" w:rsidRDefault="00C51607" w:rsidP="00C51607">
      <w:pPr>
        <w:spacing w:before="240" w:after="240" w:line="360" w:lineRule="auto"/>
        <w:jc w:val="right"/>
        <w:rPr>
          <w:rFonts w:ascii="Arial" w:eastAsia="Times New Roman" w:hAnsi="Arial" w:cs="Arial"/>
          <w:color w:val="000000"/>
          <w:kern w:val="0"/>
          <w14:ligatures w14:val="none"/>
        </w:rPr>
      </w:pPr>
      <w:r w:rsidRPr="002012E1">
        <w:rPr>
          <w:rFonts w:ascii="Arial" w:eastAsia="Times New Roman" w:hAnsi="Arial" w:cs="Arial"/>
          <w:b/>
          <w:color w:val="000000"/>
          <w:kern w:val="0"/>
          <w14:ligatures w14:val="none"/>
        </w:rPr>
        <w:t>Fuente:</w:t>
      </w:r>
      <w:r w:rsidRPr="002012E1">
        <w:rPr>
          <w:rFonts w:ascii="Arial" w:eastAsia="Times New Roman" w:hAnsi="Arial" w:cs="Arial"/>
          <w:color w:val="000000"/>
          <w:kern w:val="0"/>
          <w14:ligatures w14:val="none"/>
        </w:rPr>
        <w:t xml:space="preserve"> SUGEVAL. </w:t>
      </w:r>
      <w:r w:rsidRPr="002012E1">
        <w:rPr>
          <w:rFonts w:ascii="Arial" w:eastAsia="Times New Roman" w:hAnsi="Arial" w:cs="Arial"/>
          <w:b/>
          <w:color w:val="000000"/>
          <w:kern w:val="0"/>
          <w14:ligatures w14:val="none"/>
        </w:rPr>
        <w:t>Elaboración:</w:t>
      </w:r>
      <w:r w:rsidRPr="002012E1">
        <w:rPr>
          <w:rFonts w:ascii="Arial" w:eastAsia="Times New Roman" w:hAnsi="Arial" w:cs="Arial"/>
          <w:color w:val="000000"/>
          <w:kern w:val="0"/>
          <w14:ligatures w14:val="none"/>
        </w:rPr>
        <w:t xml:space="preserve"> Equipo Investigador 2024, s. e.</w:t>
      </w:r>
    </w:p>
    <w:p w14:paraId="25753D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Tener conocimiento sobre las características, ventajas y desventajas de los productos de deuda, acciones y productos alternativos son fundamentales para comprender la toma de decisiones en temas de inversión, ya que permiten una comprensión clara de los riesgos y oportunidades asociados. </w:t>
      </w:r>
    </w:p>
    <w:p w14:paraId="1DB9F8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90E5F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esta manera comprender las ventajas ayuda a analizar las estrategias financieras en cual se realice la inversión, basados en objetivos y el riesgo que conlleva. </w:t>
      </w:r>
    </w:p>
    <w:p w14:paraId="0BD3CE9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7AA1D4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Al mismo tiempo, ser consciente de las desventajas, como la volatilidad de las acciones o la liquidez limitada de los productos alternativos, es crucial para gestionar adecuadamente el riesgo en la cartera de inversiones. </w:t>
      </w:r>
    </w:p>
    <w:p w14:paraId="3431044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77DA86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información ayuda a tener un mejor conocimiento sobre cómo diversificar los activos de manera efectiva y equilibrada que maximicen el rendimiento y minimicen el riesgo en un entorno financiero cambiante.</w:t>
      </w:r>
    </w:p>
    <w:p w14:paraId="0AB343E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3FBFE5" w14:textId="77777777" w:rsidR="00C51607" w:rsidRPr="002012E1" w:rsidRDefault="00C51607" w:rsidP="00C51607">
      <w:pPr>
        <w:pStyle w:val="apanivel3"/>
        <w:rPr>
          <w:rFonts w:ascii="Arial" w:hAnsi="Arial" w:cs="Arial"/>
        </w:rPr>
      </w:pPr>
      <w:bookmarkStart w:id="74" w:name="_Toc201832436"/>
      <w:r w:rsidRPr="002012E1">
        <w:rPr>
          <w:rFonts w:ascii="Arial" w:hAnsi="Arial" w:cs="Arial"/>
        </w:rPr>
        <w:t>Impacto a los productos en las estrategias de inversión</w:t>
      </w:r>
      <w:bookmarkEnd w:id="74"/>
    </w:p>
    <w:p w14:paraId="1AB16DAA" w14:textId="77777777" w:rsidR="00C51607" w:rsidRPr="002012E1" w:rsidRDefault="00C51607" w:rsidP="00C5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El impacto que tienen los productos sobre las estrategias de inversión depende de los objetivos que se desean alcanzar con la cartera de inversiones, ya que se deben considerar aspectos como el rendimiento esperado, el riesgo de cada producto, la volatilidad, la liquidez, la diversificación y los costos asociados a cada producto.</w:t>
      </w:r>
    </w:p>
    <w:p w14:paraId="23C8D273" w14:textId="77777777" w:rsidR="00C51607" w:rsidRPr="002012E1" w:rsidRDefault="00C51607" w:rsidP="00C51607">
      <w:pPr>
        <w:spacing w:before="240" w:after="24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Los inversionistas utilizan distintas estrategias de inversión para reducir el riesgo en sus carteras, según explica Prieto (2023) estas son:</w:t>
      </w:r>
    </w:p>
    <w:p w14:paraId="6A3E4863" w14:textId="0EBBA23A"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bookmarkStart w:id="75" w:name="_Toc201322510"/>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7</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Impacto a los productos en las estrategias de inversión</w:t>
      </w:r>
      <w:bookmarkEnd w:id="75"/>
    </w:p>
    <w:tbl>
      <w:tblPr>
        <w:tblW w:w="0" w:type="auto"/>
        <w:tblBorders>
          <w:top w:val="nil"/>
          <w:left w:val="nil"/>
          <w:bottom w:val="nil"/>
          <w:right w:val="nil"/>
          <w:insideH w:val="nil"/>
          <w:insideV w:val="nil"/>
        </w:tblBorders>
        <w:tblLook w:val="0600" w:firstRow="0" w:lastRow="0" w:firstColumn="0" w:lastColumn="0" w:noHBand="1" w:noVBand="1"/>
      </w:tblPr>
      <w:tblGrid>
        <w:gridCol w:w="1995"/>
        <w:gridCol w:w="6827"/>
      </w:tblGrid>
      <w:tr w:rsidR="00C51607" w:rsidRPr="002012E1" w14:paraId="5CE96AE7" w14:textId="77777777" w:rsidTr="005C1607">
        <w:trPr>
          <w:trHeight w:val="825"/>
        </w:trPr>
        <w:tc>
          <w:tcPr>
            <w:tcW w:w="0" w:type="auto"/>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vAlign w:val="center"/>
          </w:tcPr>
          <w:p w14:paraId="726BEA29"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Análisis técnico:</w:t>
            </w:r>
          </w:p>
        </w:tc>
        <w:tc>
          <w:tcPr>
            <w:tcW w:w="0" w:type="auto"/>
            <w:tcBorders>
              <w:top w:val="single" w:sz="6" w:space="0" w:color="000000"/>
              <w:left w:val="nil"/>
              <w:bottom w:val="single" w:sz="6" w:space="0" w:color="000000"/>
              <w:right w:val="single" w:sz="6" w:space="0" w:color="000000"/>
            </w:tcBorders>
            <w:tcMar>
              <w:top w:w="0" w:type="dxa"/>
              <w:left w:w="80" w:type="dxa"/>
              <w:bottom w:w="0" w:type="dxa"/>
              <w:right w:w="80" w:type="dxa"/>
            </w:tcMar>
            <w:vAlign w:val="center"/>
          </w:tcPr>
          <w:p w14:paraId="31030BD3"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Utiliza la estadística, las bases de datos, gráficos y tendencias para identificar oportunidades. Se da frecuentemente en mercados de materias primas.</w:t>
            </w:r>
          </w:p>
        </w:tc>
      </w:tr>
      <w:tr w:rsidR="00C51607" w:rsidRPr="002012E1" w14:paraId="46DC5F00" w14:textId="77777777" w:rsidTr="005C1607">
        <w:trPr>
          <w:trHeight w:val="675"/>
        </w:trPr>
        <w:tc>
          <w:tcPr>
            <w:tcW w:w="0" w:type="auto"/>
            <w:tcBorders>
              <w:top w:val="nil"/>
              <w:left w:val="single" w:sz="6" w:space="0" w:color="000000"/>
              <w:bottom w:val="single" w:sz="6" w:space="0" w:color="000000"/>
              <w:right w:val="single" w:sz="6" w:space="0" w:color="000000"/>
            </w:tcBorders>
            <w:tcMar>
              <w:top w:w="0" w:type="dxa"/>
              <w:left w:w="80" w:type="dxa"/>
              <w:bottom w:w="0" w:type="dxa"/>
              <w:right w:w="80" w:type="dxa"/>
            </w:tcMar>
            <w:vAlign w:val="center"/>
          </w:tcPr>
          <w:p w14:paraId="01B7042D"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lastRenderedPageBreak/>
              <w:t>Análisis fundamental:</w:t>
            </w:r>
          </w:p>
        </w:tc>
        <w:tc>
          <w:tcPr>
            <w:tcW w:w="0" w:type="auto"/>
            <w:tcBorders>
              <w:top w:val="nil"/>
              <w:left w:val="nil"/>
              <w:bottom w:val="single" w:sz="6" w:space="0" w:color="000000"/>
              <w:right w:val="single" w:sz="6" w:space="0" w:color="000000"/>
            </w:tcBorders>
            <w:tcMar>
              <w:top w:w="0" w:type="dxa"/>
              <w:left w:w="80" w:type="dxa"/>
              <w:bottom w:w="0" w:type="dxa"/>
              <w:right w:w="80" w:type="dxa"/>
            </w:tcMar>
            <w:vAlign w:val="center"/>
          </w:tcPr>
          <w:p w14:paraId="6527E72C"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Se basa en la información masiva de una empresa o activo y además estudia los cambios en la política económica.</w:t>
            </w:r>
          </w:p>
        </w:tc>
      </w:tr>
      <w:tr w:rsidR="00C51607" w:rsidRPr="002012E1" w14:paraId="64FEF608" w14:textId="77777777" w:rsidTr="005C1607">
        <w:trPr>
          <w:trHeight w:val="825"/>
        </w:trPr>
        <w:tc>
          <w:tcPr>
            <w:tcW w:w="0" w:type="auto"/>
            <w:tcBorders>
              <w:top w:val="nil"/>
              <w:left w:val="single" w:sz="6" w:space="0" w:color="000000"/>
              <w:bottom w:val="single" w:sz="6" w:space="0" w:color="000000"/>
              <w:right w:val="single" w:sz="6" w:space="0" w:color="000000"/>
            </w:tcBorders>
            <w:tcMar>
              <w:top w:w="0" w:type="dxa"/>
              <w:left w:w="80" w:type="dxa"/>
              <w:bottom w:w="0" w:type="dxa"/>
              <w:right w:w="80" w:type="dxa"/>
            </w:tcMar>
            <w:vAlign w:val="center"/>
          </w:tcPr>
          <w:p w14:paraId="0F354F94"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Inversión de valor:</w:t>
            </w:r>
          </w:p>
        </w:tc>
        <w:tc>
          <w:tcPr>
            <w:tcW w:w="0" w:type="auto"/>
            <w:tcBorders>
              <w:top w:val="nil"/>
              <w:left w:val="nil"/>
              <w:bottom w:val="single" w:sz="6" w:space="0" w:color="000000"/>
              <w:right w:val="single" w:sz="6" w:space="0" w:color="000000"/>
            </w:tcBorders>
            <w:tcMar>
              <w:top w:w="0" w:type="dxa"/>
              <w:left w:w="80" w:type="dxa"/>
              <w:bottom w:w="0" w:type="dxa"/>
              <w:right w:w="80" w:type="dxa"/>
            </w:tcMar>
            <w:vAlign w:val="center"/>
          </w:tcPr>
          <w:p w14:paraId="0B3AACAC"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Corresponde a la compra de acciones o bonos que tienen bajo valor de mercado, esperando que eventualmente este se eleve.</w:t>
            </w:r>
          </w:p>
        </w:tc>
      </w:tr>
      <w:tr w:rsidR="00C51607" w:rsidRPr="002012E1" w14:paraId="445E899C" w14:textId="77777777" w:rsidTr="005C1607">
        <w:trPr>
          <w:trHeight w:val="765"/>
        </w:trPr>
        <w:tc>
          <w:tcPr>
            <w:tcW w:w="0" w:type="auto"/>
            <w:tcBorders>
              <w:top w:val="nil"/>
              <w:left w:val="single" w:sz="6" w:space="0" w:color="000000"/>
              <w:bottom w:val="single" w:sz="6" w:space="0" w:color="000000"/>
              <w:right w:val="single" w:sz="6" w:space="0" w:color="000000"/>
            </w:tcBorders>
            <w:tcMar>
              <w:top w:w="0" w:type="dxa"/>
              <w:left w:w="80" w:type="dxa"/>
              <w:bottom w:w="0" w:type="dxa"/>
              <w:right w:w="80" w:type="dxa"/>
            </w:tcMar>
            <w:vAlign w:val="center"/>
          </w:tcPr>
          <w:p w14:paraId="24318FE9"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Inversión de crecimiento:</w:t>
            </w:r>
          </w:p>
        </w:tc>
        <w:tc>
          <w:tcPr>
            <w:tcW w:w="0" w:type="auto"/>
            <w:tcBorders>
              <w:top w:val="nil"/>
              <w:left w:val="nil"/>
              <w:bottom w:val="single" w:sz="6" w:space="0" w:color="000000"/>
              <w:right w:val="single" w:sz="6" w:space="0" w:color="000000"/>
            </w:tcBorders>
            <w:tcMar>
              <w:top w:w="0" w:type="dxa"/>
              <w:left w:w="80" w:type="dxa"/>
              <w:bottom w:w="0" w:type="dxa"/>
              <w:right w:w="80" w:type="dxa"/>
            </w:tcMar>
            <w:vAlign w:val="center"/>
          </w:tcPr>
          <w:p w14:paraId="1C6AB2EA"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Consiste en invertir en acciones o propiedades cuyo valor se encuentra creciendo rápidamente en el mercado.</w:t>
            </w:r>
          </w:p>
        </w:tc>
      </w:tr>
      <w:tr w:rsidR="00C51607" w:rsidRPr="002012E1" w14:paraId="7C73AD7F" w14:textId="77777777" w:rsidTr="005C1607">
        <w:trPr>
          <w:trHeight w:val="817"/>
        </w:trPr>
        <w:tc>
          <w:tcPr>
            <w:tcW w:w="0" w:type="auto"/>
            <w:tcBorders>
              <w:top w:val="nil"/>
              <w:left w:val="single" w:sz="6" w:space="0" w:color="000000"/>
              <w:bottom w:val="single" w:sz="6" w:space="0" w:color="000000"/>
              <w:right w:val="single" w:sz="6" w:space="0" w:color="000000"/>
            </w:tcBorders>
            <w:tcMar>
              <w:top w:w="0" w:type="dxa"/>
              <w:left w:w="80" w:type="dxa"/>
              <w:bottom w:w="0" w:type="dxa"/>
              <w:right w:w="80" w:type="dxa"/>
            </w:tcMar>
            <w:vAlign w:val="center"/>
          </w:tcPr>
          <w:p w14:paraId="79D1EDE6"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Estrategia de impulso:</w:t>
            </w:r>
          </w:p>
        </w:tc>
        <w:tc>
          <w:tcPr>
            <w:tcW w:w="0" w:type="auto"/>
            <w:tcBorders>
              <w:top w:val="nil"/>
              <w:left w:val="nil"/>
              <w:bottom w:val="single" w:sz="6" w:space="0" w:color="000000"/>
              <w:right w:val="single" w:sz="6" w:space="0" w:color="000000"/>
            </w:tcBorders>
            <w:tcMar>
              <w:top w:w="0" w:type="dxa"/>
              <w:left w:w="80" w:type="dxa"/>
              <w:bottom w:w="0" w:type="dxa"/>
              <w:right w:w="80" w:type="dxa"/>
            </w:tcMar>
            <w:vAlign w:val="center"/>
          </w:tcPr>
          <w:p w14:paraId="05A094A8"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Consiste en comprar acciones con un alto valor y se venden en el momento que comienza a bajar el valor de mercado.</w:t>
            </w:r>
          </w:p>
        </w:tc>
      </w:tr>
    </w:tbl>
    <w:p w14:paraId="7CD3D160" w14:textId="77777777" w:rsidR="00C51607" w:rsidRPr="002012E1" w:rsidRDefault="00C51607" w:rsidP="00C51607">
      <w:pPr>
        <w:spacing w:before="240" w:after="240" w:line="360" w:lineRule="auto"/>
        <w:jc w:val="right"/>
        <w:rPr>
          <w:rFonts w:ascii="Arial" w:eastAsia="Times New Roman" w:hAnsi="Arial" w:cs="Arial"/>
          <w:color w:val="000000"/>
          <w:kern w:val="0"/>
          <w14:ligatures w14:val="none"/>
        </w:rPr>
      </w:pPr>
      <w:r w:rsidRPr="002012E1">
        <w:rPr>
          <w:rFonts w:ascii="Arial" w:eastAsia="Times New Roman" w:hAnsi="Arial" w:cs="Arial"/>
          <w:b/>
          <w:bCs/>
          <w:color w:val="000000"/>
          <w:kern w:val="0"/>
          <w14:ligatures w14:val="none"/>
        </w:rPr>
        <w:t xml:space="preserve"> Fuente:</w:t>
      </w:r>
      <w:r w:rsidRPr="002012E1">
        <w:rPr>
          <w:rFonts w:ascii="Arial" w:eastAsia="Times New Roman" w:hAnsi="Arial" w:cs="Arial"/>
          <w:color w:val="000000"/>
          <w:kern w:val="0"/>
          <w14:ligatures w14:val="none"/>
        </w:rPr>
        <w:t xml:space="preserve"> Prieto (2023) </w:t>
      </w:r>
      <w:r w:rsidRPr="002012E1">
        <w:rPr>
          <w:rFonts w:ascii="Arial" w:eastAsia="Times New Roman" w:hAnsi="Arial" w:cs="Arial"/>
          <w:b/>
          <w:bCs/>
          <w:color w:val="000000"/>
          <w:kern w:val="0"/>
          <w14:ligatures w14:val="none"/>
        </w:rPr>
        <w:t>Elaboración:</w:t>
      </w:r>
      <w:r w:rsidRPr="002012E1">
        <w:rPr>
          <w:rFonts w:ascii="Arial" w:eastAsia="Times New Roman" w:hAnsi="Arial" w:cs="Arial"/>
          <w:color w:val="000000"/>
          <w:kern w:val="0"/>
          <w14:ligatures w14:val="none"/>
        </w:rPr>
        <w:t xml:space="preserve"> Grupo investigador 2024</w:t>
      </w:r>
    </w:p>
    <w:p w14:paraId="651453F9" w14:textId="77777777" w:rsidR="00C51607" w:rsidRDefault="00C51607" w:rsidP="00C51607">
      <w:pPr>
        <w:spacing w:after="0" w:line="360" w:lineRule="auto"/>
        <w:jc w:val="both"/>
        <w:rPr>
          <w:rFonts w:ascii="Arial" w:eastAsia="Calibri" w:hAnsi="Arial" w:cs="Arial"/>
          <w:kern w:val="0"/>
          <w:lang w:val="es-MX"/>
          <w14:ligatures w14:val="none"/>
        </w:rPr>
      </w:pPr>
    </w:p>
    <w:p w14:paraId="57E65A4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lo anterior, los productos deben ser seleccionados de forma cuidadosa por los inversionistas para que se alineen con los objetivos establecidos y de esta forma, disminuir el nivel de riesgo que presentan los distintos tipos de inversiones.</w:t>
      </w:r>
    </w:p>
    <w:p w14:paraId="3B2292C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865206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es de suma importancia para llevar a cabo el análisis de un registro contable de las inversiones alternativas, ya que cada los productos pueden tener diferentes impactos en las inversiones y conocer cómo se comportan permite evaluar de mejor manera los riesgos y oportunidades.</w:t>
      </w:r>
    </w:p>
    <w:p w14:paraId="1A99CA6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F73607" w14:textId="77777777" w:rsidR="00C51607" w:rsidRPr="002012E1" w:rsidRDefault="00C51607" w:rsidP="00C51607">
      <w:pPr>
        <w:pStyle w:val="apanivel3"/>
        <w:rPr>
          <w:rFonts w:ascii="Arial" w:hAnsi="Arial" w:cs="Arial"/>
        </w:rPr>
      </w:pPr>
      <w:bookmarkStart w:id="76" w:name="_Toc201832437"/>
      <w:r w:rsidRPr="002012E1">
        <w:rPr>
          <w:rFonts w:ascii="Arial" w:hAnsi="Arial" w:cs="Arial"/>
        </w:rPr>
        <w:t>Nivel de riesgo asociado para cada tipo de producto financiero</w:t>
      </w:r>
      <w:bookmarkEnd w:id="76"/>
    </w:p>
    <w:p w14:paraId="5EE065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Una parte fundamental de cualquier decisión que se tome para realizar una inversión es el riesgo. Cada producto, sean acciones, productos de deuda o alternativos, siempre cuenta con la posibilidad de que no se obtengan los resultados esperados y que incluso, estos sean perjudiciales para el inversionista. </w:t>
      </w:r>
    </w:p>
    <w:p w14:paraId="6194CB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445B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De acuerdo con Gutiérrez y Marín (2020) “se denomina riesgo a la posibilidad de que se presente un daño. En finanzas, ese riesgo siempre estará presente y dará sustento a la premisa que: a mayor riesgo mayor rentabilidad” (p.4). </w:t>
      </w:r>
    </w:p>
    <w:p w14:paraId="6D73BCF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24FFD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lo anterior, el inversionista debe tener presente que el hecho de que un producto financiero posea un riesgo bajo no significa que se encuentra exento de sufrir imprevistos, como se sabe, el mercado es cambiante y lo que un día puede verse como una opción segura y estable, al día siguiente podría perder todo su valor.</w:t>
      </w:r>
    </w:p>
    <w:p w14:paraId="02777FE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D72552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apetito de riesgo del inversionista influye directamente en la cantidad de rendimientos que se obtienen de una inversión. Para un inversionista que no desea incrementar de forma rápida su capital, no existe la necesidad de adquirir productos con un alto nivel de riesgo. </w:t>
      </w:r>
    </w:p>
    <w:p w14:paraId="66396E4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4491BC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el contrario, un inversionista que desea obtener una alta retribución de lo invertido en un corto plazo se verá más atraído por los productos de alto riesgo. Para Prieto (2022) existen tres niveles de riesgo de inversión: </w:t>
      </w:r>
    </w:p>
    <w:p w14:paraId="43BB3D51"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riesgo bajo, que tiene bajas probabilidades de generar pérdidas, pero también posee una baja rentabilidad, como los certificados de depósito a plazo; el riesgo medio, que da una mayor rentabilidad, pero también requiere una mayor inversión de capital, como la inversión en inmuebles y, por último, el riesgo alto, que brinda mejores resultados, pero se centra en un mercado volátil, como lo son las divisas y las acciones (p.14)</w:t>
      </w:r>
    </w:p>
    <w:p w14:paraId="012C23B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6314C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Dependiendo del nivel de riesgo, es importante contar con alternativas para mitigarlo o bien, contar con el capital suficiente para poder asumir las pérdidas potenciales. De esta manera es importante comprender que el diversificar la cartera de inversiones, utilizando una combinación de productos de deuda, acciones e inversiones alternativas que se ajusten a los objetivos financieros y la tolerancia al riesgo.</w:t>
      </w:r>
    </w:p>
    <w:p w14:paraId="1520BBF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Además, implementar estrategias de cobertura que pueda proporcionar un margen adicional de seguridad, permitiendo a los inversores enfrentar la volatilidad del mercado con mayor tranquilidad y estabilidad financiera.</w:t>
      </w:r>
    </w:p>
    <w:p w14:paraId="23D87F8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3A189D1" w14:textId="77777777" w:rsidR="00C51607" w:rsidRPr="002012E1" w:rsidRDefault="00C51607" w:rsidP="00C51607">
      <w:pPr>
        <w:pStyle w:val="apanivel2"/>
        <w:rPr>
          <w:rFonts w:ascii="Arial" w:hAnsi="Arial" w:cs="Arial"/>
        </w:rPr>
      </w:pPr>
      <w:bookmarkStart w:id="77" w:name="_Toc201832438"/>
      <w:r w:rsidRPr="002012E1">
        <w:rPr>
          <w:rFonts w:ascii="Arial" w:hAnsi="Arial" w:cs="Arial"/>
        </w:rPr>
        <w:t>Productos o Inversiones Alternativas</w:t>
      </w:r>
      <w:bookmarkEnd w:id="77"/>
    </w:p>
    <w:p w14:paraId="2730ED5B" w14:textId="77777777" w:rsidR="00C51607" w:rsidRPr="002012E1" w:rsidRDefault="00C51607" w:rsidP="00C51607">
      <w:pPr>
        <w:pStyle w:val="apaparrafo"/>
      </w:pPr>
      <w:r w:rsidRPr="002012E1">
        <w:t xml:space="preserve">Las inversiones alternativas, también denominadas productos alternativos, se han definido a lo largo de esta investigación como aquellas que no se clasifican dentro de los productos de inversión tradicionales, tales como acciones, bonos o efectivo. </w:t>
      </w:r>
    </w:p>
    <w:p w14:paraId="1B0E96B9" w14:textId="77777777" w:rsidR="00C51607" w:rsidRPr="002012E1" w:rsidRDefault="00C51607" w:rsidP="00C51607">
      <w:pPr>
        <w:pStyle w:val="apaparrafo"/>
      </w:pPr>
    </w:p>
    <w:p w14:paraId="19B908CE" w14:textId="77777777" w:rsidR="00C51607" w:rsidRPr="002012E1" w:rsidRDefault="00C51607" w:rsidP="00C51607">
      <w:pPr>
        <w:pStyle w:val="apaparrafo"/>
      </w:pPr>
      <w:r w:rsidRPr="002012E1">
        <w:t xml:space="preserve">Desde una perspectiva contable y financiera, estas inversiones representan una categoría especial debido a su naturaleza distinta y a los desafíos que plantean tanto en su valoración como en su registro contable. </w:t>
      </w:r>
    </w:p>
    <w:p w14:paraId="6A939941" w14:textId="77777777" w:rsidR="00C51607" w:rsidRPr="002012E1" w:rsidRDefault="00C51607" w:rsidP="00C51607">
      <w:pPr>
        <w:pStyle w:val="apaparrafo"/>
      </w:pPr>
    </w:p>
    <w:p w14:paraId="3B6B4B53" w14:textId="77777777" w:rsidR="00C51607" w:rsidRPr="002012E1" w:rsidRDefault="00C51607" w:rsidP="00C51607">
      <w:pPr>
        <w:pStyle w:val="apaparrafo"/>
      </w:pPr>
      <w:r w:rsidRPr="002012E1">
        <w:t>Landry (2021) señala que “se trata de activos que no son acciones, bonos o efectivo y por lo tanto, no poseen un alto grado de liquidez, lo que dificulta su venta o conversión a efectivo y por lo general, no se encuentran regulados” (párr. 4), lo cual implica una serie de complejidades para su adecuada contabilización y presentación en los estados financieros.</w:t>
      </w:r>
    </w:p>
    <w:p w14:paraId="1E357A88" w14:textId="77777777" w:rsidR="00C51607" w:rsidRPr="002012E1" w:rsidRDefault="00C51607" w:rsidP="00C51607">
      <w:pPr>
        <w:pStyle w:val="apaparrafo"/>
      </w:pPr>
    </w:p>
    <w:p w14:paraId="04AA82E9" w14:textId="77777777" w:rsidR="00C51607" w:rsidRPr="002012E1" w:rsidRDefault="00C51607" w:rsidP="00C51607">
      <w:pPr>
        <w:pStyle w:val="apaparrafo"/>
      </w:pPr>
      <w:r w:rsidRPr="002012E1">
        <w:t xml:space="preserve">Esta falta de regulación es una característica clave que distingue a las inversiones alternativas y que, desde el punto de vista contable, genera un entorno de incertidumbre y riesgo elevado. </w:t>
      </w:r>
    </w:p>
    <w:p w14:paraId="1C6CCD68" w14:textId="77777777" w:rsidR="00C51607" w:rsidRPr="002012E1" w:rsidRDefault="00C51607" w:rsidP="00C51607">
      <w:pPr>
        <w:pStyle w:val="apaparrafo"/>
      </w:pPr>
    </w:p>
    <w:p w14:paraId="1510E16E" w14:textId="77777777" w:rsidR="00C51607" w:rsidRPr="002012E1" w:rsidRDefault="00C51607" w:rsidP="00C51607">
      <w:pPr>
        <w:pStyle w:val="apaparrafo"/>
      </w:pPr>
      <w:r w:rsidRPr="002012E1">
        <w:t xml:space="preserve">La ausencia de normativas específicas y estandarizadas para estos activos dificulta la aplicación uniforme de principios contables, lo que puede afectar la comparabilidad y transparencia de la información financiera. Ausenbaugh y Flynn (2024) advierten que “las inversiones alternativas son por lo general, especulativas y, por ende, sólo deberían realizarse por parte de inversionistas experimentados, que puedan asumir la pérdida de los activos invertidos” (párr. 18). </w:t>
      </w:r>
    </w:p>
    <w:p w14:paraId="43A4F9D9" w14:textId="77777777" w:rsidR="00C51607" w:rsidRPr="002012E1" w:rsidRDefault="00C51607" w:rsidP="00C51607">
      <w:pPr>
        <w:pStyle w:val="apaparrafo"/>
      </w:pPr>
    </w:p>
    <w:p w14:paraId="2B11DF36" w14:textId="77777777" w:rsidR="00C51607" w:rsidRPr="002012E1" w:rsidRDefault="00C51607" w:rsidP="00C51607">
      <w:pPr>
        <w:pStyle w:val="apaparrafo"/>
      </w:pPr>
      <w:r w:rsidRPr="002012E1">
        <w:lastRenderedPageBreak/>
        <w:t>Esta recomendación subraya la importancia de que los gestores y contadores posean un conocimiento profundo para evaluar los riesgos inherentes y aplicar criterios contables adecuados que reflejen fielmente la situación patrimonial.</w:t>
      </w:r>
    </w:p>
    <w:p w14:paraId="67ACEB3D" w14:textId="77777777" w:rsidR="00C51607" w:rsidRPr="002012E1" w:rsidRDefault="00C51607" w:rsidP="00C51607">
      <w:pPr>
        <w:pStyle w:val="apaparrafo"/>
      </w:pPr>
    </w:p>
    <w:p w14:paraId="6FC96E15" w14:textId="77777777" w:rsidR="00C51607" w:rsidRPr="002012E1" w:rsidRDefault="00C51607" w:rsidP="00C51607">
      <w:pPr>
        <w:pStyle w:val="apaparrafo"/>
      </w:pPr>
      <w:r w:rsidRPr="002012E1">
        <w:t xml:space="preserve">La alta volatilidad y la naturaleza especulativa de estos activos, como mencionan Ausenbaugh y Flynn, derivan en una mayor complejidad para su valoración y registro. En términos contables, esto implica que los métodos tradicionales de medición a valor razonable o costo amortizado pueden no ser suficientes o apropiados para reflejar el valor real de las inversiones alternativas. </w:t>
      </w:r>
    </w:p>
    <w:p w14:paraId="1D90FD30" w14:textId="77777777" w:rsidR="00C51607" w:rsidRPr="002012E1" w:rsidRDefault="00C51607" w:rsidP="00C51607">
      <w:pPr>
        <w:pStyle w:val="apaparrafo"/>
      </w:pPr>
    </w:p>
    <w:p w14:paraId="5E4DE118" w14:textId="77777777" w:rsidR="00C51607" w:rsidRPr="002012E1" w:rsidRDefault="00C51607" w:rsidP="00C51607">
      <w:pPr>
        <w:pStyle w:val="apaparrafo"/>
      </w:pPr>
      <w:r w:rsidRPr="002012E1">
        <w:t>Además, la iliquidez característica de estos activos requiere que se consideren primas de liquidez y posibles ajustes por deterioro, lo cual demanda un análisis riguroso y continuo para evitar sobrevaloraciones o subvaloraciones en los estados financieros.</w:t>
      </w:r>
    </w:p>
    <w:p w14:paraId="6CC13A92" w14:textId="77777777" w:rsidR="00C51607" w:rsidRPr="002012E1" w:rsidRDefault="00C51607" w:rsidP="00C51607">
      <w:pPr>
        <w:pStyle w:val="apaparrafo"/>
      </w:pPr>
    </w:p>
    <w:p w14:paraId="4BF0DF9C" w14:textId="77777777" w:rsidR="00C51607" w:rsidRPr="002012E1" w:rsidRDefault="00C51607" w:rsidP="00C51607">
      <w:pPr>
        <w:pStyle w:val="apaparrafo"/>
      </w:pPr>
      <w:r w:rsidRPr="002012E1">
        <w:t xml:space="preserve">La correcta clasificación y reconocimiento de las inversiones alternativas es fundamental para garantizar la transparencia y confiabilidad de la información financiera. Esto incluye la identificación clara de la naturaleza del activo, la evaluación de su riesgo y la aplicación de políticas contables que permitan mitigar la incertidumbre. </w:t>
      </w:r>
    </w:p>
    <w:p w14:paraId="72BF4527" w14:textId="77777777" w:rsidR="00C51607" w:rsidRPr="002012E1" w:rsidRDefault="00C51607" w:rsidP="00C51607">
      <w:pPr>
        <w:pStyle w:val="apaparrafo"/>
      </w:pPr>
    </w:p>
    <w:p w14:paraId="2ECCCF12" w14:textId="77777777" w:rsidR="00C51607" w:rsidRPr="002012E1" w:rsidRDefault="00C51607" w:rsidP="00C51607">
      <w:pPr>
        <w:pStyle w:val="apaparrafo"/>
      </w:pPr>
      <w:r w:rsidRPr="002012E1">
        <w:t>En este sentido, la adopción de lineamientos específicos que contemplen las particularidades de estos instrumentos es esencial para mejorar la calidad de los reportes financieros y facilitar la toma de decisiones informadas por parte de los inversionistas y otros usuarios de la información.</w:t>
      </w:r>
    </w:p>
    <w:p w14:paraId="0230C095" w14:textId="77777777" w:rsidR="00C51607" w:rsidRPr="002012E1" w:rsidRDefault="00C51607" w:rsidP="00C51607">
      <w:pPr>
        <w:pStyle w:val="apaparrafo"/>
      </w:pPr>
    </w:p>
    <w:p w14:paraId="2358BBD8" w14:textId="77777777" w:rsidR="00C51607" w:rsidRPr="002012E1" w:rsidRDefault="00C51607" w:rsidP="00C51607">
      <w:pPr>
        <w:pStyle w:val="apaparrafo"/>
      </w:pPr>
      <w:r w:rsidRPr="002012E1">
        <w:t xml:space="preserve">Asimismo, es crucial que los inversionistas y gestores comprendan los diferentes tipos de inversiones alternativas y sus características para evaluar adecuadamente su impacto en la cartera y en la contabilidad. </w:t>
      </w:r>
    </w:p>
    <w:p w14:paraId="1E2B0B4A" w14:textId="77777777" w:rsidR="00C51607" w:rsidRPr="002012E1" w:rsidRDefault="00C51607" w:rsidP="00C51607">
      <w:pPr>
        <w:pStyle w:val="apaparrafo"/>
      </w:pPr>
    </w:p>
    <w:p w14:paraId="745CDABD" w14:textId="77777777" w:rsidR="00C51607" w:rsidRPr="002012E1" w:rsidRDefault="00C51607" w:rsidP="00C51607">
      <w:pPr>
        <w:pStyle w:val="apaparrafo"/>
      </w:pPr>
      <w:r w:rsidRPr="002012E1">
        <w:lastRenderedPageBreak/>
        <w:t xml:space="preserve">La diversidad de activos alternativos —que pueden incluir desde capital privado, infraestructura, bienes raíces, hasta criptomonedas— exige un enfoque contable flexible y adaptado, que permita reflejar con precisión los riesgos, la rentabilidad esperada y las condiciones de mercado específicas de cada tipo de inversión. </w:t>
      </w:r>
    </w:p>
    <w:p w14:paraId="29408218" w14:textId="77777777" w:rsidR="00C51607" w:rsidRPr="002012E1" w:rsidRDefault="00C51607" w:rsidP="00C51607">
      <w:pPr>
        <w:pStyle w:val="apaparrafo"/>
      </w:pPr>
    </w:p>
    <w:p w14:paraId="2ACB88E5" w14:textId="77777777" w:rsidR="00C51607" w:rsidRPr="002012E1" w:rsidRDefault="00C51607" w:rsidP="00C51607">
      <w:pPr>
        <w:pStyle w:val="apaparrafo"/>
      </w:pPr>
      <w:r w:rsidRPr="002012E1">
        <w:t>Esta comprensión también contribuye a diseñar estrategias de mitigación de riesgos, tanto financieros como contables, que protejan el patrimonio y aseguren la sostenibilidad de las inversiones.</w:t>
      </w:r>
    </w:p>
    <w:p w14:paraId="5D4F792E" w14:textId="77777777" w:rsidR="00C51607" w:rsidRPr="002012E1" w:rsidRDefault="00C51607" w:rsidP="00C51607">
      <w:pPr>
        <w:pStyle w:val="apaparrafo"/>
      </w:pPr>
    </w:p>
    <w:p w14:paraId="4CE8B832" w14:textId="77777777" w:rsidR="00C51607" w:rsidRPr="002012E1" w:rsidRDefault="00C51607" w:rsidP="00C51607">
      <w:pPr>
        <w:pStyle w:val="apaparrafo"/>
      </w:pPr>
      <w:r w:rsidRPr="002012E1">
        <w:t xml:space="preserve">Finalmente, la integración de las inversiones alternativas en las carteras de fondos de pensiones y otras instituciones financieras representa un reto significativo para la contabilidad moderna. </w:t>
      </w:r>
    </w:p>
    <w:p w14:paraId="16EF31E1" w14:textId="77777777" w:rsidR="00C51607" w:rsidRPr="002012E1" w:rsidRDefault="00C51607" w:rsidP="00C51607">
      <w:pPr>
        <w:pStyle w:val="apaparrafo"/>
      </w:pPr>
    </w:p>
    <w:p w14:paraId="715944CD" w14:textId="77777777" w:rsidR="00C51607" w:rsidRPr="002012E1" w:rsidRDefault="00C51607" w:rsidP="00C51607">
      <w:pPr>
        <w:pStyle w:val="apaparrafo"/>
      </w:pPr>
      <w:r w:rsidRPr="002012E1">
        <w:t xml:space="preserve">La necesidad de contar con registros contables adecuados, que consideren la iliquidez, la falta de regulación y la volatilidad de estos activos, obliga a los profesionales contables a mantenerse actualizados y a colaborar estrechamente con gestores de inversión para desarrollar prácticas contables robustas y coherentes. </w:t>
      </w:r>
    </w:p>
    <w:p w14:paraId="08B151EE" w14:textId="77777777" w:rsidR="00C51607" w:rsidRPr="002012E1" w:rsidRDefault="00C51607" w:rsidP="00C51607">
      <w:pPr>
        <w:pStyle w:val="apaparrafo"/>
      </w:pPr>
    </w:p>
    <w:p w14:paraId="15A0C8D7" w14:textId="77777777" w:rsidR="00C51607" w:rsidRPr="002012E1" w:rsidRDefault="00C51607" w:rsidP="00C51607">
      <w:pPr>
        <w:pStyle w:val="apaparrafo"/>
      </w:pPr>
      <w:r w:rsidRPr="002012E1">
        <w:t>De esta forma, se garantiza que la información financiera refleje fielmente la realidad económica y facilite la supervisión, el control y la toma de decisiones estratégicas en un entorno cada vez más complejo y dinámico.</w:t>
      </w:r>
    </w:p>
    <w:p w14:paraId="5445AE7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0437E60" w14:textId="77777777" w:rsidR="00C51607" w:rsidRPr="002012E1" w:rsidRDefault="00C51607" w:rsidP="00C51607">
      <w:pPr>
        <w:pStyle w:val="apanivel3"/>
        <w:rPr>
          <w:rFonts w:ascii="Arial" w:hAnsi="Arial" w:cs="Arial"/>
        </w:rPr>
      </w:pPr>
      <w:bookmarkStart w:id="78" w:name="_Toc201832439"/>
      <w:r w:rsidRPr="002012E1">
        <w:rPr>
          <w:rFonts w:ascii="Arial" w:hAnsi="Arial" w:cs="Arial"/>
        </w:rPr>
        <w:t>Tipos de Inversiones Alternativas</w:t>
      </w:r>
      <w:r>
        <w:rPr>
          <w:rFonts w:ascii="Arial" w:hAnsi="Arial" w:cs="Arial"/>
        </w:rPr>
        <w:t xml:space="preserve"> en los portafolios de Pensiones</w:t>
      </w:r>
      <w:bookmarkEnd w:id="78"/>
    </w:p>
    <w:p w14:paraId="0853EC9D" w14:textId="77777777" w:rsidR="00C51607" w:rsidRPr="002012E1" w:rsidRDefault="00C51607" w:rsidP="00C51607">
      <w:pPr>
        <w:pStyle w:val="apaparrafo"/>
      </w:pPr>
      <w:r w:rsidRPr="002012E1">
        <w:t xml:space="preserve">Las inversiones alternativas, al no estar sujetas a una regulación estricta y encontrarse desligadas de las inversiones tradicionales, constituyen una amplia gama de activos que pueden ser aprovechados para diversificar las carteras de inversión. </w:t>
      </w:r>
    </w:p>
    <w:p w14:paraId="16A8FE4E" w14:textId="77777777" w:rsidR="00C51607" w:rsidRPr="002012E1" w:rsidRDefault="00C51607" w:rsidP="00C51607">
      <w:pPr>
        <w:pStyle w:val="apaparrafo"/>
      </w:pPr>
    </w:p>
    <w:p w14:paraId="6C30C3CF" w14:textId="77777777" w:rsidR="00C51607" w:rsidRPr="002012E1" w:rsidRDefault="00C51607" w:rsidP="00C51607">
      <w:pPr>
        <w:pStyle w:val="apaparrafo"/>
      </w:pPr>
      <w:r w:rsidRPr="002012E1">
        <w:lastRenderedPageBreak/>
        <w:t xml:space="preserve">Desde un enfoque contable, esta diversidad representa un desafío importante, ya que la ausencia de regulación específica dificulta la estandarización en su clasificación, valoración y presentación en los estados financieros. </w:t>
      </w:r>
    </w:p>
    <w:p w14:paraId="25D4D55C" w14:textId="77777777" w:rsidR="00C51607" w:rsidRPr="002012E1" w:rsidRDefault="00C51607" w:rsidP="00C51607">
      <w:pPr>
        <w:pStyle w:val="apaparrafo"/>
      </w:pPr>
    </w:p>
    <w:p w14:paraId="7109F952" w14:textId="77777777" w:rsidR="00C51607" w:rsidRPr="002012E1" w:rsidRDefault="00C51607" w:rsidP="00C51607">
      <w:pPr>
        <w:pStyle w:val="apaparrafo"/>
      </w:pPr>
      <w:r w:rsidRPr="002012E1">
        <w:t>Sin embargo, esta misma característica permite a los inversionistas ampliar sus horizontes más allá de los mercados convencionales, lo que puede traducirse en beneficios significativos para la gestión del riesgo y la optimización del rendimiento.</w:t>
      </w:r>
    </w:p>
    <w:p w14:paraId="26AEA2E5" w14:textId="77777777" w:rsidR="00C51607" w:rsidRPr="002012E1" w:rsidRDefault="00C51607" w:rsidP="00C51607">
      <w:pPr>
        <w:pStyle w:val="apaparrafo"/>
      </w:pPr>
    </w:p>
    <w:p w14:paraId="14ABF872" w14:textId="77777777" w:rsidR="00C51607" w:rsidRPr="002012E1" w:rsidRDefault="00C51607" w:rsidP="00C51607">
      <w:pPr>
        <w:pStyle w:val="apaparrafo"/>
      </w:pPr>
      <w:r w:rsidRPr="002012E1">
        <w:t xml:space="preserve">En su mayoría, estas inversiones se negocian en mercados Over The Counter (OTC), es decir, en mercados extrabursátiles que operan fuera de las bolsas reguladas tradicionales. Estos mercados OTC permiten la negociación directa entre dos partes, sin la intervención de una cámara de compensación ni una regulación estricta, lo que implica una mayor flexibilidad pero también mayores riesgos. </w:t>
      </w:r>
    </w:p>
    <w:p w14:paraId="2466EB4F" w14:textId="77777777" w:rsidR="00C51607" w:rsidRPr="002012E1" w:rsidRDefault="00C51607" w:rsidP="00C51607">
      <w:pPr>
        <w:pStyle w:val="apaparrafo"/>
      </w:pPr>
    </w:p>
    <w:p w14:paraId="1B5DEA87" w14:textId="77777777" w:rsidR="00C51607" w:rsidRPr="002012E1" w:rsidRDefault="00C51607" w:rsidP="00C51607">
      <w:pPr>
        <w:pStyle w:val="apaparrafo"/>
      </w:pPr>
      <w:r w:rsidRPr="002012E1">
        <w:t>Según BBVA (2023), los mercados OTC “son mercados extrabursátiles donde se negocian distintos instrumentos financieros (bonos, acciones, swaps, divisas...) directamente entre dos partes” y suelen caracterizarse por una negociación bilateral o multilateral con menor estandarización y regulación que los mercados organizados.</w:t>
      </w:r>
    </w:p>
    <w:p w14:paraId="7CFAF2B0" w14:textId="77777777" w:rsidR="00C51607" w:rsidRPr="002012E1" w:rsidRDefault="00C51607" w:rsidP="00C51607">
      <w:pPr>
        <w:pStyle w:val="apaparrafo"/>
      </w:pPr>
    </w:p>
    <w:p w14:paraId="423D4C3D" w14:textId="77777777" w:rsidR="00C51607" w:rsidRPr="002012E1" w:rsidRDefault="00C51607" w:rsidP="00C51607">
      <w:pPr>
        <w:pStyle w:val="apaparrafo"/>
      </w:pPr>
      <w:r w:rsidRPr="002012E1">
        <w:t xml:space="preserve">Esta característica de operar en un entorno menos regulado y más personalizado hace que muchas inversiones alternativas, como ciertos derivados, capital privado, deuda privada o criptomonedas, se ubiquen en estos mercados OTC. </w:t>
      </w:r>
    </w:p>
    <w:p w14:paraId="44A29534" w14:textId="77777777" w:rsidR="00C51607" w:rsidRPr="002012E1" w:rsidRDefault="00C51607" w:rsidP="00C51607">
      <w:pPr>
        <w:pStyle w:val="apaparrafo"/>
      </w:pPr>
    </w:p>
    <w:p w14:paraId="2C42CBF3" w14:textId="77777777" w:rsidR="00C51607" w:rsidRPr="002012E1" w:rsidRDefault="00C51607" w:rsidP="00C51607">
      <w:pPr>
        <w:pStyle w:val="apaparrafo"/>
      </w:pPr>
      <w:r w:rsidRPr="002012E1">
        <w:t>La negociación en estos mercados ofrece a los inversores la oportunidad de acceder a mercados menos convencionales, lo que puede resultar en la identificación de oportunidades únicas de crecimiento, al no estar correlacionadas directamente con los mercados financieros tradicionales, contribuyen a reducir la exposición a la volatilidad típica de estos mercados.</w:t>
      </w:r>
    </w:p>
    <w:p w14:paraId="1996FDE0" w14:textId="77777777" w:rsidR="00C51607" w:rsidRPr="002012E1" w:rsidRDefault="00C51607" w:rsidP="00C51607">
      <w:pPr>
        <w:pStyle w:val="apaparrafo"/>
      </w:pPr>
    </w:p>
    <w:p w14:paraId="5096309F" w14:textId="77777777" w:rsidR="00C51607" w:rsidRPr="002012E1" w:rsidRDefault="00C51607" w:rsidP="00C51607">
      <w:pPr>
        <w:pStyle w:val="apaparrafo"/>
      </w:pPr>
      <w:r w:rsidRPr="002012E1">
        <w:lastRenderedPageBreak/>
        <w:t xml:space="preserve">Desde la perspectiva contable, la presencia predominante de inversiones alternativas en mercados OTC representa un desafío importante para la valoración y registro de estos activos. </w:t>
      </w:r>
    </w:p>
    <w:p w14:paraId="2CD43115" w14:textId="77777777" w:rsidR="00C51607" w:rsidRPr="002012E1" w:rsidRDefault="00C51607" w:rsidP="00C51607">
      <w:pPr>
        <w:pStyle w:val="apaparrafo"/>
      </w:pPr>
    </w:p>
    <w:p w14:paraId="636BCCFE" w14:textId="77777777" w:rsidR="00C51607" w:rsidRPr="002012E1" w:rsidRDefault="00C51607" w:rsidP="00C51607">
      <w:pPr>
        <w:pStyle w:val="apaparrafo"/>
      </w:pPr>
      <w:r w:rsidRPr="002012E1">
        <w:t xml:space="preserve">La falta de precios de mercado estandarizados y la negociación bilateral dificultan la determinación objetiva del valor razonable, lo que obliga a los profesionales contables a aplicar métodos alternativos de valoración y a considerar ajustes por iliquidez y riesgo de contraparte. </w:t>
      </w:r>
    </w:p>
    <w:p w14:paraId="39A4085C" w14:textId="77777777" w:rsidR="00C51607" w:rsidRPr="002012E1" w:rsidRDefault="00C51607" w:rsidP="00C51607">
      <w:pPr>
        <w:pStyle w:val="apaparrafo"/>
      </w:pPr>
    </w:p>
    <w:p w14:paraId="64E19453" w14:textId="77777777" w:rsidR="00C51607" w:rsidRPr="002012E1" w:rsidRDefault="00C51607" w:rsidP="00C51607">
      <w:pPr>
        <w:pStyle w:val="apaparrafo"/>
      </w:pPr>
      <w:r w:rsidRPr="002012E1">
        <w:t>Esto es especialmente relevante para fondos de pensiones e instituciones que requieren transparencia y precisión en sus estados financieros, ya que puede mejorar la resiliencia de estos frente a las fluctuaciones económicas, al diversificar las fuentes de rendimiento y riesgo, se favorece una estrategia de inversión más equilibrada y adaptable a diferentes condiciones del mercado financiero. Esto es crucial para garantizar la sostenibilidad financiera de los fondos y su capacidad para cumplir con las obligaciones previsionales a largo plazo.</w:t>
      </w:r>
    </w:p>
    <w:p w14:paraId="3D042B5D" w14:textId="77777777" w:rsidR="00C51607" w:rsidRPr="002012E1" w:rsidRDefault="00C51607" w:rsidP="00C51607">
      <w:pPr>
        <w:pStyle w:val="apaparrafo"/>
      </w:pPr>
    </w:p>
    <w:p w14:paraId="6400683F" w14:textId="77777777" w:rsidR="00C51607" w:rsidRPr="002012E1" w:rsidRDefault="00C51607" w:rsidP="00C51607">
      <w:pPr>
        <w:pStyle w:val="apaparrafo"/>
      </w:pPr>
      <w:r w:rsidRPr="002012E1">
        <w:t xml:space="preserve">La amplia variedad de inversiones alternativas exige un análisis detallado de sus características específicas para determinar el tratamiento adecuado en los registros financieros. La falta de regulación y la naturaleza heterogénea de estos activos requieren que los profesionales contables desarrollen lineamientos claros que permitan reflejar fielmente su valor y riesgos asociados, asegurando la transparencia y confiabilidad de la información financiera. </w:t>
      </w:r>
    </w:p>
    <w:p w14:paraId="7EAC3471" w14:textId="77777777" w:rsidR="00C51607" w:rsidRPr="002012E1" w:rsidRDefault="00C51607" w:rsidP="00C51607">
      <w:pPr>
        <w:pStyle w:val="apaparrafo"/>
      </w:pPr>
    </w:p>
    <w:p w14:paraId="2F64C10C" w14:textId="77777777" w:rsidR="00C51607" w:rsidRPr="002012E1" w:rsidRDefault="00C51607" w:rsidP="00C51607">
      <w:pPr>
        <w:pStyle w:val="apaparrafo"/>
      </w:pPr>
      <w:r w:rsidRPr="002012E1">
        <w:t xml:space="preserve">Además, la naturaleza ilíquida y personalizada de muchos activos OTC implica que la contabilización debe contemplar las limitaciones para convertir rápidamente estos activos en efectivo, así como la volatilidad inherente a sus condiciones de mercado. </w:t>
      </w:r>
    </w:p>
    <w:p w14:paraId="474EB5B6" w14:textId="77777777" w:rsidR="00C51607" w:rsidRPr="002012E1" w:rsidRDefault="00C51607" w:rsidP="00C51607">
      <w:pPr>
        <w:pStyle w:val="apaparrafo"/>
      </w:pPr>
    </w:p>
    <w:p w14:paraId="319DE47B" w14:textId="77777777" w:rsidR="00C51607" w:rsidRPr="002012E1" w:rsidRDefault="00C51607" w:rsidP="00C51607">
      <w:pPr>
        <w:pStyle w:val="apaparrafo"/>
      </w:pPr>
      <w:r w:rsidRPr="002012E1">
        <w:t xml:space="preserve">La ausencia de regulación estricta también puede generar incertidumbre en la presentación y revelación de información, lo que demanda políticas contables claras </w:t>
      </w:r>
      <w:r w:rsidRPr="002012E1">
        <w:lastRenderedPageBreak/>
        <w:t>y controles internos rigurosos para garantizar la fiabilidad de los reportes financieros.</w:t>
      </w:r>
    </w:p>
    <w:p w14:paraId="1153029A" w14:textId="77777777" w:rsidR="00C51607" w:rsidRPr="002012E1" w:rsidRDefault="00C51607" w:rsidP="00C51607">
      <w:pPr>
        <w:pStyle w:val="apaparrafo"/>
      </w:pPr>
    </w:p>
    <w:p w14:paraId="38977F19" w14:textId="77777777" w:rsidR="00C51607" w:rsidRPr="002012E1" w:rsidRDefault="00C51607" w:rsidP="00C51607">
      <w:pPr>
        <w:pStyle w:val="apaparrafo"/>
      </w:pPr>
      <w:r w:rsidRPr="002012E1">
        <w:t xml:space="preserve">En síntesis, la negociación de muchas inversiones alternativas en mercados OTC refleja la necesidad de instrumentos flexibles y adaptados a demandas específicas, pero también impone retos significativos en términos de gestión del riesgo, valoración y transparencia contable. </w:t>
      </w:r>
    </w:p>
    <w:p w14:paraId="26F3C1EB" w14:textId="77777777" w:rsidR="00C51607" w:rsidRPr="002012E1" w:rsidRDefault="00C51607" w:rsidP="00C51607">
      <w:pPr>
        <w:pStyle w:val="apaparrafo"/>
      </w:pPr>
    </w:p>
    <w:p w14:paraId="7063140F" w14:textId="77777777" w:rsidR="00C51607" w:rsidRPr="002012E1" w:rsidRDefault="00C51607" w:rsidP="00C51607">
      <w:pPr>
        <w:pStyle w:val="apaparrafo"/>
      </w:pPr>
      <w:r w:rsidRPr="002012E1">
        <w:t>Por ello, es fundamental que los profesionales contables y financieros desarrollen un conocimiento profundo de estos mercados y apliquen criterios sólidos que permitan reflejar fielmente el valor y riesgos asociados a estos activos, asegurando la confianza de los inversionistas y la estabilidad financiera de las carteras.</w:t>
      </w:r>
    </w:p>
    <w:p w14:paraId="24056C6D" w14:textId="77777777" w:rsidR="00C51607" w:rsidRPr="002012E1" w:rsidRDefault="00C51607" w:rsidP="00C51607">
      <w:pPr>
        <w:pStyle w:val="apaparrafo"/>
      </w:pPr>
    </w:p>
    <w:p w14:paraId="7F1D5781" w14:textId="77777777" w:rsidR="00C51607" w:rsidRPr="002012E1" w:rsidRDefault="00C51607" w:rsidP="00C51607">
      <w:pPr>
        <w:pStyle w:val="apaparrafo"/>
      </w:pPr>
      <w:r w:rsidRPr="002012E1">
        <w:t>Además, la iliquidez que caracteriza a muchas inversiones alternativas representa un factor crítico para su valoración y registro. La dificultad para convertir estos activos en efectivo de manera rápida y sin pérdidas implica que se deben considerar ajustes por primas de iliquidez y posibles deterioros, lo cual debe ser reflejado de forma prudente en los estados financieros para evitar sobrevaloraciones.</w:t>
      </w:r>
    </w:p>
    <w:p w14:paraId="23B2DBC3" w14:textId="77777777" w:rsidR="00C51607" w:rsidRPr="002012E1" w:rsidRDefault="00C51607" w:rsidP="00C51607">
      <w:pPr>
        <w:pStyle w:val="apaparrafo"/>
      </w:pPr>
    </w:p>
    <w:p w14:paraId="1FA590E6" w14:textId="77777777" w:rsidR="00C51607" w:rsidRPr="002012E1" w:rsidRDefault="00C51607" w:rsidP="00C51607">
      <w:pPr>
        <w:pStyle w:val="apaparrafo"/>
      </w:pPr>
      <w:r w:rsidRPr="002012E1">
        <w:t xml:space="preserve">Finalmente, para que los inversionistas puedan aprovechar plenamente los beneficios de las inversiones alternativas, es fundamental que comprendan los tipos de activos disponibles y sus características. </w:t>
      </w:r>
    </w:p>
    <w:p w14:paraId="2DB47EDA" w14:textId="77777777" w:rsidR="00C51607" w:rsidRPr="002012E1" w:rsidRDefault="00C51607" w:rsidP="00C51607">
      <w:pPr>
        <w:pStyle w:val="apaparrafo"/>
      </w:pPr>
    </w:p>
    <w:p w14:paraId="00734CFD" w14:textId="77777777" w:rsidR="00C51607" w:rsidRPr="002012E1" w:rsidRDefault="00C51607" w:rsidP="00C51607">
      <w:pPr>
        <w:pStyle w:val="apaparrafo"/>
      </w:pPr>
      <w:r w:rsidRPr="002012E1">
        <w:t>Esta comprensión facilita una toma de decisiones informada y permite diseñar estrategias de inversión que optimicen el equilibrio entre riesgo y rentabilidad, al tiempo que se ajustan a las normativas contables vigentes.</w:t>
      </w:r>
    </w:p>
    <w:p w14:paraId="625D2694" w14:textId="77777777" w:rsidR="00C51607" w:rsidRPr="002012E1" w:rsidRDefault="00C51607" w:rsidP="00C51607">
      <w:pPr>
        <w:pStyle w:val="apaparrafo"/>
      </w:pPr>
    </w:p>
    <w:p w14:paraId="2A9DDD1A" w14:textId="77777777" w:rsidR="00C51607" w:rsidRPr="002012E1" w:rsidRDefault="00C51607" w:rsidP="00C51607">
      <w:pPr>
        <w:pStyle w:val="apaparrafo"/>
      </w:pPr>
      <w:r w:rsidRPr="002012E1">
        <w:t>En la siguiente tabla se pueden visualizar los tipos de inversiones alternativas más comunes, según Kilroy (2023), lo que contribuye a una mejor comprensión y análisis de estos activos desde una perspectiva financiera y contable.</w:t>
      </w:r>
    </w:p>
    <w:p w14:paraId="0537EB84" w14:textId="77777777" w:rsidR="00C51607" w:rsidRPr="002012E1" w:rsidRDefault="00C51607" w:rsidP="00C51607">
      <w:pPr>
        <w:pStyle w:val="apaparrafo"/>
      </w:pPr>
    </w:p>
    <w:p w14:paraId="4D52DBDA" w14:textId="4FB12006"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bookmarkStart w:id="79" w:name="_Toc201322511"/>
      <w:r w:rsidRPr="002012E1">
        <w:rPr>
          <w:rFonts w:ascii="Arial" w:eastAsia="Calibri" w:hAnsi="Arial" w:cs="Arial"/>
          <w:b/>
          <w:b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8</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Tipos de Inversiones Alternativas</w:t>
      </w:r>
      <w:bookmarkEnd w:id="79"/>
    </w:p>
    <w:tbl>
      <w:tblPr>
        <w:tblStyle w:val="Tablaconcuadrcula1"/>
        <w:tblW w:w="0" w:type="auto"/>
        <w:tblInd w:w="1" w:type="dxa"/>
        <w:tblLook w:val="0600" w:firstRow="0" w:lastRow="0" w:firstColumn="0" w:lastColumn="0" w:noHBand="1" w:noVBand="1"/>
      </w:tblPr>
      <w:tblGrid>
        <w:gridCol w:w="1454"/>
        <w:gridCol w:w="7373"/>
      </w:tblGrid>
      <w:tr w:rsidR="00C51607" w:rsidRPr="002012E1" w14:paraId="02C5639B" w14:textId="77777777" w:rsidTr="005C1607">
        <w:trPr>
          <w:trHeight w:val="20"/>
        </w:trPr>
        <w:tc>
          <w:tcPr>
            <w:tcW w:w="0" w:type="auto"/>
            <w:vAlign w:val="center"/>
          </w:tcPr>
          <w:p w14:paraId="7EC91D2C" w14:textId="77777777" w:rsidR="00C51607" w:rsidRPr="002012E1" w:rsidRDefault="00C51607" w:rsidP="005C1607">
            <w:pPr>
              <w:spacing w:before="240" w:after="240" w:line="360" w:lineRule="auto"/>
              <w:jc w:val="center"/>
              <w:rPr>
                <w:rFonts w:eastAsia="Times New Roman"/>
                <w:b/>
              </w:rPr>
            </w:pPr>
            <w:r w:rsidRPr="002012E1">
              <w:rPr>
                <w:rFonts w:eastAsia="Times New Roman"/>
                <w:b/>
              </w:rPr>
              <w:t>Tipo</w:t>
            </w:r>
          </w:p>
        </w:tc>
        <w:tc>
          <w:tcPr>
            <w:tcW w:w="0" w:type="auto"/>
            <w:vAlign w:val="center"/>
          </w:tcPr>
          <w:p w14:paraId="04711F2B" w14:textId="77777777" w:rsidR="00C51607" w:rsidRPr="002012E1" w:rsidRDefault="00C51607" w:rsidP="005C1607">
            <w:pPr>
              <w:spacing w:before="240" w:after="240" w:line="360" w:lineRule="auto"/>
              <w:jc w:val="center"/>
              <w:rPr>
                <w:rFonts w:eastAsia="Times New Roman"/>
                <w:b/>
              </w:rPr>
            </w:pPr>
            <w:r w:rsidRPr="002012E1">
              <w:rPr>
                <w:rFonts w:eastAsia="Times New Roman"/>
                <w:b/>
              </w:rPr>
              <w:t>Descripción</w:t>
            </w:r>
          </w:p>
        </w:tc>
      </w:tr>
      <w:tr w:rsidR="00C51607" w:rsidRPr="002012E1" w14:paraId="501416ED" w14:textId="77777777" w:rsidTr="005C1607">
        <w:trPr>
          <w:trHeight w:val="20"/>
        </w:trPr>
        <w:tc>
          <w:tcPr>
            <w:tcW w:w="0" w:type="auto"/>
            <w:vAlign w:val="center"/>
          </w:tcPr>
          <w:p w14:paraId="698AE083" w14:textId="77777777" w:rsidR="00C51607" w:rsidRPr="002012E1" w:rsidRDefault="00C51607" w:rsidP="005C1607">
            <w:pPr>
              <w:spacing w:before="240" w:after="240" w:line="360" w:lineRule="auto"/>
              <w:jc w:val="center"/>
              <w:rPr>
                <w:rFonts w:eastAsia="Times New Roman"/>
              </w:rPr>
            </w:pPr>
            <w:r w:rsidRPr="002012E1">
              <w:rPr>
                <w:rFonts w:eastAsia="Times New Roman"/>
              </w:rPr>
              <w:t>Capital privado</w:t>
            </w:r>
          </w:p>
        </w:tc>
        <w:tc>
          <w:tcPr>
            <w:tcW w:w="0" w:type="auto"/>
            <w:vAlign w:val="center"/>
          </w:tcPr>
          <w:p w14:paraId="0FD3EC12" w14:textId="77777777" w:rsidR="00C51607" w:rsidRPr="002012E1" w:rsidRDefault="00C51607" w:rsidP="005C1607">
            <w:pPr>
              <w:spacing w:before="240" w:after="240" w:line="360" w:lineRule="auto"/>
              <w:jc w:val="center"/>
              <w:rPr>
                <w:rFonts w:eastAsia="Times New Roman"/>
              </w:rPr>
            </w:pPr>
            <w:r w:rsidRPr="002012E1">
              <w:rPr>
                <w:rFonts w:eastAsia="Times New Roman"/>
              </w:rPr>
              <w:t>Consiste en invertir en empresas privadas que se están constituyendo o necesitan financiamiento a lo largo de su crecimiento. En este tipo de inversión, se reciben los rendimientos cuando ocurre un evento de salida (como la venta de la organización).</w:t>
            </w:r>
          </w:p>
        </w:tc>
      </w:tr>
      <w:tr w:rsidR="00C51607" w:rsidRPr="002012E1" w14:paraId="7252A7AB" w14:textId="77777777" w:rsidTr="005C1607">
        <w:trPr>
          <w:trHeight w:val="20"/>
        </w:trPr>
        <w:tc>
          <w:tcPr>
            <w:tcW w:w="0" w:type="auto"/>
            <w:vAlign w:val="center"/>
          </w:tcPr>
          <w:p w14:paraId="2DC05844" w14:textId="77777777" w:rsidR="00C51607" w:rsidRPr="002012E1" w:rsidRDefault="00C51607" w:rsidP="005C1607">
            <w:pPr>
              <w:spacing w:before="240" w:after="240" w:line="360" w:lineRule="auto"/>
              <w:jc w:val="center"/>
              <w:rPr>
                <w:rFonts w:eastAsia="Times New Roman"/>
              </w:rPr>
            </w:pPr>
            <w:r w:rsidRPr="002012E1">
              <w:rPr>
                <w:rFonts w:eastAsia="Times New Roman"/>
              </w:rPr>
              <w:t>Capital de riesgo</w:t>
            </w:r>
          </w:p>
        </w:tc>
        <w:tc>
          <w:tcPr>
            <w:tcW w:w="0" w:type="auto"/>
            <w:vAlign w:val="center"/>
          </w:tcPr>
          <w:p w14:paraId="4706FE32" w14:textId="77777777" w:rsidR="00C51607" w:rsidRPr="002012E1" w:rsidRDefault="00C51607" w:rsidP="005C1607">
            <w:pPr>
              <w:spacing w:before="240" w:after="240" w:line="360" w:lineRule="auto"/>
              <w:jc w:val="center"/>
              <w:rPr>
                <w:rFonts w:eastAsia="Times New Roman"/>
              </w:rPr>
            </w:pPr>
            <w:r w:rsidRPr="002012E1">
              <w:rPr>
                <w:rFonts w:eastAsia="Times New Roman"/>
              </w:rPr>
              <w:t>Se especializa en la inversión de capital en empresas que aún no tienen utilidades o no tienen historial operativo, ya que se encuentran en las primeras etapas de desarrollo, y eventualmente se reciben los rendimientos conforme crece la organización. Ejemplos de empresas que en su momento fueron capital de riesgo corresponden a Google o Facebook.</w:t>
            </w:r>
          </w:p>
        </w:tc>
      </w:tr>
      <w:tr w:rsidR="00C51607" w:rsidRPr="002012E1" w14:paraId="0D8563A7" w14:textId="77777777" w:rsidTr="005C1607">
        <w:trPr>
          <w:trHeight w:val="20"/>
        </w:trPr>
        <w:tc>
          <w:tcPr>
            <w:tcW w:w="0" w:type="auto"/>
            <w:vAlign w:val="center"/>
          </w:tcPr>
          <w:p w14:paraId="67F72D5A" w14:textId="77777777" w:rsidR="00C51607" w:rsidRPr="002012E1" w:rsidRDefault="00C51607" w:rsidP="005C1607">
            <w:pPr>
              <w:spacing w:before="240" w:after="240" w:line="360" w:lineRule="auto"/>
              <w:jc w:val="center"/>
              <w:rPr>
                <w:rFonts w:eastAsia="Times New Roman"/>
              </w:rPr>
            </w:pPr>
            <w:r w:rsidRPr="002012E1">
              <w:rPr>
                <w:rFonts w:eastAsia="Times New Roman"/>
              </w:rPr>
              <w:t>Fondos de cobertura</w:t>
            </w:r>
          </w:p>
        </w:tc>
        <w:tc>
          <w:tcPr>
            <w:tcW w:w="0" w:type="auto"/>
            <w:vAlign w:val="center"/>
          </w:tcPr>
          <w:p w14:paraId="1093B4A2" w14:textId="77777777" w:rsidR="00C51607" w:rsidRPr="002012E1" w:rsidRDefault="00C51607" w:rsidP="005C1607">
            <w:pPr>
              <w:spacing w:before="240" w:after="240" w:line="360" w:lineRule="auto"/>
              <w:jc w:val="center"/>
              <w:rPr>
                <w:rFonts w:eastAsia="Times New Roman"/>
              </w:rPr>
            </w:pPr>
            <w:r w:rsidRPr="002012E1">
              <w:rPr>
                <w:rFonts w:eastAsia="Times New Roman"/>
              </w:rPr>
              <w:t>Esta práctica consiste en combinar el capital de distintos inversores involucrados y destinarlos a distintos instrumentos y estrategias. A diferencia de la inversión en capital privado y de riesgo, generalmente los fondos se invierten en capital público.</w:t>
            </w:r>
          </w:p>
        </w:tc>
      </w:tr>
      <w:tr w:rsidR="00C51607" w:rsidRPr="002012E1" w14:paraId="64DFF1A3" w14:textId="77777777" w:rsidTr="005C1607">
        <w:trPr>
          <w:trHeight w:val="20"/>
        </w:trPr>
        <w:tc>
          <w:tcPr>
            <w:tcW w:w="0" w:type="auto"/>
            <w:vAlign w:val="center"/>
          </w:tcPr>
          <w:p w14:paraId="514CA501" w14:textId="77777777" w:rsidR="00C51607" w:rsidRPr="002012E1" w:rsidRDefault="00C51607" w:rsidP="005C1607">
            <w:pPr>
              <w:spacing w:before="240" w:after="240" w:line="360" w:lineRule="auto"/>
              <w:jc w:val="center"/>
              <w:rPr>
                <w:rFonts w:eastAsia="Times New Roman"/>
              </w:rPr>
            </w:pPr>
            <w:r w:rsidRPr="002012E1">
              <w:rPr>
                <w:rFonts w:eastAsia="Times New Roman"/>
              </w:rPr>
              <w:t>Activos tangibles</w:t>
            </w:r>
          </w:p>
        </w:tc>
        <w:tc>
          <w:tcPr>
            <w:tcW w:w="0" w:type="auto"/>
            <w:vAlign w:val="center"/>
          </w:tcPr>
          <w:p w14:paraId="0462FF11" w14:textId="77777777" w:rsidR="00C51607" w:rsidRPr="002012E1" w:rsidRDefault="00C51607" w:rsidP="005C1607">
            <w:pPr>
              <w:spacing w:before="240" w:after="240" w:line="360" w:lineRule="auto"/>
              <w:jc w:val="center"/>
              <w:rPr>
                <w:rFonts w:eastAsia="Times New Roman"/>
              </w:rPr>
            </w:pPr>
            <w:r w:rsidRPr="002012E1">
              <w:rPr>
                <w:rFonts w:eastAsia="Times New Roman"/>
              </w:rPr>
              <w:t>Incluye la compra de activos que tienen un valor inherente como el petróleo, metales preciosos o terrenos, aunque también puede realizarse la inversión en obras de arte, antigüedades o artículos de colección.</w:t>
            </w:r>
          </w:p>
        </w:tc>
      </w:tr>
      <w:tr w:rsidR="00C51607" w:rsidRPr="002012E1" w14:paraId="6EE2C97D" w14:textId="77777777" w:rsidTr="005C1607">
        <w:trPr>
          <w:trHeight w:val="20"/>
        </w:trPr>
        <w:tc>
          <w:tcPr>
            <w:tcW w:w="0" w:type="auto"/>
            <w:vAlign w:val="center"/>
          </w:tcPr>
          <w:p w14:paraId="7E45D879" w14:textId="77777777" w:rsidR="00C51607" w:rsidRPr="002012E1" w:rsidRDefault="00C51607" w:rsidP="005C1607">
            <w:pPr>
              <w:spacing w:before="240" w:after="240" w:line="360" w:lineRule="auto"/>
              <w:jc w:val="center"/>
              <w:rPr>
                <w:rFonts w:eastAsia="Times New Roman"/>
              </w:rPr>
            </w:pPr>
            <w:r w:rsidRPr="002012E1">
              <w:rPr>
                <w:rFonts w:eastAsia="Times New Roman"/>
              </w:rPr>
              <w:t>Bienes raíces</w:t>
            </w:r>
          </w:p>
        </w:tc>
        <w:tc>
          <w:tcPr>
            <w:tcW w:w="0" w:type="auto"/>
            <w:vAlign w:val="center"/>
          </w:tcPr>
          <w:p w14:paraId="588E8720" w14:textId="77777777" w:rsidR="00C51607" w:rsidRPr="002012E1" w:rsidRDefault="00C51607" w:rsidP="005C1607">
            <w:pPr>
              <w:spacing w:before="240" w:after="240" w:line="360" w:lineRule="auto"/>
              <w:jc w:val="center"/>
              <w:rPr>
                <w:rFonts w:eastAsia="Times New Roman"/>
              </w:rPr>
            </w:pPr>
            <w:r w:rsidRPr="002012E1">
              <w:rPr>
                <w:rFonts w:eastAsia="Times New Roman"/>
              </w:rPr>
              <w:t xml:space="preserve">Las inversiones en bienes raíces permiten que el inversionista se beneficie del creciente valor de una propiedad residencial o </w:t>
            </w:r>
            <w:r w:rsidRPr="002012E1">
              <w:rPr>
                <w:rFonts w:eastAsia="Times New Roman"/>
              </w:rPr>
              <w:lastRenderedPageBreak/>
              <w:t>comercial, o bien, se reciben ingresos por medio de hipotecas o propiedades de alquiler.</w:t>
            </w:r>
          </w:p>
        </w:tc>
      </w:tr>
    </w:tbl>
    <w:p w14:paraId="0D58ABB6"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Fuente:</w:t>
      </w:r>
      <w:r w:rsidRPr="002012E1">
        <w:rPr>
          <w:rFonts w:ascii="Arial" w:eastAsia="Calibri" w:hAnsi="Arial" w:cs="Arial"/>
          <w:kern w:val="0"/>
          <w:lang w:val="es-MX"/>
          <w14:ligatures w14:val="none"/>
        </w:rPr>
        <w:t xml:space="preserve"> Kilroy, A. (2023) </w:t>
      </w:r>
      <w:r w:rsidRPr="002012E1">
        <w:rPr>
          <w:rFonts w:ascii="Arial" w:eastAsia="Calibri" w:hAnsi="Arial" w:cs="Arial"/>
          <w:b/>
          <w:bCs/>
          <w:kern w:val="0"/>
          <w:lang w:val="es-MX"/>
          <w14:ligatures w14:val="none"/>
        </w:rPr>
        <w:t>Elaboración:</w:t>
      </w:r>
      <w:r w:rsidRPr="002012E1">
        <w:rPr>
          <w:rFonts w:ascii="Arial" w:eastAsia="Calibri" w:hAnsi="Arial" w:cs="Arial"/>
          <w:kern w:val="0"/>
          <w:lang w:val="es-MX"/>
          <w14:ligatures w14:val="none"/>
        </w:rPr>
        <w:t xml:space="preserve"> Grupo investigador 2024</w:t>
      </w:r>
    </w:p>
    <w:p w14:paraId="1DC01CC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1D49A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Para los inversionistas, la información previa es vital ya que brinda una visión amplia sobre las inversiones alternativas. </w:t>
      </w:r>
    </w:p>
    <w:p w14:paraId="749F3E1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C1E020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esta forma, se pueden realizar estrategias que permitan conocer de forma aproximada la cantidad de rendimientos de cada inversión, el nivel de riesgo y el periodo de tiempo que debe esperarse para obtener los rendimientos esperados, por lo que siempre se debe tomar en cuenta que es lo que las caracteriza. </w:t>
      </w:r>
    </w:p>
    <w:p w14:paraId="463F876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3A464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caso de la investigación, esta caracterización se vincula directamente con el objetivo de la investigación, pues entender sus características permite proponer un sistema de registro contable adaptado a su naturaleza única.</w:t>
      </w:r>
    </w:p>
    <w:p w14:paraId="6CA5B1D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A41524" w14:textId="77777777" w:rsidR="00C51607" w:rsidRPr="002012E1" w:rsidRDefault="00C51607" w:rsidP="00C51607">
      <w:pPr>
        <w:pStyle w:val="apanivel3"/>
        <w:rPr>
          <w:rFonts w:ascii="Arial" w:hAnsi="Arial" w:cs="Arial"/>
        </w:rPr>
      </w:pPr>
      <w:bookmarkStart w:id="80" w:name="_Toc201832440"/>
      <w:r w:rsidRPr="002012E1">
        <w:rPr>
          <w:rFonts w:ascii="Arial" w:hAnsi="Arial" w:cs="Arial"/>
        </w:rPr>
        <w:t>Características de las inversiones alternativas</w:t>
      </w:r>
      <w:r>
        <w:rPr>
          <w:rFonts w:ascii="Arial" w:hAnsi="Arial" w:cs="Arial"/>
        </w:rPr>
        <w:t xml:space="preserve"> en los portafolios de Pensiones</w:t>
      </w:r>
      <w:bookmarkEnd w:id="80"/>
    </w:p>
    <w:p w14:paraId="50CBDB1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inversiones alternativas, a diferencia de los activos tradicionales, suelen estar menos sujetas a regulaciones financieras estandarizadas. Esto permite una mayor libertad en su gestión y operación, lo que puede resultar atractivo para los inversionistas en busca de estrategias menos convencionales y de mayores retornos potenciales, sin embargo, como se ha mencionado anteriormente debido a esta flexibilidad, los fondos de pensiones deben considerar con cuidado los posibles riesgos regulatorios y de supervisión cuando integran inversiones alternativas en sus portafolios.</w:t>
      </w:r>
    </w:p>
    <w:p w14:paraId="37A214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FF26262"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 rasgos generales, las inversiones alternativas se caracterizan por ser cualquier activo en el que se pueda invertir que no se categorice como bonos, </w:t>
      </w:r>
      <w:r w:rsidRPr="002012E1">
        <w:rPr>
          <w:rFonts w:ascii="Arial" w:eastAsia="Calibri" w:hAnsi="Arial" w:cs="Arial"/>
          <w:kern w:val="0"/>
          <w:lang w:val="es-MX"/>
          <w14:ligatures w14:val="none"/>
        </w:rPr>
        <w:lastRenderedPageBreak/>
        <w:t>acciones o efectivo. Según explican Cherif et al. (2023) estas inversiones se caracterizan por:</w:t>
      </w:r>
    </w:p>
    <w:p w14:paraId="70B52636"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No están sujetas a los mismos requisitos regulatorios que los fondos mutuos.</w:t>
      </w:r>
    </w:p>
    <w:p w14:paraId="7087D2EF"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Pueden tener un rendimiento volátil y los inversionistas pueden perder una parte sustancial o toda su inversión.</w:t>
      </w:r>
    </w:p>
    <w:p w14:paraId="25B41BA1"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Pueden recurrir al apalancamiento y a otras prácticas de inversión especulativas que pueden aumentar el riesgo de pérdida de la inversión.</w:t>
      </w:r>
    </w:p>
    <w:p w14:paraId="0994AC42"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Son inversiones ilíquidas a largo plazo, generalmente no existe un mercado secundario para los intereses de un fondo y no se espera que se desarrolle ninguno.</w:t>
      </w:r>
    </w:p>
    <w:p w14:paraId="27A11F5E"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intereses de los fondos de inversiones alternativas son por lo general ilíquidos y están sujetos a restricciones de transferencia.</w:t>
      </w:r>
    </w:p>
    <w:p w14:paraId="6B3D263F"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Pueden no estar obligados a proporcionar información periódica sobre precios o valuaciones a los inversionistas.</w:t>
      </w:r>
    </w:p>
    <w:p w14:paraId="23F13B92"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Generalmente implican estrategias fiscales complejas y puede retrasarse en la distribución de información fiscal a los inversionistas.</w:t>
      </w:r>
    </w:p>
    <w:p w14:paraId="78870D1A" w14:textId="77777777" w:rsidR="00C51607" w:rsidRPr="002012E1" w:rsidRDefault="00C51607" w:rsidP="00C51607">
      <w:pPr>
        <w:numPr>
          <w:ilvl w:val="0"/>
          <w:numId w:val="1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Exigen altas comisiones, incluyendo comisiones de gestión y otras comisiones y gastos, todo lo cual reducirá los beneficios. (p.8)</w:t>
      </w:r>
    </w:p>
    <w:p w14:paraId="700EA01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1FB5A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inversiones alternativas representan una categoría de activos diversificada y compleja que ha ganado relevancia como estrategia para mejorar el rendimiento y diversificación de portafolios. </w:t>
      </w:r>
    </w:p>
    <w:p w14:paraId="678946F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73AC6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comparación con los activos tradicionales, estos instrumentos permiten a los inversionistas acceder a sectores y estrategias menos convencionales como los descritos anteriormente, el capital privado, bienes raíces, capital de riesgo, fondos de cobertura, que pueden aportar beneficios únicos de rendimiento y diversificación, siendo así una característica importante.</w:t>
      </w:r>
    </w:p>
    <w:p w14:paraId="28AA846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0A61CB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otra parte, se destaca tanto el atractivo como los desafíos de las inversiones alternativas en los portafolios de fondos de pensiones, resaltando la necesidad de </w:t>
      </w:r>
      <w:r w:rsidRPr="002012E1">
        <w:rPr>
          <w:rFonts w:ascii="Arial" w:eastAsia="Calibri" w:hAnsi="Arial" w:cs="Arial"/>
          <w:kern w:val="0"/>
          <w:lang w:val="es-MX"/>
          <w14:ligatures w14:val="none"/>
        </w:rPr>
        <w:lastRenderedPageBreak/>
        <w:t>modelos contables adaptados que reflejen la naturaleza y los riesgos específicos de estos activos, siendo ese el vínculo con la investigación.</w:t>
      </w:r>
    </w:p>
    <w:p w14:paraId="6FA956C6" w14:textId="77777777" w:rsidR="00C51607" w:rsidRPr="002012E1" w:rsidRDefault="00C51607" w:rsidP="00C51607">
      <w:pPr>
        <w:spacing w:line="360" w:lineRule="auto"/>
        <w:rPr>
          <w:rFonts w:ascii="Arial" w:eastAsia="Times New Roman" w:hAnsi="Arial" w:cs="Arial"/>
          <w:color w:val="000000"/>
          <w:kern w:val="0"/>
          <w14:ligatures w14:val="none"/>
        </w:rPr>
      </w:pPr>
    </w:p>
    <w:p w14:paraId="4E72DB25" w14:textId="77777777" w:rsidR="00C51607" w:rsidRPr="002012E1" w:rsidRDefault="00C51607" w:rsidP="00C51607">
      <w:pPr>
        <w:pStyle w:val="apanivel3"/>
        <w:rPr>
          <w:rFonts w:ascii="Arial" w:hAnsi="Arial" w:cs="Arial"/>
        </w:rPr>
      </w:pPr>
      <w:bookmarkStart w:id="81" w:name="_Toc201832441"/>
      <w:r w:rsidRPr="002012E1">
        <w:rPr>
          <w:rFonts w:ascii="Arial" w:hAnsi="Arial" w:cs="Arial"/>
        </w:rPr>
        <w:t>Rentabilidad de las inversiones alternativas</w:t>
      </w:r>
      <w:bookmarkEnd w:id="81"/>
    </w:p>
    <w:p w14:paraId="274E05F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Toda inversión se realiza con el objetivo de hacer crecer el capital que se utiliza inicialmente para llevarla a cabo. Este crecimiento se conoce como rentabilidad, la cual corresponde al saldo que obtiene después de restar a los ingresos los gastos que se incurrieron (Stobierski, 2020, parr.9). Esta medida indica las ganancias que se obtienen después de realizar una inversión.</w:t>
      </w:r>
    </w:p>
    <w:p w14:paraId="7747A14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2041F9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lo conversado con el Licenciado Gerardo Araya (2024) él explica que “para calcular la rentabilidad financiera de una inversión se necesita tener datos sobre los recursos propios del inversor.” Araya, G. (Comunicación personal, 30 de octubre 2024). </w:t>
      </w:r>
    </w:p>
    <w:p w14:paraId="433D30E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8B206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información permite a los inversionistas identificar qué inversiones son más rentables, facilita la toma de decisiones y medir el desempeño de las inversiones, lo que permite tener una mejor planificación financiera.</w:t>
      </w:r>
    </w:p>
    <w:p w14:paraId="7D6813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CBFD7E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rentabilidad en las inversiones alternativas depende de factores adicionales, como el apalancamiento y las estrategias activas de gestión, que tienen el potencial de aumentar los retornos, pero también los riesgos.</w:t>
      </w:r>
    </w:p>
    <w:p w14:paraId="06CBB0B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4600A4"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Existen ciertas diferencias entre las inversiones tradicionales y las inversiones alternativas. Norwood (2023) lo explica de la siguiente manera:</w:t>
      </w:r>
    </w:p>
    <w:p w14:paraId="4B936FF7" w14:textId="77777777" w:rsidR="00C51607" w:rsidRDefault="00C51607" w:rsidP="00C51607">
      <w:pPr>
        <w:spacing w:after="0" w:line="360" w:lineRule="auto"/>
        <w:jc w:val="both"/>
        <w:rPr>
          <w:rFonts w:ascii="Arial" w:eastAsia="Calibri" w:hAnsi="Arial" w:cs="Arial"/>
          <w:kern w:val="0"/>
          <w:lang w:val="es-MX"/>
          <w14:ligatures w14:val="none"/>
        </w:rPr>
      </w:pPr>
    </w:p>
    <w:p w14:paraId="723B2F25" w14:textId="77777777" w:rsidR="00C51607" w:rsidRDefault="00C51607" w:rsidP="00C51607">
      <w:pPr>
        <w:spacing w:after="0" w:line="360" w:lineRule="auto"/>
        <w:jc w:val="both"/>
        <w:rPr>
          <w:rFonts w:ascii="Arial" w:eastAsia="Calibri" w:hAnsi="Arial" w:cs="Arial"/>
          <w:kern w:val="0"/>
          <w:lang w:val="es-MX"/>
          <w14:ligatures w14:val="none"/>
        </w:rPr>
      </w:pPr>
    </w:p>
    <w:p w14:paraId="638C852B" w14:textId="77777777" w:rsidR="00C51607" w:rsidRDefault="00C51607" w:rsidP="00C51607">
      <w:pPr>
        <w:spacing w:after="0" w:line="360" w:lineRule="auto"/>
        <w:jc w:val="both"/>
        <w:rPr>
          <w:rFonts w:ascii="Arial" w:eastAsia="Calibri" w:hAnsi="Arial" w:cs="Arial"/>
          <w:kern w:val="0"/>
          <w:lang w:val="es-MX"/>
          <w14:ligatures w14:val="none"/>
        </w:rPr>
      </w:pPr>
    </w:p>
    <w:p w14:paraId="20DD9DA9" w14:textId="77777777" w:rsidR="00C51607" w:rsidRDefault="00C51607" w:rsidP="00C51607">
      <w:pPr>
        <w:spacing w:after="0" w:line="360" w:lineRule="auto"/>
        <w:jc w:val="both"/>
        <w:rPr>
          <w:rFonts w:ascii="Arial" w:eastAsia="Calibri" w:hAnsi="Arial" w:cs="Arial"/>
          <w:kern w:val="0"/>
          <w:lang w:val="es-MX"/>
          <w14:ligatures w14:val="none"/>
        </w:rPr>
      </w:pPr>
    </w:p>
    <w:p w14:paraId="70F62A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EC821C6" w14:textId="7DC5A45E"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bookmarkStart w:id="82" w:name="_Toc201322512"/>
      <w:r w:rsidRPr="002012E1">
        <w:rPr>
          <w:rFonts w:ascii="Arial" w:eastAsia="Calibri" w:hAnsi="Arial" w:cs="Arial"/>
          <w:b/>
          <w:b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9</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Diferencias entre inversiones tradicionales y alternativas</w:t>
      </w:r>
      <w:bookmarkEnd w:id="82"/>
    </w:p>
    <w:tbl>
      <w:tblPr>
        <w:tblW w:w="0" w:type="auto"/>
        <w:tblBorders>
          <w:top w:val="nil"/>
          <w:left w:val="nil"/>
          <w:bottom w:val="nil"/>
          <w:right w:val="nil"/>
          <w:insideH w:val="nil"/>
          <w:insideV w:val="nil"/>
        </w:tblBorders>
        <w:tblLook w:val="0600" w:firstRow="0" w:lastRow="0" w:firstColumn="0" w:lastColumn="0" w:noHBand="1" w:noVBand="1"/>
      </w:tblPr>
      <w:tblGrid>
        <w:gridCol w:w="1308"/>
        <w:gridCol w:w="3548"/>
        <w:gridCol w:w="3970"/>
      </w:tblGrid>
      <w:tr w:rsidR="00C51607" w:rsidRPr="002012E1" w14:paraId="767D8271" w14:textId="77777777" w:rsidTr="005C1607">
        <w:trPr>
          <w:trHeight w:val="855"/>
        </w:trPr>
        <w:tc>
          <w:tcPr>
            <w:tcW w:w="0" w:type="auto"/>
            <w:tcBorders>
              <w:top w:val="single" w:sz="5" w:space="0" w:color="000000"/>
              <w:left w:val="single" w:sz="5" w:space="0" w:color="000000"/>
              <w:bottom w:val="single" w:sz="5" w:space="0" w:color="000000"/>
              <w:right w:val="single" w:sz="5" w:space="0" w:color="000000"/>
            </w:tcBorders>
            <w:shd w:val="clear" w:color="auto" w:fill="002060"/>
            <w:tcMar>
              <w:top w:w="0" w:type="dxa"/>
              <w:left w:w="100" w:type="dxa"/>
              <w:bottom w:w="0" w:type="dxa"/>
              <w:right w:w="100" w:type="dxa"/>
            </w:tcMar>
            <w:vAlign w:val="center"/>
          </w:tcPr>
          <w:p w14:paraId="4EC47D39" w14:textId="77777777" w:rsidR="00C51607" w:rsidRPr="002012E1" w:rsidRDefault="00C51607" w:rsidP="005C1607">
            <w:pPr>
              <w:spacing w:before="240" w:after="240" w:line="360" w:lineRule="auto"/>
              <w:jc w:val="center"/>
              <w:rPr>
                <w:rFonts w:ascii="Arial" w:eastAsia="Times New Roman" w:hAnsi="Arial" w:cs="Arial"/>
                <w:color w:val="FFFFFF"/>
                <w:kern w:val="0"/>
                <w14:ligatures w14:val="none"/>
              </w:rPr>
            </w:pPr>
            <w:r w:rsidRPr="002012E1">
              <w:rPr>
                <w:rFonts w:ascii="Arial" w:eastAsia="Times New Roman" w:hAnsi="Arial" w:cs="Arial"/>
                <w:color w:val="FFFFFF"/>
                <w:kern w:val="0"/>
                <w14:ligatures w14:val="none"/>
              </w:rPr>
              <w:t>Rubro</w:t>
            </w:r>
          </w:p>
        </w:tc>
        <w:tc>
          <w:tcPr>
            <w:tcW w:w="0" w:type="auto"/>
            <w:tcBorders>
              <w:top w:val="single" w:sz="5" w:space="0" w:color="000000"/>
              <w:left w:val="nil"/>
              <w:bottom w:val="single" w:sz="5" w:space="0" w:color="000000"/>
              <w:right w:val="single" w:sz="5" w:space="0" w:color="000000"/>
            </w:tcBorders>
            <w:shd w:val="clear" w:color="auto" w:fill="002060"/>
            <w:tcMar>
              <w:top w:w="0" w:type="dxa"/>
              <w:left w:w="100" w:type="dxa"/>
              <w:bottom w:w="0" w:type="dxa"/>
              <w:right w:w="100" w:type="dxa"/>
            </w:tcMar>
            <w:vAlign w:val="center"/>
          </w:tcPr>
          <w:p w14:paraId="6304DACE" w14:textId="77777777" w:rsidR="00C51607" w:rsidRPr="002012E1" w:rsidRDefault="00C51607" w:rsidP="005C1607">
            <w:pPr>
              <w:spacing w:before="240" w:after="240" w:line="360" w:lineRule="auto"/>
              <w:jc w:val="center"/>
              <w:rPr>
                <w:rFonts w:ascii="Arial" w:eastAsia="Times New Roman" w:hAnsi="Arial" w:cs="Arial"/>
                <w:color w:val="FFFFFF"/>
                <w:kern w:val="0"/>
                <w14:ligatures w14:val="none"/>
              </w:rPr>
            </w:pPr>
            <w:r w:rsidRPr="002012E1">
              <w:rPr>
                <w:rFonts w:ascii="Arial" w:eastAsia="Times New Roman" w:hAnsi="Arial" w:cs="Arial"/>
                <w:color w:val="FFFFFF"/>
                <w:kern w:val="0"/>
                <w14:ligatures w14:val="none"/>
              </w:rPr>
              <w:t>Tradicionales</w:t>
            </w:r>
          </w:p>
        </w:tc>
        <w:tc>
          <w:tcPr>
            <w:tcW w:w="0" w:type="auto"/>
            <w:tcBorders>
              <w:top w:val="single" w:sz="5" w:space="0" w:color="000000"/>
              <w:left w:val="nil"/>
              <w:bottom w:val="single" w:sz="5" w:space="0" w:color="000000"/>
              <w:right w:val="single" w:sz="5" w:space="0" w:color="000000"/>
            </w:tcBorders>
            <w:shd w:val="clear" w:color="auto" w:fill="002060"/>
            <w:tcMar>
              <w:top w:w="0" w:type="dxa"/>
              <w:left w:w="100" w:type="dxa"/>
              <w:bottom w:w="0" w:type="dxa"/>
              <w:right w:w="100" w:type="dxa"/>
            </w:tcMar>
            <w:vAlign w:val="center"/>
          </w:tcPr>
          <w:p w14:paraId="4C4B0EA4" w14:textId="77777777" w:rsidR="00C51607" w:rsidRPr="002012E1" w:rsidRDefault="00C51607" w:rsidP="005C1607">
            <w:pPr>
              <w:spacing w:before="240" w:after="240" w:line="360" w:lineRule="auto"/>
              <w:jc w:val="center"/>
              <w:rPr>
                <w:rFonts w:ascii="Arial" w:eastAsia="Times New Roman" w:hAnsi="Arial" w:cs="Arial"/>
                <w:color w:val="FFFFFF"/>
                <w:kern w:val="0"/>
                <w14:ligatures w14:val="none"/>
              </w:rPr>
            </w:pPr>
            <w:r w:rsidRPr="002012E1">
              <w:rPr>
                <w:rFonts w:ascii="Arial" w:eastAsia="Times New Roman" w:hAnsi="Arial" w:cs="Arial"/>
                <w:color w:val="FFFFFF"/>
                <w:kern w:val="0"/>
                <w14:ligatures w14:val="none"/>
              </w:rPr>
              <w:t>Alternativos</w:t>
            </w:r>
          </w:p>
        </w:tc>
      </w:tr>
      <w:tr w:rsidR="00C51607" w:rsidRPr="002012E1" w14:paraId="1FA82026" w14:textId="77777777" w:rsidTr="005C1607">
        <w:trPr>
          <w:trHeight w:val="1575"/>
        </w:trPr>
        <w:tc>
          <w:tcPr>
            <w:tcW w:w="0" w:type="auto"/>
            <w:tcBorders>
              <w:top w:val="nil"/>
              <w:left w:val="single" w:sz="5" w:space="0" w:color="000000"/>
              <w:bottom w:val="single" w:sz="5" w:space="0" w:color="000000"/>
              <w:right w:val="single" w:sz="5" w:space="0" w:color="000000"/>
            </w:tcBorders>
            <w:tcMar>
              <w:top w:w="0" w:type="dxa"/>
              <w:left w:w="100" w:type="dxa"/>
              <w:bottom w:w="0" w:type="dxa"/>
              <w:right w:w="100" w:type="dxa"/>
            </w:tcMar>
            <w:vAlign w:val="center"/>
          </w:tcPr>
          <w:p w14:paraId="48021339"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Mercado</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12A85A63"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Su compra y venta se da en el mercado para el público general.</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5FA031EC"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Su compra y venta se da en el sector privado y generalmente, se centra en inversores acreditados.</w:t>
            </w:r>
          </w:p>
        </w:tc>
      </w:tr>
      <w:tr w:rsidR="00C51607" w:rsidRPr="002012E1" w14:paraId="3D6CC780" w14:textId="77777777" w:rsidTr="005C1607">
        <w:trPr>
          <w:trHeight w:val="2295"/>
        </w:trPr>
        <w:tc>
          <w:tcPr>
            <w:tcW w:w="0" w:type="auto"/>
            <w:tcBorders>
              <w:top w:val="nil"/>
              <w:left w:val="single" w:sz="5" w:space="0" w:color="000000"/>
              <w:bottom w:val="single" w:sz="5" w:space="0" w:color="000000"/>
              <w:right w:val="single" w:sz="5" w:space="0" w:color="000000"/>
            </w:tcBorders>
            <w:tcMar>
              <w:top w:w="0" w:type="dxa"/>
              <w:left w:w="100" w:type="dxa"/>
              <w:bottom w:w="0" w:type="dxa"/>
              <w:right w:w="100" w:type="dxa"/>
            </w:tcMar>
            <w:vAlign w:val="center"/>
          </w:tcPr>
          <w:p w14:paraId="0FE61D7C"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Liquidez</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0A05E30F"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Las acciones y el efectivo tienen un alto nivel de liquidez y cambian de propietario con frecuencia.</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1EE47517"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 tienen un alto grado de liquidez, sus rendimientos se obtienen después de varios años. Este mercado tiene menos compradores.</w:t>
            </w:r>
          </w:p>
        </w:tc>
      </w:tr>
      <w:tr w:rsidR="00C51607" w:rsidRPr="002012E1" w14:paraId="4D66C767" w14:textId="77777777" w:rsidTr="005C1607">
        <w:trPr>
          <w:trHeight w:val="3255"/>
        </w:trPr>
        <w:tc>
          <w:tcPr>
            <w:tcW w:w="0" w:type="auto"/>
            <w:tcBorders>
              <w:top w:val="nil"/>
              <w:left w:val="single" w:sz="5" w:space="0" w:color="000000"/>
              <w:bottom w:val="single" w:sz="5" w:space="0" w:color="000000"/>
              <w:right w:val="single" w:sz="5" w:space="0" w:color="000000"/>
            </w:tcBorders>
            <w:tcMar>
              <w:top w:w="0" w:type="dxa"/>
              <w:left w:w="100" w:type="dxa"/>
              <w:bottom w:w="0" w:type="dxa"/>
              <w:right w:w="100" w:type="dxa"/>
            </w:tcMar>
            <w:vAlign w:val="center"/>
          </w:tcPr>
          <w:p w14:paraId="112E52AB"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Volatilidad</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39262371"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El mercado de valores tradicional experimenta fluctuaciones de forma constante, especialmente las acciones.</w:t>
            </w:r>
          </w:p>
          <w:p w14:paraId="072A7E2C"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Los bonos y el efectivo son relativamente más estables.</w:t>
            </w:r>
          </w:p>
        </w:tc>
        <w:tc>
          <w:tcPr>
            <w:tcW w:w="0" w:type="auto"/>
            <w:tcBorders>
              <w:top w:val="nil"/>
              <w:left w:val="nil"/>
              <w:bottom w:val="single" w:sz="5" w:space="0" w:color="000000"/>
              <w:right w:val="single" w:sz="5" w:space="0" w:color="000000"/>
            </w:tcBorders>
            <w:tcMar>
              <w:top w:w="0" w:type="dxa"/>
              <w:left w:w="100" w:type="dxa"/>
              <w:bottom w:w="0" w:type="dxa"/>
              <w:right w:w="100" w:type="dxa"/>
            </w:tcMar>
            <w:vAlign w:val="center"/>
          </w:tcPr>
          <w:p w14:paraId="0437027A" w14:textId="77777777" w:rsidR="00C51607" w:rsidRPr="002012E1" w:rsidRDefault="00C51607" w:rsidP="005C1607">
            <w:pPr>
              <w:spacing w:before="240" w:after="24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Existen productos con una volatilidad muy baja, donde su precio no varía por años. Estos son generalmente activos tangibles.</w:t>
            </w:r>
          </w:p>
        </w:tc>
      </w:tr>
    </w:tbl>
    <w:p w14:paraId="7AFCA663" w14:textId="77777777" w:rsidR="00C51607" w:rsidRPr="002012E1" w:rsidRDefault="00C51607" w:rsidP="00C51607">
      <w:pPr>
        <w:spacing w:before="240" w:after="240" w:line="360" w:lineRule="auto"/>
        <w:jc w:val="right"/>
        <w:rPr>
          <w:rFonts w:ascii="Arial" w:eastAsia="Times New Roman" w:hAnsi="Arial" w:cs="Arial"/>
          <w:color w:val="000000"/>
          <w:kern w:val="0"/>
          <w14:ligatures w14:val="none"/>
        </w:rPr>
      </w:pPr>
      <w:r w:rsidRPr="002012E1">
        <w:rPr>
          <w:rFonts w:ascii="Arial" w:eastAsia="Times New Roman" w:hAnsi="Arial" w:cs="Arial"/>
          <w:b/>
          <w:bCs/>
          <w:color w:val="000000"/>
          <w:kern w:val="0"/>
          <w14:ligatures w14:val="none"/>
        </w:rPr>
        <w:t>Fuente:</w:t>
      </w:r>
      <w:r w:rsidRPr="002012E1">
        <w:rPr>
          <w:rFonts w:ascii="Arial" w:eastAsia="Times New Roman" w:hAnsi="Arial" w:cs="Arial"/>
          <w:color w:val="000000"/>
          <w:kern w:val="0"/>
          <w14:ligatures w14:val="none"/>
        </w:rPr>
        <w:t xml:space="preserve"> Norwood, E. (2023) </w:t>
      </w:r>
      <w:r w:rsidRPr="002012E1">
        <w:rPr>
          <w:rFonts w:ascii="Arial" w:eastAsia="Times New Roman" w:hAnsi="Arial" w:cs="Arial"/>
          <w:b/>
          <w:bCs/>
          <w:color w:val="000000"/>
          <w:kern w:val="0"/>
          <w14:ligatures w14:val="none"/>
        </w:rPr>
        <w:t xml:space="preserve">Elaboración: </w:t>
      </w:r>
      <w:r w:rsidRPr="002012E1">
        <w:rPr>
          <w:rFonts w:ascii="Arial" w:eastAsia="Times New Roman" w:hAnsi="Arial" w:cs="Arial"/>
          <w:color w:val="000000"/>
          <w:kern w:val="0"/>
          <w14:ligatures w14:val="none"/>
        </w:rPr>
        <w:t>Grupo investigador 2024</w:t>
      </w:r>
    </w:p>
    <w:p w14:paraId="49881A5A" w14:textId="77777777" w:rsidR="00C51607" w:rsidRDefault="00C51607" w:rsidP="00C51607">
      <w:pPr>
        <w:spacing w:after="0" w:line="360" w:lineRule="auto"/>
        <w:jc w:val="both"/>
        <w:rPr>
          <w:rFonts w:ascii="Arial" w:eastAsia="Calibri" w:hAnsi="Arial" w:cs="Arial"/>
          <w:kern w:val="0"/>
          <w:lang w:val="es-MX"/>
          <w14:ligatures w14:val="none"/>
        </w:rPr>
      </w:pPr>
    </w:p>
    <w:p w14:paraId="0567C83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Desde una perspectiva práctica, tal como explica anteriormente el Licenciado Gerardo Araya (Comunicación personal, 30 de octubre 2024), el cálculo de la rentabilidad financiera de una inversión requiere no solo de los datos sobre los ingresos y gastos generados, sino también de la información sobre los recursos propios del inversor, lo que da a comprender es que esta visión permite a los </w:t>
      </w:r>
      <w:r w:rsidRPr="002012E1">
        <w:rPr>
          <w:rFonts w:ascii="Arial" w:eastAsia="Calibri" w:hAnsi="Arial" w:cs="Arial"/>
          <w:kern w:val="0"/>
          <w:lang w:val="es-MX"/>
          <w14:ligatures w14:val="none"/>
        </w:rPr>
        <w:lastRenderedPageBreak/>
        <w:t xml:space="preserve">inversionistas entender mejor el rendimiento neto de sus aportes iniciales, lo que facilita la planificación financiera y la toma de decisiones en función del desempeño de las distintas inversiones. </w:t>
      </w:r>
    </w:p>
    <w:p w14:paraId="797981F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57B7DE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contexto de los fondos de pensiones, esta información es crucial, ya que permite evaluar la viabilidad de incluir activos alternativos en el portafolio, en función de su contribución potencial a los objetivos de rentabilidad del fondo.</w:t>
      </w:r>
    </w:p>
    <w:p w14:paraId="2D98ED8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EDDA7F0" w14:textId="77777777" w:rsidR="00C51607" w:rsidRPr="002012E1" w:rsidRDefault="00C51607" w:rsidP="00C51607">
      <w:pPr>
        <w:pStyle w:val="apanivel2"/>
        <w:rPr>
          <w:rFonts w:ascii="Arial" w:hAnsi="Arial" w:cs="Arial"/>
        </w:rPr>
      </w:pPr>
      <w:bookmarkStart w:id="83" w:name="_Toc201832442"/>
      <w:r w:rsidRPr="002012E1">
        <w:rPr>
          <w:rFonts w:ascii="Arial" w:hAnsi="Arial" w:cs="Arial"/>
        </w:rPr>
        <w:t>Normativa Contable</w:t>
      </w:r>
      <w:bookmarkEnd w:id="83"/>
    </w:p>
    <w:p w14:paraId="7880961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mercado de inversiones no se encuentra limitado a una región, sino que estas se dan en un contexto global, debido a esto, debe existir un parámetro para que la información financiera pueda ser comprensible independientemente de la zona donde se genere, por esta razón, se crean las Normas Internacionales de Contabilidad (NIC). Según explica el Grupo CPCON (2024): </w:t>
      </w:r>
    </w:p>
    <w:p w14:paraId="780B3D35"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Normas Internacionales de Contabilidad (NIC) son una serie de reglas, establecidas por el Comité de Normas Internacionales de Contabilidad, creadas con el fin de establecer un estándar en la elaboración y presentación de los estados financieros de las empresas (párr.4)</w:t>
      </w:r>
    </w:p>
    <w:p w14:paraId="62380B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B1CE61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importancia de la parametrización de la información contable para los inversionistas es que estos puedan adentrarse a mercados internacionales con un conocimiento claro de la información financiera y no verse limitados por diferencias en la presentación de la información.</w:t>
      </w:r>
    </w:p>
    <w:p w14:paraId="3EB4D97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07E939" w14:textId="77777777" w:rsidR="00C51607" w:rsidRPr="002012E1" w:rsidRDefault="00C51607" w:rsidP="00C51607">
      <w:pPr>
        <w:pStyle w:val="apanivel3"/>
        <w:rPr>
          <w:rFonts w:ascii="Arial" w:hAnsi="Arial" w:cs="Arial"/>
        </w:rPr>
      </w:pPr>
      <w:bookmarkStart w:id="84" w:name="_Toc201832443"/>
      <w:r w:rsidRPr="002012E1">
        <w:rPr>
          <w:rFonts w:ascii="Arial" w:hAnsi="Arial" w:cs="Arial"/>
        </w:rPr>
        <w:t>Conformidad de la NIIF 9 y NIC 39</w:t>
      </w:r>
      <w:bookmarkEnd w:id="84"/>
    </w:p>
    <w:p w14:paraId="398B099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Normas Internacionales de Información Financiera (NIIF) establecen un marco global para la presentación de información financiera clara y comparable, lo cual es crucial en un entorno de inversiones que incluye activos alternativos. Según el Grupo CPCON (2023): </w:t>
      </w:r>
    </w:p>
    <w:p w14:paraId="25FCF167"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Las Normas Internacionales de Información Financiera (NIIF) se definen como un conjunto de pautas para la presentación de los estados financieros de las empresas, con la meta de establecer un lenguaje contable uniforme en todos los países que participan en el mercado global. (párr.3)</w:t>
      </w:r>
    </w:p>
    <w:p w14:paraId="73C5D1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0A1B8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Estas normas proporcionan pautas para la valoración y el registro de activos y pasivos, adaptándose a la creciente complejidad de los mercados financieros. </w:t>
      </w:r>
    </w:p>
    <w:p w14:paraId="29CF457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FA7BE6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caso de las inversiones alternativas, las NIIF ayudan a estandarizar la forma en que se reportan activos menos tradicionales, como bienes raíces, capital privado o infraestructura, facilitando una transparencia que es clave para los inversores y reguladores.</w:t>
      </w:r>
    </w:p>
    <w:p w14:paraId="313FE0F7" w14:textId="77777777" w:rsidR="00C51607" w:rsidRPr="002012E1" w:rsidRDefault="00C51607" w:rsidP="00C51607">
      <w:pPr>
        <w:spacing w:after="0" w:line="360" w:lineRule="auto"/>
        <w:jc w:val="both"/>
        <w:rPr>
          <w:rFonts w:ascii="Arial" w:eastAsia="Calibri" w:hAnsi="Arial" w:cs="Arial"/>
          <w:b/>
          <w:kern w:val="0"/>
          <w:lang w:val="es-MX"/>
          <w14:ligatures w14:val="none"/>
        </w:rPr>
      </w:pPr>
    </w:p>
    <w:p w14:paraId="7AA6270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Norma Internacional de Información Financiera 9 se crea con el objetivo de establecer los principios para el reporte de información financiera, presentando información útil y relevante para los usuarios (NFRS, 2023, p. 6). </w:t>
      </w:r>
    </w:p>
    <w:p w14:paraId="5333A2A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EF32D7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norma se basa en las características de los flujos de efectivo y el modelo de negocio de la organización. Aunado a lo anterior, la Norma Internacional de Contabilidad 39 se crea con el fin de reconocer, medir y contabilizar los instrumentos financieros. </w:t>
      </w:r>
    </w:p>
    <w:p w14:paraId="5225124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3B80B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Arroba et al. (2019) explican que esta norma “ha sido adoptada como información financiera para estandarizar procesos contables y financieros en declaraciones estatales obligatorias, conforme exigencias y modalidades internacionales” (p.6)</w:t>
      </w:r>
    </w:p>
    <w:p w14:paraId="4CC5D28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2A948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Castillo y Parrales (2018) la</w:t>
      </w:r>
      <w:r w:rsidRPr="002012E1">
        <w:rPr>
          <w:rFonts w:ascii="Arial" w:eastAsia="Calibri" w:hAnsi="Arial" w:cs="Arial"/>
          <w:strike/>
          <w:kern w:val="0"/>
          <w:lang w:val="es-MX"/>
          <w14:ligatures w14:val="none"/>
        </w:rPr>
        <w:t>s</w:t>
      </w:r>
      <w:r w:rsidRPr="002012E1">
        <w:rPr>
          <w:rFonts w:ascii="Arial" w:eastAsia="Calibri" w:hAnsi="Arial" w:cs="Arial"/>
          <w:kern w:val="0"/>
          <w:lang w:val="es-MX"/>
          <w14:ligatures w14:val="none"/>
        </w:rPr>
        <w:t xml:space="preserve"> NIIF 9 de Instrumentos financieros es la encargada de establecer que:</w:t>
      </w:r>
    </w:p>
    <w:p w14:paraId="6890F92D"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Todos los requerimientos para el reconocimiento y la medición de los activos, pasivos financieros, y algunos contratos de compra o venta de </w:t>
      </w:r>
      <w:r w:rsidRPr="002012E1">
        <w:rPr>
          <w:rFonts w:ascii="Arial" w:eastAsia="Calibri" w:hAnsi="Arial" w:cs="Arial"/>
          <w:kern w:val="0"/>
          <w:lang w:val="es-MX"/>
          <w14:ligatures w14:val="none"/>
        </w:rPr>
        <w:lastRenderedPageBreak/>
        <w:t>partidas no financieras de forma más sistematizada, lo cual ayuda a la mejor presentación de la información contable… Permite a los usuarios de los estados financieros una mejor comprensión, aplicación e interpretación, al basarse en principios que la hacen menos compleja. (párr. 40-41).</w:t>
      </w:r>
    </w:p>
    <w:p w14:paraId="1CB4100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D7F73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la explicación del Licenciado Víctor Portilla (2024) indica que la NIC 39 (Norma Internacional de Contabilidad 39) consiste en los: </w:t>
      </w:r>
    </w:p>
    <w:p w14:paraId="72330F67"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Principios para el reconocimiento y medición de activos y pasivos financieros en los estados financieros. Su función principal es proporcionar un marco para clasificación de instrumentos financieros, reconocimiento y medición, deterioro y coberturas contables. </w:t>
      </w:r>
    </w:p>
    <w:p w14:paraId="2BE2E53F"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resumen, la NIC 39 busca mejorar la transparencia y consistencia en la presentación de instrumentos financieros en los estados financieros, aunque ha sido parcialmente reemplazada por la NIIF 9 en algunos aspectos. Portilla, V.(Comunicación personal, 4 de noviembre de 2024).</w:t>
      </w:r>
    </w:p>
    <w:p w14:paraId="3A815B0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F8F18A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la presente investigación es importante conocer la forma en que las NIIF 9 y NIC 39 influyen en la información financiera y que de esta forma se pueda garantizar que las inversiones alternativas se reconozcan correctamente, minimizando riesgos contables y ajustándose a las regulaciones internacionales que deben cumplir las operadoras de pensiones.</w:t>
      </w:r>
    </w:p>
    <w:p w14:paraId="7FB0AB95" w14:textId="77777777" w:rsidR="00C51607" w:rsidRPr="002012E1" w:rsidRDefault="00C51607" w:rsidP="00C51607">
      <w:pPr>
        <w:spacing w:after="0" w:line="360" w:lineRule="auto"/>
        <w:jc w:val="both"/>
        <w:rPr>
          <w:rFonts w:ascii="Arial" w:eastAsia="Calibri" w:hAnsi="Arial" w:cs="Arial"/>
          <w:b/>
          <w:kern w:val="0"/>
          <w:lang w:val="es-MX"/>
          <w14:ligatures w14:val="none"/>
        </w:rPr>
      </w:pPr>
    </w:p>
    <w:p w14:paraId="37B35DD4" w14:textId="77777777" w:rsidR="00C51607" w:rsidRPr="002012E1" w:rsidRDefault="00C51607" w:rsidP="00C51607">
      <w:pPr>
        <w:pStyle w:val="apanivel3"/>
        <w:rPr>
          <w:rFonts w:ascii="Arial" w:hAnsi="Arial" w:cs="Arial"/>
        </w:rPr>
      </w:pPr>
      <w:bookmarkStart w:id="85" w:name="_Toc201832444"/>
      <w:r w:rsidRPr="002012E1">
        <w:rPr>
          <w:rFonts w:ascii="Arial" w:hAnsi="Arial" w:cs="Arial"/>
        </w:rPr>
        <w:t>Identificación de los límites y desafíos de la normativa contable vigente</w:t>
      </w:r>
      <w:bookmarkEnd w:id="85"/>
    </w:p>
    <w:p w14:paraId="77235AA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Costa Rica, el marco normativo contable enfrenta diversas limitaciones al intentar regular el registro de inversiones alternativas en los portafolios de pensiones. La ausencia de una normativa específica en el país dificulta el registro contable adecuado de estos productos, afectando la transparencia y comparabilidad de la información financiera, y limitando así el potencial de diversificación dentro de </w:t>
      </w:r>
      <w:r w:rsidRPr="002012E1">
        <w:rPr>
          <w:rFonts w:ascii="Arial" w:eastAsia="Calibri" w:hAnsi="Arial" w:cs="Arial"/>
          <w:kern w:val="0"/>
          <w:lang w:val="es-MX"/>
          <w14:ligatures w14:val="none"/>
        </w:rPr>
        <w:lastRenderedPageBreak/>
        <w:t>los portafolios de pensiones. A continuación, se describen en detalle los principales límites y desafíos de la normativa vigente en este ámbito</w:t>
      </w:r>
    </w:p>
    <w:p w14:paraId="225A24F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49FA37" w14:textId="1A30AF91"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bookmarkStart w:id="86" w:name="_Toc201322513"/>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10</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Límites y desafíos de la Normativa Contable</w:t>
      </w:r>
      <w:bookmarkEnd w:id="86"/>
    </w:p>
    <w:tbl>
      <w:tblPr>
        <w:tblW w:w="0" w:type="auto"/>
        <w:tblBorders>
          <w:top w:val="nil"/>
          <w:left w:val="nil"/>
          <w:bottom w:val="nil"/>
          <w:right w:val="nil"/>
          <w:insideH w:val="nil"/>
          <w:insideV w:val="nil"/>
        </w:tblBorders>
        <w:tblLook w:val="0600" w:firstRow="0" w:lastRow="0" w:firstColumn="0" w:lastColumn="0" w:noHBand="1" w:noVBand="1"/>
      </w:tblPr>
      <w:tblGrid>
        <w:gridCol w:w="2596"/>
        <w:gridCol w:w="6226"/>
      </w:tblGrid>
      <w:tr w:rsidR="00C51607" w:rsidRPr="002012E1" w14:paraId="1B924F71" w14:textId="77777777" w:rsidTr="005C1607">
        <w:trPr>
          <w:trHeight w:val="20"/>
        </w:trPr>
        <w:tc>
          <w:tcPr>
            <w:tcW w:w="0" w:type="auto"/>
            <w:tcBorders>
              <w:top w:val="single" w:sz="6" w:space="0" w:color="000000"/>
              <w:left w:val="single" w:sz="6" w:space="0" w:color="000000"/>
              <w:bottom w:val="single" w:sz="6" w:space="0" w:color="000000"/>
              <w:right w:val="single" w:sz="6" w:space="0" w:color="000000"/>
            </w:tcBorders>
            <w:shd w:val="clear" w:color="auto" w:fill="002060"/>
            <w:tcMar>
              <w:top w:w="0" w:type="dxa"/>
              <w:left w:w="100" w:type="dxa"/>
              <w:bottom w:w="0" w:type="dxa"/>
              <w:right w:w="100" w:type="dxa"/>
            </w:tcMar>
            <w:vAlign w:val="center"/>
          </w:tcPr>
          <w:p w14:paraId="6C10F6EE" w14:textId="77777777" w:rsidR="00C51607" w:rsidRPr="002012E1" w:rsidRDefault="00C51607" w:rsidP="005C1607">
            <w:pPr>
              <w:pBdr>
                <w:top w:val="nil"/>
                <w:left w:val="nil"/>
                <w:bottom w:val="nil"/>
                <w:right w:val="nil"/>
                <w:between w:val="nil"/>
              </w:pBdr>
              <w:spacing w:before="240" w:after="240" w:line="360" w:lineRule="auto"/>
              <w:jc w:val="center"/>
              <w:rPr>
                <w:rFonts w:ascii="Arial" w:eastAsia="Times New Roman" w:hAnsi="Arial" w:cs="Arial"/>
                <w:b/>
                <w:color w:val="FFFFFF"/>
                <w:kern w:val="0"/>
                <w14:ligatures w14:val="none"/>
              </w:rPr>
            </w:pPr>
            <w:r w:rsidRPr="002012E1">
              <w:rPr>
                <w:rFonts w:ascii="Arial" w:eastAsia="Times New Roman" w:hAnsi="Arial" w:cs="Arial"/>
                <w:b/>
                <w:color w:val="FFFFFF"/>
                <w:kern w:val="0"/>
                <w14:ligatures w14:val="none"/>
              </w:rPr>
              <w:t>Límites/Desafíos</w:t>
            </w:r>
          </w:p>
        </w:tc>
        <w:tc>
          <w:tcPr>
            <w:tcW w:w="0" w:type="auto"/>
            <w:tcBorders>
              <w:top w:val="single" w:sz="6" w:space="0" w:color="000000"/>
              <w:left w:val="nil"/>
              <w:bottom w:val="single" w:sz="6" w:space="0" w:color="000000"/>
              <w:right w:val="single" w:sz="6" w:space="0" w:color="000000"/>
            </w:tcBorders>
            <w:shd w:val="clear" w:color="auto" w:fill="002060"/>
            <w:tcMar>
              <w:top w:w="0" w:type="dxa"/>
              <w:left w:w="100" w:type="dxa"/>
              <w:bottom w:w="0" w:type="dxa"/>
              <w:right w:w="100" w:type="dxa"/>
            </w:tcMar>
            <w:vAlign w:val="center"/>
          </w:tcPr>
          <w:p w14:paraId="61DDF87A" w14:textId="77777777" w:rsidR="00C51607" w:rsidRPr="002012E1" w:rsidRDefault="00C51607" w:rsidP="005C1607">
            <w:pPr>
              <w:pBdr>
                <w:top w:val="nil"/>
                <w:left w:val="nil"/>
                <w:bottom w:val="nil"/>
                <w:right w:val="nil"/>
                <w:between w:val="nil"/>
              </w:pBdr>
              <w:spacing w:before="240" w:after="240" w:line="360" w:lineRule="auto"/>
              <w:jc w:val="center"/>
              <w:rPr>
                <w:rFonts w:ascii="Arial" w:eastAsia="Times New Roman" w:hAnsi="Arial" w:cs="Arial"/>
                <w:b/>
                <w:color w:val="FFFFFF"/>
                <w:kern w:val="0"/>
                <w14:ligatures w14:val="none"/>
              </w:rPr>
            </w:pPr>
            <w:r w:rsidRPr="002012E1">
              <w:rPr>
                <w:rFonts w:ascii="Arial" w:eastAsia="Times New Roman" w:hAnsi="Arial" w:cs="Arial"/>
                <w:b/>
                <w:color w:val="FFFFFF"/>
                <w:kern w:val="0"/>
                <w14:ligatures w14:val="none"/>
              </w:rPr>
              <w:t>Descripción</w:t>
            </w:r>
          </w:p>
        </w:tc>
      </w:tr>
      <w:tr w:rsidR="00C51607" w:rsidRPr="002012E1" w14:paraId="21EC5FFD" w14:textId="77777777" w:rsidTr="005C1607">
        <w:trPr>
          <w:trHeight w:val="20"/>
        </w:trPr>
        <w:tc>
          <w:tcPr>
            <w:tcW w:w="0" w:type="auto"/>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6FE63D6"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Falta de Normativa Específica</w:t>
            </w:r>
          </w:p>
        </w:tc>
        <w:tc>
          <w:tcPr>
            <w:tcW w:w="0" w:type="auto"/>
            <w:tcBorders>
              <w:top w:val="nil"/>
              <w:left w:val="nil"/>
              <w:bottom w:val="single" w:sz="6" w:space="0" w:color="000000"/>
              <w:right w:val="single" w:sz="6" w:space="0" w:color="000000"/>
            </w:tcBorders>
            <w:tcMar>
              <w:top w:w="0" w:type="dxa"/>
              <w:left w:w="100" w:type="dxa"/>
              <w:bottom w:w="0" w:type="dxa"/>
              <w:right w:w="100" w:type="dxa"/>
            </w:tcMar>
            <w:vAlign w:val="center"/>
          </w:tcPr>
          <w:p w14:paraId="7848F503"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No existen lineamientos específicos en Costa Rica para el registro contable de productos de inversión alternativos en los portafolios de pensiones, lo cual limita la inclusión y estandarización de estos productos en los estados financieros.</w:t>
            </w:r>
          </w:p>
        </w:tc>
      </w:tr>
      <w:tr w:rsidR="00C51607" w:rsidRPr="002012E1" w14:paraId="1AAE321E" w14:textId="77777777" w:rsidTr="005C1607">
        <w:trPr>
          <w:trHeight w:val="20"/>
        </w:trPr>
        <w:tc>
          <w:tcPr>
            <w:tcW w:w="0" w:type="auto"/>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042B35F8"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Ausencia de Directrices para la Valoración</w:t>
            </w:r>
          </w:p>
        </w:tc>
        <w:tc>
          <w:tcPr>
            <w:tcW w:w="0" w:type="auto"/>
            <w:tcBorders>
              <w:top w:val="nil"/>
              <w:left w:val="nil"/>
              <w:bottom w:val="single" w:sz="6" w:space="0" w:color="000000"/>
              <w:right w:val="single" w:sz="6" w:space="0" w:color="000000"/>
            </w:tcBorders>
            <w:tcMar>
              <w:top w:w="0" w:type="dxa"/>
              <w:left w:w="100" w:type="dxa"/>
              <w:bottom w:w="0" w:type="dxa"/>
              <w:right w:w="100" w:type="dxa"/>
            </w:tcMar>
            <w:vAlign w:val="center"/>
          </w:tcPr>
          <w:p w14:paraId="08C22265"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Sin normativa clara, es difícil valorar de manera precisa estos activos. Las inversiones alternativas no tienen un método de valoración específico (como valor razonable), lo que afecta la transparencia y confiabilidad de los estados financieros de los portafolios de pensiones</w:t>
            </w:r>
          </w:p>
        </w:tc>
      </w:tr>
      <w:tr w:rsidR="00C51607" w:rsidRPr="002012E1" w14:paraId="7E66E9B5" w14:textId="77777777" w:rsidTr="005C1607">
        <w:trPr>
          <w:trHeight w:val="20"/>
        </w:trPr>
        <w:tc>
          <w:tcPr>
            <w:tcW w:w="0" w:type="auto"/>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27C56FEF"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Incertidumbre en la Clasificación Contable</w:t>
            </w:r>
          </w:p>
        </w:tc>
        <w:tc>
          <w:tcPr>
            <w:tcW w:w="0" w:type="auto"/>
            <w:tcBorders>
              <w:top w:val="nil"/>
              <w:left w:val="nil"/>
              <w:bottom w:val="single" w:sz="6" w:space="0" w:color="000000"/>
              <w:right w:val="single" w:sz="6" w:space="0" w:color="000000"/>
            </w:tcBorders>
            <w:tcMar>
              <w:top w:w="0" w:type="dxa"/>
              <w:left w:w="100" w:type="dxa"/>
              <w:bottom w:w="0" w:type="dxa"/>
              <w:right w:w="100" w:type="dxa"/>
            </w:tcMar>
            <w:vAlign w:val="center"/>
          </w:tcPr>
          <w:p w14:paraId="5C63DECB"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Las inversiones alternativas no encajan en las categorías tradicionales (acciones o bonos), generando incertidumbre en su clasificación y registro. Esto puede llevar a inconsistencias en los informes financieros y problemas de interpretación.</w:t>
            </w:r>
          </w:p>
        </w:tc>
      </w:tr>
      <w:tr w:rsidR="00C51607" w:rsidRPr="002012E1" w14:paraId="186E1056" w14:textId="77777777" w:rsidTr="005C1607">
        <w:trPr>
          <w:trHeight w:val="20"/>
        </w:trPr>
        <w:tc>
          <w:tcPr>
            <w:tcW w:w="0" w:type="auto"/>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4D20CE66" w14:textId="77777777" w:rsidR="00C51607" w:rsidRPr="002012E1" w:rsidRDefault="00C51607" w:rsidP="005C1607">
            <w:pPr>
              <w:spacing w:before="240" w:after="0" w:line="360" w:lineRule="auto"/>
              <w:jc w:val="center"/>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Impacto en la Transparencia y Comparabilidad</w:t>
            </w:r>
          </w:p>
        </w:tc>
        <w:tc>
          <w:tcPr>
            <w:tcW w:w="0" w:type="auto"/>
            <w:tcBorders>
              <w:top w:val="nil"/>
              <w:left w:val="nil"/>
              <w:bottom w:val="single" w:sz="6" w:space="0" w:color="000000"/>
              <w:right w:val="single" w:sz="6" w:space="0" w:color="000000"/>
            </w:tcBorders>
            <w:tcMar>
              <w:top w:w="0" w:type="dxa"/>
              <w:left w:w="100" w:type="dxa"/>
              <w:bottom w:w="0" w:type="dxa"/>
              <w:right w:w="100" w:type="dxa"/>
            </w:tcMar>
            <w:vAlign w:val="center"/>
          </w:tcPr>
          <w:p w14:paraId="7E9AEC74" w14:textId="77777777" w:rsidR="00C51607" w:rsidRPr="002012E1" w:rsidRDefault="00C51607" w:rsidP="005C1607">
            <w:pPr>
              <w:spacing w:before="240" w:after="0" w:line="360" w:lineRule="auto"/>
              <w:jc w:val="both"/>
              <w:rPr>
                <w:rFonts w:ascii="Arial" w:eastAsia="Times New Roman" w:hAnsi="Arial" w:cs="Arial"/>
                <w:color w:val="000000"/>
                <w:kern w:val="0"/>
                <w14:ligatures w14:val="none"/>
              </w:rPr>
            </w:pPr>
            <w:r w:rsidRPr="002012E1">
              <w:rPr>
                <w:rFonts w:ascii="Arial" w:eastAsia="Times New Roman" w:hAnsi="Arial" w:cs="Arial"/>
                <w:color w:val="000000"/>
                <w:kern w:val="0"/>
                <w14:ligatures w14:val="none"/>
              </w:rPr>
              <w:t>La falta de guías claras limita la capacidad de comparar y evaluar el desempeño de los portafolios de pensiones, dificultando el análisis de riesgo y rendimiento</w:t>
            </w:r>
          </w:p>
        </w:tc>
      </w:tr>
    </w:tbl>
    <w:p w14:paraId="51755FD3" w14:textId="77777777" w:rsidR="00C51607" w:rsidRPr="002012E1" w:rsidRDefault="00C51607" w:rsidP="00C51607">
      <w:pPr>
        <w:spacing w:before="240" w:after="240" w:line="360" w:lineRule="auto"/>
        <w:jc w:val="right"/>
        <w:rPr>
          <w:rFonts w:ascii="Arial" w:eastAsia="Times New Roman" w:hAnsi="Arial" w:cs="Arial"/>
          <w:color w:val="000000"/>
          <w:kern w:val="0"/>
          <w14:ligatures w14:val="none"/>
        </w:rPr>
      </w:pPr>
      <w:r w:rsidRPr="002012E1">
        <w:rPr>
          <w:rFonts w:ascii="Arial" w:eastAsia="Times New Roman" w:hAnsi="Arial" w:cs="Arial"/>
          <w:b/>
          <w:bCs/>
          <w:color w:val="000000"/>
          <w:kern w:val="0"/>
          <w14:ligatures w14:val="none"/>
        </w:rPr>
        <w:t>Fuente:</w:t>
      </w:r>
      <w:r w:rsidRPr="002012E1">
        <w:rPr>
          <w:rFonts w:ascii="Arial" w:eastAsia="Times New Roman" w:hAnsi="Arial" w:cs="Arial"/>
          <w:color w:val="000000"/>
          <w:kern w:val="0"/>
          <w14:ligatures w14:val="none"/>
        </w:rPr>
        <w:t xml:space="preserve"> Lic. Luis Diego Piedra (Comunicación personal, 29 de octubre 2024) </w:t>
      </w:r>
      <w:r w:rsidRPr="002012E1">
        <w:rPr>
          <w:rFonts w:ascii="Arial" w:eastAsia="Times New Roman" w:hAnsi="Arial" w:cs="Arial"/>
          <w:b/>
          <w:bCs/>
          <w:color w:val="000000"/>
          <w:kern w:val="0"/>
          <w14:ligatures w14:val="none"/>
        </w:rPr>
        <w:t>Elaborado:</w:t>
      </w:r>
      <w:r w:rsidRPr="002012E1">
        <w:rPr>
          <w:rFonts w:ascii="Arial" w:eastAsia="Times New Roman" w:hAnsi="Arial" w:cs="Arial"/>
          <w:color w:val="000000"/>
          <w:kern w:val="0"/>
          <w14:ligatures w14:val="none"/>
        </w:rPr>
        <w:t xml:space="preserve"> Grupo investigador 2024</w:t>
      </w:r>
    </w:p>
    <w:p w14:paraId="1EE9FE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Según Luis Diego Piedra, licenciado en contabilidad, “explorar las limitaciones y desafíos que pueden presentarse dentro de la normativa contable para inversiones alternativas en los fondos de pensiones permite identificar vacíos regulatorios que afectan la transparencia en la información financiera de las operadoras de pensiones” (Comunicación personal, 2 de noviembre 2024). </w:t>
      </w:r>
    </w:p>
    <w:p w14:paraId="11D1FD6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FF32A8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Al analizar estos problemas se genera una contribución, ya que fomenta el fortalecimiento de la gestión de los portafolios de pensiones, promoviendo una contabilidad que permita valorar adecuadamente los activos alternativos y analizar e interpretar los riesgos asociados que puedan presentarse.</w:t>
      </w:r>
    </w:p>
    <w:p w14:paraId="6EB3CC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CB21F6" w14:textId="77777777" w:rsidR="00C51607" w:rsidRPr="002012E1" w:rsidRDefault="00C51607" w:rsidP="00C51607">
      <w:pPr>
        <w:pStyle w:val="apanivel3"/>
        <w:rPr>
          <w:rFonts w:ascii="Arial" w:hAnsi="Arial" w:cs="Arial"/>
        </w:rPr>
      </w:pPr>
      <w:bookmarkStart w:id="87" w:name="_Toc201832445"/>
      <w:r w:rsidRPr="002012E1">
        <w:rPr>
          <w:rFonts w:ascii="Arial" w:hAnsi="Arial" w:cs="Arial"/>
        </w:rPr>
        <w:t>Eficiencia de la implementación de las normativas contables en los fondos de pensiones</w:t>
      </w:r>
      <w:bookmarkEnd w:id="87"/>
      <w:r w:rsidRPr="002012E1">
        <w:rPr>
          <w:rFonts w:ascii="Arial" w:hAnsi="Arial" w:cs="Arial"/>
        </w:rPr>
        <w:t xml:space="preserve"> </w:t>
      </w:r>
    </w:p>
    <w:p w14:paraId="45E2822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 esencial que las organizaciones implementen de manera rigurosa la normativa contable, ya que el cumplimiento adecuado de estas normas tiene un impacto directo en la claridad y precisión de la información financiera. </w:t>
      </w:r>
    </w:p>
    <w:p w14:paraId="1DA7FD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ADF38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correcta aplicación de estas normas asegura que los estados financieros reflejen fielmente la situación de una organización, así como la gestión de sus activos y pasivos, proporcionando una base sólida para la toma de decisiones.</w:t>
      </w:r>
    </w:p>
    <w:p w14:paraId="3C6459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 </w:t>
      </w:r>
    </w:p>
    <w:p w14:paraId="70C9C2E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 acuerdo con lo conversado con el Licenciado Víctor Portilla (2024), la transparencia en la información financiera es vital para mantener la confianza de los afiliados y para facilitar una inversión responsable e informada (Comunicación personal, 4 de noviembre de 2024). </w:t>
      </w:r>
    </w:p>
    <w:p w14:paraId="07474ED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5A7909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es especialmente importante cuando se habla de inversiones alternativas, debido a que suelen implicar riesgos y desafíos que son distintos a los activos tradicionales. Al estandarizar la presentación de estos activos a través de una normativa adecuada, se promueve una mayor comparabilidad y transparencia entre portafolios de pensiones.</w:t>
      </w:r>
    </w:p>
    <w:p w14:paraId="1863344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En este sentido, la investigación aporta valor al explorar propuestas que ayuden a cerrar las brechas normativas, facilitando así que las operadoras de pensiones en Costa Rica puedan incluir las inversiones alternativas de una forma responsable y con una base contable sólida.</w:t>
      </w:r>
    </w:p>
    <w:p w14:paraId="30D90A1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65EC9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la Asociación para el Progreso de la Dirección “APD” (2024, párr. 6) implementar la normativa contable contribuye a:</w:t>
      </w:r>
    </w:p>
    <w:p w14:paraId="0E31AEC7"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Unificar la presentación de información de los estados financieros.</w:t>
      </w:r>
    </w:p>
    <w:p w14:paraId="230AC6EF"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Contribuye al acceso en mercados internacionales.</w:t>
      </w:r>
    </w:p>
    <w:p w14:paraId="6F7E92F7"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Permite realizar comparaciones con competidores.</w:t>
      </w:r>
    </w:p>
    <w:p w14:paraId="65D90D42"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Mejora la transparencia y credibilidad.</w:t>
      </w:r>
    </w:p>
    <w:p w14:paraId="52DE7CCF"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Facilita la toma de decisiones.</w:t>
      </w:r>
    </w:p>
    <w:p w14:paraId="3C66F741" w14:textId="77777777" w:rsidR="00C51607" w:rsidRPr="002012E1" w:rsidRDefault="00C51607" w:rsidP="00C51607">
      <w:pPr>
        <w:numPr>
          <w:ilvl w:val="3"/>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Optimiza la gestión de riesgos financieros.</w:t>
      </w:r>
    </w:p>
    <w:p w14:paraId="55283B3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374E5E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las operadoras de pensiones, no solo es vital que la información de las entidades donde se están realizando las inversiones sea clara, sino que también, deben tener la responsabilidad de manejar las inversiones y los estados financieros propios con la mayor transparencia posible, ya que se está utilizando el dinero de los trabajadores, y no con capital privado, por lo que el riesgo asumido es más elevado.</w:t>
      </w:r>
    </w:p>
    <w:p w14:paraId="36A4B3D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794590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marco teórico presentado proporciona una base sólida para comprender los conceptos fundamentales en los que las inversiones alternativas se involucran y las teorías que sustentan esta investigación, a través de la revisión de la literatura y conversaciones con diferentes expertos en el área de contaduría. </w:t>
      </w:r>
    </w:p>
    <w:p w14:paraId="41277F0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340756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marco funciona como guía para interpretar los resultados y analizar las variables involucradas en el contexto específico de la investigación, facilitando una visión coherente que orientará el desarrollo de los siguientes capítulos.</w:t>
      </w:r>
    </w:p>
    <w:p w14:paraId="7AE4A5B0" w14:textId="77777777" w:rsidR="00C51607" w:rsidRPr="002012E1" w:rsidRDefault="00C51607" w:rsidP="00C51607">
      <w:pPr>
        <w:spacing w:before="240" w:after="240" w:line="360" w:lineRule="auto"/>
        <w:jc w:val="both"/>
        <w:rPr>
          <w:rFonts w:ascii="Arial" w:eastAsia="Times New Roman" w:hAnsi="Arial" w:cs="Arial"/>
          <w:b/>
          <w:i/>
          <w:iCs/>
          <w:color w:val="000000"/>
          <w:kern w:val="0"/>
          <w14:ligatures w14:val="none"/>
        </w:rPr>
      </w:pPr>
    </w:p>
    <w:p w14:paraId="30B556C3" w14:textId="77777777" w:rsidR="00C51607" w:rsidRPr="002012E1" w:rsidRDefault="00C51607" w:rsidP="00C51607">
      <w:pPr>
        <w:spacing w:line="360" w:lineRule="auto"/>
        <w:rPr>
          <w:rFonts w:ascii="Arial" w:eastAsia="Calibri" w:hAnsi="Arial" w:cs="Arial"/>
          <w:kern w:val="0"/>
          <w14:ligatures w14:val="none"/>
        </w:rPr>
        <w:sectPr w:rsidR="00C51607" w:rsidRPr="002012E1" w:rsidSect="00C51607">
          <w:headerReference w:type="first" r:id="rId24"/>
          <w:footerReference w:type="first" r:id="rId25"/>
          <w:pgSz w:w="12240" w:h="15840"/>
          <w:pgMar w:top="1417" w:right="1701" w:bottom="1417" w:left="1701" w:header="708" w:footer="708" w:gutter="0"/>
          <w:cols w:space="708"/>
          <w:titlePg/>
          <w:docGrid w:linePitch="360"/>
        </w:sectPr>
      </w:pPr>
    </w:p>
    <w:p w14:paraId="37CE3A34"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kern w:val="36"/>
          <w:sz w:val="40"/>
          <w:szCs w:val="40"/>
          <w:lang w:eastAsia="es-CR"/>
          <w14:ligatures w14:val="none"/>
        </w:rPr>
        <w:sectPr w:rsidR="00C51607" w:rsidRPr="002012E1" w:rsidSect="00C51607">
          <w:headerReference w:type="first" r:id="rId26"/>
          <w:footerReference w:type="first" r:id="rId27"/>
          <w:pgSz w:w="12240" w:h="15840"/>
          <w:pgMar w:top="1417" w:right="1701" w:bottom="1417" w:left="1701" w:header="709" w:footer="709" w:gutter="0"/>
          <w:cols w:space="708"/>
          <w:vAlign w:val="center"/>
          <w:titlePg/>
          <w:docGrid w:linePitch="360"/>
        </w:sectPr>
      </w:pPr>
      <w:bookmarkStart w:id="88" w:name="_Toc201832446"/>
      <w:r w:rsidRPr="002012E1">
        <w:rPr>
          <w:rFonts w:ascii="Arial" w:eastAsia="Times New Roman" w:hAnsi="Arial" w:cs="Arial"/>
          <w:b/>
          <w:bCs/>
          <w:kern w:val="36"/>
          <w:sz w:val="40"/>
          <w:szCs w:val="40"/>
          <w:lang w:eastAsia="es-CR"/>
          <w14:ligatures w14:val="none"/>
        </w:rPr>
        <w:lastRenderedPageBreak/>
        <w:t>CAPÍTULO IV. ANÁLISIS DE RESULTADOS</w:t>
      </w:r>
      <w:bookmarkEnd w:id="88"/>
    </w:p>
    <w:p w14:paraId="7D9B9BAD" w14:textId="77777777" w:rsidR="00C51607" w:rsidRPr="002012E1" w:rsidRDefault="00C51607" w:rsidP="00C51607">
      <w:pPr>
        <w:pStyle w:val="apanivel1"/>
        <w:jc w:val="center"/>
      </w:pPr>
      <w:bookmarkStart w:id="89" w:name="_Toc196485459"/>
      <w:bookmarkStart w:id="90" w:name="_Toc201832447"/>
      <w:r w:rsidRPr="002012E1">
        <w:lastRenderedPageBreak/>
        <w:t>Capítulo IV: Análisis De Resultados</w:t>
      </w:r>
      <w:bookmarkEnd w:id="89"/>
      <w:bookmarkEnd w:id="90"/>
    </w:p>
    <w:p w14:paraId="55B0444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este capítulo se expone el análisis e interpretación de la información recolectada a lo largo de la investigación, sustentándose en el modelo de análisis definido en el marco metodológico. </w:t>
      </w:r>
    </w:p>
    <w:p w14:paraId="6638C23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A80ABE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aplicaron diversas técnicas y herramientas como la guía de análisis documental, la observación y los instrumentos de análisis financiero (análisis de sensibilidad y proyecciones financieras) para evaluar la situación de las inversiones alternativas en los fondos de pensiones en Costa Rica.</w:t>
      </w:r>
    </w:p>
    <w:p w14:paraId="2550700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E76B1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se orienta a identificar fortalezas y debilidades del marco normativo contable vigente y a determinar su impacto en la transparencia y supervisión de los registros contables. </w:t>
      </w:r>
    </w:p>
    <w:p w14:paraId="5E04B01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E5496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enfoque permite no solo evaluar la adecuación de las normativas internacionales (en particular la transición de la NIC 39 a la NIIF 9), sino también detectar las áreas de mejora en la adaptación de estas normas a la realidad del mercado financiero local.</w:t>
      </w:r>
    </w:p>
    <w:p w14:paraId="1B3E2B2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0AEB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Como parte del análisis se trabaja con la información de las operadoras de Pensiones de Costa Rica las cuales son: OPC CCSS, Popular Pensiones, BN Vital, Bac San José, Vida Plena y BCR Pensiones.</w:t>
      </w:r>
    </w:p>
    <w:p w14:paraId="2CF400F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D6B836" w14:textId="77777777" w:rsidR="00C51607" w:rsidRPr="002012E1" w:rsidRDefault="00C51607" w:rsidP="00C51607">
      <w:pPr>
        <w:pStyle w:val="apanivel2"/>
        <w:rPr>
          <w:rFonts w:ascii="Arial" w:hAnsi="Arial" w:cs="Arial"/>
        </w:rPr>
      </w:pPr>
      <w:bookmarkStart w:id="91" w:name="_Toc201832448"/>
      <w:r w:rsidRPr="002012E1">
        <w:rPr>
          <w:rFonts w:ascii="Arial" w:hAnsi="Arial" w:cs="Arial"/>
        </w:rPr>
        <w:t>Productos financieros de deuda, acciones y alternativos</w:t>
      </w:r>
      <w:bookmarkEnd w:id="91"/>
    </w:p>
    <w:p w14:paraId="7365C25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apartado presenta el análisis de los productos financieros de deuda, acciones e inversiones alternativas, evaluando su composición, rentabilidad y nivel de riesgo asociado. Para ello, se utilizó la guía de análisis documental como fuente principal de información y se aplicaron instrumentos financieros como el análisis de sensibilidad en estados financieros para determinar los impactos en la gestión de portafolios de fondos de pensiones.</w:t>
      </w:r>
    </w:p>
    <w:p w14:paraId="21DD4B77" w14:textId="77777777" w:rsidR="00C51607" w:rsidRPr="002012E1" w:rsidRDefault="00C51607" w:rsidP="00C51607">
      <w:pPr>
        <w:pStyle w:val="apanivel3"/>
        <w:rPr>
          <w:rFonts w:ascii="Arial" w:hAnsi="Arial" w:cs="Arial"/>
        </w:rPr>
      </w:pPr>
      <w:bookmarkStart w:id="92" w:name="_Toc201832449"/>
      <w:r w:rsidRPr="002012E1">
        <w:rPr>
          <w:rFonts w:ascii="Arial" w:hAnsi="Arial" w:cs="Arial"/>
        </w:rPr>
        <w:lastRenderedPageBreak/>
        <w:t xml:space="preserve">Características de Productos </w:t>
      </w:r>
      <w:r>
        <w:rPr>
          <w:rFonts w:ascii="Arial" w:hAnsi="Arial" w:cs="Arial"/>
        </w:rPr>
        <w:t>de Deuda, acciones y alternativos</w:t>
      </w:r>
      <w:bookmarkEnd w:id="92"/>
    </w:p>
    <w:p w14:paraId="41A4CF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acuerdo con Price Waterhouse Coopers (PWC, 2019), "los productos financieros como la deuda, las acciones y las inversiones alternativas presentan diferentes perfiles de riesgo y rendimiento, lo que los hace adecuados para diferentes estrategias de inversión". (pp. 5-6)</w:t>
      </w:r>
    </w:p>
    <w:p w14:paraId="6AADAF7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32580E" w14:textId="60C11CC3" w:rsidR="00C51607" w:rsidRPr="002012E1" w:rsidRDefault="00C51607" w:rsidP="00C51607">
      <w:pPr>
        <w:spacing w:before="240" w:after="240" w:line="360" w:lineRule="auto"/>
        <w:jc w:val="both"/>
        <w:rPr>
          <w:rFonts w:ascii="Arial" w:eastAsia="Times New Roman" w:hAnsi="Arial" w:cs="Arial"/>
          <w:color w:val="000000"/>
          <w:kern w:val="0"/>
          <w14:ligatures w14:val="none"/>
        </w:rPr>
      </w:pPr>
      <w:bookmarkStart w:id="93" w:name="_Toc201322514"/>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11</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Calibri" w:hAnsi="Arial" w:cs="Arial"/>
          <w:b/>
          <w:bCs/>
          <w:kern w:val="0"/>
          <w14:ligatures w14:val="none"/>
        </w:rPr>
        <w:t>C</w:t>
      </w:r>
      <w:r w:rsidRPr="002012E1">
        <w:rPr>
          <w:rFonts w:ascii="Arial" w:eastAsia="Calibri" w:hAnsi="Arial" w:cs="Arial"/>
          <w:b/>
          <w:kern w:val="0"/>
          <w14:ligatures w14:val="none"/>
        </w:rPr>
        <w:t>aracterísticas, riesgos principales y ejemplos de los Productos Financieros</w:t>
      </w:r>
      <w:bookmarkEnd w:id="93"/>
    </w:p>
    <w:tbl>
      <w:tblPr>
        <w:tblStyle w:val="Tablaconcuadrcula1"/>
        <w:tblW w:w="0" w:type="auto"/>
        <w:tblInd w:w="0" w:type="dxa"/>
        <w:tblLook w:val="04A0" w:firstRow="1" w:lastRow="0" w:firstColumn="1" w:lastColumn="0" w:noHBand="0" w:noVBand="1"/>
      </w:tblPr>
      <w:tblGrid>
        <w:gridCol w:w="1685"/>
        <w:gridCol w:w="2596"/>
        <w:gridCol w:w="2071"/>
        <w:gridCol w:w="2476"/>
      </w:tblGrid>
      <w:tr w:rsidR="00C51607" w:rsidRPr="002012E1" w14:paraId="3FB4F690" w14:textId="77777777" w:rsidTr="005C1607">
        <w:trPr>
          <w:trHeight w:val="988"/>
        </w:trPr>
        <w:tc>
          <w:tcPr>
            <w:tcW w:w="0" w:type="auto"/>
            <w:vAlign w:val="center"/>
          </w:tcPr>
          <w:p w14:paraId="3A68DE6A"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Tipo de Instrumento</w:t>
            </w:r>
          </w:p>
        </w:tc>
        <w:tc>
          <w:tcPr>
            <w:tcW w:w="0" w:type="auto"/>
            <w:vAlign w:val="center"/>
          </w:tcPr>
          <w:p w14:paraId="64294D5D"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Características</w:t>
            </w:r>
          </w:p>
        </w:tc>
        <w:tc>
          <w:tcPr>
            <w:tcW w:w="0" w:type="auto"/>
            <w:vAlign w:val="center"/>
          </w:tcPr>
          <w:p w14:paraId="1F89E638"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Riesgos Principales</w:t>
            </w:r>
          </w:p>
        </w:tc>
        <w:tc>
          <w:tcPr>
            <w:tcW w:w="0" w:type="auto"/>
            <w:vAlign w:val="center"/>
          </w:tcPr>
          <w:p w14:paraId="0851A85F"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Ejemplos</w:t>
            </w:r>
          </w:p>
        </w:tc>
      </w:tr>
      <w:tr w:rsidR="00C51607" w:rsidRPr="002012E1" w14:paraId="29625F02" w14:textId="77777777" w:rsidTr="005C1607">
        <w:trPr>
          <w:trHeight w:val="2297"/>
        </w:trPr>
        <w:tc>
          <w:tcPr>
            <w:tcW w:w="0" w:type="auto"/>
            <w:vAlign w:val="center"/>
          </w:tcPr>
          <w:p w14:paraId="1C63D90B"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Deuda</w:t>
            </w:r>
          </w:p>
        </w:tc>
        <w:tc>
          <w:tcPr>
            <w:tcW w:w="0" w:type="auto"/>
            <w:vAlign w:val="center"/>
          </w:tcPr>
          <w:p w14:paraId="3D8A2F99"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Bonos, certificados de depósito y otros instrumentos de renta fija que garantizan ingresos estables.</w:t>
            </w:r>
          </w:p>
        </w:tc>
        <w:tc>
          <w:tcPr>
            <w:tcW w:w="0" w:type="auto"/>
            <w:vAlign w:val="center"/>
          </w:tcPr>
          <w:p w14:paraId="7950C7B0"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Riesgo de tasa de interés, riesgo de crédito, riesgo de liquidez.</w:t>
            </w:r>
          </w:p>
        </w:tc>
        <w:tc>
          <w:tcPr>
            <w:tcW w:w="0" w:type="auto"/>
            <w:vAlign w:val="center"/>
          </w:tcPr>
          <w:p w14:paraId="2B09933D"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Bonos gubernamentales, bonos corporativos, certificados de depósito.</w:t>
            </w:r>
          </w:p>
        </w:tc>
      </w:tr>
      <w:tr w:rsidR="00C51607" w:rsidRPr="002012E1" w14:paraId="75AA8D7D" w14:textId="77777777" w:rsidTr="005C1607">
        <w:tc>
          <w:tcPr>
            <w:tcW w:w="0" w:type="auto"/>
            <w:vAlign w:val="center"/>
          </w:tcPr>
          <w:p w14:paraId="3DE38D05"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Acciones</w:t>
            </w:r>
          </w:p>
        </w:tc>
        <w:tc>
          <w:tcPr>
            <w:tcW w:w="0" w:type="auto"/>
            <w:vAlign w:val="center"/>
          </w:tcPr>
          <w:p w14:paraId="5DA5C29F"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Representan participación en empresas, ofrecen potencial de crecimiento de capital y dividendos.</w:t>
            </w:r>
          </w:p>
        </w:tc>
        <w:tc>
          <w:tcPr>
            <w:tcW w:w="0" w:type="auto"/>
            <w:vAlign w:val="center"/>
          </w:tcPr>
          <w:p w14:paraId="3B282461"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Riesgo de mercado (volatilidad), riesgo de liquidez, riesgo de divisa</w:t>
            </w:r>
          </w:p>
        </w:tc>
        <w:tc>
          <w:tcPr>
            <w:tcW w:w="0" w:type="auto"/>
            <w:vAlign w:val="center"/>
          </w:tcPr>
          <w:p w14:paraId="0E08762E"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Acciones ordinarias, acciones preferentes</w:t>
            </w:r>
          </w:p>
        </w:tc>
      </w:tr>
      <w:tr w:rsidR="00C51607" w:rsidRPr="002012E1" w14:paraId="771E379F" w14:textId="77777777" w:rsidTr="005C1607">
        <w:tc>
          <w:tcPr>
            <w:tcW w:w="0" w:type="auto"/>
            <w:vAlign w:val="center"/>
          </w:tcPr>
          <w:p w14:paraId="2B02D8E4"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Productos o Inversiones alternativas</w:t>
            </w:r>
          </w:p>
        </w:tc>
        <w:tc>
          <w:tcPr>
            <w:tcW w:w="0" w:type="auto"/>
            <w:vAlign w:val="center"/>
          </w:tcPr>
          <w:p w14:paraId="27476CA2"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 xml:space="preserve">Capital privado, fondos de cobertura, ofrecen diversificación y potenciales </w:t>
            </w:r>
            <w:r w:rsidRPr="002012E1">
              <w:rPr>
                <w:rFonts w:eastAsia="Times New Roman"/>
                <w:color w:val="000000"/>
              </w:rPr>
              <w:lastRenderedPageBreak/>
              <w:t>mayores rendimientos, pero con estructuras complejas y menor liquidez, alta capacidad de diversificación y rendimiento elevado</w:t>
            </w:r>
          </w:p>
        </w:tc>
        <w:tc>
          <w:tcPr>
            <w:tcW w:w="0" w:type="auto"/>
            <w:vAlign w:val="center"/>
          </w:tcPr>
          <w:p w14:paraId="7A1F5977"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lastRenderedPageBreak/>
              <w:t xml:space="preserve">Riesgo de liquidez, riesgo operacional, riesgo de </w:t>
            </w:r>
            <w:r w:rsidRPr="002012E1">
              <w:rPr>
                <w:rFonts w:eastAsia="Times New Roman"/>
                <w:color w:val="000000"/>
              </w:rPr>
              <w:lastRenderedPageBreak/>
              <w:t>valoración, riesgo de mercado, menor transparencia y complejidad regulatoria</w:t>
            </w:r>
          </w:p>
        </w:tc>
        <w:tc>
          <w:tcPr>
            <w:tcW w:w="0" w:type="auto"/>
            <w:vAlign w:val="center"/>
          </w:tcPr>
          <w:p w14:paraId="1FB82989"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lastRenderedPageBreak/>
              <w:t xml:space="preserve">Capital privado, hedge funds, bienes raíces alternativos, fondos de capital, </w:t>
            </w:r>
            <w:r w:rsidRPr="002012E1">
              <w:rPr>
                <w:rFonts w:eastAsia="Times New Roman"/>
                <w:color w:val="000000"/>
              </w:rPr>
              <w:lastRenderedPageBreak/>
              <w:t>inversiones en activos no tradicionales</w:t>
            </w:r>
          </w:p>
        </w:tc>
      </w:tr>
    </w:tbl>
    <w:p w14:paraId="5D48BA35" w14:textId="77777777" w:rsidR="00C51607" w:rsidRDefault="00C51607" w:rsidP="00C51607">
      <w:pPr>
        <w:pBdr>
          <w:top w:val="nil"/>
          <w:left w:val="nil"/>
          <w:bottom w:val="nil"/>
          <w:right w:val="nil"/>
          <w:between w:val="nil"/>
        </w:pBdr>
        <w:spacing w:before="280" w:after="280" w:line="360" w:lineRule="auto"/>
        <w:jc w:val="right"/>
        <w:rPr>
          <w:rFonts w:ascii="Arial" w:eastAsia="Times New Roman" w:hAnsi="Arial" w:cs="Arial"/>
          <w:color w:val="000000"/>
          <w:kern w:val="0"/>
          <w14:ligatures w14:val="none"/>
        </w:rPr>
      </w:pPr>
      <w:r w:rsidRPr="002012E1">
        <w:rPr>
          <w:rFonts w:ascii="Arial" w:eastAsia="Times New Roman" w:hAnsi="Arial" w:cs="Arial"/>
          <w:b/>
          <w:bCs/>
          <w:kern w:val="0"/>
          <w14:ligatures w14:val="none"/>
        </w:rPr>
        <w:t>Fuente:</w:t>
      </w:r>
      <w:r w:rsidRPr="002012E1">
        <w:rPr>
          <w:rFonts w:ascii="Arial" w:eastAsia="Times New Roman" w:hAnsi="Arial" w:cs="Arial"/>
          <w:b/>
          <w:bCs/>
          <w:color w:val="FF0000"/>
          <w:kern w:val="0"/>
          <w14:ligatures w14:val="none"/>
        </w:rPr>
        <w:t xml:space="preserve"> </w:t>
      </w:r>
      <w:r w:rsidRPr="002012E1">
        <w:rPr>
          <w:rFonts w:ascii="Arial" w:eastAsia="Calibri" w:hAnsi="Arial" w:cs="Arial"/>
          <w:kern w:val="0"/>
          <w:lang w:val="es-MX"/>
          <w14:ligatures w14:val="none"/>
        </w:rPr>
        <w:t>Price Waterhouse Coopers (PWC, 2019)</w:t>
      </w:r>
      <w:r w:rsidRPr="002012E1">
        <w:rPr>
          <w:rFonts w:ascii="Arial" w:eastAsia="Times New Roman" w:hAnsi="Arial" w:cs="Arial"/>
          <w:b/>
          <w:bCs/>
          <w:color w:val="FF0000"/>
          <w:kern w:val="0"/>
          <w14:ligatures w14:val="none"/>
        </w:rPr>
        <w:t xml:space="preserve">   </w:t>
      </w:r>
      <w:r w:rsidRPr="002012E1">
        <w:rPr>
          <w:rFonts w:ascii="Arial" w:eastAsia="Times New Roman" w:hAnsi="Arial" w:cs="Arial"/>
          <w:b/>
          <w:bCs/>
          <w:color w:val="000000"/>
          <w:kern w:val="0"/>
          <w14:ligatures w14:val="none"/>
        </w:rPr>
        <w:t xml:space="preserve">Elaborado: </w:t>
      </w:r>
      <w:r w:rsidRPr="002012E1">
        <w:rPr>
          <w:rFonts w:ascii="Arial" w:eastAsia="Times New Roman" w:hAnsi="Arial" w:cs="Arial"/>
          <w:color w:val="000000"/>
          <w:kern w:val="0"/>
          <w14:ligatures w14:val="none"/>
        </w:rPr>
        <w:t>Grupo Investigador (2025)</w:t>
      </w:r>
    </w:p>
    <w:p w14:paraId="4A1C6F6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 base en la información anterior se extraen los siguientes desafíos contables:</w:t>
      </w:r>
    </w:p>
    <w:p w14:paraId="3FE993D6" w14:textId="77777777" w:rsidR="00C51607" w:rsidRPr="002012E1" w:rsidRDefault="00C51607" w:rsidP="00C51607">
      <w:pPr>
        <w:numPr>
          <w:ilvl w:val="6"/>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Deuda: Requiere reconocimiento de intereses devengados y valoración al costo amortizado o valor razonable según NIIF 9. Puede implicar complejidad en la medición de deterioro por riesgo de crédito.</w:t>
      </w:r>
    </w:p>
    <w:p w14:paraId="7ED94A09" w14:textId="77777777" w:rsidR="00C51607" w:rsidRPr="002012E1" w:rsidRDefault="00C51607" w:rsidP="00C51607">
      <w:pPr>
        <w:numPr>
          <w:ilvl w:val="6"/>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Acciones: Valoración a valor razonable con cambios en resultados o patrimonio, dependiendo de la clasificación. La volatilidad del mercado puede complicar la valoración diaria.</w:t>
      </w:r>
    </w:p>
    <w:p w14:paraId="70FA3E8B" w14:textId="77777777" w:rsidR="00C51607" w:rsidRPr="002012E1" w:rsidRDefault="00C51607" w:rsidP="00C51607">
      <w:pPr>
        <w:numPr>
          <w:ilvl w:val="6"/>
          <w:numId w:val="11"/>
        </w:numPr>
        <w:spacing w:after="0" w:line="360" w:lineRule="auto"/>
        <w:ind w:left="851"/>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Inversiones o productos alternativos: Valoración compleja debido a la falta de mercados activos, uso de modelos internos o estimaciones, lo que genera incertidumbre y dificultad para auditorias.</w:t>
      </w:r>
    </w:p>
    <w:p w14:paraId="4B3E3D5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DC3897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Costa Rica, los instrumentos financieros más utilizados tienden a ser los de deuda y las acciones, especialmente los bonos gubernamentales y corporativos, así como las acciones ordinarias, dado que el mercado bursátil local es relativamente pequeño y menos desarrollado en comparación con economías más grandes. </w:t>
      </w:r>
    </w:p>
    <w:p w14:paraId="417DA52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35738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inversión en instrumentos de deuda es popular por su menor riesgo relativo y estabilidad, mientras que las acciones ofrecen oportunidades de crecimiento para inversores con mayor tolerancia al riesgo. </w:t>
      </w:r>
    </w:p>
    <w:p w14:paraId="799CE76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Las inversiones alternativas o productos alternativos tienen menor presencia debido a la menor profundidad y sofisticación del mercado financiero local, así como a la menor disponibilidad y conocimiento de estos instrumentos entre los inversores costarricenses.</w:t>
      </w:r>
    </w:p>
    <w:p w14:paraId="1365C4C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3A5A2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Estados Unidos, el mercado financiero es mucho más amplio y diversificado, con un uso intenso de todos los tipos de instrumentos financieros mencionados. Las acciones y bonos son ampliamente utilizados tanto por inversores individuales como institucionales. </w:t>
      </w:r>
    </w:p>
    <w:p w14:paraId="53A1B14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1A0D0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las inversiones alternativas, como fondos de cobertura y capital privado, tienen un papel muy relevante debido a la sofisticación del mercado y la mayor capacidad de los inversores para asumir riesgos y buscar diversificación. Los productos alternativos, incluyendo fondos de capital riesgo y activos no tradicionales, también son comunes, apoyados por un marco regulatorio robusto y un ecosistema financiero avanzado que facilita su acceso y gestión.</w:t>
      </w:r>
    </w:p>
    <w:p w14:paraId="6B7401B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72C0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Colombia presenta un mercado intermedio, donde los instrumentos de deuda y acciones son los predominantes, con un crecimiento significativo en la adopción de inversiones alternativas, especialmente en capital privado y fondos de inversión, impulsado por la expansión del mercado de capitales y la entrada de inversionistas institucionales. </w:t>
      </w:r>
    </w:p>
    <w:p w14:paraId="39571FD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E6D574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los productos alternativos aún están en desarrollo y son menos accesibles para el público general debido a su complejidad y menor liquidez. En comparación con Costa Rica, Colombia tiene un mercado financiero más dinámico y diversificado, aunque no alcanza la profundidad y sofisticación del mercado estadounidense.</w:t>
      </w:r>
    </w:p>
    <w:p w14:paraId="23B9B59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677BB7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resumen, Costa Rica se caracteriza por un uso mayoritario de instrumentos tradicionales de deuda y acciones, con menor penetración de inversiones </w:t>
      </w:r>
      <w:r w:rsidRPr="002012E1">
        <w:rPr>
          <w:rFonts w:ascii="Arial" w:eastAsia="Calibri" w:hAnsi="Arial" w:cs="Arial"/>
          <w:kern w:val="0"/>
          <w:lang w:val="es-MX"/>
          <w14:ligatures w14:val="none"/>
        </w:rPr>
        <w:lastRenderedPageBreak/>
        <w:t>alternativas y productos complejos. Estados Unidos lidera en diversidad y sofisticación, con amplia adopción de todos los tipos de instrumentos financieros, incluyendo los más complejos y alternativos.</w:t>
      </w:r>
    </w:p>
    <w:p w14:paraId="5A60AA9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7E1AB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Colombia se encuentra en una posición intermedia, con un mercado en crecimiento que está ampliando gradualmente el acceso a inversiones alternativas, aunque todavía con limitaciones en productos alternativos más sofisticados. Esta comparación refleja las diferencias en tamaño, desarrollo y regulación de los mercados financieros en cada país.</w:t>
      </w:r>
    </w:p>
    <w:p w14:paraId="05D36B2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C238AB" w14:textId="77777777" w:rsidR="00C51607" w:rsidRPr="002012E1" w:rsidRDefault="00C51607" w:rsidP="00C51607">
      <w:pPr>
        <w:pStyle w:val="apanivel4"/>
      </w:pPr>
      <w:r w:rsidRPr="002012E1">
        <w:t>Impacto de las NIIF en la valoración</w:t>
      </w:r>
    </w:p>
    <w:p w14:paraId="2804C3E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objetivo de las NIIF 9 es “establecer los principios para la información financiera sobre activos financieros y pasivos financieros, de forma que se presente información útil para la toma de decisiones” (Deloitte, 2019, p.3)</w:t>
      </w:r>
    </w:p>
    <w:p w14:paraId="59DB345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74419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“las NIIF 13 definen el valor razonable y establece un marco para su medición” (ICAC, 2023, p. 7), pero la falta de precios de mercado transparentes complica su aplicación en inversiones alternativas y productos complejos</w:t>
      </w:r>
    </w:p>
    <w:p w14:paraId="0C049F4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5F892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las NIIF requieren revelaciones detalladas sobre riesgos y métodos de valoración, lo que aumenta la carga informativa para los gestores de fondos.</w:t>
      </w:r>
    </w:p>
    <w:p w14:paraId="741DDB5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8744C3B" w14:textId="77777777" w:rsidR="00C51607" w:rsidRPr="002012E1" w:rsidRDefault="00C51607" w:rsidP="00C51607">
      <w:pPr>
        <w:pStyle w:val="apanivel4"/>
      </w:pPr>
      <w:r w:rsidRPr="002012E1">
        <w:t>Complejidades para gestores de fondos</w:t>
      </w:r>
    </w:p>
    <w:p w14:paraId="609D531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gestores necesitan sistemas robustos para la valoración continua, especialmente en activos ilíquidos o no cotizados, y deben reportar de forma transparente y consistente para cumplir con las regulaciones y auditorias.</w:t>
      </w:r>
    </w:p>
    <w:p w14:paraId="0E8A7E0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2112A4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la gestión del riesgo y la comunicación clara a inversionistas sobre volatilidad, liquidez y riesgos específicos son fundamentales para la confianza en fondos con estructuras complejas.</w:t>
      </w:r>
    </w:p>
    <w:p w14:paraId="1790DDC9" w14:textId="77777777" w:rsidR="00C51607" w:rsidRPr="002012E1" w:rsidRDefault="00C51607" w:rsidP="00C51607">
      <w:pPr>
        <w:pStyle w:val="apanivel4"/>
      </w:pPr>
      <w:r w:rsidRPr="002012E1">
        <w:lastRenderedPageBreak/>
        <w:t>Nivel de transparencia y fiabilidad de la información contable</w:t>
      </w:r>
    </w:p>
    <w:p w14:paraId="2B992DC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Deloitte (2019) indica que, “los instrumentos de deuda y acciones presentan alta transparencia y fiabilidad, dado que suelen cotizar en mercados establecidos con precios observables” (p. 5)</w:t>
      </w:r>
    </w:p>
    <w:p w14:paraId="2E7E094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435D3E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inversiones alternativas, así como los productos alternativos tienen menor transparencia y mayor subjetividad en la valoración, lo que puede afectar la confianza y dificultar la comparación entre los fondos.</w:t>
      </w:r>
    </w:p>
    <w:p w14:paraId="100F6E8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11206B" w14:textId="77777777" w:rsidR="00C51607" w:rsidRPr="002012E1" w:rsidRDefault="00C51607" w:rsidP="00C51607">
      <w:pPr>
        <w:pStyle w:val="apanivel4"/>
      </w:pPr>
      <w:r w:rsidRPr="002012E1">
        <w:t>Uso en Costa Rica y comparación internacional</w:t>
      </w:r>
    </w:p>
    <w:p w14:paraId="1B1572C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Costa Rica, los instrumentos financieros más utilizados en carteras de inversión incluyen principalmente la deuda pública y privada</w:t>
      </w:r>
      <w:r w:rsidRPr="002012E1">
        <w:rPr>
          <w:rFonts w:ascii="Arial" w:eastAsia="Calibri" w:hAnsi="Arial" w:cs="Arial"/>
          <w:color w:val="FF0000"/>
          <w:kern w:val="0"/>
          <w:lang w:val="es-MX"/>
          <w14:ligatures w14:val="none"/>
        </w:rPr>
        <w:t>,</w:t>
      </w:r>
      <w:r w:rsidRPr="002012E1">
        <w:rPr>
          <w:rFonts w:ascii="Arial" w:eastAsia="Calibri" w:hAnsi="Arial" w:cs="Arial"/>
          <w:kern w:val="0"/>
          <w:lang w:val="es-MX"/>
          <w14:ligatures w14:val="none"/>
        </w:rPr>
        <w:t xml:space="preserve"> así como acciones de empresas locales y extranjeras. </w:t>
      </w:r>
    </w:p>
    <w:p w14:paraId="20E00D5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6C710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ejemplo, los fondos como el BCR Liquidez Dólares, “invierten mayoritariamente en títulos emitidos por el sector público costarricense, incluyendo bonos del Ministerio de Hacienda y depósitos en el Banco de Costa Rica, reflejando una preferencia por instrumentos de renta fija con alta liquidez y bajo riesgo” (BCR SAFI, 2025)</w:t>
      </w:r>
    </w:p>
    <w:p w14:paraId="313A3DF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2680D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contraste, las inversiones alternativas y productos alternativos tienen una menor penetración en Costa Rica debido a la menor oferta y complejidad regulatoria, aunque están en crecimiento. </w:t>
      </w:r>
    </w:p>
    <w:p w14:paraId="0CE1F46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6ACB1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Estos productos suelen ser más comunes en mercados desarrollados como lo son Estados Unidos y en Latinoamérica un país como Colombia, donde las carteras institucionales incluyen una mayor proporción de capital privado, fondos de cobertura y otros activos alternativos, que “son apoyados por marcos regulatorios y contables más maduros que facilitan su valoración y gestión” (PWC, 2019, P. 16)</w:t>
      </w:r>
    </w:p>
    <w:p w14:paraId="42FF2FB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2D655F2" w14:textId="4452D969" w:rsidR="00C51607" w:rsidRPr="002012E1" w:rsidRDefault="00C51607" w:rsidP="00C51607">
      <w:pPr>
        <w:spacing w:before="240" w:after="240" w:line="360" w:lineRule="auto"/>
        <w:jc w:val="both"/>
        <w:rPr>
          <w:rFonts w:ascii="Arial" w:eastAsia="Times New Roman" w:hAnsi="Arial" w:cs="Arial"/>
          <w:color w:val="000000"/>
          <w:kern w:val="0"/>
          <w14:ligatures w14:val="none"/>
        </w:rPr>
      </w:pPr>
      <w:bookmarkStart w:id="94" w:name="_Toc201322515"/>
      <w:r w:rsidRPr="002012E1">
        <w:rPr>
          <w:rFonts w:ascii="Arial" w:eastAsia="Calibri" w:hAnsi="Arial" w:cs="Arial"/>
          <w:b/>
          <w:b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12</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Análisis Comparativo Costa Rica vs Países desarrollados</w:t>
      </w:r>
      <w:bookmarkEnd w:id="94"/>
    </w:p>
    <w:tbl>
      <w:tblPr>
        <w:tblStyle w:val="Tablaconcuadrcula1"/>
        <w:tblW w:w="0" w:type="auto"/>
        <w:tblInd w:w="0" w:type="dxa"/>
        <w:tblLook w:val="04A0" w:firstRow="1" w:lastRow="0" w:firstColumn="1" w:lastColumn="0" w:noHBand="0" w:noVBand="1"/>
      </w:tblPr>
      <w:tblGrid>
        <w:gridCol w:w="2227"/>
        <w:gridCol w:w="2908"/>
        <w:gridCol w:w="3693"/>
      </w:tblGrid>
      <w:tr w:rsidR="00C51607" w:rsidRPr="002012E1" w14:paraId="583D5D1D" w14:textId="77777777" w:rsidTr="005C1607">
        <w:tc>
          <w:tcPr>
            <w:tcW w:w="0" w:type="auto"/>
            <w:vAlign w:val="center"/>
          </w:tcPr>
          <w:p w14:paraId="03AC1649" w14:textId="77777777" w:rsidR="00C51607" w:rsidRPr="002012E1" w:rsidRDefault="00C51607" w:rsidP="005C1607">
            <w:pPr>
              <w:spacing w:before="280" w:after="280" w:line="360" w:lineRule="auto"/>
              <w:jc w:val="center"/>
              <w:rPr>
                <w:rFonts w:eastAsia="Times New Roman"/>
                <w:b/>
                <w:color w:val="000000"/>
              </w:rPr>
            </w:pPr>
            <w:r w:rsidRPr="002012E1">
              <w:rPr>
                <w:rFonts w:eastAsia="Times New Roman"/>
                <w:b/>
                <w:color w:val="000000"/>
              </w:rPr>
              <w:t>Aspecto</w:t>
            </w:r>
          </w:p>
        </w:tc>
        <w:tc>
          <w:tcPr>
            <w:tcW w:w="0" w:type="auto"/>
            <w:vAlign w:val="center"/>
          </w:tcPr>
          <w:p w14:paraId="7BDF9B2C" w14:textId="77777777" w:rsidR="00C51607" w:rsidRPr="002012E1" w:rsidRDefault="00C51607" w:rsidP="005C1607">
            <w:pPr>
              <w:spacing w:before="280" w:after="280" w:line="360" w:lineRule="auto"/>
              <w:jc w:val="center"/>
              <w:rPr>
                <w:rFonts w:eastAsia="Times New Roman"/>
                <w:b/>
                <w:color w:val="000000"/>
              </w:rPr>
            </w:pPr>
            <w:r w:rsidRPr="002012E1">
              <w:rPr>
                <w:rFonts w:eastAsia="Times New Roman"/>
                <w:b/>
                <w:color w:val="000000"/>
              </w:rPr>
              <w:t>Costa Rica</w:t>
            </w:r>
          </w:p>
        </w:tc>
        <w:tc>
          <w:tcPr>
            <w:tcW w:w="0" w:type="auto"/>
            <w:vAlign w:val="center"/>
          </w:tcPr>
          <w:p w14:paraId="4C50F114" w14:textId="77777777" w:rsidR="00C51607" w:rsidRPr="002012E1" w:rsidRDefault="00C51607" w:rsidP="005C1607">
            <w:pPr>
              <w:spacing w:before="280" w:after="280" w:line="360" w:lineRule="auto"/>
              <w:jc w:val="center"/>
              <w:rPr>
                <w:rFonts w:eastAsia="Times New Roman"/>
                <w:b/>
                <w:color w:val="000000"/>
              </w:rPr>
            </w:pPr>
            <w:r w:rsidRPr="002012E1">
              <w:rPr>
                <w:rFonts w:eastAsia="Times New Roman"/>
                <w:b/>
                <w:color w:val="000000"/>
              </w:rPr>
              <w:t>Estados Unidos y Colombia</w:t>
            </w:r>
          </w:p>
        </w:tc>
      </w:tr>
      <w:tr w:rsidR="00C51607" w:rsidRPr="002012E1" w14:paraId="1C049377" w14:textId="77777777" w:rsidTr="005C1607">
        <w:tc>
          <w:tcPr>
            <w:tcW w:w="0" w:type="auto"/>
            <w:vAlign w:val="center"/>
          </w:tcPr>
          <w:p w14:paraId="4529FB00"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Instrumentos predominantes</w:t>
            </w:r>
          </w:p>
        </w:tc>
        <w:tc>
          <w:tcPr>
            <w:tcW w:w="0" w:type="auto"/>
            <w:vAlign w:val="center"/>
          </w:tcPr>
          <w:p w14:paraId="768F0431"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Deuda pública y privada, acciones locales y extranjeras</w:t>
            </w:r>
          </w:p>
        </w:tc>
        <w:tc>
          <w:tcPr>
            <w:tcW w:w="0" w:type="auto"/>
            <w:vAlign w:val="center"/>
          </w:tcPr>
          <w:p w14:paraId="67A0B9CB"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Mayor diversidad, incluyendo inversiones alternativas y productos alternativos</w:t>
            </w:r>
          </w:p>
        </w:tc>
      </w:tr>
      <w:tr w:rsidR="00C51607" w:rsidRPr="002012E1" w14:paraId="13A8EB8A" w14:textId="77777777" w:rsidTr="005C1607">
        <w:tc>
          <w:tcPr>
            <w:tcW w:w="0" w:type="auto"/>
            <w:vAlign w:val="center"/>
          </w:tcPr>
          <w:p w14:paraId="7699F33A"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Liquidez</w:t>
            </w:r>
          </w:p>
        </w:tc>
        <w:tc>
          <w:tcPr>
            <w:tcW w:w="0" w:type="auto"/>
            <w:vAlign w:val="center"/>
          </w:tcPr>
          <w:p w14:paraId="0B14DE5A"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Alta liquidez en deuda pública y privada</w:t>
            </w:r>
          </w:p>
        </w:tc>
        <w:tc>
          <w:tcPr>
            <w:tcW w:w="0" w:type="auto"/>
            <w:vAlign w:val="center"/>
          </w:tcPr>
          <w:p w14:paraId="3AA2D3ED"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Varia con menor liquidez en inversiones alternativas</w:t>
            </w:r>
          </w:p>
        </w:tc>
      </w:tr>
      <w:tr w:rsidR="00C51607" w:rsidRPr="002012E1" w14:paraId="7D50B48B" w14:textId="77777777" w:rsidTr="005C1607">
        <w:tc>
          <w:tcPr>
            <w:tcW w:w="0" w:type="auto"/>
            <w:vAlign w:val="center"/>
          </w:tcPr>
          <w:p w14:paraId="5260C8B3"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Regulación y supervisión</w:t>
            </w:r>
          </w:p>
        </w:tc>
        <w:tc>
          <w:tcPr>
            <w:tcW w:w="0" w:type="auto"/>
            <w:vAlign w:val="center"/>
          </w:tcPr>
          <w:p w14:paraId="66006460"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Regulación en desarrollo para productos alternativos</w:t>
            </w:r>
          </w:p>
        </w:tc>
        <w:tc>
          <w:tcPr>
            <w:tcW w:w="0" w:type="auto"/>
            <w:vAlign w:val="center"/>
          </w:tcPr>
          <w:p w14:paraId="38179F8D"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Marcos regulatorios y contables más maduros y específicos</w:t>
            </w:r>
          </w:p>
        </w:tc>
      </w:tr>
      <w:tr w:rsidR="00C51607" w:rsidRPr="002012E1" w14:paraId="5A337BCA" w14:textId="77777777" w:rsidTr="005C1607">
        <w:tc>
          <w:tcPr>
            <w:tcW w:w="0" w:type="auto"/>
            <w:vAlign w:val="center"/>
          </w:tcPr>
          <w:p w14:paraId="1C2B2DE9"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Uso institucional</w:t>
            </w:r>
          </w:p>
        </w:tc>
        <w:tc>
          <w:tcPr>
            <w:tcW w:w="0" w:type="auto"/>
            <w:vAlign w:val="center"/>
          </w:tcPr>
          <w:p w14:paraId="3F8D0F66"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Mayor uso de instrumentos tradicionales</w:t>
            </w:r>
          </w:p>
        </w:tc>
        <w:tc>
          <w:tcPr>
            <w:tcW w:w="0" w:type="auto"/>
            <w:vAlign w:val="center"/>
          </w:tcPr>
          <w:p w14:paraId="21948809"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Uso amplio de productos alternativos para diversificación</w:t>
            </w:r>
          </w:p>
        </w:tc>
      </w:tr>
      <w:tr w:rsidR="00C51607" w:rsidRPr="002012E1" w14:paraId="46BE8C77" w14:textId="77777777" w:rsidTr="005C1607">
        <w:tc>
          <w:tcPr>
            <w:tcW w:w="0" w:type="auto"/>
            <w:vAlign w:val="center"/>
          </w:tcPr>
          <w:p w14:paraId="0420C8E8"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Complejidad y valoración</w:t>
            </w:r>
          </w:p>
        </w:tc>
        <w:tc>
          <w:tcPr>
            <w:tcW w:w="0" w:type="auto"/>
            <w:vAlign w:val="center"/>
          </w:tcPr>
          <w:p w14:paraId="78C81B8F"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Menor complejidad y valoración más sencilla</w:t>
            </w:r>
          </w:p>
        </w:tc>
        <w:tc>
          <w:tcPr>
            <w:tcW w:w="0" w:type="auto"/>
            <w:vAlign w:val="center"/>
          </w:tcPr>
          <w:p w14:paraId="2FD62E64" w14:textId="77777777" w:rsidR="00C51607" w:rsidRPr="002012E1" w:rsidRDefault="00C51607" w:rsidP="005C1607">
            <w:pPr>
              <w:spacing w:before="280" w:after="280" w:line="360" w:lineRule="auto"/>
              <w:jc w:val="center"/>
              <w:rPr>
                <w:rFonts w:eastAsia="Times New Roman"/>
                <w:bCs/>
                <w:color w:val="000000"/>
              </w:rPr>
            </w:pPr>
            <w:r w:rsidRPr="002012E1">
              <w:rPr>
                <w:rFonts w:eastAsia="Times New Roman"/>
                <w:bCs/>
                <w:color w:val="000000"/>
              </w:rPr>
              <w:t>Mayor complejidad, requiere sistemas robustos y modelos avanzados</w:t>
            </w:r>
          </w:p>
        </w:tc>
      </w:tr>
    </w:tbl>
    <w:p w14:paraId="171F9EC7" w14:textId="77777777" w:rsidR="00C51607" w:rsidRPr="002012E1" w:rsidRDefault="00C51607" w:rsidP="00C51607">
      <w:pPr>
        <w:spacing w:before="280" w:after="280" w:line="360" w:lineRule="auto"/>
        <w:jc w:val="right"/>
        <w:rPr>
          <w:rFonts w:ascii="Arial" w:eastAsia="Times New Roman" w:hAnsi="Arial" w:cs="Arial"/>
          <w:bCs/>
          <w:color w:val="000000"/>
          <w:kern w:val="0"/>
          <w14:ligatures w14:val="none"/>
        </w:rPr>
      </w:pPr>
      <w:r w:rsidRPr="002012E1">
        <w:rPr>
          <w:rFonts w:ascii="Arial" w:eastAsia="Times New Roman" w:hAnsi="Arial" w:cs="Arial"/>
          <w:b/>
          <w:color w:val="000000"/>
          <w:kern w:val="0"/>
          <w:lang w:val="en-US"/>
          <w14:ligatures w14:val="none"/>
        </w:rPr>
        <w:t xml:space="preserve">Fuente: </w:t>
      </w:r>
      <w:r w:rsidRPr="002012E1">
        <w:rPr>
          <w:rFonts w:ascii="Arial" w:eastAsia="Times New Roman" w:hAnsi="Arial" w:cs="Arial"/>
          <w:bCs/>
          <w:color w:val="000000"/>
          <w:kern w:val="0"/>
          <w:lang w:val="en-US"/>
          <w14:ligatures w14:val="none"/>
        </w:rPr>
        <w:t xml:space="preserve">Price Waterhouse Coopers (PWC, 2019). </w:t>
      </w:r>
      <w:r w:rsidRPr="002012E1">
        <w:rPr>
          <w:rFonts w:ascii="Arial" w:eastAsia="Times New Roman" w:hAnsi="Arial" w:cs="Arial"/>
          <w:b/>
          <w:color w:val="000000"/>
          <w:kern w:val="0"/>
          <w14:ligatures w14:val="none"/>
        </w:rPr>
        <w:t xml:space="preserve">Elaboración: </w:t>
      </w:r>
      <w:r w:rsidRPr="002012E1">
        <w:rPr>
          <w:rFonts w:ascii="Arial" w:eastAsia="Times New Roman" w:hAnsi="Arial" w:cs="Arial"/>
          <w:bCs/>
          <w:color w:val="000000"/>
          <w:kern w:val="0"/>
          <w14:ligatures w14:val="none"/>
        </w:rPr>
        <w:t>Grupo Investigador (2025)</w:t>
      </w:r>
    </w:p>
    <w:p w14:paraId="331B0133" w14:textId="77777777" w:rsidR="00C51607" w:rsidRPr="002012E1" w:rsidRDefault="00C51607" w:rsidP="00C51607">
      <w:pPr>
        <w:spacing w:after="0" w:line="360" w:lineRule="auto"/>
        <w:jc w:val="both"/>
        <w:rPr>
          <w:rFonts w:ascii="Arial" w:eastAsia="Calibri" w:hAnsi="Arial" w:cs="Arial"/>
          <w:kern w:val="0"/>
          <w:lang w:val="es-MX"/>
          <w14:ligatures w14:val="none"/>
        </w:rPr>
      </w:pPr>
      <w:r>
        <w:rPr>
          <w:rFonts w:ascii="Arial" w:eastAsia="Calibri" w:hAnsi="Arial" w:cs="Arial"/>
          <w:kern w:val="0"/>
          <w:lang w:val="es-MX"/>
          <w14:ligatures w14:val="none"/>
        </w:rPr>
        <w:t>E</w:t>
      </w:r>
      <w:r w:rsidRPr="002012E1">
        <w:rPr>
          <w:rFonts w:ascii="Arial" w:eastAsia="Calibri" w:hAnsi="Arial" w:cs="Arial"/>
          <w:kern w:val="0"/>
          <w:lang w:val="es-MX"/>
          <w14:ligatures w14:val="none"/>
        </w:rPr>
        <w:t>n resumen, Costa Rica mantiene un enfoque más conservador en sus inversiones predominantes, privilegiando los instrumentos de renta fija y acciones, mientras que</w:t>
      </w:r>
      <w:r w:rsidRPr="002012E1">
        <w:rPr>
          <w:rFonts w:ascii="Arial" w:eastAsia="Calibri" w:hAnsi="Arial" w:cs="Arial"/>
          <w:color w:val="FF0000"/>
          <w:kern w:val="0"/>
          <w:lang w:val="es-MX"/>
          <w14:ligatures w14:val="none"/>
        </w:rPr>
        <w:t xml:space="preserve">, </w:t>
      </w:r>
      <w:r w:rsidRPr="002012E1">
        <w:rPr>
          <w:rFonts w:ascii="Arial" w:eastAsia="Calibri" w:hAnsi="Arial" w:cs="Arial"/>
          <w:kern w:val="0"/>
          <w:lang w:val="es-MX"/>
          <w14:ligatures w14:val="none"/>
        </w:rPr>
        <w:t xml:space="preserve">en países más desarrollados como Estados Unidos, o en Latinoamérica un país </w:t>
      </w:r>
      <w:r w:rsidRPr="002012E1">
        <w:rPr>
          <w:rFonts w:ascii="Arial" w:eastAsia="Calibri" w:hAnsi="Arial" w:cs="Arial"/>
          <w:kern w:val="0"/>
          <w:lang w:val="es-MX"/>
          <w14:ligatures w14:val="none"/>
        </w:rPr>
        <w:lastRenderedPageBreak/>
        <w:t>como Colombia donde en ambos la diversificación incluye un mayor uso de inversiones alternativas que, aunque presentan mayores riesgos y complejidades, ofrecen potenciales rendimientos superiores y diversificación adicional.</w:t>
      </w:r>
    </w:p>
    <w:p w14:paraId="2E09D141" w14:textId="77777777" w:rsidR="00C51607" w:rsidRPr="002012E1" w:rsidRDefault="00C51607" w:rsidP="00C51607">
      <w:pPr>
        <w:spacing w:line="360" w:lineRule="auto"/>
        <w:ind w:firstLine="360"/>
        <w:jc w:val="both"/>
        <w:rPr>
          <w:rFonts w:ascii="Arial" w:eastAsia="Times New Roman" w:hAnsi="Arial" w:cs="Arial"/>
          <w:bCs/>
          <w:color w:val="000000"/>
          <w:kern w:val="0"/>
          <w14:ligatures w14:val="none"/>
        </w:rPr>
      </w:pPr>
    </w:p>
    <w:p w14:paraId="49AD6847" w14:textId="77777777" w:rsidR="00C51607" w:rsidRPr="002012E1" w:rsidRDefault="00C51607" w:rsidP="00C51607">
      <w:pPr>
        <w:pStyle w:val="apanivel3"/>
        <w:rPr>
          <w:rFonts w:ascii="Arial" w:hAnsi="Arial" w:cs="Arial"/>
        </w:rPr>
      </w:pPr>
      <w:bookmarkStart w:id="95" w:name="_Toc201832450"/>
      <w:r w:rsidRPr="002012E1">
        <w:rPr>
          <w:rFonts w:ascii="Arial" w:hAnsi="Arial" w:cs="Arial"/>
        </w:rPr>
        <w:t xml:space="preserve">Impacto </w:t>
      </w:r>
      <w:r>
        <w:rPr>
          <w:rFonts w:ascii="Arial" w:hAnsi="Arial" w:cs="Arial"/>
        </w:rPr>
        <w:t>a</w:t>
      </w:r>
      <w:r w:rsidRPr="002012E1">
        <w:rPr>
          <w:rFonts w:ascii="Arial" w:hAnsi="Arial" w:cs="Arial"/>
        </w:rPr>
        <w:t xml:space="preserve"> los Productos </w:t>
      </w:r>
      <w:r>
        <w:rPr>
          <w:rFonts w:ascii="Arial" w:hAnsi="Arial" w:cs="Arial"/>
        </w:rPr>
        <w:t>en las estrategias de Inversión</w:t>
      </w:r>
      <w:bookmarkEnd w:id="95"/>
      <w:r w:rsidRPr="002012E1">
        <w:rPr>
          <w:rFonts w:ascii="Arial" w:hAnsi="Arial" w:cs="Arial"/>
        </w:rPr>
        <w:t xml:space="preserve"> </w:t>
      </w:r>
    </w:p>
    <w:p w14:paraId="1C86587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impacto de los productos financieros en las estrategias de inversión es fundamental para diseñar y aplicar planes que permitan alcanzar los objetivos financieros de manera eficiente, considerando el perfil de riesgo, horizonte temporal y rentabilidad esperada.</w:t>
      </w:r>
    </w:p>
    <w:p w14:paraId="68FBA90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91A5A1" w14:textId="16219328" w:rsidR="00C51607" w:rsidRPr="002012E1" w:rsidRDefault="00C51607" w:rsidP="00C51607">
      <w:pPr>
        <w:spacing w:after="0" w:line="360" w:lineRule="auto"/>
        <w:jc w:val="both"/>
        <w:rPr>
          <w:rFonts w:ascii="Arial" w:eastAsia="Times New Roman" w:hAnsi="Arial" w:cs="Arial"/>
          <w:b/>
          <w:i/>
          <w:iCs/>
          <w:color w:val="000000"/>
          <w:kern w:val="0"/>
          <w:lang w:val="es-MX"/>
          <w14:ligatures w14:val="none"/>
        </w:rPr>
      </w:pPr>
      <w:bookmarkStart w:id="96" w:name="_Toc201322516"/>
      <w:r w:rsidRPr="002012E1">
        <w:rPr>
          <w:rFonts w:ascii="Arial" w:eastAsia="Calibri" w:hAnsi="Arial" w:cs="Arial"/>
          <w:b/>
          <w:bCs/>
          <w:kern w:val="0"/>
          <w:lang w:val="es-MX"/>
          <w14:ligatures w14:val="none"/>
        </w:rPr>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noProof/>
          <w:kern w:val="0"/>
          <w:lang w:val="es-MX"/>
          <w14:ligatures w14:val="none"/>
        </w:rPr>
        <w:t>13</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xml:space="preserve">. </w:t>
      </w:r>
      <w:r w:rsidRPr="002012E1">
        <w:rPr>
          <w:rFonts w:ascii="Arial" w:eastAsia="Times New Roman" w:hAnsi="Arial" w:cs="Arial"/>
          <w:b/>
          <w:i/>
          <w:iCs/>
          <w:color w:val="000000"/>
          <w:kern w:val="0"/>
          <w:lang w:val="es-MX"/>
          <w14:ligatures w14:val="none"/>
        </w:rPr>
        <w:t>Análisis Comparativo del Tipo de instrumento vs Impacto en la Estrategia de Inversión</w:t>
      </w:r>
      <w:bookmarkEnd w:id="96"/>
    </w:p>
    <w:tbl>
      <w:tblPr>
        <w:tblStyle w:val="Tablaconcuadrcula1"/>
        <w:tblW w:w="0" w:type="auto"/>
        <w:tblInd w:w="0" w:type="dxa"/>
        <w:tblLook w:val="04A0" w:firstRow="1" w:lastRow="0" w:firstColumn="1" w:lastColumn="0" w:noHBand="0" w:noVBand="1"/>
      </w:tblPr>
      <w:tblGrid>
        <w:gridCol w:w="2212"/>
        <w:gridCol w:w="6616"/>
      </w:tblGrid>
      <w:tr w:rsidR="00C51607" w:rsidRPr="002012E1" w14:paraId="532CFD7F" w14:textId="77777777" w:rsidTr="005C1607">
        <w:tc>
          <w:tcPr>
            <w:tcW w:w="0" w:type="auto"/>
            <w:vAlign w:val="center"/>
          </w:tcPr>
          <w:p w14:paraId="038BCAAA" w14:textId="77777777" w:rsidR="00C51607" w:rsidRPr="002012E1" w:rsidRDefault="00C51607" w:rsidP="005C1607">
            <w:pPr>
              <w:spacing w:line="360" w:lineRule="auto"/>
              <w:jc w:val="center"/>
              <w:rPr>
                <w:rFonts w:eastAsia="Calibri"/>
                <w:b/>
                <w:bCs/>
                <w:lang w:val="es-MX"/>
              </w:rPr>
            </w:pPr>
            <w:r w:rsidRPr="002012E1">
              <w:rPr>
                <w:rFonts w:eastAsia="Calibri"/>
                <w:b/>
                <w:bCs/>
                <w:lang w:val="es-MX"/>
              </w:rPr>
              <w:t>Tipo de Instrumento</w:t>
            </w:r>
          </w:p>
        </w:tc>
        <w:tc>
          <w:tcPr>
            <w:tcW w:w="0" w:type="auto"/>
            <w:vAlign w:val="center"/>
          </w:tcPr>
          <w:p w14:paraId="24EA7F93" w14:textId="77777777" w:rsidR="00C51607" w:rsidRPr="002012E1" w:rsidRDefault="00C51607" w:rsidP="005C1607">
            <w:pPr>
              <w:spacing w:line="360" w:lineRule="auto"/>
              <w:jc w:val="center"/>
              <w:rPr>
                <w:rFonts w:eastAsia="Calibri"/>
                <w:b/>
                <w:bCs/>
                <w:lang w:val="es-MX"/>
              </w:rPr>
            </w:pPr>
            <w:r w:rsidRPr="002012E1">
              <w:rPr>
                <w:rFonts w:eastAsia="Calibri"/>
                <w:b/>
                <w:bCs/>
                <w:lang w:val="es-MX"/>
              </w:rPr>
              <w:t>Impacto en la estrategia de Inversión</w:t>
            </w:r>
          </w:p>
        </w:tc>
      </w:tr>
      <w:tr w:rsidR="00C51607" w:rsidRPr="002012E1" w14:paraId="5FA48E90" w14:textId="77777777" w:rsidTr="005C1607">
        <w:tc>
          <w:tcPr>
            <w:tcW w:w="0" w:type="auto"/>
            <w:vAlign w:val="center"/>
          </w:tcPr>
          <w:p w14:paraId="0005DBD7" w14:textId="77777777" w:rsidR="00C51607" w:rsidRPr="002012E1" w:rsidRDefault="00C51607" w:rsidP="005C1607">
            <w:pPr>
              <w:spacing w:line="360" w:lineRule="auto"/>
              <w:jc w:val="center"/>
              <w:rPr>
                <w:rFonts w:eastAsia="Calibri"/>
                <w:lang w:val="es-MX"/>
              </w:rPr>
            </w:pPr>
            <w:r w:rsidRPr="002012E1">
              <w:rPr>
                <w:rFonts w:eastAsia="Calibri"/>
                <w:lang w:val="es-MX"/>
              </w:rPr>
              <w:t>Deuda</w:t>
            </w:r>
          </w:p>
        </w:tc>
        <w:tc>
          <w:tcPr>
            <w:tcW w:w="0" w:type="auto"/>
            <w:vAlign w:val="center"/>
          </w:tcPr>
          <w:p w14:paraId="7BCF6D64" w14:textId="77777777" w:rsidR="00C51607" w:rsidRPr="002012E1" w:rsidRDefault="00C51607" w:rsidP="005C1607">
            <w:pPr>
              <w:spacing w:line="360" w:lineRule="auto"/>
              <w:jc w:val="both"/>
              <w:rPr>
                <w:rFonts w:eastAsia="Calibri"/>
                <w:lang w:val="es-MX"/>
              </w:rPr>
            </w:pPr>
            <w:r w:rsidRPr="002012E1">
              <w:rPr>
                <w:rFonts w:eastAsia="Calibri"/>
                <w:lang w:val="es-MX"/>
              </w:rPr>
              <w:t>Proporciona estabilidad y flujo de ingresos predecibles, ideal para estrategias conservadoras y horizonte de inversión corto o medio. Reduce la volatilidad del portafolio, pero puede limitar la rentabilidad en entornos de bajas tasas de interés. Es clave para cubrir riesgos de tasa y mantener solvencia</w:t>
            </w:r>
          </w:p>
        </w:tc>
      </w:tr>
      <w:tr w:rsidR="00C51607" w:rsidRPr="002012E1" w14:paraId="54BE3410" w14:textId="77777777" w:rsidTr="005C1607">
        <w:tc>
          <w:tcPr>
            <w:tcW w:w="0" w:type="auto"/>
            <w:vAlign w:val="center"/>
          </w:tcPr>
          <w:p w14:paraId="46FE0E0B" w14:textId="77777777" w:rsidR="00C51607" w:rsidRPr="002012E1" w:rsidRDefault="00C51607" w:rsidP="005C1607">
            <w:pPr>
              <w:spacing w:line="360" w:lineRule="auto"/>
              <w:jc w:val="center"/>
              <w:rPr>
                <w:rFonts w:eastAsia="Calibri"/>
                <w:lang w:val="es-MX"/>
              </w:rPr>
            </w:pPr>
            <w:r w:rsidRPr="002012E1">
              <w:rPr>
                <w:rFonts w:eastAsia="Calibri"/>
                <w:lang w:val="es-MX"/>
              </w:rPr>
              <w:t>Acciones</w:t>
            </w:r>
          </w:p>
        </w:tc>
        <w:tc>
          <w:tcPr>
            <w:tcW w:w="0" w:type="auto"/>
            <w:vAlign w:val="center"/>
          </w:tcPr>
          <w:p w14:paraId="1B6D8CC5" w14:textId="77777777" w:rsidR="00C51607" w:rsidRPr="002012E1" w:rsidRDefault="00C51607" w:rsidP="005C1607">
            <w:pPr>
              <w:spacing w:line="360" w:lineRule="auto"/>
              <w:jc w:val="both"/>
              <w:rPr>
                <w:rFonts w:eastAsia="Calibri"/>
                <w:lang w:val="es-MX"/>
              </w:rPr>
            </w:pPr>
            <w:r w:rsidRPr="002012E1">
              <w:rPr>
                <w:rFonts w:eastAsia="Calibri"/>
                <w:lang w:val="es-MX"/>
              </w:rPr>
              <w:t>Ofrecen potencial de crecimiento y dividendos, adecuadas para estrategias de crecimiento y diversificación a largo plazo. Incrementan la volatilidad y el riesgo de mercado, pero pueden mejorar la rentabilidad esperada. Su inclusión debe balancear la tolerancia al riesgo y objetivos de rentabilidad</w:t>
            </w:r>
          </w:p>
        </w:tc>
      </w:tr>
      <w:tr w:rsidR="00C51607" w:rsidRPr="002012E1" w14:paraId="2FCEF0C3" w14:textId="77777777" w:rsidTr="005C1607">
        <w:tc>
          <w:tcPr>
            <w:tcW w:w="0" w:type="auto"/>
            <w:vAlign w:val="center"/>
          </w:tcPr>
          <w:p w14:paraId="1FE02321" w14:textId="77777777" w:rsidR="00C51607" w:rsidRPr="002012E1" w:rsidRDefault="00C51607" w:rsidP="005C1607">
            <w:pPr>
              <w:spacing w:line="360" w:lineRule="auto"/>
              <w:jc w:val="center"/>
              <w:rPr>
                <w:rFonts w:eastAsia="Calibri"/>
                <w:lang w:val="es-MX"/>
              </w:rPr>
            </w:pPr>
            <w:r w:rsidRPr="002012E1">
              <w:rPr>
                <w:rFonts w:eastAsia="Calibri"/>
                <w:lang w:val="es-MX"/>
              </w:rPr>
              <w:t>Inversiones alternativas o Productos alternativos</w:t>
            </w:r>
          </w:p>
        </w:tc>
        <w:tc>
          <w:tcPr>
            <w:tcW w:w="0" w:type="auto"/>
            <w:vAlign w:val="center"/>
          </w:tcPr>
          <w:p w14:paraId="74B0703E" w14:textId="77777777" w:rsidR="00C51607" w:rsidRPr="002012E1" w:rsidRDefault="00C51607" w:rsidP="005C1607">
            <w:pPr>
              <w:spacing w:line="360" w:lineRule="auto"/>
              <w:jc w:val="both"/>
              <w:rPr>
                <w:rFonts w:eastAsia="Calibri"/>
                <w:lang w:val="es-MX"/>
              </w:rPr>
            </w:pPr>
            <w:r w:rsidRPr="002012E1">
              <w:rPr>
                <w:rFonts w:eastAsia="Calibri"/>
                <w:lang w:val="es-MX"/>
              </w:rPr>
              <w:t xml:space="preserve">Aportan diversificación y potenciales mayores rendimientos, pero con menor liquidez y mayor complejidad. Su uso está restringido en fondos regulados, lo que limita su proporción en portafolios institucionales. Son útiles para estrategias de diversificación avanzada y para mitigar riesgos específicos, </w:t>
            </w:r>
            <w:r w:rsidRPr="002012E1">
              <w:rPr>
                <w:rFonts w:eastAsia="Calibri"/>
                <w:lang w:val="es-MX"/>
              </w:rPr>
              <w:lastRenderedPageBreak/>
              <w:t>aunque su valoración y riesgo operacional presentan desafíos contables</w:t>
            </w:r>
            <w:r w:rsidRPr="002012E1">
              <w:rPr>
                <w:rFonts w:eastAsia="Calibri"/>
                <w:bdr w:val="single" w:sz="2" w:space="0" w:color="E5E7EB" w:frame="1"/>
                <w:lang w:val="es-MX"/>
              </w:rPr>
              <w:t xml:space="preserve">. </w:t>
            </w:r>
            <w:r w:rsidRPr="002012E1">
              <w:rPr>
                <w:rFonts w:eastAsia="Calibri"/>
                <w:lang w:val="es-MX"/>
              </w:rPr>
              <w:t>Requieren una gestión activa y cuidadosa para evitar impactos negativos en la solvencia y rentabilidad. Son más adecuados para inversores con horizonte largo y alta tolerancia al riesgo, pero presentan dilemas por necesidades periódicas de liquidez y restricciones regulatorias</w:t>
            </w:r>
            <w:r w:rsidRPr="002012E1">
              <w:rPr>
                <w:rFonts w:eastAsia="Calibri"/>
                <w:bdr w:val="single" w:sz="2" w:space="0" w:color="E5E7EB" w:frame="1"/>
                <w:lang w:val="es-MX"/>
              </w:rPr>
              <w:t>.</w:t>
            </w:r>
          </w:p>
        </w:tc>
      </w:tr>
    </w:tbl>
    <w:p w14:paraId="30F73498" w14:textId="77777777" w:rsidR="00C51607" w:rsidRPr="002012E1" w:rsidRDefault="00C51607" w:rsidP="00C51607">
      <w:pPr>
        <w:spacing w:before="280" w:after="280" w:line="360" w:lineRule="auto"/>
        <w:jc w:val="right"/>
        <w:rPr>
          <w:rFonts w:ascii="Arial" w:eastAsia="Times New Roman" w:hAnsi="Arial" w:cs="Arial"/>
          <w:bCs/>
          <w:color w:val="000000"/>
          <w:kern w:val="0"/>
          <w14:ligatures w14:val="none"/>
        </w:rPr>
      </w:pPr>
      <w:r w:rsidRPr="002012E1">
        <w:rPr>
          <w:rFonts w:ascii="Arial" w:eastAsia="Times New Roman" w:hAnsi="Arial" w:cs="Arial"/>
          <w:b/>
          <w:color w:val="000000"/>
          <w:kern w:val="0"/>
          <w:lang w:val="en-US"/>
          <w14:ligatures w14:val="none"/>
        </w:rPr>
        <w:t xml:space="preserve">Fuente: </w:t>
      </w:r>
      <w:r w:rsidRPr="002012E1">
        <w:rPr>
          <w:rFonts w:ascii="Arial" w:eastAsia="Times New Roman" w:hAnsi="Arial" w:cs="Arial"/>
          <w:bCs/>
          <w:color w:val="000000"/>
          <w:kern w:val="0"/>
          <w:lang w:val="en-US"/>
          <w14:ligatures w14:val="none"/>
        </w:rPr>
        <w:t xml:space="preserve">Price Waterhouse Coopers (PWC, 2019). </w:t>
      </w:r>
      <w:r w:rsidRPr="002012E1">
        <w:rPr>
          <w:rFonts w:ascii="Arial" w:eastAsia="Times New Roman" w:hAnsi="Arial" w:cs="Arial"/>
          <w:b/>
          <w:color w:val="000000"/>
          <w:kern w:val="0"/>
          <w14:ligatures w14:val="none"/>
        </w:rPr>
        <w:t xml:space="preserve">Elaboración: </w:t>
      </w:r>
      <w:r w:rsidRPr="002012E1">
        <w:rPr>
          <w:rFonts w:ascii="Arial" w:eastAsia="Times New Roman" w:hAnsi="Arial" w:cs="Arial"/>
          <w:bCs/>
          <w:color w:val="000000"/>
          <w:kern w:val="0"/>
          <w14:ligatures w14:val="none"/>
        </w:rPr>
        <w:t>Grupo Investigador (2025)</w:t>
      </w:r>
    </w:p>
    <w:p w14:paraId="16A97733" w14:textId="77777777" w:rsidR="00C51607" w:rsidRPr="002012E1" w:rsidRDefault="00C51607" w:rsidP="00C51607">
      <w:pPr>
        <w:pStyle w:val="Celieth"/>
      </w:pPr>
      <w:r w:rsidRPr="002012E1">
        <w:t xml:space="preserve">El análisis de la tabla 13 revela cómo distintos tipos de instrumentos financieros impactan la estrategia de inversión en función de sus características de riesgo, liquidez y rentabilidad. </w:t>
      </w:r>
    </w:p>
    <w:p w14:paraId="7E4E9A0B" w14:textId="77777777" w:rsidR="00C51607" w:rsidRPr="002012E1" w:rsidRDefault="00C51607" w:rsidP="00C51607">
      <w:pPr>
        <w:pStyle w:val="Celieth"/>
      </w:pPr>
    </w:p>
    <w:p w14:paraId="287892E1" w14:textId="77777777" w:rsidR="00C51607" w:rsidRPr="002012E1" w:rsidRDefault="00C51607" w:rsidP="00C51607">
      <w:pPr>
        <w:pStyle w:val="Celieth"/>
      </w:pPr>
      <w:r w:rsidRPr="002012E1">
        <w:t>Los instrumentos de deuda se destacan por su capacidad de aportar estabilidad y un flujo de ingresos predecible, lo que los convierte en la base de portafolios conservadores o con horizontes de inversión de corto a mediano plazo. Sin embargo, su potencial de rentabilidad puede verse limitado en entornos de bajas tasas de interés, y su función principal es la de reducir la volatilidad y cubrir riesgos de tasa, manteniendo la solvencia del portafolio.</w:t>
      </w:r>
    </w:p>
    <w:p w14:paraId="34A79762" w14:textId="77777777" w:rsidR="00C51607" w:rsidRPr="002012E1" w:rsidRDefault="00C51607" w:rsidP="00C51607">
      <w:pPr>
        <w:pStyle w:val="Celieth"/>
      </w:pPr>
    </w:p>
    <w:p w14:paraId="1C6755AF" w14:textId="77777777" w:rsidR="00C51607" w:rsidRPr="002012E1" w:rsidRDefault="00C51607" w:rsidP="00C51607">
      <w:pPr>
        <w:pStyle w:val="Celieth"/>
      </w:pPr>
      <w:r w:rsidRPr="002012E1">
        <w:t xml:space="preserve">Por otro lado, las acciones y las inversiones alternativas ofrecen mayores oportunidades de crecimiento y diversificación, aunque incrementan la volatilidad y el riesgo de mercado. </w:t>
      </w:r>
    </w:p>
    <w:p w14:paraId="434ECE33" w14:textId="77777777" w:rsidR="00C51607" w:rsidRPr="002012E1" w:rsidRDefault="00C51607" w:rsidP="00C51607">
      <w:pPr>
        <w:pStyle w:val="Celieth"/>
      </w:pPr>
    </w:p>
    <w:p w14:paraId="41495A23" w14:textId="77777777" w:rsidR="00C51607" w:rsidRPr="002012E1" w:rsidRDefault="00C51607" w:rsidP="00C51607">
      <w:pPr>
        <w:pStyle w:val="Celieth"/>
      </w:pPr>
      <w:r w:rsidRPr="002012E1">
        <w:t xml:space="preserve">Las acciones son fundamentales para estrategias de crecimiento a largo plazo, mientras que las inversiones alternativas, aunque aportan diversificación y potenciales rendimientos superiores, presentan desafíos en términos de liquidez, valoración y regulación. </w:t>
      </w:r>
    </w:p>
    <w:p w14:paraId="3613C1DD" w14:textId="77777777" w:rsidR="00C51607" w:rsidRPr="002012E1" w:rsidRDefault="00C51607" w:rsidP="00C51607">
      <w:pPr>
        <w:pStyle w:val="Celieth"/>
      </w:pPr>
    </w:p>
    <w:p w14:paraId="2F010A43" w14:textId="77777777" w:rsidR="00C51607" w:rsidRPr="002012E1" w:rsidRDefault="00C51607" w:rsidP="00C51607">
      <w:pPr>
        <w:pStyle w:val="Celieth"/>
      </w:pPr>
      <w:r w:rsidRPr="002012E1">
        <w:lastRenderedPageBreak/>
        <w:t>Por su parte, suelen ser instrumentos de alto riesgo y baja liquidez, adecuados solo para inversores sofisticados con alta tolerancia al riesgo y horizontes largos, pero requieren una gestión activa y cuidadosa para no comprometer la solvencia ni la rentabilidad del portafolio. Así, la correcta combinación de estos instrumentos permite diseñar estrategias de inversión alineadas con los objetivos, el perfil de riesgo y las restricciones regulatorias de cada inversor.</w:t>
      </w:r>
    </w:p>
    <w:p w14:paraId="55F3710C" w14:textId="77777777" w:rsidR="00C51607" w:rsidRPr="002012E1" w:rsidRDefault="00C51607" w:rsidP="00C51607">
      <w:pPr>
        <w:pStyle w:val="Celieth"/>
      </w:pPr>
    </w:p>
    <w:p w14:paraId="7744C8DA" w14:textId="77777777" w:rsidR="00C51607" w:rsidRPr="002012E1" w:rsidRDefault="00C51607" w:rsidP="00C51607">
      <w:pPr>
        <w:pStyle w:val="apanivel4"/>
      </w:pPr>
      <w:r w:rsidRPr="002012E1">
        <w:t>Rentabilidad, sostenibilidad y solvencia</w:t>
      </w:r>
    </w:p>
    <w:p w14:paraId="24DA37D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decisiones de inversión en estos productos afectan directamente la rentabilidad y sostenibilidad de los fondos. Por ejemplo, la deuda aporta estabilidad y protege la solvencia en escenarios adversos, mientras que las acciones y productos alternativos pueden aumentar la rentabilidad pero también la volatilidad y el riesgo de pérdidas temporales que afectan el patrimonio contable. </w:t>
      </w:r>
    </w:p>
    <w:p w14:paraId="629C716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6B6FE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inclusión de productos alternativos debe manejarse con prudencia para no comprometer la liquidez necesaria para cumplir con obligaciones periódicas, como pagos de pensiones.</w:t>
      </w:r>
    </w:p>
    <w:p w14:paraId="553DABD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9F72762" w14:textId="77777777" w:rsidR="00C51607" w:rsidRPr="002012E1" w:rsidRDefault="00C51607" w:rsidP="00C51607">
      <w:pPr>
        <w:pStyle w:val="apanivel4"/>
      </w:pPr>
      <w:r w:rsidRPr="002012E1">
        <w:t>Restricciones normativas y efectos contables</w:t>
      </w:r>
    </w:p>
    <w:p w14:paraId="59AEBC3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Costa Rica, la SUPEN establece límites estrictos para la inversión en productos alternativos, restringiendo su proporción en los portafolios de fondos de pensiones para proteger a los afiliados de riesgos excesivos y problemas de liquidez. </w:t>
      </w:r>
    </w:p>
    <w:p w14:paraId="1F78174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21AB3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restricciones buscan equilibrar la búsqueda de mayores rendimientos con la necesidad de mantener solvencia y cumplimiento normativo. Contablemente, los riesgos se reflejan en los estados financieros: pérdidas por deterioro afectan la utilidad y patrimonio, mientras que la volatilidad de mercado puede generar fluctuaciones en el valor de los activos que impactan la valoración del portafolio y la percepción de riesgo.</w:t>
      </w:r>
    </w:p>
    <w:p w14:paraId="6FB29EE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869454" w14:textId="77777777" w:rsidR="00C51607" w:rsidRPr="002012E1" w:rsidRDefault="00C51607" w:rsidP="00C51607">
      <w:pPr>
        <w:pStyle w:val="apanivel4"/>
      </w:pPr>
      <w:r w:rsidRPr="002012E1">
        <w:lastRenderedPageBreak/>
        <w:t>Adaptación a cambios macroeconómicos y alineación con objetivos de largo plazo</w:t>
      </w:r>
    </w:p>
    <w:p w14:paraId="6FF52B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estrategias de inversión deben ser dinámicas para responder a cambios en tasas de interés, inflación y ciclos económicos. La deuda puede perder atractivo en entornos de alta inflación, mientras que las acciones y productos alternativos pueden ofrecer protección o crecimiento en escenarios inflacionarios o de recuperación económica. </w:t>
      </w:r>
    </w:p>
    <w:p w14:paraId="2BA4673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1883B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proporción de inversión varía en el tiempo según el comportamiento de cada producto y las condiciones macroeconómicas, buscando siempre cubrir riesgos específicos como tasa, inflación, mercado y longevidad. La combinación adecuada de estos productos maximiza el cumplimiento de los objetivos de largo plazo de los fondos de pensiones, equilibrando rentabilidad, riesgo y liquidez.</w:t>
      </w:r>
    </w:p>
    <w:p w14:paraId="1082026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6A34471" w14:textId="77777777" w:rsidR="00C51607" w:rsidRPr="002012E1" w:rsidRDefault="00C51607" w:rsidP="00C51607">
      <w:pPr>
        <w:pStyle w:val="apanivel4"/>
      </w:pPr>
      <w:r w:rsidRPr="002012E1">
        <w:t>Factores para ajustar estrategias y desafíos contables</w:t>
      </w:r>
    </w:p>
    <w:p w14:paraId="20859C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tomadores de decisiones deben considerar el perfil de riesgo, horizonte temporal, condiciones económicas y restricciones regulatorias para ajustar la estrategia. Los productos alternativos representan un desafío contable y estratégico por su complejidad, menor transparencia y dificultad para valorar correctamente, lo que puede afectar la presentación financiera y la percepción de riesgo. Por ello, su inclusión debe ser cuidadosa y complementarse con productos más líquidos y estables para mantener la sostenibilidad y solvencia del fondo</w:t>
      </w:r>
    </w:p>
    <w:p w14:paraId="40C3B292" w14:textId="77777777" w:rsidR="00C51607" w:rsidRPr="002012E1" w:rsidRDefault="00C51607" w:rsidP="00C51607">
      <w:pPr>
        <w:spacing w:after="0" w:line="360" w:lineRule="auto"/>
        <w:rPr>
          <w:rFonts w:ascii="Arial" w:eastAsia="Calibri" w:hAnsi="Arial" w:cs="Arial"/>
          <w:kern w:val="0"/>
          <w14:ligatures w14:val="none"/>
        </w:rPr>
      </w:pPr>
    </w:p>
    <w:p w14:paraId="2EA66C4C" w14:textId="77777777" w:rsidR="00C51607" w:rsidRPr="002012E1" w:rsidRDefault="00C51607" w:rsidP="00C51607">
      <w:pPr>
        <w:pStyle w:val="apanivel4"/>
      </w:pPr>
      <w:r w:rsidRPr="002012E1">
        <w:t>Estrategias de inversión y su relación con los productos financieros</w:t>
      </w:r>
    </w:p>
    <w:p w14:paraId="4195709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Una estrategia de inversión es “un plan estructurado que guía las decisiones financieras para alcanzar objetivos específicos, tomando en cuenta factores como el perfil de riesgo, horizonte temporal y condiciones del mercado” (Grupo NN España, 2025, párr. 3).</w:t>
      </w:r>
    </w:p>
    <w:p w14:paraId="1D0DD1B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Estas estrategias pueden ser clasificadas en activas, pasivas, de crecimiento, valor, entre otras, y su diseño depende de los instrumentos financieros disponibles y sus características.</w:t>
      </w:r>
    </w:p>
    <w:p w14:paraId="3633001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967AE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productos financieros influyen en la estrategia en aspectos como:</w:t>
      </w:r>
    </w:p>
    <w:p w14:paraId="70F6750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9F50183" w14:textId="77777777" w:rsidR="00C51607" w:rsidRPr="002012E1" w:rsidRDefault="00C51607" w:rsidP="00C51607">
      <w:pPr>
        <w:numPr>
          <w:ilvl w:val="0"/>
          <w:numId w:val="12"/>
        </w:numPr>
        <w:spacing w:after="0" w:line="360" w:lineRule="auto"/>
        <w:jc w:val="both"/>
        <w:rPr>
          <w:rFonts w:ascii="Arial" w:eastAsia="Calibri" w:hAnsi="Arial" w:cs="Arial"/>
          <w:kern w:val="0"/>
          <w:lang w:val="es-MX"/>
          <w14:ligatures w14:val="none"/>
        </w:rPr>
      </w:pPr>
      <w:r w:rsidRPr="002012E1">
        <w:rPr>
          <w:rFonts w:ascii="Arial" w:eastAsia="Calibri" w:hAnsi="Arial" w:cs="Arial"/>
          <w:b/>
          <w:kern w:val="0"/>
          <w:lang w:val="es-MX"/>
          <w14:ligatures w14:val="none"/>
        </w:rPr>
        <w:t xml:space="preserve">Horizonte de activos: </w:t>
      </w:r>
      <w:r w:rsidRPr="002012E1">
        <w:rPr>
          <w:rFonts w:ascii="Arial" w:eastAsia="Calibri" w:hAnsi="Arial" w:cs="Arial"/>
          <w:kern w:val="0"/>
          <w:lang w:val="es-MX"/>
          <w14:ligatures w14:val="none"/>
        </w:rPr>
        <w:t>Instrumentos de renta fija (deuda) suelen ser preferidos para objetivos a corto o mediano plazo por su estabilidad, mientras que en acciones e inversiones alternativas se alinean mejor con horizontes largos debido a su volatilidad y potencial de crecimiento (BBVA, 2025)</w:t>
      </w:r>
    </w:p>
    <w:p w14:paraId="0747C241" w14:textId="77777777" w:rsidR="00C51607" w:rsidRPr="002012E1" w:rsidRDefault="00C51607" w:rsidP="00C51607">
      <w:pPr>
        <w:numPr>
          <w:ilvl w:val="0"/>
          <w:numId w:val="12"/>
        </w:numPr>
        <w:spacing w:after="0" w:line="360" w:lineRule="auto"/>
        <w:jc w:val="both"/>
        <w:rPr>
          <w:rFonts w:ascii="Arial" w:eastAsia="Calibri" w:hAnsi="Arial" w:cs="Arial"/>
          <w:kern w:val="0"/>
          <w:lang w:val="es-MX"/>
          <w14:ligatures w14:val="none"/>
        </w:rPr>
      </w:pPr>
      <w:r w:rsidRPr="002012E1">
        <w:rPr>
          <w:rFonts w:ascii="Arial" w:eastAsia="Calibri" w:hAnsi="Arial" w:cs="Arial"/>
          <w:b/>
          <w:kern w:val="0"/>
          <w:lang w:val="es-MX"/>
          <w14:ligatures w14:val="none"/>
        </w:rPr>
        <w:t>Perfil de riesgo:</w:t>
      </w:r>
      <w:r w:rsidRPr="002012E1">
        <w:rPr>
          <w:rFonts w:ascii="Arial" w:eastAsia="Calibri" w:hAnsi="Arial" w:cs="Arial"/>
          <w:kern w:val="0"/>
          <w:lang w:val="es-MX"/>
          <w14:ligatures w14:val="none"/>
        </w:rPr>
        <w:t xml:space="preserve"> La deuda ofrece menor riesgo y menor rentabilidad, mientras que en acciones e inversiones alternativas implican mayor riesgo y potencial de mayores rendimientos (UNIR, 2024)</w:t>
      </w:r>
    </w:p>
    <w:p w14:paraId="66F3EBE9" w14:textId="77777777" w:rsidR="00C51607" w:rsidRPr="002012E1" w:rsidRDefault="00C51607" w:rsidP="00C51607">
      <w:pPr>
        <w:numPr>
          <w:ilvl w:val="0"/>
          <w:numId w:val="12"/>
        </w:numPr>
        <w:spacing w:after="0" w:line="360" w:lineRule="auto"/>
        <w:jc w:val="both"/>
        <w:rPr>
          <w:rFonts w:ascii="Arial" w:eastAsia="Calibri" w:hAnsi="Arial" w:cs="Arial"/>
          <w:kern w:val="0"/>
          <w:lang w:val="es-MX"/>
          <w14:ligatures w14:val="none"/>
        </w:rPr>
      </w:pPr>
      <w:r w:rsidRPr="002012E1">
        <w:rPr>
          <w:rFonts w:ascii="Arial" w:eastAsia="Calibri" w:hAnsi="Arial" w:cs="Arial"/>
          <w:b/>
          <w:kern w:val="0"/>
          <w:lang w:val="es-MX"/>
          <w14:ligatures w14:val="none"/>
        </w:rPr>
        <w:t>Objetivos de rentabilidad:</w:t>
      </w:r>
      <w:r w:rsidRPr="002012E1">
        <w:rPr>
          <w:rFonts w:ascii="Arial" w:eastAsia="Calibri" w:hAnsi="Arial" w:cs="Arial"/>
          <w:kern w:val="0"/>
          <w:lang w:val="es-MX"/>
          <w14:ligatures w14:val="none"/>
        </w:rPr>
        <w:t xml:space="preserve"> La combinación de productos permite balancear la búsqueda de rentabilidad con la tolerancia al riesgo, diversificando para optimizar el rendimiento ajustado al riesgo.</w:t>
      </w:r>
    </w:p>
    <w:p w14:paraId="36AE419B"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5617A9BB" w14:textId="1599C000" w:rsidR="00C51607" w:rsidRPr="002012E1" w:rsidRDefault="00C51607" w:rsidP="00C51607">
      <w:pPr>
        <w:spacing w:line="360" w:lineRule="auto"/>
        <w:rPr>
          <w:rFonts w:ascii="Arial" w:eastAsia="Times New Roman" w:hAnsi="Arial" w:cs="Arial"/>
          <w:b/>
          <w:i/>
          <w:iCs/>
          <w:color w:val="000000"/>
          <w:kern w:val="0"/>
          <w14:ligatures w14:val="none"/>
        </w:rPr>
      </w:pPr>
      <w:r w:rsidRPr="002012E1">
        <w:rPr>
          <w:rFonts w:ascii="Arial" w:eastAsia="Times New Roman" w:hAnsi="Arial" w:cs="Arial"/>
          <w:bCs/>
          <w:color w:val="000000"/>
          <w:kern w:val="0"/>
          <w14:ligatures w14:val="none"/>
        </w:rPr>
        <w:t> </w:t>
      </w:r>
      <w:bookmarkStart w:id="97" w:name="_Toc201322517"/>
      <w:r w:rsidRPr="002012E1">
        <w:rPr>
          <w:rFonts w:ascii="Arial" w:eastAsia="Calibri" w:hAnsi="Arial" w:cs="Arial"/>
          <w:b/>
          <w:b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noProof/>
          <w:kern w:val="0"/>
          <w14:ligatures w14:val="none"/>
        </w:rPr>
        <w:t>14</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color w:val="000000"/>
          <w:kern w:val="0"/>
          <w14:ligatures w14:val="none"/>
        </w:rPr>
        <w:t>Tipo de instrumento e impacto en las estrategias de inversión</w:t>
      </w:r>
      <w:bookmarkEnd w:id="97"/>
    </w:p>
    <w:tbl>
      <w:tblPr>
        <w:tblStyle w:val="Tablaconcuadrcula1"/>
        <w:tblW w:w="0" w:type="auto"/>
        <w:tblInd w:w="0" w:type="dxa"/>
        <w:tblLook w:val="04A0" w:firstRow="1" w:lastRow="0" w:firstColumn="1" w:lastColumn="0" w:noHBand="0" w:noVBand="1"/>
      </w:tblPr>
      <w:tblGrid>
        <w:gridCol w:w="2056"/>
        <w:gridCol w:w="6772"/>
      </w:tblGrid>
      <w:tr w:rsidR="00C51607" w:rsidRPr="002012E1" w14:paraId="0AD85D46" w14:textId="77777777" w:rsidTr="005C1607">
        <w:trPr>
          <w:trHeight w:val="20"/>
        </w:trPr>
        <w:tc>
          <w:tcPr>
            <w:tcW w:w="0" w:type="auto"/>
            <w:vAlign w:val="center"/>
          </w:tcPr>
          <w:p w14:paraId="64D73D47" w14:textId="77777777" w:rsidR="00C51607" w:rsidRPr="002012E1" w:rsidRDefault="00C51607" w:rsidP="005C1607">
            <w:pPr>
              <w:spacing w:after="160" w:line="360" w:lineRule="auto"/>
              <w:jc w:val="center"/>
              <w:rPr>
                <w:rFonts w:eastAsia="Times New Roman"/>
                <w:b/>
                <w:color w:val="000000"/>
              </w:rPr>
            </w:pPr>
            <w:r w:rsidRPr="002012E1">
              <w:rPr>
                <w:rFonts w:eastAsia="Times New Roman"/>
                <w:b/>
                <w:color w:val="000000"/>
              </w:rPr>
              <w:t>Tipo de Instrumento</w:t>
            </w:r>
          </w:p>
        </w:tc>
        <w:tc>
          <w:tcPr>
            <w:tcW w:w="0" w:type="auto"/>
            <w:vAlign w:val="center"/>
          </w:tcPr>
          <w:p w14:paraId="3056BE89" w14:textId="77777777" w:rsidR="00C51607" w:rsidRPr="002012E1" w:rsidRDefault="00C51607" w:rsidP="005C1607">
            <w:pPr>
              <w:spacing w:after="160" w:line="360" w:lineRule="auto"/>
              <w:jc w:val="center"/>
              <w:rPr>
                <w:rFonts w:eastAsia="Times New Roman"/>
                <w:b/>
                <w:color w:val="000000"/>
              </w:rPr>
            </w:pPr>
            <w:r w:rsidRPr="002012E1">
              <w:rPr>
                <w:rFonts w:eastAsia="Times New Roman"/>
                <w:b/>
                <w:color w:val="000000"/>
              </w:rPr>
              <w:t>Impacto en la estrategia de inversión</w:t>
            </w:r>
          </w:p>
        </w:tc>
      </w:tr>
      <w:tr w:rsidR="00C51607" w:rsidRPr="002012E1" w14:paraId="0BC9E5AB" w14:textId="77777777" w:rsidTr="005C1607">
        <w:trPr>
          <w:trHeight w:val="20"/>
        </w:trPr>
        <w:tc>
          <w:tcPr>
            <w:tcW w:w="0" w:type="auto"/>
            <w:vAlign w:val="center"/>
          </w:tcPr>
          <w:p w14:paraId="297EEF31"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Deuda</w:t>
            </w:r>
          </w:p>
        </w:tc>
        <w:tc>
          <w:tcPr>
            <w:tcW w:w="0" w:type="auto"/>
            <w:vAlign w:val="center"/>
          </w:tcPr>
          <w:p w14:paraId="05AAFD73"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Proporciona ingresos estables y menor riesgo, adecuado para estrategias conservadoras y horizontes de inversión cortos o medios.</w:t>
            </w:r>
          </w:p>
        </w:tc>
      </w:tr>
      <w:tr w:rsidR="00C51607" w:rsidRPr="002012E1" w14:paraId="5A00512A" w14:textId="77777777" w:rsidTr="005C1607">
        <w:trPr>
          <w:trHeight w:val="20"/>
        </w:trPr>
        <w:tc>
          <w:tcPr>
            <w:tcW w:w="0" w:type="auto"/>
            <w:vAlign w:val="center"/>
          </w:tcPr>
          <w:p w14:paraId="5B7C9022"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Acciones</w:t>
            </w:r>
          </w:p>
        </w:tc>
        <w:tc>
          <w:tcPr>
            <w:tcW w:w="0" w:type="auto"/>
            <w:vAlign w:val="center"/>
          </w:tcPr>
          <w:p w14:paraId="54B25F56"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Ofrecen potencial de crecimiento de capital, mayor volatilidad; ideales para estrategias de crecimiento y horizontes largos</w:t>
            </w:r>
          </w:p>
        </w:tc>
      </w:tr>
      <w:tr w:rsidR="00C51607" w:rsidRPr="002012E1" w14:paraId="0785523F" w14:textId="77777777" w:rsidTr="005C1607">
        <w:trPr>
          <w:trHeight w:val="20"/>
        </w:trPr>
        <w:tc>
          <w:tcPr>
            <w:tcW w:w="0" w:type="auto"/>
            <w:vAlign w:val="center"/>
          </w:tcPr>
          <w:p w14:paraId="593699D0"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Inversiones alternativas</w:t>
            </w:r>
          </w:p>
        </w:tc>
        <w:tc>
          <w:tcPr>
            <w:tcW w:w="0" w:type="auto"/>
            <w:vAlign w:val="center"/>
          </w:tcPr>
          <w:p w14:paraId="1EB7AD70" w14:textId="77777777" w:rsidR="00C51607" w:rsidRPr="002012E1" w:rsidRDefault="00C51607" w:rsidP="005C1607">
            <w:pPr>
              <w:spacing w:after="160" w:line="360" w:lineRule="auto"/>
              <w:jc w:val="center"/>
              <w:rPr>
                <w:rFonts w:eastAsia="Times New Roman"/>
                <w:bCs/>
                <w:color w:val="000000"/>
              </w:rPr>
            </w:pPr>
            <w:r w:rsidRPr="002012E1">
              <w:rPr>
                <w:rFonts w:eastAsia="Times New Roman"/>
                <w:bCs/>
                <w:color w:val="000000"/>
              </w:rPr>
              <w:t>Diversifican la cartera, pueden mejorar rendimientos ajustados al riesgo, pero requieren mayor tolerancia a la liquidez y complejidad</w:t>
            </w:r>
          </w:p>
        </w:tc>
      </w:tr>
    </w:tbl>
    <w:p w14:paraId="20B0E2FA" w14:textId="77777777" w:rsidR="00C51607" w:rsidRPr="002012E1" w:rsidRDefault="00C51607" w:rsidP="00C51607">
      <w:pPr>
        <w:spacing w:before="280" w:after="280" w:line="360" w:lineRule="auto"/>
        <w:jc w:val="right"/>
        <w:rPr>
          <w:rFonts w:ascii="Arial" w:eastAsia="Times New Roman" w:hAnsi="Arial" w:cs="Arial"/>
          <w:bCs/>
          <w:color w:val="000000"/>
          <w:kern w:val="0"/>
          <w14:ligatures w14:val="none"/>
        </w:rPr>
      </w:pPr>
      <w:r w:rsidRPr="002012E1">
        <w:rPr>
          <w:rFonts w:ascii="Arial" w:eastAsia="Times New Roman" w:hAnsi="Arial" w:cs="Arial"/>
          <w:b/>
          <w:color w:val="000000"/>
          <w:kern w:val="0"/>
          <w:lang w:val="en-US"/>
          <w14:ligatures w14:val="none"/>
        </w:rPr>
        <w:lastRenderedPageBreak/>
        <w:t xml:space="preserve">Fuente: </w:t>
      </w:r>
      <w:r w:rsidRPr="002012E1">
        <w:rPr>
          <w:rFonts w:ascii="Arial" w:eastAsia="Times New Roman" w:hAnsi="Arial" w:cs="Arial"/>
          <w:bCs/>
          <w:color w:val="000000"/>
          <w:kern w:val="0"/>
          <w:lang w:val="en-US"/>
          <w14:ligatures w14:val="none"/>
        </w:rPr>
        <w:t xml:space="preserve">Price Waterhouse Coopers (PWC, 2019). </w:t>
      </w:r>
      <w:r w:rsidRPr="002012E1">
        <w:rPr>
          <w:rFonts w:ascii="Arial" w:eastAsia="Times New Roman" w:hAnsi="Arial" w:cs="Arial"/>
          <w:b/>
          <w:color w:val="000000"/>
          <w:kern w:val="0"/>
          <w14:ligatures w14:val="none"/>
        </w:rPr>
        <w:t xml:space="preserve">Elaboración: </w:t>
      </w:r>
      <w:r w:rsidRPr="002012E1">
        <w:rPr>
          <w:rFonts w:ascii="Arial" w:eastAsia="Times New Roman" w:hAnsi="Arial" w:cs="Arial"/>
          <w:bCs/>
          <w:color w:val="000000"/>
          <w:kern w:val="0"/>
          <w14:ligatures w14:val="none"/>
        </w:rPr>
        <w:t>Grupo Investigador (2025)</w:t>
      </w:r>
    </w:p>
    <w:p w14:paraId="3D004B1D" w14:textId="77777777" w:rsidR="00C51607" w:rsidRDefault="00C51607" w:rsidP="00C51607">
      <w:pPr>
        <w:pStyle w:val="Celieth"/>
      </w:pPr>
    </w:p>
    <w:p w14:paraId="4F4E7D83" w14:textId="77777777" w:rsidR="00C51607" w:rsidRPr="002012E1" w:rsidRDefault="00C51607" w:rsidP="00C51607">
      <w:pPr>
        <w:pStyle w:val="Celieth"/>
      </w:pPr>
      <w:r w:rsidRPr="002012E1">
        <w:t xml:space="preserve">La tabla sintetiza el impacto de cuatro tipos principales de instrumentos financieros en la estrategia de inversión, destacando cómo cada uno se adapta a distintos perfiles y objetivos. Los instrumentos de deuda ofrecen ingresos estables y menor riesgo, siendo ideales para estrategias conservadoras y horizontes de inversión cortos o medios, lo que los hace fundamentales para quienes priorizan la seguridad y la preservación del capital. </w:t>
      </w:r>
    </w:p>
    <w:p w14:paraId="1131EC99" w14:textId="77777777" w:rsidR="00C51607" w:rsidRPr="002012E1" w:rsidRDefault="00C51607" w:rsidP="00C51607">
      <w:pPr>
        <w:pStyle w:val="Celieth"/>
      </w:pPr>
    </w:p>
    <w:p w14:paraId="434E7389" w14:textId="77777777" w:rsidR="00C51607" w:rsidRPr="002012E1" w:rsidRDefault="00C51607" w:rsidP="00C51607">
      <w:pPr>
        <w:pStyle w:val="Celieth"/>
      </w:pPr>
      <w:r w:rsidRPr="002012E1">
        <w:t>En contraste, las acciones presentan un mayor potencial de crecimiento de capital, aunque con mayor volatilidad, por lo que son recomendadas para estrategias orientadas al crecimiento y con un horizonte de inversión largo, donde el inversor puede tolerar fluctuaciones temporales en busca de rentabilidades superiores.</w:t>
      </w:r>
    </w:p>
    <w:p w14:paraId="33B33353" w14:textId="77777777" w:rsidR="00C51607" w:rsidRPr="002012E1" w:rsidRDefault="00C51607" w:rsidP="00C51607">
      <w:pPr>
        <w:pStyle w:val="Celieth"/>
      </w:pPr>
    </w:p>
    <w:p w14:paraId="7CC4C7D9" w14:textId="77777777" w:rsidR="00C51607" w:rsidRPr="002012E1" w:rsidRDefault="00C51607" w:rsidP="00C51607">
      <w:pPr>
        <w:pStyle w:val="Celieth"/>
      </w:pPr>
      <w:r w:rsidRPr="002012E1">
        <w:t xml:space="preserve">Las inversiones alternativas y los productos alternativos aportan diversificación adicional a la cartera, mejorando el perfil riesgo-rendimiento, pero a costa de mayor complejidad y menor liquidez. </w:t>
      </w:r>
    </w:p>
    <w:p w14:paraId="2433C1BA" w14:textId="77777777" w:rsidR="00C51607" w:rsidRPr="002012E1" w:rsidRDefault="00C51607" w:rsidP="00C51607">
      <w:pPr>
        <w:pStyle w:val="Celieth"/>
      </w:pPr>
    </w:p>
    <w:p w14:paraId="709BB3A4" w14:textId="77777777" w:rsidR="00C51607" w:rsidRPr="002012E1" w:rsidRDefault="00C51607" w:rsidP="00C51607">
      <w:pPr>
        <w:pStyle w:val="Celieth"/>
      </w:pPr>
      <w:r w:rsidRPr="002012E1">
        <w:t>Las inversiones alternativas son útiles para mejorar rendimientos ajustados al riesgo, pero requieren una mayor tolerancia a la iliquidez y a la complejidad operativa, mientras que los productos alternativos, por su elevado riesgo y sofisticación, se reservan para estrategias avanzadas y a largo plazo. Así, la correcta combinación de estos instrumentos permite diseñar carteras que equilibran seguridad, crecimiento y diversificación, ajustándose al perfil y necesidades específicas del inverso</w:t>
      </w:r>
    </w:p>
    <w:p w14:paraId="204787D3" w14:textId="77777777" w:rsidR="00C51607" w:rsidRPr="002012E1" w:rsidRDefault="00C51607" w:rsidP="00C51607">
      <w:pPr>
        <w:pStyle w:val="Celieth"/>
      </w:pPr>
    </w:p>
    <w:p w14:paraId="73327D32" w14:textId="77777777" w:rsidR="00C51607" w:rsidRPr="002012E1" w:rsidRDefault="00C51607" w:rsidP="00C51607">
      <w:pPr>
        <w:numPr>
          <w:ilvl w:val="3"/>
          <w:numId w:val="0"/>
        </w:numPr>
        <w:tabs>
          <w:tab w:val="num" w:pos="360"/>
        </w:tabs>
        <w:spacing w:before="120" w:after="120" w:line="360" w:lineRule="auto"/>
        <w:ind w:left="720"/>
        <w:jc w:val="both"/>
        <w:outlineLvl w:val="3"/>
        <w:rPr>
          <w:rFonts w:ascii="Arial" w:eastAsia="Calibri" w:hAnsi="Arial" w:cs="Arial"/>
          <w:b/>
          <w:iCs/>
          <w:kern w:val="0"/>
          <w14:ligatures w14:val="none"/>
        </w:rPr>
      </w:pPr>
      <w:r w:rsidRPr="002012E1">
        <w:rPr>
          <w:rFonts w:ascii="Arial" w:eastAsia="Calibri" w:hAnsi="Arial" w:cs="Arial"/>
          <w:b/>
          <w:iCs/>
          <w:kern w:val="0"/>
          <w14:ligatures w14:val="none"/>
        </w:rPr>
        <w:t>Impacto en rentabilidad, sostenibilidad y solvencia</w:t>
      </w:r>
    </w:p>
    <w:p w14:paraId="72F9D54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decisiones sobre que productos incluir en la cartera afectan directamente la rentabilidad y la sostenibilidad financiera del fondo. Por ejemplo, una mayor </w:t>
      </w:r>
      <w:r w:rsidRPr="002012E1">
        <w:rPr>
          <w:rFonts w:ascii="Arial" w:eastAsia="Calibri" w:hAnsi="Arial" w:cs="Arial"/>
          <w:kern w:val="0"/>
          <w:lang w:val="es-MX"/>
          <w14:ligatures w14:val="none"/>
        </w:rPr>
        <w:lastRenderedPageBreak/>
        <w:t>exposición a acciones e inversiones alternativas puede incrementar la rentabilidad esperada, pero también la volatilidad y el riesgo de perdidas temporales que afectan la solvencia y la estabilidad del fondo.</w:t>
      </w:r>
    </w:p>
    <w:p w14:paraId="7579122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B9ABD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Costa Rica, la superintendencia de pensiones (SUPEN) es la que “regula estrictamente la inversión en productos alternativos, limitando su proporción en la cartera para proteger la solvencia y liquidez del fondo. Estas restricciones buscan evitar excesos de riesgo y asegurar que los fondos puedan cumplir con sus obligaciones” (SUPEN, 2024, p. 14)</w:t>
      </w:r>
    </w:p>
    <w:p w14:paraId="2E02634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CA82EA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Ahora bien, estas tienen efectos sobre la medición contable del riesgo, pues las decisiones de inversión impactan los estados financieros según como se reflejan las variaciones en el valor de los activos:</w:t>
      </w:r>
    </w:p>
    <w:p w14:paraId="4B139B6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3DC89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ejemplo, Deloitte (2019) indica que “las perdidas por deterioro o fluctuaciones en valor razonable pueden afectar la utilidad o el patrimonio, dependiendo de la clasificación contable bajo NIIF 9 y NIIF 13” (p. 24)</w:t>
      </w:r>
    </w:p>
    <w:p w14:paraId="3F44FA3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4409E2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el ICAC (2023) indica que “los productos con valoración compleja, como las inversiones alternativas, presentan mayores desafíos para reflejar el riesgo y la volatilidad de forma transparente (p. 32)</w:t>
      </w:r>
    </w:p>
    <w:p w14:paraId="4E00D7A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5ECB9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los fondos deben equilibrar la rentabilidad esperada con la tolerancia al riesgo y el cumplimiento normativo. La inclusión de productos alternativos puede mejorar la diversificación y el rendimiento a largo plazo, pero aumenta la complejidad y los requerimientos de gestión de riesgo y transparencia.</w:t>
      </w:r>
    </w:p>
    <w:p w14:paraId="7CB4F4C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51EAA51" w14:textId="77777777" w:rsidR="00C51607" w:rsidRPr="002012E1" w:rsidRDefault="00C51607" w:rsidP="00C51607">
      <w:pPr>
        <w:pStyle w:val="Celieth"/>
        <w:rPr>
          <w:rFonts w:eastAsia="Calibri"/>
          <w14:ligatures w14:val="none"/>
        </w:rPr>
      </w:pPr>
      <w:r w:rsidRPr="002012E1">
        <w:rPr>
          <w:bCs/>
        </w:rPr>
        <w:t>Como es la r</w:t>
      </w:r>
      <w:r w:rsidRPr="002012E1">
        <w:t xml:space="preserve">espuesta ante cambios macroeconómicos donde el </w:t>
      </w:r>
      <w:r w:rsidRPr="002012E1">
        <w:rPr>
          <w:rFonts w:eastAsia="Calibri"/>
          <w14:ligatures w14:val="none"/>
        </w:rPr>
        <w:t xml:space="preserve">ICAC (2023) indica que: </w:t>
      </w:r>
    </w:p>
    <w:p w14:paraId="4478B85F"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deuda suele ser sensible a cambios en tasas de interés e inflación, afectando su valor y rendimiento</w:t>
      </w:r>
    </w:p>
    <w:p w14:paraId="6645F145"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Las acciones pueden reaccionar a ciclos económicos y expectativas de crecimiento</w:t>
      </w:r>
    </w:p>
    <w:p w14:paraId="2445DF53" w14:textId="77777777" w:rsidR="00C51607" w:rsidRPr="002012E1" w:rsidRDefault="00C51607" w:rsidP="00C51607">
      <w:pPr>
        <w:spacing w:before="120" w:after="120" w:line="360" w:lineRule="auto"/>
        <w:ind w:left="851" w:right="567"/>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inversiones alternativas pueden ofrecer cobertura parcial contra inflación o diversificación en ciclos adversos aunque con menor liquidez (pp. 35-37)</w:t>
      </w:r>
    </w:p>
    <w:p w14:paraId="27954547"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248F6B45" w14:textId="77777777" w:rsidR="00C51607" w:rsidRPr="002012E1" w:rsidRDefault="00C51607" w:rsidP="00C51607">
      <w:pPr>
        <w:pStyle w:val="Celieth"/>
      </w:pPr>
      <w:r w:rsidRPr="002012E1">
        <w:t xml:space="preserve">Por tanto, se destaca la sensibilidad de distintos instrumentos financieros a factores macroeconómicos clave como las tasas de interés, la inflación y los ciclos económicos. </w:t>
      </w:r>
    </w:p>
    <w:p w14:paraId="2D12EB91" w14:textId="77777777" w:rsidR="00C51607" w:rsidRPr="002012E1" w:rsidRDefault="00C51607" w:rsidP="00C51607">
      <w:pPr>
        <w:pStyle w:val="Celieth"/>
      </w:pPr>
    </w:p>
    <w:p w14:paraId="49E3E7AD" w14:textId="77777777" w:rsidR="00C51607" w:rsidRPr="002012E1" w:rsidRDefault="00C51607" w:rsidP="00C51607">
      <w:pPr>
        <w:pStyle w:val="Celieth"/>
      </w:pPr>
      <w:r w:rsidRPr="002012E1">
        <w:t>En particular, la deuda es vulnerable a cambios en las tasas de interés e inflación, lo que afecta directamente su valor y rendimiento. Esto se explica porque las tasas de interés más altas, generalmente implementadas por los bancos centrales para controlar la inflación, elevan el costo de financiamiento y reducen el precio de los bonos existentes, disminuyendo así el valor de los instrumentos de deuda. Además, un aumento en la inflación puede erosionar el poder adquisitivo de los flujos futuros de ingresos fijos que ofrece la deuda, afectando su atractivo para los inversionistas.</w:t>
      </w:r>
    </w:p>
    <w:p w14:paraId="473BB50F" w14:textId="77777777" w:rsidR="00C51607" w:rsidRPr="002012E1" w:rsidRDefault="00C51607" w:rsidP="00C51607">
      <w:pPr>
        <w:pStyle w:val="Celieth"/>
      </w:pPr>
    </w:p>
    <w:p w14:paraId="589DD8CA" w14:textId="77777777" w:rsidR="00C51607" w:rsidRPr="002012E1" w:rsidRDefault="00C51607" w:rsidP="00C51607">
      <w:pPr>
        <w:pStyle w:val="Celieth"/>
      </w:pPr>
      <w:r w:rsidRPr="002012E1">
        <w:t>Por otro lado, las acciones reaccionan a los ciclos económicos y a las expectativas de crecimiento, ya que su valor está ligado al desempeño y perspectivas de las empresas en la economía.</w:t>
      </w:r>
    </w:p>
    <w:p w14:paraId="3A929D24" w14:textId="77777777" w:rsidR="00C51607" w:rsidRPr="002012E1" w:rsidRDefault="00C51607" w:rsidP="00C51607">
      <w:pPr>
        <w:pStyle w:val="Celieth"/>
      </w:pPr>
    </w:p>
    <w:p w14:paraId="25A34D2A" w14:textId="77777777" w:rsidR="00C51607" w:rsidRPr="002012E1" w:rsidRDefault="00C51607" w:rsidP="00C51607">
      <w:pPr>
        <w:pStyle w:val="Celieth"/>
      </w:pPr>
      <w:r w:rsidRPr="002012E1">
        <w:t xml:space="preserve">Durante fases de expansión, las acciones tienden a valorizarse, mientras que en recesiones pueden sufrir caídas significativas. Las inversiones alternativas, aunque menos líquidas y más complejas, pueden ofrecer una cobertura parcial contra la inflación y diversificación en ciclos económicos adversos, ayudando a mitigar riesgos específicos del mercado tradicional. </w:t>
      </w:r>
    </w:p>
    <w:p w14:paraId="04D40AFE" w14:textId="77777777" w:rsidR="00C51607" w:rsidRPr="002012E1" w:rsidRDefault="00C51607" w:rsidP="00C51607">
      <w:pPr>
        <w:pStyle w:val="Celieth"/>
      </w:pPr>
    </w:p>
    <w:p w14:paraId="55B677BB" w14:textId="77777777" w:rsidR="00C51607" w:rsidRPr="002012E1" w:rsidRDefault="00C51607" w:rsidP="00C51607">
      <w:pPr>
        <w:pStyle w:val="Celieth"/>
      </w:pPr>
      <w:r w:rsidRPr="002012E1">
        <w:t xml:space="preserve">Sin embargo, su menor liquidez y complejidad operativa representan desafíos para los inversionistas que deben ser considerados en la gestión de portafolios. En conjunto, este análisis subraya la importancia de entender cómo los diferentes </w:t>
      </w:r>
      <w:r w:rsidRPr="002012E1">
        <w:lastRenderedPageBreak/>
        <w:t>instrumentos responden a variables macroeconómicas para diseñar estrategias de inversión equilibradas y resilientes</w:t>
      </w:r>
    </w:p>
    <w:p w14:paraId="541C2962" w14:textId="77777777" w:rsidR="00C51607" w:rsidRPr="002012E1" w:rsidRDefault="00C51607" w:rsidP="00C51607">
      <w:pPr>
        <w:pStyle w:val="Celieth"/>
      </w:pPr>
    </w:p>
    <w:p w14:paraId="576C7662" w14:textId="77777777" w:rsidR="00C51607" w:rsidRPr="002012E1" w:rsidRDefault="00C51607" w:rsidP="00C51607">
      <w:pPr>
        <w:pStyle w:val="Celieth"/>
        <w:rPr>
          <w:rFonts w:eastAsia="Calibri"/>
          <w14:ligatures w14:val="none"/>
        </w:rPr>
      </w:pPr>
      <w:r w:rsidRPr="002012E1">
        <w:t xml:space="preserve">Y tomando en cuenta la variación en la proporción de inversión y cobertura de riesgos en el que </w:t>
      </w:r>
      <w:r w:rsidRPr="002012E1">
        <w:rPr>
          <w:rFonts w:eastAsia="Calibri"/>
          <w14:ligatures w14:val="none"/>
        </w:rPr>
        <w:t>Deloitte (2019) indica que:</w:t>
      </w:r>
    </w:p>
    <w:p w14:paraId="77066903" w14:textId="77777777" w:rsidR="00C51607" w:rsidRPr="002012E1" w:rsidRDefault="00C51607" w:rsidP="00C51607">
      <w:pPr>
        <w:spacing w:before="120" w:after="120" w:line="360" w:lineRule="auto"/>
        <w:ind w:left="851" w:right="567"/>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La proporción invertida en cada producto varia con el tiempo según el ciclo económico, perfil de riesgo y objetivos</w:t>
      </w:r>
    </w:p>
    <w:p w14:paraId="4BF78902" w14:textId="77777777" w:rsidR="00C51607" w:rsidRPr="002012E1" w:rsidRDefault="00C51607" w:rsidP="00C51607">
      <w:pPr>
        <w:spacing w:before="120" w:after="120" w:line="360" w:lineRule="auto"/>
        <w:ind w:left="851" w:right="567"/>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Productos como bonos indexados a inflación ayudan a cubrir riesgos inflacionarios; derivados o fondos de cobertura pueden mitigar riesgos de mercado; productos de longevidad que abordan riesgos demográficos. (pp. 25-26)</w:t>
      </w:r>
    </w:p>
    <w:p w14:paraId="724FE15F" w14:textId="77777777" w:rsidR="00C51607" w:rsidRDefault="00C51607" w:rsidP="00C51607">
      <w:pPr>
        <w:pStyle w:val="Celieth"/>
      </w:pPr>
    </w:p>
    <w:p w14:paraId="7D85FCEF" w14:textId="77777777" w:rsidR="00C51607" w:rsidRPr="002012E1" w:rsidRDefault="00C51607" w:rsidP="00C51607">
      <w:pPr>
        <w:pStyle w:val="Celieth"/>
      </w:pPr>
      <w:r w:rsidRPr="002012E1">
        <w:t xml:space="preserve">Lo anterior subraya la asignación de activos en una cartera de inversión no es estática, sino que varía dinámicamente en función del ciclo económico, el perfil de riesgo del inversor y sus objetivos específicos. </w:t>
      </w:r>
    </w:p>
    <w:p w14:paraId="18454DBE" w14:textId="77777777" w:rsidR="00C51607" w:rsidRPr="002012E1" w:rsidRDefault="00C51607" w:rsidP="00C51607">
      <w:pPr>
        <w:pStyle w:val="Celieth"/>
      </w:pPr>
    </w:p>
    <w:p w14:paraId="35C441AC" w14:textId="77777777" w:rsidR="00C51607" w:rsidRPr="002012E1" w:rsidRDefault="00C51607" w:rsidP="00C51607">
      <w:pPr>
        <w:pStyle w:val="Celieth"/>
      </w:pPr>
      <w:r w:rsidRPr="002012E1">
        <w:t xml:space="preserve">Esta flexibilidad permite adaptar la estrategia para mitigar riesgos y aprovechar oportunidades según el contexto económico. Por ejemplo, los bonos indexados a la inflación se utilizan para proteger el portafolio contra el riesgo inflacionario, asegurando que los ingresos mantengan su poder adquisitivo. </w:t>
      </w:r>
    </w:p>
    <w:p w14:paraId="4518408C" w14:textId="77777777" w:rsidR="00C51607" w:rsidRPr="002012E1" w:rsidRDefault="00C51607" w:rsidP="00C51607">
      <w:pPr>
        <w:pStyle w:val="Celieth"/>
      </w:pPr>
    </w:p>
    <w:p w14:paraId="4E710543" w14:textId="77777777" w:rsidR="00C51607" w:rsidRPr="002012E1" w:rsidRDefault="00C51607" w:rsidP="00C51607">
      <w:pPr>
        <w:pStyle w:val="Celieth"/>
      </w:pPr>
      <w:r w:rsidRPr="002012E1">
        <w:t xml:space="preserve">Asimismo, instrumentos como derivados o fondos de cobertura ofrecen herramientas para mitigar riesgos de mercado, proporcionando una capa adicional de protección frente a la volatilidad. </w:t>
      </w:r>
    </w:p>
    <w:p w14:paraId="60E3C357" w14:textId="77777777" w:rsidR="00C51607" w:rsidRPr="002012E1" w:rsidRDefault="00C51607" w:rsidP="00C51607">
      <w:pPr>
        <w:pStyle w:val="Celieth"/>
      </w:pPr>
    </w:p>
    <w:p w14:paraId="1CC9BEF1" w14:textId="77777777" w:rsidR="00C51607" w:rsidRPr="002012E1" w:rsidRDefault="00C51607" w:rsidP="00C51607">
      <w:pPr>
        <w:pStyle w:val="Celieth"/>
      </w:pPr>
      <w:r w:rsidRPr="002012E1">
        <w:t xml:space="preserve">Posteriormente, productos especializados como los de longevidad abordan riesgos demográficos, reflejando una visión integral que considera tanto factores económicos como sociales para optimizar la gestión del riesgo y la rentabilidad a largo plazo. Esta aproximación evidencia la importancia de una gestión activa y </w:t>
      </w:r>
      <w:r w:rsidRPr="002012E1">
        <w:lastRenderedPageBreak/>
        <w:t>diversificada que responda a múltiples dimensiones del riesgo en la construcción de portafolios robustos y adaptados a las necesidades cambiantes del inversor</w:t>
      </w:r>
    </w:p>
    <w:p w14:paraId="02AEF155" w14:textId="77777777" w:rsidR="00C51607" w:rsidRPr="002012E1" w:rsidRDefault="00C51607" w:rsidP="00C51607">
      <w:pPr>
        <w:pStyle w:val="Celieth"/>
      </w:pPr>
    </w:p>
    <w:p w14:paraId="0C6CEBD3" w14:textId="77777777" w:rsidR="00C51607" w:rsidRPr="002012E1" w:rsidRDefault="00C51607" w:rsidP="00C51607">
      <w:pPr>
        <w:spacing w:after="0" w:line="360" w:lineRule="auto"/>
        <w:rPr>
          <w:rFonts w:ascii="Arial" w:eastAsia="Times New Roman" w:hAnsi="Arial" w:cs="Arial"/>
          <w:bCs/>
          <w:color w:val="000000"/>
          <w:kern w:val="0"/>
          <w14:ligatures w14:val="none"/>
        </w:rPr>
      </w:pPr>
      <w:r w:rsidRPr="002012E1">
        <w:rPr>
          <w:rFonts w:ascii="Arial" w:eastAsia="Times New Roman" w:hAnsi="Arial" w:cs="Arial"/>
          <w:bCs/>
          <w:color w:val="000000"/>
          <w:kern w:val="0"/>
          <w14:ligatures w14:val="none"/>
        </w:rPr>
        <w:t>Por su parte, Price Waterhouse Coopers (PWC, 2019) indica que:</w:t>
      </w:r>
    </w:p>
    <w:p w14:paraId="499FBBFF" w14:textId="77777777" w:rsidR="00C51607" w:rsidRPr="002012E1" w:rsidRDefault="00C51607" w:rsidP="00C51607">
      <w:pPr>
        <w:spacing w:before="120" w:after="120" w:line="360" w:lineRule="auto"/>
        <w:ind w:left="851" w:right="567"/>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Los productos alternativos, aunque alineados con objetivos de largo plazo, plantean dilemas por su menor liquidez frente a necesidades periódicas de retiro o bien de pago de beneficios</w:t>
      </w:r>
    </w:p>
    <w:p w14:paraId="0FFBF4E8" w14:textId="77777777" w:rsidR="00C51607" w:rsidRPr="002012E1" w:rsidRDefault="00C51607" w:rsidP="00C51607">
      <w:pPr>
        <w:spacing w:before="120" w:after="120" w:line="360" w:lineRule="auto"/>
        <w:ind w:left="851" w:right="567"/>
        <w:jc w:val="both"/>
        <w:rPr>
          <w:rFonts w:ascii="Arial" w:eastAsia="Calibri" w:hAnsi="Arial" w:cs="Arial"/>
          <w:b/>
          <w:kern w:val="0"/>
          <w:lang w:val="es-MX"/>
          <w14:ligatures w14:val="none"/>
        </w:rPr>
      </w:pPr>
      <w:r w:rsidRPr="002012E1">
        <w:rPr>
          <w:rFonts w:ascii="Arial" w:eastAsia="Calibri" w:hAnsi="Arial" w:cs="Arial"/>
          <w:kern w:val="0"/>
          <w:lang w:val="es-MX"/>
          <w14:ligatures w14:val="none"/>
        </w:rPr>
        <w:t>La combinación optima maximiza rentabilidad ajustada al riesgo lo que garantiza liquidez suficiente para obligaciones (p. 17)</w:t>
      </w:r>
    </w:p>
    <w:p w14:paraId="4FEF133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1C101E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tanto, los tomadores de decisiones en materia de inversión deben estar atentos a los cambios constantes en el entorno económico, regulatorio y en el perfil de riesgo de los activos, así como a las condiciones de liquidez del mercado. </w:t>
      </w:r>
    </w:p>
    <w:p w14:paraId="04726AA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4729F4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Estos factores influyen directamente en la necesidad que presentan de ajustar las estrategias de inversión para mantener la alineación con los objetivos financieros y la sostenibilidad del fondo.</w:t>
      </w:r>
    </w:p>
    <w:p w14:paraId="2C551E0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86D544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ejemplo, variaciones en las tasas de interés, la inflación o los ciclos económicos pueden alterar el comportamiento esperado de los instrumentos financieros, requiriendo con ello una revisión continua y flexible de la cartera con el fin de mitigar riesgos y aprovechar oportunidades.</w:t>
      </w:r>
    </w:p>
    <w:p w14:paraId="7546CC9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8235116" w14:textId="77777777" w:rsidR="00C51607" w:rsidRPr="002012E1" w:rsidRDefault="00C51607" w:rsidP="00C51607">
      <w:pPr>
        <w:pStyle w:val="apaparrafo"/>
      </w:pPr>
      <w:r w:rsidRPr="002012E1">
        <w:t xml:space="preserve">Los productos alternativos y complejos representan un desafío significativo desde la perspectiva contable y estratégica debido a las particularidades que presentan en su valoración y presentación financiera. </w:t>
      </w:r>
    </w:p>
    <w:p w14:paraId="3DEA94A1" w14:textId="77777777" w:rsidR="00C51607" w:rsidRPr="002012E1" w:rsidRDefault="00C51607" w:rsidP="00C51607">
      <w:pPr>
        <w:pStyle w:val="apaparrafo"/>
      </w:pPr>
    </w:p>
    <w:p w14:paraId="6B54C3F2" w14:textId="77777777" w:rsidR="00C51607" w:rsidRPr="002012E1" w:rsidRDefault="00C51607" w:rsidP="00C51607">
      <w:pPr>
        <w:pStyle w:val="apaparrafo"/>
      </w:pPr>
      <w:r w:rsidRPr="002012E1">
        <w:t xml:space="preserve">En primer lugar, la valoración de estos productos suele ser menos transparente, principalmente porque carecen de mercados activos y precios observables, lo que </w:t>
      </w:r>
      <w:r w:rsidRPr="002012E1">
        <w:lastRenderedPageBreak/>
        <w:t xml:space="preserve">dificulta la aplicación de métodos tradicionales de valoración basados en cotizaciones de mercado. </w:t>
      </w:r>
    </w:p>
    <w:p w14:paraId="2DEE047D" w14:textId="77777777" w:rsidR="00C51607" w:rsidRPr="002012E1" w:rsidRDefault="00C51607" w:rsidP="00C51607">
      <w:pPr>
        <w:pStyle w:val="apaparrafo"/>
      </w:pPr>
    </w:p>
    <w:p w14:paraId="1F2F06B4" w14:textId="77777777" w:rsidR="00C51607" w:rsidRPr="002012E1" w:rsidRDefault="00C51607" w:rsidP="00C51607">
      <w:pPr>
        <w:pStyle w:val="apaparrafo"/>
      </w:pPr>
      <w:r w:rsidRPr="002012E1">
        <w:t>Según la NIIF 13, cuando no existen precios cotizados en mercados activos, la entidad debe recurrir a técnicas de valoración alternativas que reflejen el valor razonable desde la perspectiva de un participante del mercado, lo que añade complejidad y subjetividad al proceso.</w:t>
      </w:r>
    </w:p>
    <w:p w14:paraId="6A20F251" w14:textId="77777777" w:rsidR="00C51607" w:rsidRPr="002012E1" w:rsidRDefault="00C51607" w:rsidP="00C51607">
      <w:pPr>
        <w:spacing w:after="0" w:line="360" w:lineRule="auto"/>
        <w:jc w:val="both"/>
        <w:rPr>
          <w:rFonts w:ascii="Arial" w:eastAsia="Calibri" w:hAnsi="Arial" w:cs="Arial"/>
          <w:kern w:val="0"/>
          <w14:ligatures w14:val="none"/>
        </w:rPr>
      </w:pPr>
    </w:p>
    <w:p w14:paraId="0CFCFFD8" w14:textId="77777777" w:rsidR="00C51607" w:rsidRPr="002012E1" w:rsidRDefault="00C51607" w:rsidP="00C51607">
      <w:pPr>
        <w:pStyle w:val="apaparrafo"/>
      </w:pPr>
      <w:r w:rsidRPr="002012E1">
        <w:t xml:space="preserve">Esta falta de transparencia implica que la medición precisa del riesgo asociado a estos productos es más compleja, ya que no se dispone de información clara y objetiva sobre su comportamiento en el mercado. </w:t>
      </w:r>
    </w:p>
    <w:p w14:paraId="60EFC2F4" w14:textId="77777777" w:rsidR="00C51607" w:rsidRPr="002012E1" w:rsidRDefault="00C51607" w:rsidP="00C51607">
      <w:pPr>
        <w:pStyle w:val="apaparrafo"/>
      </w:pPr>
    </w:p>
    <w:p w14:paraId="69170166" w14:textId="77777777" w:rsidR="00C51607" w:rsidRPr="002012E1" w:rsidRDefault="00C51607" w:rsidP="00C51607">
      <w:pPr>
        <w:pStyle w:val="apaparrafo"/>
      </w:pPr>
      <w:r w:rsidRPr="002012E1">
        <w:t>La ausencia de precios observables obliga a utilizar modelos de valoración basados en supuestos y estimaciones, como flujos de caja descontados o modelos de opciones, que requieren juicios profesionales y pueden variar significativamente según las hipótesis adoptadas. Esta situación incrementa la incertidumbre en la determinación del valor, afectando la fiabilidad y comparabilidad de la información financiera presentada.</w:t>
      </w:r>
    </w:p>
    <w:p w14:paraId="329DA270" w14:textId="77777777" w:rsidR="00C51607" w:rsidRPr="002012E1" w:rsidRDefault="00C51607" w:rsidP="00C51607">
      <w:pPr>
        <w:pStyle w:val="apaparrafo"/>
      </w:pPr>
    </w:p>
    <w:p w14:paraId="646D6A3E" w14:textId="77777777" w:rsidR="00C51607" w:rsidRPr="002012E1" w:rsidRDefault="00C51607" w:rsidP="00C51607">
      <w:pPr>
        <w:pStyle w:val="apaparrafo"/>
        <w:rPr>
          <w:lang w:val="es-419"/>
        </w:rPr>
      </w:pPr>
      <w:r w:rsidRPr="002012E1">
        <w:rPr>
          <w:lang w:val="es-419"/>
        </w:rPr>
        <w:t xml:space="preserve">Desde un enfoque estratégico, esta dificultad en la valoración impacta directamente en la gestión del riesgo y en la toma de decisiones. La falta de datos claros sobre el valor y la volatilidad de estos productos limita la capacidad de los gestores para evaluar adecuadamente su exposición y diseñar estrategias efectivas de mitigación. </w:t>
      </w:r>
    </w:p>
    <w:p w14:paraId="5491B845" w14:textId="77777777" w:rsidR="00C51607" w:rsidRPr="002012E1" w:rsidRDefault="00C51607" w:rsidP="00C51607">
      <w:pPr>
        <w:pStyle w:val="apaparrafo"/>
        <w:rPr>
          <w:lang w:val="es-419"/>
        </w:rPr>
      </w:pPr>
    </w:p>
    <w:p w14:paraId="7557108C" w14:textId="77777777" w:rsidR="00C51607" w:rsidRPr="002012E1" w:rsidRDefault="00C51607" w:rsidP="00C51607">
      <w:pPr>
        <w:pStyle w:val="apaparrafo"/>
        <w:rPr>
          <w:lang w:val="es-419"/>
        </w:rPr>
      </w:pPr>
      <w:r w:rsidRPr="002012E1">
        <w:rPr>
          <w:lang w:val="es-419"/>
        </w:rPr>
        <w:t>Además, la complejidad en la valoración puede generar retrasos y costos adicionales en los procesos contables y de auditoría, afectando la eficiencia operativa de las entidades que los manejan.</w:t>
      </w:r>
    </w:p>
    <w:p w14:paraId="2822B0C3" w14:textId="77777777" w:rsidR="00C51607" w:rsidRPr="002012E1" w:rsidRDefault="00C51607" w:rsidP="00C51607">
      <w:pPr>
        <w:pStyle w:val="apaparrafo"/>
        <w:rPr>
          <w:lang w:val="es-419"/>
        </w:rPr>
      </w:pPr>
    </w:p>
    <w:p w14:paraId="55E403E0" w14:textId="77777777" w:rsidR="00C51607" w:rsidRPr="002012E1" w:rsidRDefault="00C51607" w:rsidP="00C51607">
      <w:pPr>
        <w:pStyle w:val="apaparrafo"/>
        <w:rPr>
          <w:lang w:val="es-419"/>
        </w:rPr>
      </w:pPr>
      <w:r w:rsidRPr="002012E1">
        <w:rPr>
          <w:lang w:val="es-419"/>
        </w:rPr>
        <w:t xml:space="preserve">Asimismo, la presentación de estos productos en los estados financieros requiere un tratamiento cuidadoso para reflejar su naturaleza y riesgos inherentes. La incertidumbre en la valoración debe ser acompañada de revelaciones adecuadas </w:t>
      </w:r>
      <w:r w:rsidRPr="002012E1">
        <w:rPr>
          <w:lang w:val="es-419"/>
        </w:rPr>
        <w:lastRenderedPageBreak/>
        <w:t>que informen a los usuarios sobre los métodos y supuestos utilizados, así como sobre las limitaciones y riesgos asociados. Esto contribuye a mejorar la transparencia y a facilitar una interpretación adecuada de la situación financiera y los resultados de la entidad.</w:t>
      </w:r>
    </w:p>
    <w:p w14:paraId="27759CD1" w14:textId="77777777" w:rsidR="00C51607" w:rsidRPr="002012E1" w:rsidRDefault="00C51607" w:rsidP="00C51607">
      <w:pPr>
        <w:pStyle w:val="apaparrafo"/>
        <w:rPr>
          <w:lang w:val="es-419"/>
        </w:rPr>
      </w:pPr>
    </w:p>
    <w:p w14:paraId="660DBBB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 anterior obliga a los gestores a implementar modelos internos sofisticados y a mantener sistemas más robustos para la valoración continua y la gestión de riesgo. Además, cumplir con las normativas contables internacionales como las NIIF 9 y NIIF 13, implica un esfuerzo adicional para reflejar adecuadamente las fluctuaciones en el valor de estos activos y su imparto en los estados financieros.</w:t>
      </w:r>
    </w:p>
    <w:p w14:paraId="37E83C3E" w14:textId="77777777" w:rsidR="00C51607" w:rsidRPr="002012E1" w:rsidRDefault="00C51607" w:rsidP="00C51607">
      <w:pPr>
        <w:pStyle w:val="apaparrafo"/>
        <w:rPr>
          <w:lang w:val="es-419"/>
        </w:rPr>
      </w:pPr>
    </w:p>
    <w:p w14:paraId="635BF6A8" w14:textId="77777777" w:rsidR="00C51607" w:rsidRPr="002012E1" w:rsidRDefault="00C51607" w:rsidP="00C51607">
      <w:pPr>
        <w:pStyle w:val="apaparrafo"/>
        <w:rPr>
          <w:lang w:val="es-419"/>
        </w:rPr>
      </w:pPr>
      <w:r w:rsidRPr="002012E1">
        <w:rPr>
          <w:lang w:val="es-419"/>
        </w:rPr>
        <w:t xml:space="preserve">En conclusión, los productos alternativos y complejos exigen un enfoque contable especializado que combine técnicas avanzadas de valoración con una gestión rigurosa del riesgo y una comunicación clara y completa en los estados financieros. </w:t>
      </w:r>
    </w:p>
    <w:p w14:paraId="5A126698" w14:textId="77777777" w:rsidR="00C51607" w:rsidRPr="002012E1" w:rsidRDefault="00C51607" w:rsidP="00C51607">
      <w:pPr>
        <w:pStyle w:val="apaparrafo"/>
        <w:rPr>
          <w:lang w:val="es-419"/>
        </w:rPr>
      </w:pPr>
    </w:p>
    <w:p w14:paraId="0EF6ADB6" w14:textId="77777777" w:rsidR="00C51607" w:rsidRPr="002012E1" w:rsidRDefault="00C51607" w:rsidP="00C51607">
      <w:pPr>
        <w:pStyle w:val="apaparrafo"/>
        <w:rPr>
          <w:lang w:val="es-419"/>
        </w:rPr>
      </w:pPr>
      <w:r w:rsidRPr="002012E1">
        <w:rPr>
          <w:lang w:val="es-419"/>
        </w:rPr>
        <w:t>La adopción de lineamientos específicos y la capacitación continua de los profesionales contables son esenciales para afrontar estos desafíos y asegurar que la información financiera sea confiable, relevante y útil para la toma de decisiones.</w:t>
      </w:r>
    </w:p>
    <w:p w14:paraId="2872E673" w14:textId="77777777" w:rsidR="00C51607" w:rsidRPr="002012E1" w:rsidRDefault="00C51607" w:rsidP="00C51607">
      <w:pPr>
        <w:pStyle w:val="apaparrafo"/>
        <w:rPr>
          <w:rFonts w:eastAsia="Calibri"/>
        </w:rPr>
      </w:pPr>
    </w:p>
    <w:p w14:paraId="5AFFA0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este sentido, el ICAC (2023) indica que “la gestión de estos productos requiere un equilibrio delicado entre la búsqueda de rentabilidad y la necesidad de transparencia y cumplimiento normativo” (p. 15). Los desafíos contables asociados a la valoración y el reporte de productos alternativos pueden afectar la confianza de los inversionistas y la capacidad de los fondos para responder a auditorias y a la supervisión regulatoria.</w:t>
      </w:r>
    </w:p>
    <w:p w14:paraId="1BC1BB3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2391E4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los tomadores de decisiones deben considerar no solo las características financieras de los instrumentos sino también “las implicaciones contables y regulatorias para ajustar sus estrategias de inversión de manera integral y sostenible” (ICAC, 2023, p. 18)</w:t>
      </w:r>
    </w:p>
    <w:p w14:paraId="144C559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7BCDEE" w14:textId="77777777" w:rsidR="00C51607" w:rsidRPr="002012E1" w:rsidRDefault="00C51607" w:rsidP="00C51607">
      <w:pPr>
        <w:pStyle w:val="apanivel4"/>
      </w:pPr>
      <w:r w:rsidRPr="002012E1">
        <w:lastRenderedPageBreak/>
        <w:t>Implicaciones del Desempeño Financiero en la Gestión del Fondo</w:t>
      </w:r>
    </w:p>
    <w:p w14:paraId="5B98020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del desempeño financiero de los fondos de pensiones del Régimen Obligatorio de Pensiones (ROP) en Costa Rica, gestionados por operadoras como la CCSS, Banco Popular, BCR, Banco Nacional de Costa Rica (BN Vital) y BAC San José, revelan diferencias significativas en las estrategias de inversión y sus resultados, especialmente en la diversificación entre deuda, acciones, inversiones alternativas y productos alternativos. </w:t>
      </w:r>
    </w:p>
    <w:p w14:paraId="71925C7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6F3567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diversidad estratégica se refleja tanto en los estados financieros auditados de cada entidad como en la evolución de las inversiones extranjeras, tal como lo muestra el gráfico publicado por Semanario Universidad (2022).</w:t>
      </w:r>
    </w:p>
    <w:p w14:paraId="104812E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80915CF" w14:textId="1A3C994B" w:rsidR="00C51607" w:rsidRPr="002012E1" w:rsidRDefault="00C51607" w:rsidP="00C51607">
      <w:pPr>
        <w:spacing w:after="0" w:line="360" w:lineRule="auto"/>
        <w:rPr>
          <w:rFonts w:ascii="Arial" w:eastAsia="Times New Roman" w:hAnsi="Arial" w:cs="Arial"/>
          <w:b/>
          <w:i/>
          <w:iCs/>
          <w:kern w:val="0"/>
          <w14:ligatures w14:val="none"/>
        </w:rPr>
      </w:pPr>
      <w:bookmarkStart w:id="98" w:name="_Toc200314672"/>
      <w:r w:rsidRPr="002012E1">
        <w:rPr>
          <w:rFonts w:ascii="Arial" w:eastAsia="Times New Roman" w:hAnsi="Arial" w:cs="Arial"/>
          <w:b/>
          <w:noProof/>
          <w:kern w:val="0"/>
          <w14:ligatures w14:val="none"/>
        </w:rPr>
        <w:drawing>
          <wp:anchor distT="0" distB="0" distL="114300" distR="114300" simplePos="0" relativeHeight="251659264" behindDoc="0" locked="0" layoutInCell="1" allowOverlap="1" wp14:anchorId="5942001C" wp14:editId="540B1201">
            <wp:simplePos x="0" y="0"/>
            <wp:positionH relativeFrom="margin">
              <wp:align>left</wp:align>
            </wp:positionH>
            <wp:positionV relativeFrom="paragraph">
              <wp:posOffset>266700</wp:posOffset>
            </wp:positionV>
            <wp:extent cx="5366385" cy="3448050"/>
            <wp:effectExtent l="0" t="0" r="5715" b="0"/>
            <wp:wrapTopAndBottom/>
            <wp:docPr id="1467809900" name="Imagen 3"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09900" name="Imagen 3" descr="Gráfico&#10;&#10;El contenido generado por IA puede ser incorrecto."/>
                    <pic:cNvPicPr/>
                  </pic:nvPicPr>
                  <pic:blipFill rotWithShape="1">
                    <a:blip r:embed="rId28" cstate="print">
                      <a:extLst>
                        <a:ext uri="{28A0092B-C50C-407E-A947-70E740481C1C}">
                          <a14:useLocalDpi xmlns:a14="http://schemas.microsoft.com/office/drawing/2010/main" val="0"/>
                        </a:ext>
                      </a:extLst>
                    </a:blip>
                    <a:srcRect b="55762"/>
                    <a:stretch/>
                  </pic:blipFill>
                  <pic:spPr bwMode="auto">
                    <a:xfrm>
                      <a:off x="0" y="0"/>
                      <a:ext cx="5366385" cy="3448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12E1">
        <w:rPr>
          <w:rFonts w:ascii="Arial" w:eastAsia="Calibri" w:hAnsi="Arial" w:cs="Arial"/>
          <w:b/>
          <w:bCs/>
          <w:i/>
          <w:iCs/>
          <w:kern w:val="0"/>
          <w14:ligatures w14:val="none"/>
        </w:rPr>
        <w:t xml:space="preserve"> Figura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Ilustración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i/>
          <w:iCs/>
          <w:kern w:val="0"/>
          <w14:ligatures w14:val="none"/>
        </w:rPr>
        <w:t>Operadoras que inyectaron más ROP en el extranjero.</w:t>
      </w:r>
      <w:bookmarkEnd w:id="98"/>
    </w:p>
    <w:p w14:paraId="4F967865" w14:textId="77777777" w:rsidR="00C51607" w:rsidRPr="002012E1" w:rsidRDefault="00C51607" w:rsidP="00C51607">
      <w:pPr>
        <w:spacing w:after="0" w:line="360" w:lineRule="auto"/>
        <w:jc w:val="right"/>
        <w:rPr>
          <w:rFonts w:ascii="Arial" w:eastAsia="Calibri" w:hAnsi="Arial" w:cs="Arial"/>
          <w:b/>
          <w:kern w:val="0"/>
          <w:lang w:val="es-MX"/>
          <w14:ligatures w14:val="none"/>
        </w:rPr>
      </w:pPr>
    </w:p>
    <w:p w14:paraId="5A959E7F"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Times New Roman" w:hAnsi="Arial" w:cs="Arial"/>
          <w:b/>
          <w:noProof/>
          <w:kern w:val="0"/>
          <w:lang w:val="es-MX"/>
          <w14:ligatures w14:val="none"/>
        </w:rPr>
        <w:lastRenderedPageBreak/>
        <w:drawing>
          <wp:anchor distT="0" distB="0" distL="114300" distR="114300" simplePos="0" relativeHeight="251660288" behindDoc="0" locked="0" layoutInCell="1" allowOverlap="1" wp14:anchorId="47BE966A" wp14:editId="759D497B">
            <wp:simplePos x="0" y="0"/>
            <wp:positionH relativeFrom="margin">
              <wp:align>center</wp:align>
            </wp:positionH>
            <wp:positionV relativeFrom="paragraph">
              <wp:posOffset>0</wp:posOffset>
            </wp:positionV>
            <wp:extent cx="4994910" cy="3429000"/>
            <wp:effectExtent l="0" t="0" r="0" b="0"/>
            <wp:wrapTopAndBottom/>
            <wp:docPr id="1051498560" name="Imagen 3"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09900" name="Imagen 3" descr="Gráfico&#10;&#10;El contenido generado por IA puede ser incorrecto."/>
                    <pic:cNvPicPr/>
                  </pic:nvPicPr>
                  <pic:blipFill rotWithShape="1">
                    <a:blip r:embed="rId29" cstate="print">
                      <a:extLst>
                        <a:ext uri="{28A0092B-C50C-407E-A947-70E740481C1C}">
                          <a14:useLocalDpi xmlns:a14="http://schemas.microsoft.com/office/drawing/2010/main" val="0"/>
                        </a:ext>
                      </a:extLst>
                    </a:blip>
                    <a:srcRect l="204" t="45262" r="-204" b="3736"/>
                    <a:stretch>
                      <a:fillRect/>
                    </a:stretch>
                  </pic:blipFill>
                  <pic:spPr bwMode="auto">
                    <a:xfrm>
                      <a:off x="0" y="0"/>
                      <a:ext cx="4994910" cy="3429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12E1">
        <w:rPr>
          <w:rFonts w:ascii="Arial" w:eastAsia="Calibri" w:hAnsi="Arial" w:cs="Arial"/>
          <w:b/>
          <w:kern w:val="0"/>
          <w:lang w:val="es-MX"/>
          <w14:ligatures w14:val="none"/>
        </w:rPr>
        <w:t xml:space="preserve">Fuente: </w:t>
      </w:r>
      <w:r w:rsidRPr="002012E1">
        <w:rPr>
          <w:rFonts w:ascii="Arial" w:eastAsia="Calibri" w:hAnsi="Arial" w:cs="Arial"/>
          <w:kern w:val="0"/>
          <w:lang w:val="es-MX"/>
          <w14:ligatures w14:val="none"/>
        </w:rPr>
        <w:t>Portafolios de inversiones del sitio Web de SUPEN (mayo, 2012, 2017 y 2022), tomado de Semanario Universidad (2022).</w:t>
      </w:r>
    </w:p>
    <w:p w14:paraId="38EE45E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FB971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figura 2 evidencia la evolución y el peso relativo de las inversiones extranjeras dentro del portafolio total del ROP gestionado por las principales operadoras de pensiones en Costa Rica entre 2012 y 2022. </w:t>
      </w:r>
    </w:p>
    <w:p w14:paraId="79E10D3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C52DC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observa un crecimiento significativo en el volumen y porcentaje de recursos invertidos fuera del país, especialmente en Popular Pensiones, BAC Pensiones y BN Vital, lo cual refleja una estrategia deliberada de diversificación para mejorar la rentabilidad y mitigar riesgos locales.</w:t>
      </w:r>
    </w:p>
    <w:p w14:paraId="2C7B19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8CDE1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Banco Popular ha sido el líder en la diversificación internacional, destinando el 43,26% de su ROP a inversiones extranjeras en el año 2022, lo que representa ₡1.588.798 millones sobre un total de ₡3.672.820 millones. </w:t>
      </w:r>
    </w:p>
    <w:p w14:paraId="7C302B5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EFB51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Según su informe financiero, “el portafolio mantiene una alta ponderación en instrumentos de deuda pública nacional, complementada con inversiones en </w:t>
      </w:r>
      <w:r w:rsidRPr="002012E1">
        <w:rPr>
          <w:rFonts w:ascii="Arial" w:eastAsia="Calibri" w:hAnsi="Arial" w:cs="Arial"/>
          <w:kern w:val="0"/>
          <w:lang w:val="es-MX"/>
          <w14:ligatures w14:val="none"/>
        </w:rPr>
        <w:lastRenderedPageBreak/>
        <w:t xml:space="preserve">acciones y fondos alternativos internacionales, buscando optimizar la rentabilidad ajustada al riesgo” (Banco Popular, 2023, p. 24). </w:t>
      </w:r>
    </w:p>
    <w:p w14:paraId="6A61D64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6678C6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estrategia ha incrementado la exposición a riesgos cambiarios y a la volatilidad internacional, pero también ha permitido sujetar mejores rendimientos en periodos de bajo desempeño local, como lo advierte la SUPEN. </w:t>
      </w:r>
    </w:p>
    <w:p w14:paraId="0D83623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45B439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su parte, el BAC San José Pensiones también ha incrementado notablemente su exposición internacional, con un 36,03% de su ROP invertido en el extranjero en el 2022 (₡436.891 millones de ₡1.212.473 millones). </w:t>
      </w:r>
    </w:p>
    <w:p w14:paraId="3C3D35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2EBF9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Su informe destaca: “La diversificación hacia mercados internacionales y productos alternativos ha sido clave para mejorar la rentabilidad del fondo, aunque implica mayores desafíos en la gestión del riesgo de mercado y liquidez” (BAC San José Pensiones, 2024, p. 15). </w:t>
      </w:r>
    </w:p>
    <w:p w14:paraId="0378EA7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C6715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BAC ha apostado por una mezcla más balanceada entre deuda, acciones y productos alternativos, lo que se traduce en una mayor volatilidad, pero también en oportunidades de crecimiento a largo plazo.</w:t>
      </w:r>
    </w:p>
    <w:p w14:paraId="67F7590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1FE28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el BN Vital del Banco Nacional de Costa Rica muestra una tendencia similar, con el 27,85% de su ROP en el extranjero durante el 2022 (₡533.311 millones de ₡1.915.132 millones). </w:t>
      </w:r>
    </w:p>
    <w:p w14:paraId="3D42EF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BF458E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fondo de esta entidad señala: “La incorporación de inversiones alternativas y extranjeras busca mitigar la concentración en deuda local y mejorar la rentabilidad, aunque se incrementa la exposición a riesgos globales” (BN Vital, 2023, p. 18). Su portafolio mantiene una base sólida en deuda, pero con una creciente participación de acciones y fondos alternativos.</w:t>
      </w:r>
    </w:p>
    <w:p w14:paraId="7802E8E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2AD1FF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En contraste, el BCR Pensiones y CCSS-OPC han sido más conservadores con menor exposición internacional. El Banco de Costa Rica en la sección BCR Pensiones destinó el 15,06% de su ROP a inversiones extranjeras en 2022, mientras que la CCSS-OPC alcanzó el 25,03%. En este caso, ambos fondos priorizan la estabilidad y la liquidez, manteniendo una alta proporción entre deuda pública y privada nacional. </w:t>
      </w:r>
    </w:p>
    <w:p w14:paraId="66AEFB2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1E5CD2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informe de BCR Pensiones señala: “La estrategia de inversión se centra en instrumentos de renta fija local para asegurar la liquidez y minimizar la volatilidad del portafolio” (BCR Pensiones, 2023, p. 12). </w:t>
      </w:r>
    </w:p>
    <w:p w14:paraId="47FC1DA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E0B146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 manera similar, la CCSS enfatiza: “El fondo mantiene una política conservadora, privilegiando la seguridad y el cumplimiento de las obligaciones periódicas sobre la búsqueda de altos rendimientos” (CCSS-OPC, 2023, p. 8).</w:t>
      </w:r>
    </w:p>
    <w:p w14:paraId="7A1B2AE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49DE8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Vida Plena, aunque con menor volumen, también ha incrementado su participación internacional, pasando del 0% en 2012 al 15,17% en 2022, siguiendo la tendencia general del sistema de pensiones costarricense.</w:t>
      </w:r>
    </w:p>
    <w:p w14:paraId="4FEB79C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AC785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comparativa entre estas operadoras, sustentada por el gráfico y el reportaje de Semanario Universidad (2022), evidencia que aquellas con mayor diversificación internacional y en productos alternativos (Popular, BAC y BN Vital) han logrado mayores rendimientos potenciales, pero también enfrentan una mayor exposición a la volatilidad y riesgos cambiarios. </w:t>
      </w:r>
    </w:p>
    <w:p w14:paraId="4E90F39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DE208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contraste, BCR y CCSS-OPC priorizan la seguridad y liquidez, sacrificando parte de la rentabilidad a cambio de una menor volatilidad y un perfil de riesgo más conservador.</w:t>
      </w:r>
    </w:p>
    <w:p w14:paraId="4993B79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F7B5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Por tanto, el desempeño financiero de los fondos del ROP en Costa Rica está directamente relacionado con la estrategia de diversificación y la proporción de activos en deuda, acciones e inversiones alternativas. </w:t>
      </w:r>
    </w:p>
    <w:p w14:paraId="33EFB4C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DF7202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operadoras que han apostado por una mayor internacionalización y productos alternativos han mejorado su rentabilidad, aunque asumen mayores riesgos, mientras que las que mantienen una estrategia conservadora privilegian la estabilidad y la protección del capital de los afiliados. </w:t>
      </w:r>
    </w:p>
    <w:p w14:paraId="5C99DE5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F3D62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evolución estratégica responde tanto a la necesidad de proteger el poder adquisitivo de los fondos ante escenarios de bajo crecimiento local, como a la búsqueda de nuevas fuentes de rentabilidad en un entorno financiero global cada vez más interconectado.</w:t>
      </w:r>
    </w:p>
    <w:p w14:paraId="466C27A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E3A316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esta misma línea y tomando más expresamente como ejemplo de análisis el Régimen Obligatorio de Pensiones (ROP) que es administrado por BAC San José durante el periodo del 2023-2024 refleja la importancia de una gestión eficiente y una estrategia de inversión diversificada, especialmente considerando los diferentes perfiles de riesgo asociados a los instrumentos financieros utilizados.</w:t>
      </w:r>
    </w:p>
    <w:p w14:paraId="5986CA75" w14:textId="77777777" w:rsidR="00C51607" w:rsidRPr="002012E1" w:rsidRDefault="00C51607" w:rsidP="00C51607">
      <w:pPr>
        <w:spacing w:after="0" w:line="360" w:lineRule="auto"/>
        <w:jc w:val="both"/>
        <w:rPr>
          <w:rFonts w:ascii="Arial" w:eastAsia="Times New Roman" w:hAnsi="Arial" w:cs="Arial"/>
          <w:b/>
          <w:i/>
          <w:iCs/>
          <w:kern w:val="0"/>
          <w:lang w:val="es-MX"/>
          <w14:ligatures w14:val="none"/>
        </w:rPr>
      </w:pPr>
    </w:p>
    <w:p w14:paraId="2311DC9F" w14:textId="184FCF37" w:rsidR="00C51607" w:rsidRPr="002012E1" w:rsidRDefault="00C51607" w:rsidP="00C51607">
      <w:pPr>
        <w:spacing w:after="0" w:line="360" w:lineRule="auto"/>
        <w:jc w:val="both"/>
        <w:rPr>
          <w:rFonts w:ascii="Arial" w:eastAsia="Times New Roman" w:hAnsi="Arial" w:cs="Arial"/>
          <w:b/>
          <w:i/>
          <w:iCs/>
          <w:kern w:val="0"/>
          <w:lang w:val="es-MX"/>
          <w14:ligatures w14:val="none"/>
        </w:rPr>
      </w:pPr>
      <w:bookmarkStart w:id="99" w:name="_Toc200314673"/>
      <w:r w:rsidRPr="002012E1">
        <w:rPr>
          <w:rFonts w:ascii="Arial" w:eastAsia="Times New Roman" w:hAnsi="Arial" w:cs="Arial"/>
          <w:b/>
          <w:noProof/>
          <w:kern w:val="0"/>
          <w:lang w:val="es-MX"/>
          <w14:ligatures w14:val="none"/>
        </w:rPr>
        <w:drawing>
          <wp:anchor distT="0" distB="0" distL="114300" distR="114300" simplePos="0" relativeHeight="251661312" behindDoc="0" locked="0" layoutInCell="1" allowOverlap="1" wp14:anchorId="2E18DFE2" wp14:editId="0B519FAC">
            <wp:simplePos x="0" y="0"/>
            <wp:positionH relativeFrom="margin">
              <wp:align>center</wp:align>
            </wp:positionH>
            <wp:positionV relativeFrom="paragraph">
              <wp:posOffset>320040</wp:posOffset>
            </wp:positionV>
            <wp:extent cx="3781425" cy="2038350"/>
            <wp:effectExtent l="0" t="0" r="9525" b="0"/>
            <wp:wrapTopAndBottom/>
            <wp:docPr id="745697398" name="image14.png" descr="Gráfico, Gráfico de líneas&#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745697398" name="image14.png" descr="Gráfico, Gráfico de líneas&#10;&#10;El contenido generado por IA puede ser incorrecto."/>
                    <pic:cNvPicPr preferRelativeResize="0"/>
                  </pic:nvPicPr>
                  <pic:blipFill>
                    <a:blip r:embed="rId30">
                      <a:extLst>
                        <a:ext uri="{28A0092B-C50C-407E-A947-70E740481C1C}">
                          <a14:useLocalDpi xmlns:a14="http://schemas.microsoft.com/office/drawing/2010/main" val="0"/>
                        </a:ext>
                      </a:extLst>
                    </a:blip>
                    <a:srcRect/>
                    <a:stretch>
                      <a:fillRect/>
                    </a:stretch>
                  </pic:blipFill>
                  <pic:spPr>
                    <a:xfrm>
                      <a:off x="0" y="0"/>
                      <a:ext cx="3781425" cy="2038350"/>
                    </a:xfrm>
                    <a:prstGeom prst="rect">
                      <a:avLst/>
                    </a:prstGeom>
                    <a:ln/>
                  </pic:spPr>
                </pic:pic>
              </a:graphicData>
            </a:graphic>
            <wp14:sizeRelH relativeFrom="page">
              <wp14:pctWidth>0</wp14:pctWidth>
            </wp14:sizeRelH>
            <wp14:sizeRelV relativeFrom="page">
              <wp14:pctHeight>0</wp14:pctHeight>
            </wp14:sizeRelV>
          </wp:anchor>
        </w:drawing>
      </w:r>
      <w:r w:rsidRPr="002012E1">
        <w:rPr>
          <w:rFonts w:ascii="Arial" w:eastAsia="Calibri" w:hAnsi="Arial" w:cs="Arial"/>
          <w:b/>
          <w:bCs/>
          <w:i/>
          <w:iCs/>
          <w:kern w:val="0"/>
          <w:lang w:val="es-MX"/>
          <w14:ligatures w14:val="none"/>
        </w:rPr>
        <w:t xml:space="preserve">Gráfico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Gráfico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1</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xml:space="preserve">. </w:t>
      </w:r>
      <w:r w:rsidRPr="002012E1">
        <w:rPr>
          <w:rFonts w:ascii="Arial" w:eastAsia="Times New Roman" w:hAnsi="Arial" w:cs="Arial"/>
          <w:b/>
          <w:i/>
          <w:iCs/>
          <w:kern w:val="0"/>
          <w:lang w:val="es-MX"/>
          <w14:ligatures w14:val="none"/>
        </w:rPr>
        <w:t>Rentabilidad de los Instrumentos Financieros</w:t>
      </w:r>
      <w:bookmarkEnd w:id="99"/>
    </w:p>
    <w:p w14:paraId="7F498BBC" w14:textId="77777777" w:rsidR="00C51607" w:rsidRPr="002012E1" w:rsidRDefault="00C51607" w:rsidP="00C51607">
      <w:pPr>
        <w:spacing w:before="280" w:after="280" w:line="360" w:lineRule="auto"/>
        <w:ind w:firstLine="720"/>
        <w:jc w:val="right"/>
        <w:rPr>
          <w:rFonts w:ascii="Arial" w:eastAsia="Times New Roman" w:hAnsi="Arial" w:cs="Arial"/>
          <w:kern w:val="0"/>
          <w14:ligatures w14:val="none"/>
        </w:rPr>
      </w:pPr>
      <w:r w:rsidRPr="002012E1">
        <w:rPr>
          <w:rFonts w:ascii="Arial" w:eastAsia="Times New Roman" w:hAnsi="Arial" w:cs="Arial"/>
          <w:b/>
          <w:bCs/>
          <w:kern w:val="0"/>
          <w14:ligatures w14:val="none"/>
        </w:rPr>
        <w:t>Fuente:</w:t>
      </w:r>
      <w:r w:rsidRPr="002012E1">
        <w:rPr>
          <w:rFonts w:ascii="Arial" w:eastAsia="Times New Roman" w:hAnsi="Arial" w:cs="Arial"/>
          <w:kern w:val="0"/>
          <w14:ligatures w14:val="none"/>
        </w:rPr>
        <w:t xml:space="preserve"> Estados financieros del Fondo de pensiones ROP Colones (BAC San José Pensiones 2023-2024). </w:t>
      </w:r>
      <w:r w:rsidRPr="002012E1">
        <w:rPr>
          <w:rFonts w:ascii="Arial" w:eastAsia="Times New Roman" w:hAnsi="Arial" w:cs="Arial"/>
          <w:b/>
          <w:bCs/>
          <w:kern w:val="0"/>
          <w14:ligatures w14:val="none"/>
        </w:rPr>
        <w:t>Elaboración:</w:t>
      </w:r>
      <w:r w:rsidRPr="002012E1">
        <w:rPr>
          <w:rFonts w:ascii="Arial" w:eastAsia="Times New Roman" w:hAnsi="Arial" w:cs="Arial"/>
          <w:kern w:val="0"/>
          <w14:ligatures w14:val="none"/>
        </w:rPr>
        <w:t xml:space="preserve"> Grupo Investigador (2025).</w:t>
      </w:r>
    </w:p>
    <w:p w14:paraId="4382B28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El gráfico 1 de rentabilidad de los instrumentos financieros del fondo de pensiones ROP Colones, administrado por BAC San José Pensiones, muestra una disminución significativa en los ingresos financieros entre el año 2023 y el 2024, acompañada de una variación anual negativa cercana al -7%. </w:t>
      </w:r>
    </w:p>
    <w:p w14:paraId="0808531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6875F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comportamiento evidencia la importancia de una gestión activa y diversificada de los instrumentos financieros en la cartera del fondo, además, la caída en los ingresos financieros puede estar relacionada con el desempeño de los productos de deuda, acciones y alternativas que componen la cartera.</w:t>
      </w:r>
    </w:p>
    <w:p w14:paraId="3C82720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5E371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Tradicionalmente, los instrumentos de deuda aportan estabilidad y menor riesgo, pero en un entorno de tasas de interés bajas o volatilidad en los mercados, su rentabilidad puede verse afectada.</w:t>
      </w:r>
    </w:p>
    <w:p w14:paraId="0074231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72994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otro lado, las acciones y los productos alternativos, que aunque ofrecen un mayor potencial de rendimiento, también incrementan el nivel de riesgo y la volatilidad de los resultados, lo que puede contribuir a la disminución observada en los ingresos.</w:t>
      </w:r>
    </w:p>
    <w:p w14:paraId="016DDDB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DF233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resultado subraya la necesidad de optimizar la selección y diversificación de los instrumentos financieros, considerando el nivel de riesgo asociado a cada tipo de producto, por ende, una estrategia optima de inversión debe equilibrar la búsqueda de la rentabilidad junto con la gestión del riesgo, especialmente en un contexto donde los ingresos financieros presentan una tendencia a la baja tal como se observa en el gráfico. De esta forma, se puede fortalecer la sostenibilidad y la solvencia del fondo, protegiendo los intereses de los afiliados ante escenarios de mercados adversos.</w:t>
      </w:r>
    </w:p>
    <w:p w14:paraId="0157820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23CB44" w14:textId="77777777" w:rsidR="00C51607" w:rsidRPr="002012E1" w:rsidRDefault="00C51607" w:rsidP="00C51607">
      <w:pPr>
        <w:pStyle w:val="apanivel3"/>
        <w:rPr>
          <w:rFonts w:ascii="Arial" w:hAnsi="Arial" w:cs="Arial"/>
        </w:rPr>
      </w:pPr>
      <w:bookmarkStart w:id="100" w:name="_Toc201832451"/>
      <w:r w:rsidRPr="002012E1">
        <w:rPr>
          <w:rFonts w:ascii="Arial" w:hAnsi="Arial" w:cs="Arial"/>
        </w:rPr>
        <w:t xml:space="preserve">Nivel de Riesgo Asociado </w:t>
      </w:r>
      <w:r>
        <w:rPr>
          <w:rFonts w:ascii="Arial" w:hAnsi="Arial" w:cs="Arial"/>
        </w:rPr>
        <w:t>para cada tipo de</w:t>
      </w:r>
      <w:r w:rsidRPr="002012E1">
        <w:rPr>
          <w:rFonts w:ascii="Arial" w:hAnsi="Arial" w:cs="Arial"/>
        </w:rPr>
        <w:t xml:space="preserve"> Producto Financiero</w:t>
      </w:r>
      <w:bookmarkEnd w:id="100"/>
    </w:p>
    <w:p w14:paraId="1939B43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evaluación del riesgo asociado a los diferentes productos financieros es un componente clave para la gestión eficiente en los portafolios de inversión, </w:t>
      </w:r>
      <w:r w:rsidRPr="002012E1">
        <w:rPr>
          <w:rFonts w:ascii="Arial" w:eastAsia="Calibri" w:hAnsi="Arial" w:cs="Arial"/>
          <w:kern w:val="0"/>
          <w:lang w:val="es-MX"/>
          <w14:ligatures w14:val="none"/>
        </w:rPr>
        <w:lastRenderedPageBreak/>
        <w:t>especialmente en los fondos de pensiones donde la protección del capital y la generación de una rentabilidad sostenible son prioridad.</w:t>
      </w:r>
    </w:p>
    <w:p w14:paraId="55C27B8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109C35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instrumentos como la deuda, las acciones, las inversiones alternativas y los productos alternativos presentan perfiles de riesgo diversos las cuales impactan la estabilidad y el rendimiento esperado de las carteras, por tanto, comprender y medir esos riesgos les “permite a los gestores diseñar estrategias que optimicen la relación riesgo-rendimiento, adaptándose a las condiciones cambiantes del mercado y a las regulaciones vigentes” (Anónimo, Revista de Ciencias Económicas, 2022, p. 15).</w:t>
      </w:r>
    </w:p>
    <w:p w14:paraId="0E96F7B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A9A93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el contexto costarricense, la importancia de esta evaluación se acentúa principalmente dado la creciente diversificación de las carteras de fondos de pensiones hacia activos internacionales y productos alternativos, que si bien ofrecen mayores oportunidades de rentabilidad, también implican riesgos mucho más complejos y menos liquidez. </w:t>
      </w:r>
    </w:p>
    <w:p w14:paraId="17CD108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100B0D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es importante contar con herramientas y métricas adecuadas que “permitan cuantificar riesgos como el de mercado, liquidez, crédito, operativo y normativo, para garantizar la sostenibilidad financiera y la confianza de los afiliados” (Instituto Tecnológico de Costa Rica, 2017, p. 80)</w:t>
      </w:r>
    </w:p>
    <w:p w14:paraId="028CE3C1" w14:textId="77777777" w:rsidR="00C51607" w:rsidRPr="002012E1" w:rsidRDefault="00C51607" w:rsidP="00C51607">
      <w:pPr>
        <w:spacing w:after="0" w:line="360" w:lineRule="auto"/>
        <w:jc w:val="both"/>
        <w:rPr>
          <w:rFonts w:ascii="Arial" w:eastAsia="Calibri" w:hAnsi="Arial" w:cs="Arial"/>
          <w:b/>
          <w:bCs/>
          <w:i/>
          <w:iCs/>
          <w:kern w:val="0"/>
          <w:lang w:val="es-MX"/>
          <w14:ligatures w14:val="none"/>
        </w:rPr>
      </w:pPr>
    </w:p>
    <w:p w14:paraId="720A06B4" w14:textId="0277E178" w:rsidR="00C51607" w:rsidRPr="002012E1" w:rsidRDefault="00C51607" w:rsidP="00C51607">
      <w:pPr>
        <w:spacing w:after="0" w:line="360" w:lineRule="auto"/>
        <w:jc w:val="both"/>
        <w:rPr>
          <w:rFonts w:ascii="Arial" w:eastAsia="Calibri" w:hAnsi="Arial" w:cs="Arial"/>
          <w:b/>
          <w:bCs/>
          <w:i/>
          <w:iCs/>
          <w:kern w:val="0"/>
          <w:lang w:val="es-MX"/>
          <w14:ligatures w14:val="none"/>
        </w:rPr>
      </w:pPr>
      <w:bookmarkStart w:id="101" w:name="_Toc201322518"/>
      <w:r w:rsidRPr="002012E1">
        <w:rPr>
          <w:rFonts w:ascii="Arial" w:eastAsia="Calibri" w:hAnsi="Arial" w:cs="Arial"/>
          <w:b/>
          <w:bCs/>
          <w:i/>
          <w:iCs/>
          <w:kern w:val="0"/>
          <w:lang w:val="es-MX"/>
          <w14:ligatures w14:val="none"/>
        </w:rPr>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15</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Mapa de Calor de Riesgos asociados a productos financieros</w:t>
      </w:r>
      <w:bookmarkEnd w:id="101"/>
    </w:p>
    <w:tbl>
      <w:tblPr>
        <w:tblStyle w:val="Tablaconcuadrcula1"/>
        <w:tblW w:w="5135" w:type="pct"/>
        <w:jc w:val="center"/>
        <w:tblInd w:w="0" w:type="dxa"/>
        <w:tblLayout w:type="fixed"/>
        <w:tblLook w:val="04A0" w:firstRow="1" w:lastRow="0" w:firstColumn="1" w:lastColumn="0" w:noHBand="0" w:noVBand="1"/>
      </w:tblPr>
      <w:tblGrid>
        <w:gridCol w:w="1696"/>
        <w:gridCol w:w="1558"/>
        <w:gridCol w:w="1558"/>
        <w:gridCol w:w="1418"/>
        <w:gridCol w:w="1418"/>
        <w:gridCol w:w="1418"/>
      </w:tblGrid>
      <w:tr w:rsidR="00C51607" w:rsidRPr="002012E1" w14:paraId="2C90562C" w14:textId="77777777" w:rsidTr="005C1607">
        <w:trPr>
          <w:jc w:val="center"/>
        </w:trPr>
        <w:tc>
          <w:tcPr>
            <w:tcW w:w="935" w:type="pct"/>
            <w:vAlign w:val="center"/>
          </w:tcPr>
          <w:p w14:paraId="05B00BF3"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Tipo de Instrumento</w:t>
            </w:r>
          </w:p>
        </w:tc>
        <w:tc>
          <w:tcPr>
            <w:tcW w:w="859" w:type="pct"/>
            <w:vAlign w:val="center"/>
          </w:tcPr>
          <w:p w14:paraId="4DC72AB0"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 de Mercado</w:t>
            </w:r>
          </w:p>
        </w:tc>
        <w:tc>
          <w:tcPr>
            <w:tcW w:w="859" w:type="pct"/>
            <w:vAlign w:val="center"/>
          </w:tcPr>
          <w:p w14:paraId="6CBD91BA"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 de Liquidez</w:t>
            </w:r>
          </w:p>
        </w:tc>
        <w:tc>
          <w:tcPr>
            <w:tcW w:w="782" w:type="pct"/>
            <w:vAlign w:val="center"/>
          </w:tcPr>
          <w:p w14:paraId="3F8C8D13"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 de Crédito</w:t>
            </w:r>
          </w:p>
        </w:tc>
        <w:tc>
          <w:tcPr>
            <w:tcW w:w="782" w:type="pct"/>
            <w:vAlign w:val="center"/>
          </w:tcPr>
          <w:p w14:paraId="0E0CD92A"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 Operativo</w:t>
            </w:r>
          </w:p>
        </w:tc>
        <w:tc>
          <w:tcPr>
            <w:tcW w:w="782" w:type="pct"/>
            <w:vAlign w:val="center"/>
          </w:tcPr>
          <w:p w14:paraId="1DF3C9C5" w14:textId="77777777" w:rsidR="00C51607" w:rsidRPr="002012E1" w:rsidRDefault="00C51607" w:rsidP="005C1607">
            <w:pPr>
              <w:spacing w:before="280" w:after="280" w:line="360" w:lineRule="auto"/>
              <w:jc w:val="center"/>
              <w:rPr>
                <w:rFonts w:eastAsia="Times New Roman"/>
                <w:b/>
                <w:bCs/>
                <w:color w:val="000000"/>
              </w:rPr>
            </w:pPr>
            <w:r w:rsidRPr="002012E1">
              <w:rPr>
                <w:rFonts w:eastAsia="Times New Roman"/>
                <w:b/>
                <w:bCs/>
                <w:color w:val="000000"/>
              </w:rPr>
              <w:t>Riesgo Normativo</w:t>
            </w:r>
          </w:p>
        </w:tc>
      </w:tr>
      <w:tr w:rsidR="00C51607" w:rsidRPr="002012E1" w14:paraId="37222A8C" w14:textId="77777777" w:rsidTr="005C1607">
        <w:trPr>
          <w:jc w:val="center"/>
        </w:trPr>
        <w:tc>
          <w:tcPr>
            <w:tcW w:w="935" w:type="pct"/>
            <w:vAlign w:val="center"/>
          </w:tcPr>
          <w:p w14:paraId="38469407"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Deuda</w:t>
            </w:r>
          </w:p>
        </w:tc>
        <w:tc>
          <w:tcPr>
            <w:tcW w:w="859" w:type="pct"/>
            <w:vAlign w:val="center"/>
          </w:tcPr>
          <w:p w14:paraId="06A9934F"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Medio</w:t>
            </w:r>
          </w:p>
        </w:tc>
        <w:tc>
          <w:tcPr>
            <w:tcW w:w="859" w:type="pct"/>
            <w:vAlign w:val="center"/>
          </w:tcPr>
          <w:p w14:paraId="3284EB1B"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Bajo</w:t>
            </w:r>
          </w:p>
        </w:tc>
        <w:tc>
          <w:tcPr>
            <w:tcW w:w="782" w:type="pct"/>
            <w:vAlign w:val="center"/>
          </w:tcPr>
          <w:p w14:paraId="303C477F"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Medio</w:t>
            </w:r>
          </w:p>
        </w:tc>
        <w:tc>
          <w:tcPr>
            <w:tcW w:w="782" w:type="pct"/>
            <w:vAlign w:val="center"/>
          </w:tcPr>
          <w:p w14:paraId="138FA111"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Bajo</w:t>
            </w:r>
          </w:p>
        </w:tc>
        <w:tc>
          <w:tcPr>
            <w:tcW w:w="782" w:type="pct"/>
            <w:vAlign w:val="center"/>
          </w:tcPr>
          <w:p w14:paraId="0822B90F"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Bajo</w:t>
            </w:r>
          </w:p>
        </w:tc>
      </w:tr>
      <w:tr w:rsidR="00C51607" w:rsidRPr="002012E1" w14:paraId="18B71B07" w14:textId="77777777" w:rsidTr="005C1607">
        <w:trPr>
          <w:jc w:val="center"/>
        </w:trPr>
        <w:tc>
          <w:tcPr>
            <w:tcW w:w="935" w:type="pct"/>
            <w:vAlign w:val="center"/>
          </w:tcPr>
          <w:p w14:paraId="34C71C3E"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lastRenderedPageBreak/>
              <w:t>Acciones</w:t>
            </w:r>
          </w:p>
        </w:tc>
        <w:tc>
          <w:tcPr>
            <w:tcW w:w="859" w:type="pct"/>
            <w:vAlign w:val="center"/>
          </w:tcPr>
          <w:p w14:paraId="55935921"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c>
          <w:tcPr>
            <w:tcW w:w="859" w:type="pct"/>
            <w:vAlign w:val="center"/>
          </w:tcPr>
          <w:p w14:paraId="10CF2254"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Medio</w:t>
            </w:r>
          </w:p>
        </w:tc>
        <w:tc>
          <w:tcPr>
            <w:tcW w:w="782" w:type="pct"/>
            <w:vAlign w:val="center"/>
          </w:tcPr>
          <w:p w14:paraId="7564B419"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Bajo</w:t>
            </w:r>
          </w:p>
        </w:tc>
        <w:tc>
          <w:tcPr>
            <w:tcW w:w="782" w:type="pct"/>
            <w:vAlign w:val="center"/>
          </w:tcPr>
          <w:p w14:paraId="335E1D24"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Medio</w:t>
            </w:r>
          </w:p>
        </w:tc>
        <w:tc>
          <w:tcPr>
            <w:tcW w:w="782" w:type="pct"/>
            <w:vAlign w:val="center"/>
          </w:tcPr>
          <w:p w14:paraId="3C90C3DF"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Medio</w:t>
            </w:r>
          </w:p>
        </w:tc>
      </w:tr>
      <w:tr w:rsidR="00C51607" w:rsidRPr="002012E1" w14:paraId="7FE14E22" w14:textId="77777777" w:rsidTr="005C1607">
        <w:trPr>
          <w:jc w:val="center"/>
        </w:trPr>
        <w:tc>
          <w:tcPr>
            <w:tcW w:w="935" w:type="pct"/>
            <w:vAlign w:val="center"/>
          </w:tcPr>
          <w:p w14:paraId="4394AD4A" w14:textId="77777777" w:rsidR="00C51607" w:rsidRPr="002012E1" w:rsidRDefault="00C51607" w:rsidP="005C1607">
            <w:pPr>
              <w:spacing w:before="280" w:after="280" w:line="360" w:lineRule="auto"/>
              <w:jc w:val="center"/>
              <w:rPr>
                <w:rFonts w:eastAsia="Times New Roman"/>
                <w:color w:val="000000"/>
              </w:rPr>
            </w:pPr>
            <w:r w:rsidRPr="002012E1">
              <w:rPr>
                <w:rFonts w:eastAsia="Times New Roman"/>
                <w:color w:val="000000"/>
              </w:rPr>
              <w:t>Inversiones alternativas</w:t>
            </w:r>
          </w:p>
        </w:tc>
        <w:tc>
          <w:tcPr>
            <w:tcW w:w="859" w:type="pct"/>
            <w:vAlign w:val="center"/>
          </w:tcPr>
          <w:p w14:paraId="39C8D03E"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c>
          <w:tcPr>
            <w:tcW w:w="859" w:type="pct"/>
            <w:vAlign w:val="center"/>
          </w:tcPr>
          <w:p w14:paraId="67E9A4A0"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c>
          <w:tcPr>
            <w:tcW w:w="782" w:type="pct"/>
            <w:vAlign w:val="center"/>
          </w:tcPr>
          <w:p w14:paraId="095D809E"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c>
          <w:tcPr>
            <w:tcW w:w="782" w:type="pct"/>
            <w:vAlign w:val="center"/>
          </w:tcPr>
          <w:p w14:paraId="631BF5DA"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c>
          <w:tcPr>
            <w:tcW w:w="782" w:type="pct"/>
            <w:vAlign w:val="center"/>
          </w:tcPr>
          <w:p w14:paraId="42B39ED6" w14:textId="77777777" w:rsidR="00C51607" w:rsidRPr="002012E1" w:rsidRDefault="00C51607" w:rsidP="005C1607">
            <w:pPr>
              <w:spacing w:before="280" w:after="280" w:line="360" w:lineRule="auto"/>
              <w:jc w:val="center"/>
              <w:rPr>
                <w:rFonts w:eastAsia="Times New Roman"/>
                <w:color w:val="000000"/>
              </w:rPr>
            </w:pPr>
            <w:r w:rsidRPr="002012E1">
              <w:rPr>
                <w:rFonts w:ascii="Segoe UI Emoji" w:eastAsia="Calibri" w:hAnsi="Segoe UI Emoji" w:cs="Segoe UI Emoji"/>
              </w:rPr>
              <w:t>🔴</w:t>
            </w:r>
            <w:r w:rsidRPr="002012E1">
              <w:rPr>
                <w:rFonts w:eastAsia="Calibri"/>
              </w:rPr>
              <w:t xml:space="preserve"> Alto</w:t>
            </w:r>
          </w:p>
        </w:tc>
      </w:tr>
    </w:tbl>
    <w:p w14:paraId="017F58C1" w14:textId="77777777" w:rsidR="00C51607" w:rsidRPr="002012E1" w:rsidRDefault="00C51607" w:rsidP="00C51607">
      <w:pPr>
        <w:spacing w:after="0" w:line="360" w:lineRule="auto"/>
        <w:jc w:val="right"/>
        <w:rPr>
          <w:rFonts w:ascii="Arial" w:eastAsia="Times New Roman" w:hAnsi="Arial" w:cs="Arial"/>
          <w:b/>
          <w:bCs/>
          <w:color w:val="000000"/>
          <w:kern w:val="0"/>
          <w:lang w:val="es-MX"/>
          <w14:ligatures w14:val="none"/>
        </w:rPr>
      </w:pPr>
      <w:r w:rsidRPr="002012E1">
        <w:rPr>
          <w:rFonts w:ascii="Arial" w:eastAsia="Times New Roman" w:hAnsi="Arial" w:cs="Arial"/>
          <w:b/>
          <w:bCs/>
          <w:color w:val="000000"/>
          <w:kern w:val="0"/>
          <w:lang w:val="es-MX"/>
          <w14:ligatures w14:val="none"/>
        </w:rPr>
        <w:t xml:space="preserve">Fuente: </w:t>
      </w:r>
      <w:r w:rsidRPr="002012E1">
        <w:rPr>
          <w:rFonts w:ascii="Arial" w:eastAsia="Times New Roman" w:hAnsi="Arial" w:cs="Arial"/>
          <w:color w:val="000000"/>
          <w:kern w:val="0"/>
          <w:lang w:val="es-MX"/>
          <w14:ligatures w14:val="none"/>
        </w:rPr>
        <w:t xml:space="preserve">Elaboración propia. </w:t>
      </w:r>
      <w:r w:rsidRPr="002012E1">
        <w:rPr>
          <w:rFonts w:ascii="Arial" w:eastAsia="Times New Roman" w:hAnsi="Arial" w:cs="Arial"/>
          <w:b/>
          <w:bCs/>
          <w:color w:val="000000"/>
          <w:kern w:val="0"/>
          <w:lang w:val="es-MX"/>
          <w14:ligatures w14:val="none"/>
        </w:rPr>
        <w:t xml:space="preserve">Elaboración: </w:t>
      </w:r>
      <w:r w:rsidRPr="002012E1">
        <w:rPr>
          <w:rFonts w:ascii="Arial" w:eastAsia="Times New Roman" w:hAnsi="Arial" w:cs="Arial"/>
          <w:color w:val="000000"/>
          <w:kern w:val="0"/>
          <w:lang w:val="es-MX"/>
          <w14:ligatures w14:val="none"/>
        </w:rPr>
        <w:t>Grupo Investigador (2025)</w:t>
      </w:r>
      <w:r w:rsidRPr="002012E1">
        <w:rPr>
          <w:rFonts w:ascii="Arial" w:eastAsia="Calibri" w:hAnsi="Arial" w:cs="Arial"/>
          <w:kern w:val="0"/>
          <w:lang w:val="es-MX"/>
          <w14:ligatures w14:val="none"/>
        </w:rPr>
        <w:t xml:space="preserve"> </w:t>
      </w:r>
    </w:p>
    <w:p w14:paraId="0D7C94E5" w14:textId="77777777" w:rsidR="00C51607" w:rsidRPr="002012E1" w:rsidRDefault="00C51607" w:rsidP="00C51607">
      <w:pPr>
        <w:spacing w:after="0" w:line="360" w:lineRule="auto"/>
        <w:jc w:val="right"/>
        <w:rPr>
          <w:rFonts w:ascii="Arial" w:eastAsia="Times New Roman" w:hAnsi="Arial" w:cs="Arial"/>
          <w:color w:val="000000"/>
          <w:kern w:val="0"/>
          <w:lang w:val="es-MX"/>
          <w14:ligatures w14:val="none"/>
        </w:rPr>
      </w:pPr>
    </w:p>
    <w:p w14:paraId="7F68D22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asignación del color para los riesgos asociados a cada tipo de instrumento financiero se basa en la intensidad y probabilidad de ocurrencia de cada riesgo, considerando las características intrínsecas de los instrumentos y su comportamiento en los mercados financieros.</w:t>
      </w:r>
    </w:p>
    <w:p w14:paraId="735434D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07D1E8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Riesgo de Mercado:</w:t>
      </w:r>
      <w:r w:rsidRPr="002012E1">
        <w:rPr>
          <w:rFonts w:ascii="Arial" w:eastAsia="Calibri" w:hAnsi="Arial" w:cs="Arial"/>
          <w:kern w:val="0"/>
          <w:lang w:val="es-MX"/>
          <w14:ligatures w14:val="none"/>
        </w:rPr>
        <w:t xml:space="preserve"> Se refiere a la posibilidad de pérdidas por fluctuaciones en precios, tasas de interés o divisas.</w:t>
      </w:r>
    </w:p>
    <w:p w14:paraId="5B0856CA"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deuda, se asigna un nivel medio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porque, aunque los bonos y certificados tienen sensibilidad a tasas, su volatilidad es menor que la de acciones.</w:t>
      </w:r>
    </w:p>
    <w:p w14:paraId="69F65CFF"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acciones, el riesgo es alto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dada su alta volatilidad y exposición a cambios bruscos de mercado.</w:t>
      </w:r>
    </w:p>
    <w:p w14:paraId="2B5A913C"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inversiones alternativas o productos alternativos presentan riesgo alto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debido a su complejidad, menor regulación y alta exposición a factores de mercado no tradicionales y difíciles de predecir.</w:t>
      </w:r>
    </w:p>
    <w:p w14:paraId="4C82622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FCEE6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Riesgo de Liquidez:</w:t>
      </w:r>
      <w:r w:rsidRPr="002012E1">
        <w:rPr>
          <w:rFonts w:ascii="Arial" w:eastAsia="Calibri" w:hAnsi="Arial" w:cs="Arial"/>
          <w:kern w:val="0"/>
          <w:lang w:val="es-MX"/>
          <w14:ligatures w14:val="none"/>
        </w:rPr>
        <w:t xml:space="preserve"> Mide la facilidad para convertir activos en efectivo sin pérdidas significativas.</w:t>
      </w:r>
    </w:p>
    <w:p w14:paraId="4251C226"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deuda tradicional suele tener baja liquidez relativa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xml:space="preserve"> bajo), especialmente bonos gubernamentales.</w:t>
      </w:r>
    </w:p>
    <w:p w14:paraId="55920D83"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acciones tienen liquidez media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porque, aunque se negocian en mercados organizados, pueden sufrir caídas de volumen en crisis.</w:t>
      </w:r>
    </w:p>
    <w:p w14:paraId="5F1D2F08"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Las inversiones alternativas o productos alternativos tienen alta iliquidez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pues suelen ser activos menos líquidos, con restricciones de venta y períodos de lock-up.</w:t>
      </w:r>
    </w:p>
    <w:p w14:paraId="7DA23AF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BC251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Riesgo de Crédito:</w:t>
      </w:r>
      <w:r w:rsidRPr="002012E1">
        <w:rPr>
          <w:rFonts w:ascii="Arial" w:eastAsia="Calibri" w:hAnsi="Arial" w:cs="Arial"/>
          <w:kern w:val="0"/>
          <w:lang w:val="es-MX"/>
          <w14:ligatures w14:val="none"/>
        </w:rPr>
        <w:t xml:space="preserve"> Posibilidad de incumplimiento del emisor o contraparte.</w:t>
      </w:r>
    </w:p>
    <w:p w14:paraId="73E8A339"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deuda, es medio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porque existe riesgo de impago, especialmente en bonos corporativos.</w:t>
      </w:r>
    </w:p>
    <w:p w14:paraId="3ECAABCE"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acciones, es bajo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porque no implican obligación de pago por parte de la empresa.</w:t>
      </w:r>
    </w:p>
    <w:p w14:paraId="002DDF79"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inversiones o productos alternativos es alto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dado que pueden involucrar préstamos privados o estructuras con contrapartes menos reguladas o más riesgosas.</w:t>
      </w:r>
    </w:p>
    <w:p w14:paraId="7AE2CC1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9BBA15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Riesgo Operativo:</w:t>
      </w:r>
      <w:r w:rsidRPr="002012E1">
        <w:rPr>
          <w:rFonts w:ascii="Arial" w:eastAsia="Calibri" w:hAnsi="Arial" w:cs="Arial"/>
          <w:kern w:val="0"/>
          <w:lang w:val="es-MX"/>
          <w14:ligatures w14:val="none"/>
        </w:rPr>
        <w:t xml:space="preserve"> Relacionado con fallas en procesos, sistemas o fraudes.</w:t>
      </w:r>
    </w:p>
    <w:p w14:paraId="5E293D87"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 bajo en deuda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 la simplicidad de los instrumentos.</w:t>
      </w:r>
    </w:p>
    <w:p w14:paraId="6F2A4359"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Medio en acciones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 la complejidad operativa y riesgos asociados a la negociación y custodia.</w:t>
      </w:r>
    </w:p>
    <w:p w14:paraId="4366AF55"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Alto en inversiones o productos alternativos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dada la complejidad, menor transparencia y estructuras más sofisticadas que incrementan la probabilidad de errores o fraudes.</w:t>
      </w:r>
    </w:p>
    <w:p w14:paraId="55612F6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64BF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Riesgo Normativo:</w:t>
      </w:r>
      <w:r w:rsidRPr="002012E1">
        <w:rPr>
          <w:rFonts w:ascii="Arial" w:eastAsia="Calibri" w:hAnsi="Arial" w:cs="Arial"/>
          <w:kern w:val="0"/>
          <w:lang w:val="es-MX"/>
          <w14:ligatures w14:val="none"/>
        </w:rPr>
        <w:t xml:space="preserve"> Riesgo de cambios regulatorios o incumplimiento.</w:t>
      </w:r>
    </w:p>
    <w:p w14:paraId="101A9609"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Bajo en deuda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 la regulación estable y clara.</w:t>
      </w:r>
    </w:p>
    <w:p w14:paraId="66FA9B9A"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Medio en acciones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por cambios en normativas bursátiles o fiscales.</w:t>
      </w:r>
    </w:p>
    <w:p w14:paraId="373055F6" w14:textId="77777777" w:rsidR="00C51607" w:rsidRPr="002012E1" w:rsidRDefault="00C51607" w:rsidP="00C51607">
      <w:pPr>
        <w:numPr>
          <w:ilvl w:val="0"/>
          <w:numId w:val="4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Alto en inversiones o productos alternativos (</w:t>
      </w:r>
      <w:r w:rsidRPr="002012E1">
        <w:rPr>
          <w:rFonts w:ascii="Segoe UI Emoji" w:eastAsia="Calibri" w:hAnsi="Segoe UI Emoji" w:cs="Segoe UI Emoji"/>
          <w:kern w:val="0"/>
          <w:lang w:val="es-MX"/>
          <w14:ligatures w14:val="none"/>
        </w:rPr>
        <w:t>🔴</w:t>
      </w:r>
      <w:r w:rsidRPr="002012E1">
        <w:rPr>
          <w:rFonts w:ascii="Arial" w:eastAsia="Calibri" w:hAnsi="Arial" w:cs="Arial"/>
          <w:kern w:val="0"/>
          <w:lang w:val="es-MX"/>
          <w14:ligatures w14:val="none"/>
        </w:rPr>
        <w:t>) debido a regulaciones más estrictas, cambios frecuentes y mayor supervisión, además de posibles limitaciones para su uso en fondos regulados.</w:t>
      </w:r>
    </w:p>
    <w:p w14:paraId="545E913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F6A6F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resumen, la escala de colores refleja la naturaleza inherente y la complejidad de cada instrumento: los productos tradicionales como deuda y acciones tienen riesgos </w:t>
      </w:r>
      <w:r w:rsidRPr="002012E1">
        <w:rPr>
          <w:rFonts w:ascii="Arial" w:eastAsia="Calibri" w:hAnsi="Arial" w:cs="Arial"/>
          <w:kern w:val="0"/>
          <w:lang w:val="es-MX"/>
          <w14:ligatures w14:val="none"/>
        </w:rPr>
        <w:lastRenderedPageBreak/>
        <w:t>más moderados y conocidos, mientras que las inversiones y productos alternativos presentan riesgos más elevados en casi todas las categorías, especialmente en liquidez, operativo y normativo, lo que justifica la asignación de colores más intensos para estos riesgos.</w:t>
      </w:r>
    </w:p>
    <w:p w14:paraId="736FB7A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E579C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Ahora bien, realizando el análisis del mapa de calor, este refleja que los productos de deuda presentan un perfil de riesgo relativamente bajo en términos de liquidez y operativo, pero con un riesgo de mercado y crédito moderado, dado que dependen de la solvencia del emisor y las condiciones económicas.</w:t>
      </w:r>
    </w:p>
    <w:p w14:paraId="417DA7B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985BA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 contrario, las acciones exhiben un riesgo de mercado alto debido a su volatilidad inherente, con riesgos de liquidez y operativo moderados, y bajo riesgo de crédito, ya que no implican deuda directa.</w:t>
      </w:r>
    </w:p>
    <w:p w14:paraId="4C0090F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CC5831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otra parte, las inversiones alternativas o productos alternativos, que incluyen capital privado, fondos de cobertura y otros activos no tradicionales, presentan riesgos elevados en casi todas las categorías. La falta de mercados secundarios activos aumenta el riesgo de liquidez, mientras que la complejidad en la valoración y gestión eleva el riesgo operativo</w:t>
      </w:r>
    </w:p>
    <w:p w14:paraId="504391E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B42193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Instituto Tecnológico de Costa Rica (2017) indica que “La regulación específica y la supervisión más estricta contribuyen a un riesgo normativo considerable” (p. 85) Estos factores hacen que la gestión de activos requiera sistemas robustos y experiencia más especializada para mitigar los potenciales impactos negativos.</w:t>
      </w:r>
    </w:p>
    <w:p w14:paraId="41CF722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5B546D" w14:textId="77777777" w:rsidR="00C51607" w:rsidRPr="002012E1" w:rsidRDefault="00C51607" w:rsidP="00C51607">
      <w:pPr>
        <w:pStyle w:val="apanivel4"/>
      </w:pPr>
      <w:r w:rsidRPr="002012E1">
        <w:t>Volatilidad histórica promedio según tipo de activo</w:t>
      </w:r>
    </w:p>
    <w:p w14:paraId="20C2C90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acciones en Costa Rica según la revista de Ciencias Económicas de la Universidad de Costa Rica (2022) han mostrado “una desviación estándar anual promedio cercana al 18%” (p. 21) reflejando su alta volatilidad y sensibilidad a los factores macroeconómicos y políticos. En contraste, “los bonos de deuda pública </w:t>
      </w:r>
      <w:r w:rsidRPr="002012E1">
        <w:rPr>
          <w:rFonts w:ascii="Arial" w:eastAsia="Calibri" w:hAnsi="Arial" w:cs="Arial"/>
          <w:kern w:val="0"/>
          <w:lang w:val="es-MX"/>
          <w14:ligatures w14:val="none"/>
        </w:rPr>
        <w:lastRenderedPageBreak/>
        <w:t>presentan una volatilidad mucho menor, alrededor del 5%, lo que confirma su papel como instrumentos de renta fija más estables” (p. 22).</w:t>
      </w:r>
    </w:p>
    <w:p w14:paraId="6BA67C1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CF4405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su parte, el Instituto Tecnológico de Costa Rica (TEC, 2017) indica que las inversiones alternativas y productos alternativos, por su naturaleza ilíquida y compleja, no cuentan con datos tan precisos, pero entre sus estudios internacionales sugieren “volatilidades superiores al 20% debido a la exposición a mercados emergentes y activos no convencionales” (p. 82)</w:t>
      </w:r>
    </w:p>
    <w:p w14:paraId="7154774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70075A"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 xml:space="preserve">Esto se debe a su exposición a mercados emergentes y activos no convencionales, que implican riesgos adicionales pero también potenciales oportunidades de altos rendimientos. Esta mayor volatilidad sugiere que estos instrumentos son más adecuados para inversores con mayor tolerancia al riesgo y un horizonte de inversión largo, que buscan diversificación más allá de los activos tradicionales. </w:t>
      </w:r>
    </w:p>
    <w:p w14:paraId="74D6E295"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72BF54A1"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En conjunto, estas diferencias en volatilidad entre clases de activos reflejan la necesidad de una gestión de portafolio cuidadosa y diversificada, que equilibre riesgo y retorno según el perfil y objetivos del inversionista en el contexto costarricense.</w:t>
      </w:r>
    </w:p>
    <w:p w14:paraId="311E90E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AA0E30"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entrevistas reflejan que la volatilidad histórica promedio varía según el tipo de activo, y aunque no se dan cifras exactas, se percibe un consenso sobre el comportamiento relativo de la volatilidad según el tipo de instrumento:</w:t>
      </w:r>
    </w:p>
    <w:p w14:paraId="22EF359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E76F91" w14:textId="77777777" w:rsidR="00C51607" w:rsidRPr="002012E1" w:rsidRDefault="00C51607" w:rsidP="00C51607">
      <w:pPr>
        <w:numPr>
          <w:ilvl w:val="0"/>
          <w:numId w:val="4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instrumentos tradicionales como deuda y acciones tienen una volatilidad moderada a alta, pero bien conocida y gestionable. Por ejemplo, la OPC CCSS y BCR mencionan que la deuda aporta estabilidad y menor volatilidad, mientras que las acciones implican mayor riesgo de mercado y volatilidad media. Esto coincide con la percepción general de que la deuda tiene menor volatilidad y las acciones mayor, debido a su exposición a fluctuaciones del mercado.</w:t>
      </w:r>
    </w:p>
    <w:p w14:paraId="42AFF0BB" w14:textId="77777777" w:rsidR="00C51607" w:rsidRPr="002012E1" w:rsidRDefault="00C51607" w:rsidP="00C51607">
      <w:pPr>
        <w:numPr>
          <w:ilvl w:val="0"/>
          <w:numId w:val="4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En cuanto a las inversiones alternativas y productos alternativos, las entrevistas destacan una mayor complejidad para medir riesgos y una mayor volatilidad histórica. BAC Pensiones señala que estas inversiones aportan diversificación y reducción de volatilidad sistémica, pero también reconocen la dificultad para valorar estos activos y la alta incertidumbre que generan, lo que implica una volatilidad más elevada y menos predecible.</w:t>
      </w:r>
    </w:p>
    <w:p w14:paraId="72B314B7" w14:textId="77777777" w:rsidR="00C51607" w:rsidRPr="002012E1" w:rsidRDefault="00C51607" w:rsidP="00C51607">
      <w:pPr>
        <w:numPr>
          <w:ilvl w:val="0"/>
          <w:numId w:val="4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OPC CCSS reconoce que, si se gestionan adecuadamente los riesgos y la liquidez, las inversiones alternativas pueden reducir la volatilidad del portafolio a largo plazo, aunque actualmente enfrentan falta de estándares contables claros y poca información confiable, lo que limita su uso y manejo del riesgo</w:t>
      </w:r>
    </w:p>
    <w:p w14:paraId="5B2EA81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F26A1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resumen, la volatilidad histórica promedio es menor en deuda, intermedia en acciones y más alta y variable en inversiones y productos alternativos, lo que impacta la toma de decisiones y la gestión del riesgo en los fondos de pensiones entrevistados.</w:t>
      </w:r>
    </w:p>
    <w:p w14:paraId="19DDE7D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1145FB3" w14:textId="77777777" w:rsidR="00C51607" w:rsidRPr="002012E1" w:rsidRDefault="00C51607" w:rsidP="00C51607">
      <w:pPr>
        <w:pStyle w:val="apanivel4"/>
      </w:pPr>
      <w:r w:rsidRPr="002012E1">
        <w:t>Valor en Riesgo (VAR) estimado para cada tipo</w:t>
      </w:r>
    </w:p>
    <w:p w14:paraId="35A837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las carteras de deuda de los fondos de pensiones en Costa Rica, el Valor en Riesgo (VAR) suele situarse alrededor del 3% para un horizonte de un mes con un nivel de confianza del 95%. Esto indica que las pérdidas máximas esperadas en estas inversiones son moderadas, reflejando la naturaleza más estable y predecible de los instrumentos de renta fija. </w:t>
      </w:r>
    </w:p>
    <w:p w14:paraId="1157FCC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89279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otro lado, cuando se trata de acciones, el VAR puede superar el 10%, lo que evidencia un riesgo considerablemente mayor debido a la volatilidad inherente a los mercados bursátiles y la posibilidad de caídas bruscas en los precios.</w:t>
      </w:r>
    </w:p>
    <w:p w14:paraId="63BFFE9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7974FC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inversiones alternativas, que incluyen activos como capital privado o fondos de cobertura, presentan un VAR más variable, pero generalmente superior al 12%. Esta mayor exposición al riesgo se debe a la complejidad de estos instrumentos y </w:t>
      </w:r>
      <w:r w:rsidRPr="002012E1">
        <w:rPr>
          <w:rFonts w:ascii="Arial" w:eastAsia="Calibri" w:hAnsi="Arial" w:cs="Arial"/>
          <w:kern w:val="0"/>
          <w:lang w:val="es-MX"/>
          <w14:ligatures w14:val="none"/>
        </w:rPr>
        <w:lastRenderedPageBreak/>
        <w:t xml:space="preserve">a su menor liquidez, lo que puede traducirse en pérdidas significativas en escenarios adversos. </w:t>
      </w:r>
    </w:p>
    <w:p w14:paraId="62DD87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79D4DC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dificultad para valorar estos activos y la menor transparencia contribuyen a que su perfil de riesgo sea más elevado en comparación con los instrumentos tradicionales.</w:t>
      </w:r>
    </w:p>
    <w:p w14:paraId="18BE725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3618C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resumen, mientras que la deuda ofrece una protección relativa contra pérdidas abruptas, las acciones y especialmente las inversiones alternativas implican una mayor volatilidad y potencial de pérdidas. </w:t>
      </w:r>
    </w:p>
    <w:p w14:paraId="7F62411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6820A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obliga a los gestores de fondos a diseñar estrategias de inversión que equilibren la búsqueda de rentabilidad con la gestión adecuada del riesgo, considerando el horizonte temporal y las necesidades de liquidez de los afiliados.</w:t>
      </w:r>
    </w:p>
    <w:p w14:paraId="70B9153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6F862C" w14:textId="77777777" w:rsidR="00C51607" w:rsidRPr="002012E1" w:rsidRDefault="00C51607" w:rsidP="00C51607">
      <w:pPr>
        <w:pStyle w:val="apanivel4"/>
      </w:pPr>
      <w:r w:rsidRPr="002012E1">
        <w:t>Comparación de ratios como Sharpe o Treynor</w:t>
      </w:r>
    </w:p>
    <w:p w14:paraId="5C7AF97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 estudio realizado sobre fondos de inversión en Costa Rica muestra que aquellos con mayor exposición a instrumentos de deuda tienden a presentar ratios de Sharpe entre 0.8 y 1.2, lo que indica una buena compensación entre riesgo y retorno. (Proyecto de Graduación, TEC, 2017, p. 80)</w:t>
      </w:r>
    </w:p>
    <w:p w14:paraId="74C0F58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98888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contraste, los fondos que tienen una alta proporción de acciones y productos alternativos exhiben ratios de Sharpe más volátiles, con valores que oscilan entre 0.5 y 1.0, reflejando un mayor nivel de riesgo asumido por los inversionistas.</w:t>
      </w:r>
    </w:p>
    <w:p w14:paraId="5BBA4AF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4DB51E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análisis resalta la importancia de diversificar adecuadamente los portafolios, combinando diferentes tipos de activos para equilibrar el riesgo y la rentabilidad. La inclusión de deuda en las carteras contribuye a estabilizar el rendimiento, mientras que las acciones y productos alternativos pueden ofrecer mayores retornos pero con una volatilidad más elevada. Por ello, la gestión activa y la selección cuidadosa de los instrumentos son clave para optimizar el desempeño ajustado al riesgo.</w:t>
      </w:r>
    </w:p>
    <w:p w14:paraId="3CE1F9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Además, se enfatiza la necesidad de contar con normativas claras y registros contables adecuados para integrar correctamente estos productos financieros en los fondos de pensiones. </w:t>
      </w:r>
    </w:p>
    <w:p w14:paraId="441F94F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AA2E57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Una clasificación precisa y un control riguroso permiten asegurar la transparencia y el cumplimiento de estándares internacionales, lo que es fundamental para mantener la confianza de los afiliados y la estabilidad del sistema.</w:t>
      </w:r>
    </w:p>
    <w:p w14:paraId="26497A8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BEEF37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definitiva, la combinación equilibrada de deuda, acciones e inversiones alternativas puede mejorar la eficiencia del portafolio, siempre que se gestionen adecuadamente los riesgos asociados. Esto implica no solo buscar la rentabilidad, sino también garantizar la sostenibilidad a largo plazo y la protección del patrimonio de los fondos de pensiones.</w:t>
      </w:r>
    </w:p>
    <w:p w14:paraId="48FE4B2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E96295A" w14:textId="77777777" w:rsidR="00C51607" w:rsidRPr="002012E1" w:rsidRDefault="00C51607" w:rsidP="00C51607">
      <w:pPr>
        <w:pStyle w:val="apanivel2"/>
        <w:rPr>
          <w:rFonts w:ascii="Arial" w:hAnsi="Arial" w:cs="Arial"/>
        </w:rPr>
      </w:pPr>
      <w:bookmarkStart w:id="102" w:name="_Toc201832452"/>
      <w:r w:rsidRPr="002012E1">
        <w:rPr>
          <w:rFonts w:ascii="Arial" w:hAnsi="Arial" w:cs="Arial"/>
        </w:rPr>
        <w:t>Productos o Inversiones Alternativas</w:t>
      </w:r>
      <w:bookmarkEnd w:id="102"/>
    </w:p>
    <w:p w14:paraId="41BD4A2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inversiones alternativas se definen como aquellas orientadas a obtener retornos positivos en cualquier entorno de mercado, diferenciándose de los activos financieros tradicionales por su baja correlación con estos últimos. </w:t>
      </w:r>
    </w:p>
    <w:p w14:paraId="15D24F3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36191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 implica que su comportamiento no depende directamente del mercado bursátil o de renta fija convencional, lo que las convierte en una opción atractiva para diversificar riesgos y mejorar la rentabilidad ajustada al riesgo de una cartera de inversión. </w:t>
      </w:r>
    </w:p>
    <w:p w14:paraId="766E84D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8EA158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palabras de López Lubián y Hurtado Coll, "aunque no existe una definición universal de inversión alternativa, a modo de síntesis general se puede definir como aquélla orientada a obtener retornos positivos en cualquier entorno de mercado" (2007, p. 12). Estas inversiones incluyen una amplia variedad de activos y estrategias, tales como hedge funds, capital privado, bienes raíces, materias primas, arte, y otros vehículos no tradicionales. </w:t>
      </w:r>
    </w:p>
    <w:p w14:paraId="1747A5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AE46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Su principal característica es que suelen ofrecer oportunidades de inversión que no están disponibles en los mercados financieros convencionales, permitiendo a los inversores acceder a fuentes de rentabilidad diferentes y a menudo menos correlacionadas con las fluctuaciones del mercado tradicional. </w:t>
      </w:r>
    </w:p>
    <w:p w14:paraId="62D2E26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45789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Caridad García, "las inversiones alternativas se caracterizan por su baja correlación con los activos tradicionales, lo que las convierte en instrumentos útiles para la diversificación y la reducción del riesgo en las carteras" (2007, p. 55).</w:t>
      </w:r>
    </w:p>
    <w:p w14:paraId="372F2E0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05130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las inversiones alternativas suelen estar dirigidas a inversores con un perfil más sofisticado, dado que pueden implicar mayor complejidad, menor liquidez y mayores barreras de entrada en términos de capital mínimo y conocimiento. </w:t>
      </w:r>
    </w:p>
    <w:p w14:paraId="65B83A5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7A27E3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su inclusión en una cartera puede mejorar significativamente el perfil riesgo-retorno, especialmente en contextos de volatilidad o crisis financiera. Estos activos permiten obtener retornos positivos en cualquier entorno de mercado, lo que es especialmente valioso en períodos de crisis o incertidumbre económica.</w:t>
      </w:r>
    </w:p>
    <w:p w14:paraId="5FD195D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66E555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Finalmente, el auge de las inversiones alternativas responde a la búsqueda de nuevas fuentes de rentabilidad y a la necesidad de diversificar frente a la volatilidad y la incertidumbre de los mercados tradicionales. </w:t>
      </w:r>
    </w:p>
    <w:p w14:paraId="51CCA43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C512B2"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Su importancia ha crecido en las últimas décadas, consolidándose como una parte esencial en la gestión moderna de carteras. En este sentido, la creciente inclusión de inversiones alternativas en las carteras responde a la necesidad de los inversores de diversificar y mejorar la eficiencia de sus inversiones.</w:t>
      </w:r>
    </w:p>
    <w:p w14:paraId="4D6B176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6D6AA4" w14:textId="77777777" w:rsidR="00C51607" w:rsidRPr="002012E1" w:rsidRDefault="00C51607" w:rsidP="00C51607">
      <w:pPr>
        <w:pStyle w:val="apanivel3"/>
        <w:rPr>
          <w:rFonts w:ascii="Arial" w:hAnsi="Arial" w:cs="Arial"/>
        </w:rPr>
      </w:pPr>
      <w:bookmarkStart w:id="103" w:name="_Toc201832453"/>
      <w:r w:rsidRPr="002012E1">
        <w:rPr>
          <w:rFonts w:ascii="Arial" w:hAnsi="Arial" w:cs="Arial"/>
        </w:rPr>
        <w:t>Tipos de Inversiones Alternativas en los Portafolios de Pensiones</w:t>
      </w:r>
      <w:bookmarkEnd w:id="103"/>
    </w:p>
    <w:p w14:paraId="20A0CD1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inversiones alternativas han ganado relevancia en los fondos de pensiones a nivel global y en Costa Rica aún más, ya que se ha vuelto una vía para diversificar los portafolios y mejorar la rentabilidad ajustada al riesgo. </w:t>
      </w:r>
    </w:p>
    <w:p w14:paraId="53E928C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Estas inversiones incluyen activos no tradicionales como se ha mencionado anteriormente como el capital privado, infraestructura, bienes raíces, fondos de cobertura, entre otros, los cuales ofrecen características distintas a los instrumentos tradicionales de deuda y acciones.</w:t>
      </w:r>
    </w:p>
    <w:p w14:paraId="32CE14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0703D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la Superintendencia de Pensiones (SUPEN) “las inversiones alternativas permiten a los fondos de pensiones acceder a oportunidades de diversificación que no están correlacionadas con los mercados públicos, lo que puede mejorar la estabilidad y el rendimiento a largo plazo” (2023, p. 12).</w:t>
      </w:r>
    </w:p>
    <w:p w14:paraId="532A830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F27BE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país, la incorporación de inversiones alternativas en los fondos de pensiones ha sido gradual, principalmente impulsada por la necesidad de enfrentar entornos de bajas tasas de interés y volatilidad en los mercados tradicionales.</w:t>
      </w:r>
    </w:p>
    <w:p w14:paraId="118892F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F7A776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sistema costarricense ha comenzado a integrar productos alternativos, especialmente en fondos como BAC Pensiones y Popular Pensiones, que han incrementado su exposición a infraestructura y capital privado en el extranjero” (Semanario Universidad, 2022). Esta tendencia responde a la búsqueda de mayores rendimientos y a la diversificación del riesgo, aunque también implica desafíos regulatorios y de valoración.</w:t>
      </w:r>
    </w:p>
    <w:p w14:paraId="58437F5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077F22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nivel internacional, los fondos de pensiones han adoptado las inversiones alternativas como parte primordial y esencial de sus estrategias, reconociendo que estos activos pueden ofrecer rentabilidades superiores a largo plazo y protección contra la inflación.</w:t>
      </w:r>
    </w:p>
    <w:p w14:paraId="0492D1E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F8BB383" w14:textId="77777777" w:rsidR="00C51607" w:rsidRPr="002012E1" w:rsidRDefault="00C51607" w:rsidP="00C51607">
      <w:pPr>
        <w:spacing w:after="0" w:line="360" w:lineRule="auto"/>
        <w:jc w:val="both"/>
        <w:rPr>
          <w:rFonts w:ascii="Arial" w:eastAsia="Calibri" w:hAnsi="Arial" w:cs="Arial"/>
          <w:b/>
          <w:bCs/>
          <w:i/>
          <w:iCs/>
          <w:kern w:val="0"/>
          <w:lang w:val="es-MX"/>
          <w14:ligatures w14:val="none"/>
        </w:rPr>
      </w:pPr>
      <w:r w:rsidRPr="002012E1">
        <w:rPr>
          <w:rFonts w:ascii="Arial" w:eastAsia="Calibri" w:hAnsi="Arial" w:cs="Arial"/>
          <w:kern w:val="0"/>
          <w:lang w:val="es-MX"/>
          <w14:ligatures w14:val="none"/>
        </w:rPr>
        <w:t>Sin embargo, también se reconoce que “la complejidad, menor liquidez y dificultades en la valoración de estos activos requieren una gestión especializada y una adecuada supervisión para evitar riesgos excesivos” (FIAP, 2020, p. 25). Por ello, la integración de estos productos en el portafolio de pensiones debe hacerse con criterios rigurosos y bajo un marco regulatorio claro.</w:t>
      </w:r>
    </w:p>
    <w:p w14:paraId="7D725039" w14:textId="43C01B97" w:rsidR="00C51607" w:rsidRPr="002012E1" w:rsidRDefault="00C51607" w:rsidP="00C51607">
      <w:pPr>
        <w:spacing w:after="0" w:line="360" w:lineRule="auto"/>
        <w:jc w:val="both"/>
        <w:rPr>
          <w:rFonts w:ascii="Arial" w:eastAsia="Calibri" w:hAnsi="Arial" w:cs="Arial"/>
          <w:b/>
          <w:bCs/>
          <w:i/>
          <w:iCs/>
          <w:kern w:val="0"/>
          <w:lang w:val="es-MX"/>
          <w14:ligatures w14:val="none"/>
        </w:rPr>
      </w:pPr>
      <w:bookmarkStart w:id="104" w:name="_Toc201322519"/>
      <w:r w:rsidRPr="002012E1">
        <w:rPr>
          <w:rFonts w:ascii="Arial" w:eastAsia="Calibri" w:hAnsi="Arial" w:cs="Arial"/>
          <w:b/>
          <w:bCs/>
          <w:i/>
          <w:iCs/>
          <w:kern w:val="0"/>
          <w:lang w:val="es-MX"/>
          <w14:ligatures w14:val="none"/>
        </w:rPr>
        <w:lastRenderedPageBreak/>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16</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Tipos de Inversiones Alternativas en Fondos de Pensiones</w:t>
      </w:r>
      <w:bookmarkEnd w:id="104"/>
    </w:p>
    <w:tbl>
      <w:tblPr>
        <w:tblStyle w:val="Tablaconcuadrcula1"/>
        <w:tblW w:w="0" w:type="auto"/>
        <w:tblInd w:w="0" w:type="dxa"/>
        <w:tblLook w:val="04A0" w:firstRow="1" w:lastRow="0" w:firstColumn="1" w:lastColumn="0" w:noHBand="0" w:noVBand="1"/>
      </w:tblPr>
      <w:tblGrid>
        <w:gridCol w:w="2154"/>
        <w:gridCol w:w="2917"/>
        <w:gridCol w:w="3757"/>
      </w:tblGrid>
      <w:tr w:rsidR="00C51607" w:rsidRPr="002012E1" w14:paraId="19176347" w14:textId="77777777" w:rsidTr="005C1607">
        <w:tc>
          <w:tcPr>
            <w:tcW w:w="0" w:type="auto"/>
            <w:vAlign w:val="center"/>
          </w:tcPr>
          <w:p w14:paraId="257C9E48" w14:textId="77777777" w:rsidR="00C51607" w:rsidRPr="002012E1" w:rsidRDefault="00C51607" w:rsidP="005C1607">
            <w:pPr>
              <w:spacing w:after="160" w:line="360" w:lineRule="auto"/>
              <w:jc w:val="center"/>
              <w:rPr>
                <w:rFonts w:eastAsia="Calibri"/>
                <w:b/>
                <w:bCs/>
              </w:rPr>
            </w:pPr>
            <w:r w:rsidRPr="002012E1">
              <w:rPr>
                <w:rFonts w:eastAsia="Calibri"/>
                <w:b/>
                <w:bCs/>
              </w:rPr>
              <w:t>Tipos de Inversión Alternativa</w:t>
            </w:r>
          </w:p>
        </w:tc>
        <w:tc>
          <w:tcPr>
            <w:tcW w:w="0" w:type="auto"/>
            <w:vAlign w:val="center"/>
          </w:tcPr>
          <w:p w14:paraId="38D1087F" w14:textId="77777777" w:rsidR="00C51607" w:rsidRPr="002012E1" w:rsidRDefault="00C51607" w:rsidP="005C1607">
            <w:pPr>
              <w:spacing w:after="160" w:line="360" w:lineRule="auto"/>
              <w:jc w:val="center"/>
              <w:rPr>
                <w:rFonts w:eastAsia="Calibri"/>
                <w:b/>
                <w:bCs/>
              </w:rPr>
            </w:pPr>
            <w:r w:rsidRPr="002012E1">
              <w:rPr>
                <w:rFonts w:eastAsia="Calibri"/>
                <w:b/>
                <w:bCs/>
              </w:rPr>
              <w:t>Ejemplos Principales</w:t>
            </w:r>
          </w:p>
        </w:tc>
        <w:tc>
          <w:tcPr>
            <w:tcW w:w="0" w:type="auto"/>
            <w:vAlign w:val="center"/>
          </w:tcPr>
          <w:p w14:paraId="463FCFE5" w14:textId="77777777" w:rsidR="00C51607" w:rsidRPr="002012E1" w:rsidRDefault="00C51607" w:rsidP="005C1607">
            <w:pPr>
              <w:spacing w:after="160" w:line="360" w:lineRule="auto"/>
              <w:jc w:val="center"/>
              <w:rPr>
                <w:rFonts w:eastAsia="Calibri"/>
                <w:b/>
                <w:bCs/>
              </w:rPr>
            </w:pPr>
            <w:r w:rsidRPr="002012E1">
              <w:rPr>
                <w:rFonts w:eastAsia="Calibri"/>
                <w:b/>
                <w:bCs/>
              </w:rPr>
              <w:t>Uso en Costa Rica</w:t>
            </w:r>
          </w:p>
        </w:tc>
      </w:tr>
      <w:tr w:rsidR="00C51607" w:rsidRPr="002012E1" w14:paraId="58382F0F" w14:textId="77777777" w:rsidTr="005C1607">
        <w:trPr>
          <w:trHeight w:val="1209"/>
        </w:trPr>
        <w:tc>
          <w:tcPr>
            <w:tcW w:w="0" w:type="auto"/>
            <w:vAlign w:val="center"/>
          </w:tcPr>
          <w:p w14:paraId="31486187" w14:textId="77777777" w:rsidR="00C51607" w:rsidRPr="002012E1" w:rsidRDefault="00C51607" w:rsidP="005C1607">
            <w:pPr>
              <w:spacing w:after="160" w:line="360" w:lineRule="auto"/>
              <w:jc w:val="center"/>
              <w:rPr>
                <w:rFonts w:eastAsia="Calibri"/>
              </w:rPr>
            </w:pPr>
            <w:r w:rsidRPr="002012E1">
              <w:rPr>
                <w:rFonts w:eastAsia="Calibri"/>
              </w:rPr>
              <w:t>Capital Privado</w:t>
            </w:r>
          </w:p>
        </w:tc>
        <w:tc>
          <w:tcPr>
            <w:tcW w:w="0" w:type="auto"/>
            <w:vAlign w:val="center"/>
          </w:tcPr>
          <w:p w14:paraId="40D23D80" w14:textId="77777777" w:rsidR="00C51607" w:rsidRPr="002012E1" w:rsidRDefault="00C51607" w:rsidP="005C1607">
            <w:pPr>
              <w:spacing w:after="160" w:line="360" w:lineRule="auto"/>
              <w:jc w:val="center"/>
              <w:rPr>
                <w:rFonts w:eastAsia="Calibri"/>
              </w:rPr>
            </w:pPr>
            <w:r w:rsidRPr="002012E1">
              <w:rPr>
                <w:rFonts w:eastAsia="Calibri"/>
              </w:rPr>
              <w:t>Inversión en empresas no cotizadas, startups</w:t>
            </w:r>
          </w:p>
        </w:tc>
        <w:tc>
          <w:tcPr>
            <w:tcW w:w="0" w:type="auto"/>
            <w:vAlign w:val="center"/>
          </w:tcPr>
          <w:p w14:paraId="5C8E3FF3" w14:textId="77777777" w:rsidR="00C51607" w:rsidRPr="002012E1" w:rsidRDefault="00C51607" w:rsidP="005C1607">
            <w:pPr>
              <w:spacing w:after="160" w:line="360" w:lineRule="auto"/>
              <w:jc w:val="center"/>
              <w:rPr>
                <w:rFonts w:eastAsia="Calibri"/>
              </w:rPr>
            </w:pPr>
            <w:r w:rsidRPr="002012E1">
              <w:rPr>
                <w:rFonts w:eastAsia="Calibri"/>
              </w:rPr>
              <w:t>Utilizado para diversificar portafolios de fondos de pensiones, con acceso a proyectos de alto crecimiento y riesgo controlado.</w:t>
            </w:r>
          </w:p>
        </w:tc>
      </w:tr>
      <w:tr w:rsidR="00C51607" w:rsidRPr="002012E1" w14:paraId="3F455D40" w14:textId="77777777" w:rsidTr="005C1607">
        <w:tc>
          <w:tcPr>
            <w:tcW w:w="0" w:type="auto"/>
            <w:vAlign w:val="center"/>
          </w:tcPr>
          <w:p w14:paraId="7E722DDC" w14:textId="77777777" w:rsidR="00C51607" w:rsidRPr="002012E1" w:rsidRDefault="00C51607" w:rsidP="005C1607">
            <w:pPr>
              <w:spacing w:after="160" w:line="360" w:lineRule="auto"/>
              <w:jc w:val="center"/>
              <w:rPr>
                <w:rFonts w:eastAsia="Calibri"/>
              </w:rPr>
            </w:pPr>
            <w:r w:rsidRPr="002012E1">
              <w:rPr>
                <w:rFonts w:eastAsia="Calibri"/>
              </w:rPr>
              <w:t>Infraestructura</w:t>
            </w:r>
          </w:p>
        </w:tc>
        <w:tc>
          <w:tcPr>
            <w:tcW w:w="0" w:type="auto"/>
            <w:vAlign w:val="center"/>
          </w:tcPr>
          <w:p w14:paraId="7D5641D6" w14:textId="77777777" w:rsidR="00C51607" w:rsidRPr="002012E1" w:rsidRDefault="00C51607" w:rsidP="005C1607">
            <w:pPr>
              <w:spacing w:after="160" w:line="360" w:lineRule="auto"/>
              <w:jc w:val="center"/>
              <w:rPr>
                <w:rFonts w:eastAsia="Calibri"/>
              </w:rPr>
            </w:pPr>
            <w:r w:rsidRPr="002012E1">
              <w:rPr>
                <w:rFonts w:eastAsia="Calibri"/>
              </w:rPr>
              <w:t>Proyectos de energía, transporte, telecomunicaciones</w:t>
            </w:r>
          </w:p>
        </w:tc>
        <w:tc>
          <w:tcPr>
            <w:tcW w:w="0" w:type="auto"/>
            <w:vAlign w:val="center"/>
          </w:tcPr>
          <w:p w14:paraId="7128A4C0" w14:textId="77777777" w:rsidR="00C51607" w:rsidRPr="002012E1" w:rsidRDefault="00C51607" w:rsidP="005C1607">
            <w:pPr>
              <w:spacing w:after="160" w:line="360" w:lineRule="auto"/>
              <w:jc w:val="center"/>
              <w:rPr>
                <w:rFonts w:eastAsia="Calibri"/>
              </w:rPr>
            </w:pPr>
            <w:r w:rsidRPr="002012E1">
              <w:rPr>
                <w:rFonts w:eastAsia="Calibri"/>
              </w:rPr>
              <w:t>Inversiones a largo plazo que buscan estabilidad y rentabilidad constante, favoreciendo la resiliencia de los fondos.</w:t>
            </w:r>
          </w:p>
        </w:tc>
      </w:tr>
      <w:tr w:rsidR="00C51607" w:rsidRPr="002012E1" w14:paraId="6E953F56" w14:textId="77777777" w:rsidTr="005C1607">
        <w:tc>
          <w:tcPr>
            <w:tcW w:w="0" w:type="auto"/>
            <w:vAlign w:val="center"/>
          </w:tcPr>
          <w:p w14:paraId="631731B2" w14:textId="77777777" w:rsidR="00C51607" w:rsidRPr="002012E1" w:rsidRDefault="00C51607" w:rsidP="005C1607">
            <w:pPr>
              <w:spacing w:after="160" w:line="360" w:lineRule="auto"/>
              <w:jc w:val="center"/>
              <w:rPr>
                <w:rFonts w:eastAsia="Calibri"/>
              </w:rPr>
            </w:pPr>
            <w:r w:rsidRPr="002012E1">
              <w:rPr>
                <w:rFonts w:eastAsia="Calibri"/>
              </w:rPr>
              <w:t>Bienes Raíces</w:t>
            </w:r>
          </w:p>
        </w:tc>
        <w:tc>
          <w:tcPr>
            <w:tcW w:w="0" w:type="auto"/>
            <w:vAlign w:val="center"/>
          </w:tcPr>
          <w:p w14:paraId="0BDA6484" w14:textId="77777777" w:rsidR="00C51607" w:rsidRPr="002012E1" w:rsidRDefault="00C51607" w:rsidP="005C1607">
            <w:pPr>
              <w:spacing w:after="160" w:line="360" w:lineRule="auto"/>
              <w:jc w:val="center"/>
              <w:rPr>
                <w:rFonts w:eastAsia="Calibri"/>
              </w:rPr>
            </w:pPr>
            <w:r w:rsidRPr="002012E1">
              <w:rPr>
                <w:rFonts w:eastAsia="Calibri"/>
              </w:rPr>
              <w:t>Propiedades comerciales, residenciales y turísticos</w:t>
            </w:r>
          </w:p>
        </w:tc>
        <w:tc>
          <w:tcPr>
            <w:tcW w:w="0" w:type="auto"/>
            <w:vAlign w:val="center"/>
          </w:tcPr>
          <w:p w14:paraId="544ED02D" w14:textId="77777777" w:rsidR="00C51607" w:rsidRPr="002012E1" w:rsidRDefault="00C51607" w:rsidP="005C1607">
            <w:pPr>
              <w:spacing w:after="160" w:line="360" w:lineRule="auto"/>
              <w:jc w:val="center"/>
              <w:rPr>
                <w:rFonts w:eastAsia="Calibri"/>
              </w:rPr>
            </w:pPr>
            <w:r w:rsidRPr="002012E1">
              <w:rPr>
                <w:rFonts w:eastAsia="Calibri"/>
              </w:rPr>
              <w:t>Muy popular en Costa Rica, especialmente en zonas turísticas como Guanacaste y Jaco, con retornos entre 12% y 16% anuales.</w:t>
            </w:r>
          </w:p>
        </w:tc>
      </w:tr>
      <w:tr w:rsidR="00C51607" w:rsidRPr="002012E1" w14:paraId="77B2ACAA" w14:textId="77777777" w:rsidTr="005C1607">
        <w:tc>
          <w:tcPr>
            <w:tcW w:w="0" w:type="auto"/>
            <w:vAlign w:val="center"/>
          </w:tcPr>
          <w:p w14:paraId="6EABC325" w14:textId="77777777" w:rsidR="00C51607" w:rsidRPr="002012E1" w:rsidRDefault="00C51607" w:rsidP="005C1607">
            <w:pPr>
              <w:spacing w:after="160" w:line="360" w:lineRule="auto"/>
              <w:jc w:val="center"/>
              <w:rPr>
                <w:rFonts w:eastAsia="Calibri"/>
              </w:rPr>
            </w:pPr>
            <w:r w:rsidRPr="002012E1">
              <w:rPr>
                <w:rFonts w:eastAsia="Calibri"/>
              </w:rPr>
              <w:t>Fondos de Cobertura (Hedge Funds)</w:t>
            </w:r>
          </w:p>
        </w:tc>
        <w:tc>
          <w:tcPr>
            <w:tcW w:w="0" w:type="auto"/>
            <w:vAlign w:val="center"/>
          </w:tcPr>
          <w:p w14:paraId="4E6A5ADA" w14:textId="77777777" w:rsidR="00C51607" w:rsidRPr="002012E1" w:rsidRDefault="00C51607" w:rsidP="005C1607">
            <w:pPr>
              <w:spacing w:after="160" w:line="360" w:lineRule="auto"/>
              <w:jc w:val="center"/>
              <w:rPr>
                <w:rFonts w:eastAsia="Calibri"/>
              </w:rPr>
            </w:pPr>
            <w:r w:rsidRPr="002012E1">
              <w:rPr>
                <w:rFonts w:eastAsia="Calibri"/>
              </w:rPr>
              <w:t>Estrategias diversificadas, derivados, arbitraje</w:t>
            </w:r>
          </w:p>
        </w:tc>
        <w:tc>
          <w:tcPr>
            <w:tcW w:w="0" w:type="auto"/>
            <w:vAlign w:val="center"/>
          </w:tcPr>
          <w:p w14:paraId="612C3323" w14:textId="77777777" w:rsidR="00C51607" w:rsidRPr="002012E1" w:rsidRDefault="00C51607" w:rsidP="005C1607">
            <w:pPr>
              <w:spacing w:after="160" w:line="360" w:lineRule="auto"/>
              <w:jc w:val="center"/>
              <w:rPr>
                <w:rFonts w:eastAsia="Calibri"/>
              </w:rPr>
            </w:pPr>
            <w:r w:rsidRPr="002012E1">
              <w:rPr>
                <w:rFonts w:eastAsia="Calibri"/>
              </w:rPr>
              <w:t>Utilizados para mejorar la diversificación y mitigar riesgos, aunque con menor regulación y mayor complejidad.</w:t>
            </w:r>
          </w:p>
        </w:tc>
      </w:tr>
    </w:tbl>
    <w:p w14:paraId="1C96E5A1" w14:textId="77777777" w:rsidR="00C51607" w:rsidRPr="002012E1" w:rsidRDefault="00C51607" w:rsidP="00C51607">
      <w:pPr>
        <w:spacing w:after="0" w:line="360" w:lineRule="auto"/>
        <w:jc w:val="right"/>
        <w:rPr>
          <w:rFonts w:ascii="Arial" w:eastAsia="Times New Roman" w:hAnsi="Arial" w:cs="Arial"/>
          <w:color w:val="000000"/>
          <w:kern w:val="0"/>
          <w:lang w:val="es-MX"/>
          <w14:ligatures w14:val="none"/>
        </w:rPr>
      </w:pPr>
      <w:r w:rsidRPr="00A743FD">
        <w:rPr>
          <w:rFonts w:ascii="Arial" w:eastAsia="Calibri" w:hAnsi="Arial" w:cs="Arial"/>
          <w:b/>
          <w:bCs/>
          <w:kern w:val="0"/>
          <w:lang w:val="en-US"/>
          <w14:ligatures w14:val="none"/>
        </w:rPr>
        <w:t xml:space="preserve">Fuente: </w:t>
      </w:r>
      <w:r w:rsidRPr="00A743FD">
        <w:rPr>
          <w:rFonts w:ascii="Arial" w:eastAsia="Calibri" w:hAnsi="Arial" w:cs="Arial"/>
          <w:kern w:val="0"/>
          <w:lang w:val="en-US"/>
          <w14:ligatures w14:val="none"/>
        </w:rPr>
        <w:t>Kilroy (2023); GAP Investments (2024); ISSA (2024); Costa Rica Retirement Funds (2025).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 xml:space="preserve">Grupo </w:t>
      </w:r>
      <w:r w:rsidRPr="002012E1">
        <w:rPr>
          <w:rFonts w:ascii="Arial" w:eastAsia="Times New Roman" w:hAnsi="Arial" w:cs="Arial"/>
          <w:color w:val="000000"/>
          <w:kern w:val="0"/>
          <w:lang w:val="es-MX"/>
          <w14:ligatures w14:val="none"/>
        </w:rPr>
        <w:t>Investigador (2025)</w:t>
      </w:r>
    </w:p>
    <w:p w14:paraId="63F40C4E" w14:textId="77777777" w:rsidR="00C51607" w:rsidRPr="002012E1" w:rsidRDefault="00C51607" w:rsidP="00C51607">
      <w:pPr>
        <w:spacing w:after="0" w:line="360" w:lineRule="auto"/>
        <w:jc w:val="both"/>
        <w:rPr>
          <w:rFonts w:ascii="Arial" w:eastAsia="Times New Roman" w:hAnsi="Arial" w:cs="Arial"/>
          <w:color w:val="000000"/>
          <w:kern w:val="0"/>
          <w:lang w:val="es-MX"/>
          <w14:ligatures w14:val="none"/>
        </w:rPr>
      </w:pPr>
    </w:p>
    <w:p w14:paraId="2488FCBB"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r w:rsidRPr="002012E1">
        <w:rPr>
          <w:rFonts w:ascii="Arial" w:eastAsia="Times New Roman" w:hAnsi="Arial" w:cs="Arial"/>
          <w:color w:val="000000"/>
          <w:kern w:val="0"/>
          <w:lang w:val="es-MX"/>
          <w14:ligatures w14:val="none"/>
        </w:rPr>
        <w:t xml:space="preserve">La tabla 16 </w:t>
      </w:r>
      <w:r w:rsidRPr="002012E1">
        <w:rPr>
          <w:rFonts w:ascii="Arial" w:eastAsia="Times New Roman" w:hAnsi="Arial" w:cs="Arial"/>
          <w:color w:val="000000"/>
          <w:kern w:val="0"/>
          <w:lang w:val="es-419"/>
          <w14:ligatures w14:val="none"/>
        </w:rPr>
        <w:t xml:space="preserve">sobre los tipos de inversiones alternativas en fondos de pensiones revela varias características clave que explican su importancia y uso en Costa Rica. En primer lugar, el capital privado se destaca como un instrumento utilizado para </w:t>
      </w:r>
      <w:r w:rsidRPr="002012E1">
        <w:rPr>
          <w:rFonts w:ascii="Arial" w:eastAsia="Times New Roman" w:hAnsi="Arial" w:cs="Arial"/>
          <w:color w:val="000000"/>
          <w:kern w:val="0"/>
          <w:lang w:val="es-419"/>
          <w14:ligatures w14:val="none"/>
        </w:rPr>
        <w:lastRenderedPageBreak/>
        <w:t xml:space="preserve">diversificar los portafolios, permitiendo el acceso a proyectos con alto potencial de crecimiento y riesgo controlado. </w:t>
      </w:r>
    </w:p>
    <w:p w14:paraId="36545718"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5C9E004B"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r w:rsidRPr="002012E1">
        <w:rPr>
          <w:rFonts w:ascii="Arial" w:eastAsia="Times New Roman" w:hAnsi="Arial" w:cs="Arial"/>
          <w:color w:val="000000"/>
          <w:kern w:val="0"/>
          <w:lang w:val="es-419"/>
          <w14:ligatures w14:val="none"/>
        </w:rPr>
        <w:t>Esta modalidad es especialmente relevante para fondos de pensiones que buscan ampliar sus horizontes de inversión más allá de los activos tradicionales, contribuyendo a mejorar la rentabilidad ajustada al riesgo.</w:t>
      </w:r>
    </w:p>
    <w:p w14:paraId="347E2F83"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67F18E80"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 xml:space="preserve">La infraestructura, por su parte, representa inversiones a largo plazo en sectores estratégicos como energía, transporte y telecomunicaciones. Su uso en Costa Rica está orientado a generar estabilidad y rentabilidad constante, lo que favorece la resiliencia de los fondos ante fluctuaciones económicas. </w:t>
      </w:r>
    </w:p>
    <w:p w14:paraId="38F4C381"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20FD0122" w14:textId="77777777" w:rsidR="00C51607" w:rsidRPr="00FC1899"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Esta característica es fundamental para los fondos de pensiones, dado que requieren mantener un equilibrio entre crecimiento y seguridad para cumplir con sus obligaciones a largo plazo.</w:t>
      </w:r>
    </w:p>
    <w:p w14:paraId="252143F4"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0838AFE0"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 xml:space="preserve">Los bienes raíces constituyen una de las inversiones alternativas más populares en Costa Rica, especialmente en zonas turísticas como Guanacaste y Jaco. La demanda en estos sectores ha permitido obtener retornos atractivos, estimados entre 12% y 16% anuales, lo que evidencia su efectividad como vehículo de diversificación y generación de ingresos. </w:t>
      </w:r>
    </w:p>
    <w:p w14:paraId="01BFDBC0"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385E1125" w14:textId="77777777" w:rsidR="00C51607" w:rsidRPr="00FC1899"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Esta inversión no solo aporta rentabilidad, sino que también ofrece un componente tangible que puede actuar como cobertura frente a la inflación y la volatilidad de los mercados financieros tradicionales.</w:t>
      </w:r>
    </w:p>
    <w:p w14:paraId="0BC47B5C"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0BBD2469" w14:textId="77777777" w:rsidR="00C51607" w:rsidRPr="00FC1899"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 xml:space="preserve">Los fondos de cobertura o hedge funds, aunque menos regulados y más complejos, son utilizados para mejorar la diversificación y mitigar riesgos dentro de los portafolios. </w:t>
      </w:r>
      <w:r w:rsidRPr="002012E1">
        <w:rPr>
          <w:rFonts w:ascii="Arial" w:eastAsia="Times New Roman" w:hAnsi="Arial" w:cs="Arial"/>
          <w:color w:val="000000"/>
          <w:kern w:val="0"/>
          <w14:ligatures w14:val="none"/>
        </w:rPr>
        <w:t xml:space="preserve">Su inclusión permite a los gestores acceder a estrategias sofisticadas, como el uso de derivados y arbitraje, que pueden ofrecer rendimientos no correlacionados con los mercados tradicionales. Sin embargo, su complejidad y </w:t>
      </w:r>
      <w:r w:rsidRPr="002012E1">
        <w:rPr>
          <w:rFonts w:ascii="Arial" w:eastAsia="Times New Roman" w:hAnsi="Arial" w:cs="Arial"/>
          <w:color w:val="000000"/>
          <w:kern w:val="0"/>
          <w14:ligatures w14:val="none"/>
        </w:rPr>
        <w:lastRenderedPageBreak/>
        <w:t>menor regulación exigen una gestión especializada para controlar adecuadamente los riesgos asociados.</w:t>
      </w:r>
    </w:p>
    <w:p w14:paraId="722A7528"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61DD7564" w14:textId="77777777" w:rsidR="00C51607" w:rsidRPr="00FC1899"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En conjunto, estas inversiones alternativas contribuyen a la diversificación estratégica de los fondos de pensiones en Costa Rica, lo que es crucial en un contexto donde el sistema de pensiones enfrenta desafíos de sostenibilidad y confianza por parte de los afiliado</w:t>
      </w:r>
      <w:r w:rsidRPr="002012E1">
        <w:rPr>
          <w:rFonts w:ascii="Arial" w:eastAsia="Times New Roman" w:hAnsi="Arial" w:cs="Arial"/>
          <w:color w:val="000000"/>
          <w:kern w:val="0"/>
          <w:lang w:val="es-419"/>
          <w14:ligatures w14:val="none"/>
        </w:rPr>
        <w:t>s, además</w:t>
      </w:r>
      <w:r w:rsidRPr="00FC1899">
        <w:rPr>
          <w:rFonts w:ascii="Arial" w:eastAsia="Times New Roman" w:hAnsi="Arial" w:cs="Arial"/>
          <w:color w:val="000000"/>
          <w:kern w:val="0"/>
          <w:lang w:val="es-419"/>
          <w14:ligatures w14:val="none"/>
        </w:rPr>
        <w:t xml:space="preserve">, la diversificación y la inclusión de activos con diferentes perfiles de riesgo y liquidez son fundamentales para mejorar la estabilidad y el rendimiento de los </w:t>
      </w:r>
      <w:r w:rsidRPr="002012E1">
        <w:rPr>
          <w:rFonts w:ascii="Arial" w:eastAsia="Times New Roman" w:hAnsi="Arial" w:cs="Arial"/>
          <w:color w:val="000000"/>
          <w:kern w:val="0"/>
          <w:lang w:val="es-419"/>
          <w14:ligatures w14:val="none"/>
        </w:rPr>
        <w:t>fondos.</w:t>
      </w:r>
    </w:p>
    <w:p w14:paraId="07ED72E5" w14:textId="77777777" w:rsidR="00C51607" w:rsidRPr="002012E1" w:rsidRDefault="00C51607" w:rsidP="00C51607">
      <w:pPr>
        <w:spacing w:after="0" w:line="360" w:lineRule="auto"/>
        <w:jc w:val="both"/>
        <w:rPr>
          <w:rFonts w:ascii="Arial" w:eastAsia="Times New Roman" w:hAnsi="Arial" w:cs="Arial"/>
          <w:color w:val="000000"/>
          <w:kern w:val="0"/>
          <w:lang w:val="es-419"/>
          <w14:ligatures w14:val="none"/>
        </w:rPr>
      </w:pPr>
    </w:p>
    <w:p w14:paraId="3B5D6E71" w14:textId="77777777" w:rsidR="00C51607" w:rsidRPr="00FC1899" w:rsidRDefault="00C51607" w:rsidP="00C51607">
      <w:pPr>
        <w:spacing w:after="0" w:line="360" w:lineRule="auto"/>
        <w:jc w:val="both"/>
        <w:rPr>
          <w:rFonts w:ascii="Arial" w:eastAsia="Times New Roman" w:hAnsi="Arial" w:cs="Arial"/>
          <w:color w:val="000000"/>
          <w:kern w:val="0"/>
          <w:lang w:val="es-419"/>
          <w14:ligatures w14:val="none"/>
        </w:rPr>
      </w:pPr>
      <w:r w:rsidRPr="00FC1899">
        <w:rPr>
          <w:rFonts w:ascii="Arial" w:eastAsia="Times New Roman" w:hAnsi="Arial" w:cs="Arial"/>
          <w:color w:val="000000"/>
          <w:kern w:val="0"/>
          <w:lang w:val="es-419"/>
          <w14:ligatures w14:val="none"/>
        </w:rPr>
        <w:t>Finalmente, el uso de estas inversiones refleja una tendencia creciente hacia la búsqueda de rentabilidades ajustadas al riesgo en un entorno económico global cada vez más complejo y volátil. La capacidad de los fondos de pensiones para incorporar productos alternativos adecuados a sus objetivos y regulaciones será determinante para garantizar la protección y el crecimiento del ahorro previsional en Costa Rica.</w:t>
      </w:r>
    </w:p>
    <w:p w14:paraId="0A62C82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AA67278" w14:textId="77777777" w:rsidR="00C51607" w:rsidRPr="002012E1" w:rsidRDefault="00C51607" w:rsidP="00C51607">
      <w:pPr>
        <w:pStyle w:val="apanivel3"/>
        <w:rPr>
          <w:rFonts w:ascii="Arial" w:hAnsi="Arial" w:cs="Arial"/>
        </w:rPr>
      </w:pPr>
      <w:bookmarkStart w:id="105" w:name="_Toc201832454"/>
      <w:r w:rsidRPr="002012E1">
        <w:rPr>
          <w:rFonts w:ascii="Arial" w:hAnsi="Arial" w:cs="Arial"/>
        </w:rPr>
        <w:t>Características de las Inversiones Alternativas en los Portafolios de Pensiones</w:t>
      </w:r>
      <w:bookmarkEnd w:id="105"/>
    </w:p>
    <w:p w14:paraId="2E820C55" w14:textId="77777777" w:rsidR="00C51607" w:rsidRPr="002012E1" w:rsidRDefault="00C51607" w:rsidP="00C51607">
      <w:pPr>
        <w:numPr>
          <w:ilvl w:val="0"/>
          <w:numId w:val="13"/>
        </w:num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 xml:space="preserve">Capital Privado: </w:t>
      </w:r>
      <w:r w:rsidRPr="002012E1">
        <w:rPr>
          <w:rFonts w:ascii="Arial" w:eastAsia="Calibri" w:hAnsi="Arial" w:cs="Arial"/>
          <w:kern w:val="0"/>
          <w:lang w:val="es-MX"/>
          <w14:ligatures w14:val="none"/>
        </w:rPr>
        <w:t>El capital privado se caracteriza por un horizonte de inversión largo, usualmente de 7 a 10 años, debdo a la naturaleza de los proyectos y la necesidad que poseen de maduración de las empresas. Según la SUPEN (2023) la liquidez es baja, ya que las inversiones no cotizan en mercados secundarios y suelen estar bloqueadas durante el periodo de inversión, por lo que “el riesgo es alto, dado que se invierte en empresas en etapas tempranas o en reestructuración, pero la rentabilidad esperada es también elevada, con retornos superiores al 15% anual en promedio” (p. 16)</w:t>
      </w:r>
    </w:p>
    <w:p w14:paraId="4E1FEF32"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3A283498" w14:textId="77777777" w:rsidR="00C51607" w:rsidRPr="002012E1" w:rsidRDefault="00C51607" w:rsidP="00C51607">
      <w:pPr>
        <w:numPr>
          <w:ilvl w:val="0"/>
          <w:numId w:val="13"/>
        </w:num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 xml:space="preserve">Infraestructura: </w:t>
      </w:r>
      <w:r w:rsidRPr="002012E1">
        <w:rPr>
          <w:rFonts w:ascii="Arial" w:eastAsia="Calibri" w:hAnsi="Arial" w:cs="Arial"/>
          <w:kern w:val="0"/>
          <w:lang w:val="es-MX"/>
          <w14:ligatures w14:val="none"/>
        </w:rPr>
        <w:t xml:space="preserve">Las inversiones en infraestructura tienen un horizonte de largo plazo frecuentemente superior a 15 años, debido a la duración de los proyectos. Según el FIAP (2020), la liquidez es limitada, aunque algunos activos </w:t>
      </w:r>
      <w:r w:rsidRPr="002012E1">
        <w:rPr>
          <w:rFonts w:ascii="Arial" w:eastAsia="Calibri" w:hAnsi="Arial" w:cs="Arial"/>
          <w:kern w:val="0"/>
          <w:lang w:val="es-MX"/>
          <w14:ligatures w14:val="none"/>
        </w:rPr>
        <w:lastRenderedPageBreak/>
        <w:t>pueden cotizar en mercados secundarios. “El riesgo es moderado, asociado a factores regulatorios y operativos, pero la rentabilidad esperada es atractiva, con flujos estables y protección contra la inflación, típicamente entre 8% y 12% anual” (p. 32).</w:t>
      </w:r>
    </w:p>
    <w:p w14:paraId="3376867C"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6511FFA9" w14:textId="77777777" w:rsidR="00C51607" w:rsidRPr="002012E1" w:rsidRDefault="00C51607" w:rsidP="00C51607">
      <w:pPr>
        <w:numPr>
          <w:ilvl w:val="0"/>
          <w:numId w:val="13"/>
        </w:num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 xml:space="preserve">Bienes raíces: </w:t>
      </w:r>
      <w:r w:rsidRPr="002012E1">
        <w:rPr>
          <w:rFonts w:ascii="Arial" w:eastAsia="Calibri" w:hAnsi="Arial" w:cs="Arial"/>
          <w:kern w:val="0"/>
          <w:lang w:val="es-MX"/>
          <w14:ligatures w14:val="none"/>
        </w:rPr>
        <w:t>Los bienes raíces ofrecen un horizonte de inversión mediano a largo plazo, con liquidez variable según el tipo de propiedad y mercado. “El riesgo incluye fluctuaciones en el mercado inmobiliario y riesgos operativos, pero la rentabilidad esperada es moderada, alrededor del 6% al 10% anual, con beneficios adicionales por apreciación del capital” (Semanario Universidad, 2022, p. 2).</w:t>
      </w:r>
    </w:p>
    <w:p w14:paraId="7E89F492"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0D7880C0" w14:textId="77777777" w:rsidR="00C51607" w:rsidRPr="002012E1" w:rsidRDefault="00C51607" w:rsidP="00C51607">
      <w:pPr>
        <w:numPr>
          <w:ilvl w:val="0"/>
          <w:numId w:val="13"/>
        </w:numPr>
        <w:spacing w:after="0" w:line="360" w:lineRule="auto"/>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 xml:space="preserve">Fondos de Cobertura: </w:t>
      </w:r>
      <w:r w:rsidRPr="002012E1">
        <w:rPr>
          <w:rFonts w:ascii="Arial" w:eastAsia="Calibri" w:hAnsi="Arial" w:cs="Arial"/>
          <w:kern w:val="0"/>
          <w:lang w:val="es-MX"/>
          <w14:ligatures w14:val="none"/>
        </w:rPr>
        <w:t>Los fondos de cobertura presentan horizontes variables, desde corto hasta largo plazo, con liquidez que depende de la estrategia específica. Según la SUPEN (2023) el riesgo es alto y diversificado, “pues emplean técnicas complejas para gestionar volatilidad y aprovechar oportunidades. La rentabilidad esperada es variable, pero puede superar el 10% anual en mercados favorables” (p. 18).</w:t>
      </w:r>
    </w:p>
    <w:p w14:paraId="62EFF507" w14:textId="77777777" w:rsidR="00C51607" w:rsidRPr="002012E1" w:rsidRDefault="00C51607" w:rsidP="00C51607">
      <w:pPr>
        <w:spacing w:after="0" w:line="360" w:lineRule="auto"/>
        <w:jc w:val="both"/>
        <w:rPr>
          <w:rFonts w:ascii="Arial" w:eastAsia="Calibri" w:hAnsi="Arial" w:cs="Arial"/>
          <w:b/>
          <w:bCs/>
          <w:kern w:val="0"/>
          <w:lang w:val="es-MX"/>
          <w14:ligatures w14:val="none"/>
        </w:rPr>
      </w:pPr>
    </w:p>
    <w:p w14:paraId="2A97FEFC" w14:textId="77777777" w:rsidR="00C51607" w:rsidRPr="002012E1" w:rsidRDefault="00C51607" w:rsidP="00C51607">
      <w:pPr>
        <w:pStyle w:val="apanivel4"/>
      </w:pPr>
      <w:r w:rsidRPr="002012E1">
        <w:t>Integración de Inversiones alternativas en portafolios de pensiones en Costa Rica: Beneficios vs Riesgos</w:t>
      </w:r>
    </w:p>
    <w:p w14:paraId="241DE38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integración de inversiones alternativas en los portafolios de pensiones en Costa Rica representa una oportunidad para mejorar la diversificación y la rentabilidad ajustada al riesgo. </w:t>
      </w:r>
    </w:p>
    <w:p w14:paraId="29AEDE6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496006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la SUPEN, “la diversificación internacional y en activos alternativos permite mitigar la volatilidad de los mercados locales y aprovechar oportunidades globales” (2023, p. 20). Esto es especialmente relevante en un contexto de bajas tasas de interés y mercados bursátiles volátiles.</w:t>
      </w:r>
    </w:p>
    <w:p w14:paraId="7999A4F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659764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Entre los beneficios que presentan destacan la generación de flujos estables en infraestructura, el potencial de altos retornos en capital privado y la diversificación que excede en menor correlación con mercados tradicionales. </w:t>
      </w:r>
    </w:p>
    <w:p w14:paraId="011AB18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81A0D1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estos activos también implican riesgos significativos, como la iliquidez, la complejidad en la valoración y la exposición a riesgos regulatorios y operativos (FIAP, 2020, p. 35).</w:t>
      </w:r>
    </w:p>
    <w:p w14:paraId="1A75254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B23751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Adicionalmente, la inclusión de estos productos puede contribuir a la sostenibilidad de los fondos a largo plazo, al ofrecer protección contra la inflación y diversificar fuentes de ingreso. </w:t>
      </w:r>
    </w:p>
    <w:p w14:paraId="3A50204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EF399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No obstante, “la gestión requiere capacidades especializadas y sistemas robustos para la valoración y monitoreo continuo, lo que puede aumentar los costos operativos y administrativos” (Semanario Universidad, 2022).</w:t>
      </w:r>
    </w:p>
    <w:p w14:paraId="52514BE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D8BE7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otro lado, la regulación costarricense ha avanzado para permitir una mayor participación de inversiones alternativas, pero mantiene límites prudenciales para proteger la solvencia y liquidez de los fondos. La SUPEN “establece límites máximos para la inversión en activos alternativos, buscando un equilibrio entre innovación y protección del afiliado” (2023, p. 22).</w:t>
      </w:r>
    </w:p>
    <w:p w14:paraId="7D0EEEB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E97B8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Finalmente, la aceptación y éxito de estas inversiones dependen de la transparencia, la supervisión efectiva y la educación financiera de los afiliados, para que comprendan los riesgos y beneficios asociados y confíen en la gestión de sus aportes.</w:t>
      </w:r>
    </w:p>
    <w:p w14:paraId="58351D7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8B96C1A" w14:textId="77777777" w:rsidR="00C51607" w:rsidRPr="002012E1" w:rsidRDefault="00C51607" w:rsidP="00C51607">
      <w:pPr>
        <w:pStyle w:val="apanivel4"/>
      </w:pPr>
      <w:r w:rsidRPr="002012E1">
        <w:t>Desafíos contables, regulatorios y estratégicos.</w:t>
      </w:r>
    </w:p>
    <w:p w14:paraId="4C74E88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inclusión de inversiones alternativas en los fondos de pensiones presenta desafíos contables importantes, dado que muchos de estos activos carecen de </w:t>
      </w:r>
      <w:r w:rsidRPr="002012E1">
        <w:rPr>
          <w:rFonts w:ascii="Arial" w:eastAsia="Calibri" w:hAnsi="Arial" w:cs="Arial"/>
          <w:kern w:val="0"/>
          <w:lang w:val="es-MX"/>
          <w14:ligatures w14:val="none"/>
        </w:rPr>
        <w:lastRenderedPageBreak/>
        <w:t>precios de mercado transparentes y requieren modelos internos de valoración, lo que puede generar mucha incertidumbre y variabilidad en los estados financieros.</w:t>
      </w:r>
    </w:p>
    <w:p w14:paraId="3C0A518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2E6558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el Instituto de Contabilidad y Auditoría de Cuentas (ICAC) “la valoración de activos ilíquidos y complejos implica un mayor riesgo de error y subjetividad, afectando la fiabilidad de la información financiera” (2023, p. 15).</w:t>
      </w:r>
    </w:p>
    <w:p w14:paraId="096BD95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7D82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Desde el punto de vista regulatorio, la SUPEN ha implementado normativas específicas para limitar la exposición a estos activos y exigir reportes detallados sobre riesgos y valoración. </w:t>
      </w:r>
    </w:p>
    <w:p w14:paraId="2EF89CB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2A10F8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regulaciones “buscan proteger a los afiliados y garantizar la solvencia de los fondos, pero también pueden restringir la flexibilidad de las operadoras para aprovechar oportunidades de inversión” (2023, p. 24).</w:t>
      </w:r>
    </w:p>
    <w:p w14:paraId="47DE130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D8CAA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Estratégicamente, la gestión de inversiones alternativas requiere de personal especializado, además de sistemas avanzados de monitoreo y una adecuada comunicación con los afiliados. “La complejidad de estos activos puede dificultar la toma de decisiones y aumentar los costos operativos, lo que debe ser balanceado con los beneficios potenciales” (Semanario Universidad, 2022).</w:t>
      </w:r>
    </w:p>
    <w:p w14:paraId="087A364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813B8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otra parte, la integración de estos productos debe de considerar el perfil de riesgo de los afiliados y el horizonte de inversión, para evitar desajustes que puedan afectar la liquidez o la estabilidad financiera del fondo.</w:t>
      </w:r>
    </w:p>
    <w:p w14:paraId="1FD6706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0A40E7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 relevante mencionar que, la supervisión continua y la adaptación a cambios regulatorios y de mercado son esenciales para gestionar adecuadamente estos riesgos y asegurar la sostenibilidad del sistema de pensiones</w:t>
      </w:r>
    </w:p>
    <w:p w14:paraId="30CCCC2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C06F2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En Costa Rica, operadoras de pensiones (ROP) como BAC Pensiones, BN Vital y Popular Pensiones han sido pioneras en la incorporación de inversiones alternativas en sus portafolios. </w:t>
      </w:r>
    </w:p>
    <w:p w14:paraId="6074E3A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4D58F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ejemplo, el BAC Pensiones reporta que “más del 30% de sus activos están diversificados en capital privado e infraestructura, con un enfoque en mercados internacionales para maximizar rentabilidad” (BAC Pensiones, 2024, p. 15).   Mientras que BN Vital del Banco Nacional de Costa Rica "ha incrementado su exposición a fondos de cobertura y capital privado, buscando equilibrar riesgo y retorno" (BN Vital, 2023, p. 18).</w:t>
      </w:r>
    </w:p>
    <w:p w14:paraId="555B3F3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951D7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su parte, el Banco Popular con su operadora Popular Pensiones destaca por su apuesta en infraestructura y bienes raíces, con un portafolio que “busca generar flujos estables y proteger contra la inflación, alineado con los objetivos de largo plazo de sus afiliados” (Popular Pensiones, 2023, p. 20). </w:t>
      </w:r>
    </w:p>
    <w:p w14:paraId="7B97203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FBB9F3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contraste, la CCSS OPC mantiene una postura más conservadora, aunque "ha comenzado a explorar inversiones alternativas con límites prudenciales" (CCSS OPC, 2023, p. 10) y por último, Vida Plena que es la operadora de pensiones complementarias del Magisterio Nacional abierta a todos los trabajadores de Costa Rica, "ha incorporado inversiones en fondos internacionales que incluyen activos alternativos, aunque en menor proporción" (Vida Plena, 2023, p. 12).</w:t>
      </w:r>
    </w:p>
    <w:p w14:paraId="0BD8EF7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C671E91" w14:textId="77777777" w:rsidR="00C51607"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 respecto a los desafíos contables, regulatorios y estratégicos se consultó a analistas y gestores de las diferentes operadoras de pensiones, obteniendo la siguiente información:</w:t>
      </w:r>
    </w:p>
    <w:p w14:paraId="3B0C69F5" w14:textId="77777777" w:rsidR="00C51607" w:rsidRDefault="00C51607" w:rsidP="00C51607">
      <w:pPr>
        <w:spacing w:after="0" w:line="360" w:lineRule="auto"/>
        <w:jc w:val="both"/>
        <w:rPr>
          <w:rFonts w:ascii="Arial" w:eastAsia="Calibri" w:hAnsi="Arial" w:cs="Arial"/>
          <w:kern w:val="0"/>
          <w:lang w:val="es-MX"/>
          <w14:ligatures w14:val="none"/>
        </w:rPr>
      </w:pPr>
    </w:p>
    <w:p w14:paraId="6649A834" w14:textId="77777777" w:rsidR="00C51607" w:rsidRDefault="00C51607" w:rsidP="00C51607">
      <w:pPr>
        <w:spacing w:after="0" w:line="360" w:lineRule="auto"/>
        <w:jc w:val="both"/>
        <w:rPr>
          <w:rFonts w:ascii="Arial" w:eastAsia="Calibri" w:hAnsi="Arial" w:cs="Arial"/>
          <w:kern w:val="0"/>
          <w:lang w:val="es-MX"/>
          <w14:ligatures w14:val="none"/>
        </w:rPr>
      </w:pPr>
    </w:p>
    <w:p w14:paraId="32C6C8A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F0D835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47583EB" w14:textId="1C7DFB77" w:rsidR="00C51607" w:rsidRPr="002012E1" w:rsidRDefault="00C51607" w:rsidP="00C51607">
      <w:pPr>
        <w:spacing w:after="0" w:line="360" w:lineRule="auto"/>
        <w:jc w:val="both"/>
        <w:rPr>
          <w:rFonts w:ascii="Arial" w:eastAsia="Times New Roman" w:hAnsi="Arial" w:cs="Arial"/>
          <w:b/>
          <w:bCs/>
          <w:i/>
          <w:iCs/>
          <w:color w:val="000000"/>
          <w:kern w:val="0"/>
          <w:lang w:val="es-MX"/>
          <w14:ligatures w14:val="none"/>
        </w:rPr>
      </w:pPr>
      <w:bookmarkStart w:id="106" w:name="_Toc201322520"/>
      <w:r w:rsidRPr="002012E1">
        <w:rPr>
          <w:rFonts w:ascii="Arial" w:eastAsia="Calibri" w:hAnsi="Arial" w:cs="Arial"/>
          <w:b/>
          <w:bCs/>
          <w:i/>
          <w:iCs/>
          <w:kern w:val="0"/>
          <w:lang w:val="es-MX"/>
          <w14:ligatures w14:val="none"/>
        </w:rPr>
        <w:lastRenderedPageBreak/>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17</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Matriz</w:t>
      </w:r>
      <w:r w:rsidRPr="002012E1">
        <w:rPr>
          <w:rFonts w:ascii="Arial" w:eastAsia="Times New Roman" w:hAnsi="Arial" w:cs="Arial"/>
          <w:b/>
          <w:bCs/>
          <w:i/>
          <w:iCs/>
          <w:color w:val="000000"/>
          <w:kern w:val="0"/>
          <w:lang w:val="es-MX"/>
          <w14:ligatures w14:val="none"/>
        </w:rPr>
        <w:t xml:space="preserve"> Comparativa sobre desafíos contables, regulatorios y estratégicos en las Inversiones Alternativas.</w:t>
      </w:r>
      <w:bookmarkEnd w:id="106"/>
    </w:p>
    <w:tbl>
      <w:tblPr>
        <w:tblStyle w:val="Tablaconcuadrcula1"/>
        <w:tblW w:w="6420" w:type="pct"/>
        <w:jc w:val="center"/>
        <w:tblInd w:w="0" w:type="dxa"/>
        <w:tblLook w:val="04A0" w:firstRow="1" w:lastRow="0" w:firstColumn="1" w:lastColumn="0" w:noHBand="0" w:noVBand="1"/>
      </w:tblPr>
      <w:tblGrid>
        <w:gridCol w:w="1337"/>
        <w:gridCol w:w="1884"/>
        <w:gridCol w:w="1593"/>
        <w:gridCol w:w="1577"/>
        <w:gridCol w:w="1670"/>
        <w:gridCol w:w="1577"/>
        <w:gridCol w:w="1697"/>
      </w:tblGrid>
      <w:tr w:rsidR="00C51607" w:rsidRPr="002012E1" w14:paraId="1FEE6AD5" w14:textId="77777777" w:rsidTr="005C1607">
        <w:trPr>
          <w:trHeight w:val="20"/>
          <w:jc w:val="center"/>
        </w:trPr>
        <w:tc>
          <w:tcPr>
            <w:tcW w:w="590" w:type="pct"/>
            <w:vAlign w:val="center"/>
            <w:hideMark/>
          </w:tcPr>
          <w:p w14:paraId="7B528EE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Entidad</w:t>
            </w:r>
          </w:p>
        </w:tc>
        <w:tc>
          <w:tcPr>
            <w:tcW w:w="831" w:type="pct"/>
            <w:vAlign w:val="center"/>
            <w:hideMark/>
          </w:tcPr>
          <w:p w14:paraId="29405D0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Principales desafíos</w:t>
            </w:r>
          </w:p>
        </w:tc>
        <w:tc>
          <w:tcPr>
            <w:tcW w:w="703" w:type="pct"/>
            <w:vAlign w:val="center"/>
            <w:hideMark/>
          </w:tcPr>
          <w:p w14:paraId="253CAE3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Cambios normativos necesarios</w:t>
            </w:r>
          </w:p>
        </w:tc>
        <w:tc>
          <w:tcPr>
            <w:tcW w:w="696" w:type="pct"/>
            <w:vAlign w:val="center"/>
            <w:hideMark/>
          </w:tcPr>
          <w:p w14:paraId="23F4D01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Percepción de rentabilidad</w:t>
            </w:r>
          </w:p>
        </w:tc>
        <w:tc>
          <w:tcPr>
            <w:tcW w:w="737" w:type="pct"/>
            <w:vAlign w:val="center"/>
            <w:hideMark/>
          </w:tcPr>
          <w:p w14:paraId="01E1021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Factores que afectan rentabilidad</w:t>
            </w:r>
          </w:p>
        </w:tc>
        <w:tc>
          <w:tcPr>
            <w:tcW w:w="696" w:type="pct"/>
            <w:vAlign w:val="center"/>
            <w:hideMark/>
          </w:tcPr>
          <w:p w14:paraId="3019009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Criterios Riesgo / rentabilidad</w:t>
            </w:r>
          </w:p>
        </w:tc>
        <w:tc>
          <w:tcPr>
            <w:tcW w:w="749" w:type="pct"/>
            <w:vAlign w:val="center"/>
            <w:hideMark/>
          </w:tcPr>
          <w:p w14:paraId="4A39A15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¿Realizan inversiones alternativas?</w:t>
            </w:r>
          </w:p>
        </w:tc>
      </w:tr>
      <w:tr w:rsidR="00C51607" w:rsidRPr="002012E1" w14:paraId="5D121ED6" w14:textId="77777777" w:rsidTr="005C1607">
        <w:trPr>
          <w:trHeight w:val="4856"/>
          <w:jc w:val="center"/>
        </w:trPr>
        <w:tc>
          <w:tcPr>
            <w:tcW w:w="590" w:type="pct"/>
            <w:vMerge w:val="restart"/>
            <w:vAlign w:val="center"/>
            <w:hideMark/>
          </w:tcPr>
          <w:p w14:paraId="18852F0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OPC CCSS</w:t>
            </w:r>
          </w:p>
        </w:tc>
        <w:tc>
          <w:tcPr>
            <w:tcW w:w="831" w:type="pct"/>
            <w:vAlign w:val="center"/>
            <w:hideMark/>
          </w:tcPr>
          <w:p w14:paraId="48698AC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Falta de estándares contables locales, dificultad de acceso a información confiable, baja liquidez, falta de formación del personal</w:t>
            </w:r>
          </w:p>
        </w:tc>
        <w:tc>
          <w:tcPr>
            <w:tcW w:w="703" w:type="pct"/>
            <w:vAlign w:val="center"/>
            <w:hideMark/>
          </w:tcPr>
          <w:p w14:paraId="13FE3529"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Guía técnica nacional específica alineada a NIIF 9, fortalecer capacidades y sistemas de reporte supervisado</w:t>
            </w:r>
          </w:p>
        </w:tc>
        <w:tc>
          <w:tcPr>
            <w:tcW w:w="696" w:type="pct"/>
            <w:vAlign w:val="center"/>
            <w:hideMark/>
          </w:tcPr>
          <w:p w14:paraId="1A4A2E3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Bueno</w:t>
            </w:r>
          </w:p>
        </w:tc>
        <w:tc>
          <w:tcPr>
            <w:tcW w:w="737" w:type="pct"/>
            <w:vAlign w:val="center"/>
            <w:hideMark/>
          </w:tcPr>
          <w:p w14:paraId="2ADB3F3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Rentabilidad superior a mediano y largo plazo</w:t>
            </w:r>
          </w:p>
        </w:tc>
        <w:tc>
          <w:tcPr>
            <w:tcW w:w="696" w:type="pct"/>
            <w:vAlign w:val="center"/>
            <w:hideMark/>
          </w:tcPr>
          <w:p w14:paraId="3815991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 se utiliza actualmente</w:t>
            </w:r>
          </w:p>
        </w:tc>
        <w:tc>
          <w:tcPr>
            <w:tcW w:w="749" w:type="pct"/>
            <w:vAlign w:val="center"/>
            <w:hideMark/>
          </w:tcPr>
          <w:p w14:paraId="2F9E0AD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r>
      <w:tr w:rsidR="00C51607" w:rsidRPr="002012E1" w14:paraId="46E37CAE" w14:textId="77777777" w:rsidTr="005C1607">
        <w:trPr>
          <w:trHeight w:val="20"/>
          <w:jc w:val="center"/>
        </w:trPr>
        <w:tc>
          <w:tcPr>
            <w:tcW w:w="590" w:type="pct"/>
            <w:vMerge/>
            <w:vAlign w:val="center"/>
            <w:hideMark/>
          </w:tcPr>
          <w:p w14:paraId="1B35DDF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p>
        </w:tc>
        <w:tc>
          <w:tcPr>
            <w:tcW w:w="831" w:type="pct"/>
            <w:vAlign w:val="center"/>
            <w:hideMark/>
          </w:tcPr>
          <w:p w14:paraId="7C905D7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Poca información sobre inversiones alternativas</w:t>
            </w:r>
          </w:p>
        </w:tc>
        <w:tc>
          <w:tcPr>
            <w:tcW w:w="703" w:type="pct"/>
            <w:vAlign w:val="center"/>
            <w:hideMark/>
          </w:tcPr>
          <w:p w14:paraId="495E5BD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Normativa o guía específica sobre inversiones alternativas</w:t>
            </w:r>
          </w:p>
        </w:tc>
        <w:tc>
          <w:tcPr>
            <w:tcW w:w="696" w:type="pct"/>
            <w:vAlign w:val="center"/>
            <w:hideMark/>
          </w:tcPr>
          <w:p w14:paraId="43F56D1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Bueno</w:t>
            </w:r>
          </w:p>
        </w:tc>
        <w:tc>
          <w:tcPr>
            <w:tcW w:w="737" w:type="pct"/>
            <w:vAlign w:val="center"/>
            <w:hideMark/>
          </w:tcPr>
          <w:p w14:paraId="3967EBF8"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Tiempo de inversión y rendimientos</w:t>
            </w:r>
          </w:p>
        </w:tc>
        <w:tc>
          <w:tcPr>
            <w:tcW w:w="696" w:type="pct"/>
            <w:vAlign w:val="center"/>
            <w:hideMark/>
          </w:tcPr>
          <w:p w14:paraId="62D45B4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Desconoce el criterio</w:t>
            </w:r>
          </w:p>
        </w:tc>
        <w:tc>
          <w:tcPr>
            <w:tcW w:w="749" w:type="pct"/>
            <w:vAlign w:val="center"/>
            <w:hideMark/>
          </w:tcPr>
          <w:p w14:paraId="07BF09B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r>
      <w:tr w:rsidR="00C51607" w:rsidRPr="002012E1" w14:paraId="781B453C" w14:textId="77777777" w:rsidTr="005C1607">
        <w:trPr>
          <w:trHeight w:val="1559"/>
          <w:jc w:val="center"/>
        </w:trPr>
        <w:tc>
          <w:tcPr>
            <w:tcW w:w="590" w:type="pct"/>
            <w:vMerge w:val="restart"/>
            <w:vAlign w:val="center"/>
            <w:hideMark/>
          </w:tcPr>
          <w:p w14:paraId="2032ED97"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BCR</w:t>
            </w:r>
          </w:p>
        </w:tc>
        <w:tc>
          <w:tcPr>
            <w:tcW w:w="831" w:type="pct"/>
            <w:vAlign w:val="center"/>
            <w:hideMark/>
          </w:tcPr>
          <w:p w14:paraId="5CD16D2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 xml:space="preserve">Falta de información, poco </w:t>
            </w:r>
            <w:r w:rsidRPr="002012E1">
              <w:rPr>
                <w:rFonts w:eastAsia="Times New Roman"/>
                <w:color w:val="000000"/>
                <w:lang w:val="es-419"/>
              </w:rPr>
              <w:lastRenderedPageBreak/>
              <w:t>conocimiento en manejo</w:t>
            </w:r>
          </w:p>
        </w:tc>
        <w:tc>
          <w:tcPr>
            <w:tcW w:w="703" w:type="pct"/>
            <w:vAlign w:val="center"/>
            <w:hideMark/>
          </w:tcPr>
          <w:p w14:paraId="695667C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lastRenderedPageBreak/>
              <w:t xml:space="preserve">Agregar formas de aplicación y </w:t>
            </w:r>
            <w:r w:rsidRPr="002012E1">
              <w:rPr>
                <w:rFonts w:eastAsia="Times New Roman"/>
                <w:color w:val="000000"/>
                <w:lang w:val="es-419"/>
              </w:rPr>
              <w:lastRenderedPageBreak/>
              <w:t>para informarse</w:t>
            </w:r>
          </w:p>
        </w:tc>
        <w:tc>
          <w:tcPr>
            <w:tcW w:w="696" w:type="pct"/>
            <w:vAlign w:val="center"/>
            <w:hideMark/>
          </w:tcPr>
          <w:p w14:paraId="32D951D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lastRenderedPageBreak/>
              <w:t>Bueno</w:t>
            </w:r>
          </w:p>
        </w:tc>
        <w:tc>
          <w:tcPr>
            <w:tcW w:w="737" w:type="pct"/>
            <w:vAlign w:val="center"/>
            <w:hideMark/>
          </w:tcPr>
          <w:p w14:paraId="562525D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 xml:space="preserve">Baja liquidez, largo plazo para rendimientos, </w:t>
            </w:r>
            <w:r w:rsidRPr="002012E1">
              <w:rPr>
                <w:rFonts w:eastAsia="Times New Roman"/>
                <w:color w:val="000000"/>
                <w:lang w:val="es-419"/>
              </w:rPr>
              <w:lastRenderedPageBreak/>
              <w:t>complejidad en valoración, altos costos</w:t>
            </w:r>
          </w:p>
        </w:tc>
        <w:tc>
          <w:tcPr>
            <w:tcW w:w="696" w:type="pct"/>
            <w:vAlign w:val="center"/>
            <w:hideMark/>
          </w:tcPr>
          <w:p w14:paraId="6A2A155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lastRenderedPageBreak/>
              <w:t>No se aplica actualmente</w:t>
            </w:r>
          </w:p>
        </w:tc>
        <w:tc>
          <w:tcPr>
            <w:tcW w:w="749" w:type="pct"/>
            <w:vAlign w:val="center"/>
            <w:hideMark/>
          </w:tcPr>
          <w:p w14:paraId="6B8212E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r>
      <w:tr w:rsidR="00C51607" w:rsidRPr="002012E1" w14:paraId="08B7812D" w14:textId="77777777" w:rsidTr="005C1607">
        <w:trPr>
          <w:trHeight w:val="20"/>
          <w:jc w:val="center"/>
        </w:trPr>
        <w:tc>
          <w:tcPr>
            <w:tcW w:w="590" w:type="pct"/>
            <w:vMerge/>
            <w:vAlign w:val="center"/>
            <w:hideMark/>
          </w:tcPr>
          <w:p w14:paraId="493C069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p>
        </w:tc>
        <w:tc>
          <w:tcPr>
            <w:tcW w:w="831" w:type="pct"/>
            <w:vAlign w:val="center"/>
            <w:hideMark/>
          </w:tcPr>
          <w:p w14:paraId="1ED6533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Baja liquidez, escasa transparencia, dificultades de valoración, mayores costos de gestión</w:t>
            </w:r>
          </w:p>
        </w:tc>
        <w:tc>
          <w:tcPr>
            <w:tcW w:w="703" w:type="pct"/>
            <w:vAlign w:val="center"/>
            <w:hideMark/>
          </w:tcPr>
          <w:p w14:paraId="1F43DFF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Normativa contable específica y adaptada, criterios claros de valoración y revelación</w:t>
            </w:r>
          </w:p>
        </w:tc>
        <w:tc>
          <w:tcPr>
            <w:tcW w:w="696" w:type="pct"/>
            <w:vAlign w:val="center"/>
            <w:hideMark/>
          </w:tcPr>
          <w:p w14:paraId="09F4D9C9"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Excelente</w:t>
            </w:r>
          </w:p>
        </w:tc>
        <w:tc>
          <w:tcPr>
            <w:tcW w:w="737" w:type="pct"/>
            <w:vAlign w:val="center"/>
            <w:hideMark/>
          </w:tcPr>
          <w:p w14:paraId="1153A49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Menor liquidez, alta incertidumbre</w:t>
            </w:r>
          </w:p>
        </w:tc>
        <w:tc>
          <w:tcPr>
            <w:tcW w:w="696" w:type="pct"/>
            <w:vAlign w:val="center"/>
            <w:hideMark/>
          </w:tcPr>
          <w:p w14:paraId="50DD69D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Desconoce el criterio</w:t>
            </w:r>
          </w:p>
        </w:tc>
        <w:tc>
          <w:tcPr>
            <w:tcW w:w="749" w:type="pct"/>
            <w:vAlign w:val="center"/>
            <w:hideMark/>
          </w:tcPr>
          <w:p w14:paraId="5932B0D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r>
      <w:tr w:rsidR="00C51607" w:rsidRPr="002012E1" w14:paraId="58F7A89D" w14:textId="77777777" w:rsidTr="005C1607">
        <w:trPr>
          <w:trHeight w:val="4419"/>
          <w:jc w:val="center"/>
        </w:trPr>
        <w:tc>
          <w:tcPr>
            <w:tcW w:w="590" w:type="pct"/>
            <w:vAlign w:val="center"/>
            <w:hideMark/>
          </w:tcPr>
          <w:p w14:paraId="02E356F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BAC Pensiones</w:t>
            </w:r>
          </w:p>
        </w:tc>
        <w:tc>
          <w:tcPr>
            <w:tcW w:w="831" w:type="pct"/>
            <w:vAlign w:val="center"/>
            <w:hideMark/>
          </w:tcPr>
          <w:p w14:paraId="668D183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Desafíos en infraestructura, capital privado, bienes raíces, fondos de cobertura frente a bonos/acciones tradicionales</w:t>
            </w:r>
          </w:p>
        </w:tc>
        <w:tc>
          <w:tcPr>
            <w:tcW w:w="703" w:type="pct"/>
            <w:vAlign w:val="center"/>
            <w:hideMark/>
          </w:tcPr>
          <w:p w14:paraId="4DE74DA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Modernizar legislación que regule inversiones alternativas con condiciones claras de control y seguimiento</w:t>
            </w:r>
          </w:p>
        </w:tc>
        <w:tc>
          <w:tcPr>
            <w:tcW w:w="696" w:type="pct"/>
            <w:vAlign w:val="center"/>
            <w:hideMark/>
          </w:tcPr>
          <w:p w14:paraId="3D99DAD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Bueno</w:t>
            </w:r>
          </w:p>
        </w:tc>
        <w:tc>
          <w:tcPr>
            <w:tcW w:w="737" w:type="pct"/>
            <w:vAlign w:val="center"/>
            <w:hideMark/>
          </w:tcPr>
          <w:p w14:paraId="526CB97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Horizonte de inversión largo y liquidez limitada, iliquidez afecta capacidad de reacción</w:t>
            </w:r>
          </w:p>
        </w:tc>
        <w:tc>
          <w:tcPr>
            <w:tcW w:w="696" w:type="pct"/>
            <w:vAlign w:val="center"/>
            <w:hideMark/>
          </w:tcPr>
          <w:p w14:paraId="30145B9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Relación riesgo-rendimiento ajustada por liquidez, ratio de Sharpe adaptado</w:t>
            </w:r>
          </w:p>
        </w:tc>
        <w:tc>
          <w:tcPr>
            <w:tcW w:w="749" w:type="pct"/>
            <w:vAlign w:val="center"/>
            <w:hideMark/>
          </w:tcPr>
          <w:p w14:paraId="180A29F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r>
    </w:tbl>
    <w:p w14:paraId="300C735E" w14:textId="77777777" w:rsidR="00C51607" w:rsidRPr="002012E1" w:rsidRDefault="00C51607" w:rsidP="00C51607">
      <w:pPr>
        <w:spacing w:after="0" w:line="360" w:lineRule="auto"/>
        <w:jc w:val="right"/>
        <w:rPr>
          <w:rFonts w:ascii="Arial" w:eastAsia="Times New Roman" w:hAnsi="Arial" w:cs="Arial"/>
          <w:color w:val="000000"/>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Entrevistas realizadas personal de dichas entidades de pensiones en Costa Rica.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 xml:space="preserve">Grupo </w:t>
      </w:r>
      <w:r w:rsidRPr="002012E1">
        <w:rPr>
          <w:rFonts w:ascii="Arial" w:eastAsia="Times New Roman" w:hAnsi="Arial" w:cs="Arial"/>
          <w:color w:val="000000"/>
          <w:kern w:val="0"/>
          <w:lang w:val="es-MX"/>
          <w14:ligatures w14:val="none"/>
        </w:rPr>
        <w:t>Investigador (2025)</w:t>
      </w:r>
    </w:p>
    <w:p w14:paraId="68B298F0" w14:textId="77777777" w:rsidR="00C51607" w:rsidRPr="002012E1" w:rsidRDefault="00C51607" w:rsidP="00C51607">
      <w:pPr>
        <w:spacing w:after="0" w:line="360" w:lineRule="auto"/>
        <w:jc w:val="both"/>
        <w:rPr>
          <w:rFonts w:ascii="Arial" w:eastAsia="Times New Roman" w:hAnsi="Arial" w:cs="Arial"/>
          <w:color w:val="000000"/>
          <w:kern w:val="0"/>
          <w:lang w:val="es-MX"/>
          <w14:ligatures w14:val="none"/>
        </w:rPr>
      </w:pPr>
    </w:p>
    <w:p w14:paraId="26A22D7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realizadas a distintas entidades relacionadas con la gestión de fondos de pensiones en Costa Rica reflejan varios desafíos comunes en la incorporación y manejo de inversiones alternativas. </w:t>
      </w:r>
    </w:p>
    <w:p w14:paraId="36B6245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En general, se identifica una falta de estándares contables locales específicos y una dificultad significativa para acceder a información confiable, lo que limita el conocimiento y la formación del personal encargado. Además, la baja liquidez y la complejidad en la valoración de estos instrumentos generan incertidumbre y altos costos de gestión, factores que dificultan su aplicación práctica en los portafolios institucionales.</w:t>
      </w:r>
    </w:p>
    <w:p w14:paraId="049DD53C" w14:textId="77777777" w:rsidR="00C51607" w:rsidRPr="002012E1" w:rsidRDefault="00C51607" w:rsidP="00C51607">
      <w:pPr>
        <w:spacing w:after="0" w:line="360" w:lineRule="auto"/>
        <w:jc w:val="both"/>
        <w:rPr>
          <w:rFonts w:ascii="Arial" w:eastAsia="Times New Roman" w:hAnsi="Arial" w:cs="Arial"/>
          <w:color w:val="000000"/>
          <w:kern w:val="0"/>
          <w:lang w:val="es-MX"/>
          <w14:ligatures w14:val="none"/>
        </w:rPr>
      </w:pPr>
    </w:p>
    <w:p w14:paraId="360A234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cuanto a los cambios normativos necesarios, las entidades coinciden en la urgencia de contar con guías técnicas y normativas específicas que regulen las inversiones alternativas, alineadas con estándares internacionales como las NIIF 9. Esto permitiría fortalecer las capacidades de reporte y supervisión, así como establecer criterios claros para la valoración y revelación de estos activos. </w:t>
      </w:r>
    </w:p>
    <w:p w14:paraId="3DF85B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BE4790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modernización de la legislación es vista como un paso clave para facilitar la inclusión controlada y transparente de productos como capital privado, bienes raíces y fondos de cobertura en las carteras de inversión, garantizando un seguimiento adecuado y mitigando riesgos asociados.</w:t>
      </w:r>
    </w:p>
    <w:p w14:paraId="0703650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465C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Respecto a la percepción de rentabilidad y la gestión del riesgo, las opiniones varían según la experiencia y el nivel de adopción. Mientras que algunas entidades reconocen un buen desempeño esperado a mediano y largo plazo, otras destacan la alta incertidumbre y la baja liquidez como limitantes importantes. </w:t>
      </w:r>
    </w:p>
    <w:p w14:paraId="2E5E7B7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B27E0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Solo una entidad, BAC Pensiones, reporta realizar inversiones alternativas, aplicando criterios ajustados que consideran la relación riesgo-rendimiento y la liquidez limitada, utilizando indicadores como el ratio de Sharpe adaptado. </w:t>
      </w:r>
    </w:p>
    <w:p w14:paraId="4F99ECE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F21EDE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evidencia que, aunque existe interés en diversificar y mejorar la rentabilidad mediante estos productos, la mayoría de los fondos aún no los incorporan debido a las barreras normativas, operativas y de conocimiento que enfrentan.</w:t>
      </w:r>
    </w:p>
    <w:p w14:paraId="33B163A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749E819" w14:textId="7E14E955" w:rsidR="00C51607" w:rsidRPr="002012E1" w:rsidRDefault="00C51607" w:rsidP="00C51607">
      <w:pPr>
        <w:pBdr>
          <w:top w:val="nil"/>
          <w:left w:val="nil"/>
          <w:bottom w:val="nil"/>
          <w:right w:val="nil"/>
          <w:between w:val="nil"/>
        </w:pBdr>
        <w:spacing w:before="280" w:after="280" w:line="360" w:lineRule="auto"/>
        <w:ind w:firstLine="720"/>
        <w:jc w:val="both"/>
        <w:rPr>
          <w:rFonts w:ascii="Arial" w:eastAsia="Times New Roman" w:hAnsi="Arial" w:cs="Arial"/>
          <w:b/>
          <w:bCs/>
          <w:i/>
          <w:iCs/>
          <w:color w:val="000000"/>
          <w:kern w:val="0"/>
          <w14:ligatures w14:val="none"/>
        </w:rPr>
      </w:pPr>
      <w:bookmarkStart w:id="107" w:name="_Toc201322521"/>
      <w:r w:rsidRPr="002012E1">
        <w:rPr>
          <w:rFonts w:ascii="Arial" w:eastAsia="Calibri" w:hAnsi="Arial" w:cs="Arial"/>
          <w:b/>
          <w:bCs/>
          <w:i/>
          <w:i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18</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Matriz</w:t>
      </w:r>
      <w:r w:rsidRPr="002012E1">
        <w:rPr>
          <w:rFonts w:ascii="Arial" w:eastAsia="Times New Roman" w:hAnsi="Arial" w:cs="Arial"/>
          <w:b/>
          <w:bCs/>
          <w:i/>
          <w:iCs/>
          <w:color w:val="000000"/>
          <w:kern w:val="0"/>
          <w14:ligatures w14:val="none"/>
        </w:rPr>
        <w:t xml:space="preserve"> Comparativa sobre registro contable, aplicación de las NIIF 9 y NIC 39 y dificultades para medir el riesgo en las inversiones alternativas.</w:t>
      </w:r>
      <w:bookmarkEnd w:id="107"/>
    </w:p>
    <w:tbl>
      <w:tblPr>
        <w:tblStyle w:val="Tablaconcuadrcula1"/>
        <w:tblW w:w="9209" w:type="dxa"/>
        <w:jc w:val="center"/>
        <w:tblInd w:w="0" w:type="dxa"/>
        <w:tblLook w:val="04A0" w:firstRow="1" w:lastRow="0" w:firstColumn="1" w:lastColumn="0" w:noHBand="0" w:noVBand="1"/>
      </w:tblPr>
      <w:tblGrid>
        <w:gridCol w:w="1337"/>
        <w:gridCol w:w="1390"/>
        <w:gridCol w:w="1017"/>
        <w:gridCol w:w="1460"/>
        <w:gridCol w:w="1937"/>
        <w:gridCol w:w="2068"/>
      </w:tblGrid>
      <w:tr w:rsidR="00C51607" w:rsidRPr="002012E1" w14:paraId="27C6FFBA" w14:textId="77777777" w:rsidTr="005C1607">
        <w:trPr>
          <w:trHeight w:val="1560"/>
          <w:jc w:val="center"/>
        </w:trPr>
        <w:tc>
          <w:tcPr>
            <w:tcW w:w="0" w:type="auto"/>
            <w:vAlign w:val="center"/>
            <w:hideMark/>
          </w:tcPr>
          <w:p w14:paraId="2959D16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bookmarkStart w:id="108" w:name="RANGE!A1:F6"/>
            <w:r w:rsidRPr="002012E1">
              <w:rPr>
                <w:rFonts w:eastAsia="Times New Roman"/>
                <w:b/>
                <w:bCs/>
                <w:color w:val="000000"/>
                <w:lang w:val="es-419"/>
              </w:rPr>
              <w:t>Entidad</w:t>
            </w:r>
            <w:bookmarkEnd w:id="108"/>
          </w:p>
        </w:tc>
        <w:tc>
          <w:tcPr>
            <w:tcW w:w="0" w:type="auto"/>
            <w:vAlign w:val="center"/>
            <w:hideMark/>
          </w:tcPr>
          <w:p w14:paraId="75C38A2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Registro contable específico</w:t>
            </w:r>
          </w:p>
        </w:tc>
        <w:tc>
          <w:tcPr>
            <w:tcW w:w="0" w:type="auto"/>
            <w:vAlign w:val="center"/>
            <w:hideMark/>
          </w:tcPr>
          <w:p w14:paraId="6998C2CD"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Siguen NIIF 9 / NIC 39</w:t>
            </w:r>
          </w:p>
        </w:tc>
        <w:tc>
          <w:tcPr>
            <w:tcW w:w="1460" w:type="dxa"/>
            <w:vAlign w:val="center"/>
            <w:hideMark/>
          </w:tcPr>
          <w:p w14:paraId="2476266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Dificultad para medir riesgo</w:t>
            </w:r>
          </w:p>
        </w:tc>
        <w:tc>
          <w:tcPr>
            <w:tcW w:w="1937" w:type="dxa"/>
            <w:vAlign w:val="center"/>
            <w:hideMark/>
          </w:tcPr>
          <w:p w14:paraId="63AB7DB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Observaciones clave</w:t>
            </w:r>
          </w:p>
        </w:tc>
        <w:tc>
          <w:tcPr>
            <w:tcW w:w="2068" w:type="dxa"/>
            <w:vAlign w:val="center"/>
            <w:hideMark/>
          </w:tcPr>
          <w:p w14:paraId="450339A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color w:val="000000"/>
                <w:lang w:val="es-419"/>
              </w:rPr>
            </w:pPr>
            <w:r w:rsidRPr="002012E1">
              <w:rPr>
                <w:rFonts w:eastAsia="Times New Roman"/>
                <w:b/>
                <w:bCs/>
                <w:color w:val="000000"/>
                <w:lang w:val="es-419"/>
              </w:rPr>
              <w:t>Impacto en sostenibilidad y estabilidad</w:t>
            </w:r>
          </w:p>
        </w:tc>
      </w:tr>
      <w:tr w:rsidR="00C51607" w:rsidRPr="002012E1" w14:paraId="280B45CA" w14:textId="77777777" w:rsidTr="005C1607">
        <w:trPr>
          <w:trHeight w:val="3618"/>
          <w:jc w:val="center"/>
        </w:trPr>
        <w:tc>
          <w:tcPr>
            <w:tcW w:w="0" w:type="auto"/>
            <w:vMerge w:val="restart"/>
            <w:vAlign w:val="center"/>
            <w:hideMark/>
          </w:tcPr>
          <w:p w14:paraId="184D506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OPC CCSS</w:t>
            </w:r>
          </w:p>
        </w:tc>
        <w:tc>
          <w:tcPr>
            <w:tcW w:w="0" w:type="auto"/>
            <w:vAlign w:val="center"/>
            <w:hideMark/>
          </w:tcPr>
          <w:p w14:paraId="69130E8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En proceso</w:t>
            </w:r>
          </w:p>
        </w:tc>
        <w:tc>
          <w:tcPr>
            <w:tcW w:w="0" w:type="auto"/>
            <w:vAlign w:val="center"/>
            <w:hideMark/>
          </w:tcPr>
          <w:p w14:paraId="1B2071D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460" w:type="dxa"/>
            <w:vAlign w:val="center"/>
            <w:hideMark/>
          </w:tcPr>
          <w:p w14:paraId="46BAF13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937" w:type="dxa"/>
            <w:vAlign w:val="center"/>
            <w:hideMark/>
          </w:tcPr>
          <w:p w14:paraId="0CC4646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 hay lineamientos contables específicos, valoración depende de variables poco observables</w:t>
            </w:r>
          </w:p>
        </w:tc>
        <w:tc>
          <w:tcPr>
            <w:tcW w:w="2068" w:type="dxa"/>
            <w:vAlign w:val="center"/>
            <w:hideMark/>
          </w:tcPr>
          <w:p w14:paraId="654BCD2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Mejoran rentabilidad a largo plazo y reducen volatilidad si se gestionan adecuadamente riesgo y liquidez</w:t>
            </w:r>
          </w:p>
        </w:tc>
      </w:tr>
      <w:tr w:rsidR="00C51607" w:rsidRPr="002012E1" w14:paraId="2A229670" w14:textId="77777777" w:rsidTr="005C1607">
        <w:trPr>
          <w:trHeight w:val="2145"/>
          <w:jc w:val="center"/>
        </w:trPr>
        <w:tc>
          <w:tcPr>
            <w:tcW w:w="0" w:type="auto"/>
            <w:vMerge/>
            <w:vAlign w:val="center"/>
            <w:hideMark/>
          </w:tcPr>
          <w:p w14:paraId="5381155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p>
        </w:tc>
        <w:tc>
          <w:tcPr>
            <w:tcW w:w="0" w:type="auto"/>
            <w:vAlign w:val="center"/>
            <w:hideMark/>
          </w:tcPr>
          <w:p w14:paraId="1A1BDAC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En proceso</w:t>
            </w:r>
          </w:p>
        </w:tc>
        <w:tc>
          <w:tcPr>
            <w:tcW w:w="0" w:type="auto"/>
            <w:vAlign w:val="center"/>
            <w:hideMark/>
          </w:tcPr>
          <w:p w14:paraId="39A5FFE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460" w:type="dxa"/>
            <w:vAlign w:val="center"/>
            <w:hideMark/>
          </w:tcPr>
          <w:p w14:paraId="30563BE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937" w:type="dxa"/>
            <w:vAlign w:val="center"/>
            <w:hideMark/>
          </w:tcPr>
          <w:p w14:paraId="774596C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Tema reciente, no se tiene certeza de los riesgos</w:t>
            </w:r>
          </w:p>
        </w:tc>
        <w:tc>
          <w:tcPr>
            <w:tcW w:w="2068" w:type="dxa"/>
            <w:vAlign w:val="center"/>
            <w:hideMark/>
          </w:tcPr>
          <w:p w14:paraId="43B5A25D"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Impacto positivo, potencial de beneficios a largo plazo para los ciudadanos</w:t>
            </w:r>
          </w:p>
        </w:tc>
      </w:tr>
      <w:tr w:rsidR="00C51607" w:rsidRPr="002012E1" w14:paraId="547F1710" w14:textId="77777777" w:rsidTr="005C1607">
        <w:trPr>
          <w:trHeight w:val="1260"/>
          <w:jc w:val="center"/>
        </w:trPr>
        <w:tc>
          <w:tcPr>
            <w:tcW w:w="0" w:type="auto"/>
            <w:vMerge w:val="restart"/>
            <w:vAlign w:val="center"/>
            <w:hideMark/>
          </w:tcPr>
          <w:p w14:paraId="0BF2199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BCR</w:t>
            </w:r>
          </w:p>
        </w:tc>
        <w:tc>
          <w:tcPr>
            <w:tcW w:w="0" w:type="auto"/>
            <w:vAlign w:val="center"/>
            <w:hideMark/>
          </w:tcPr>
          <w:p w14:paraId="61CB58B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c>
          <w:tcPr>
            <w:tcW w:w="0" w:type="auto"/>
            <w:vAlign w:val="center"/>
            <w:hideMark/>
          </w:tcPr>
          <w:p w14:paraId="51184A0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460" w:type="dxa"/>
            <w:vAlign w:val="center"/>
            <w:hideMark/>
          </w:tcPr>
          <w:p w14:paraId="2BDD336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937" w:type="dxa"/>
            <w:vAlign w:val="center"/>
            <w:hideMark/>
          </w:tcPr>
          <w:p w14:paraId="6008F098"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Falta de conocimiento y poca información</w:t>
            </w:r>
          </w:p>
        </w:tc>
        <w:tc>
          <w:tcPr>
            <w:tcW w:w="2068" w:type="dxa"/>
            <w:vAlign w:val="center"/>
            <w:hideMark/>
          </w:tcPr>
          <w:p w14:paraId="5202E7A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Puede incrementar fondos a largo plazo</w:t>
            </w:r>
          </w:p>
        </w:tc>
      </w:tr>
      <w:tr w:rsidR="00C51607" w:rsidRPr="002012E1" w14:paraId="1F02FDCE" w14:textId="77777777" w:rsidTr="005C1607">
        <w:trPr>
          <w:trHeight w:val="3465"/>
          <w:jc w:val="center"/>
        </w:trPr>
        <w:tc>
          <w:tcPr>
            <w:tcW w:w="0" w:type="auto"/>
            <w:vMerge/>
            <w:vAlign w:val="center"/>
            <w:hideMark/>
          </w:tcPr>
          <w:p w14:paraId="2AA4AFA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p>
        </w:tc>
        <w:tc>
          <w:tcPr>
            <w:tcW w:w="0" w:type="auto"/>
            <w:vAlign w:val="center"/>
            <w:hideMark/>
          </w:tcPr>
          <w:p w14:paraId="0AF2A62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c>
          <w:tcPr>
            <w:tcW w:w="0" w:type="auto"/>
            <w:vAlign w:val="center"/>
            <w:hideMark/>
          </w:tcPr>
          <w:p w14:paraId="19DC166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w:t>
            </w:r>
          </w:p>
        </w:tc>
        <w:tc>
          <w:tcPr>
            <w:tcW w:w="1460" w:type="dxa"/>
            <w:vAlign w:val="center"/>
            <w:hideMark/>
          </w:tcPr>
          <w:p w14:paraId="2B5371A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937" w:type="dxa"/>
            <w:vAlign w:val="center"/>
            <w:hideMark/>
          </w:tcPr>
          <w:p w14:paraId="3B3B515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No hay normativa estructurada</w:t>
            </w:r>
          </w:p>
        </w:tc>
        <w:tc>
          <w:tcPr>
            <w:tcW w:w="2068" w:type="dxa"/>
            <w:vAlign w:val="center"/>
            <w:hideMark/>
          </w:tcPr>
          <w:p w14:paraId="6DACF369"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Mejora sostenibilidad y estabilidad si se gestiona y regula adecuadamente, pero implica mayores desafíos de liquidez y control</w:t>
            </w:r>
          </w:p>
        </w:tc>
      </w:tr>
      <w:tr w:rsidR="00C51607" w:rsidRPr="002012E1" w14:paraId="0944AE8E" w14:textId="77777777" w:rsidTr="005C1607">
        <w:trPr>
          <w:trHeight w:val="4315"/>
          <w:jc w:val="center"/>
        </w:trPr>
        <w:tc>
          <w:tcPr>
            <w:tcW w:w="0" w:type="auto"/>
            <w:vAlign w:val="center"/>
            <w:hideMark/>
          </w:tcPr>
          <w:p w14:paraId="50CF88A6"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BAC Pensiones</w:t>
            </w:r>
          </w:p>
        </w:tc>
        <w:tc>
          <w:tcPr>
            <w:tcW w:w="0" w:type="auto"/>
            <w:vAlign w:val="center"/>
            <w:hideMark/>
          </w:tcPr>
          <w:p w14:paraId="44BA26B7"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En proceso</w:t>
            </w:r>
          </w:p>
        </w:tc>
        <w:tc>
          <w:tcPr>
            <w:tcW w:w="0" w:type="auto"/>
            <w:vAlign w:val="center"/>
            <w:hideMark/>
          </w:tcPr>
          <w:p w14:paraId="346C0F3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460" w:type="dxa"/>
            <w:vAlign w:val="center"/>
            <w:hideMark/>
          </w:tcPr>
          <w:p w14:paraId="3090E84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Sí</w:t>
            </w:r>
          </w:p>
        </w:tc>
        <w:tc>
          <w:tcPr>
            <w:tcW w:w="1937" w:type="dxa"/>
            <w:vAlign w:val="center"/>
            <w:hideMark/>
          </w:tcPr>
          <w:p w14:paraId="422AEAB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Falta de normativas contables claras, estándares internacionales no siempre aplican, falta de directrices locales</w:t>
            </w:r>
          </w:p>
        </w:tc>
        <w:tc>
          <w:tcPr>
            <w:tcW w:w="2068" w:type="dxa"/>
            <w:vAlign w:val="center"/>
            <w:hideMark/>
          </w:tcPr>
          <w:p w14:paraId="037A636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color w:val="000000"/>
                <w:lang w:val="es-419"/>
              </w:rPr>
            </w:pPr>
            <w:r w:rsidRPr="002012E1">
              <w:rPr>
                <w:rFonts w:eastAsia="Times New Roman"/>
                <w:color w:val="000000"/>
                <w:lang w:val="es-419"/>
              </w:rPr>
              <w:t>Mayor diversificación, reducción de volatilidad y mitigación de riesgos sistémicos</w:t>
            </w:r>
          </w:p>
        </w:tc>
      </w:tr>
    </w:tbl>
    <w:p w14:paraId="2AE93748" w14:textId="77777777" w:rsidR="00C51607" w:rsidRPr="002012E1" w:rsidRDefault="00C51607" w:rsidP="00C51607">
      <w:pPr>
        <w:spacing w:after="0" w:line="360" w:lineRule="auto"/>
        <w:jc w:val="right"/>
        <w:rPr>
          <w:rFonts w:ascii="Arial" w:eastAsia="Times New Roman" w:hAnsi="Arial" w:cs="Arial"/>
          <w:color w:val="000000"/>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Entrevistas realizadas personal de dichas entidades de pensiones en Costa Rica.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 xml:space="preserve">Grupo </w:t>
      </w:r>
      <w:r w:rsidRPr="002012E1">
        <w:rPr>
          <w:rFonts w:ascii="Arial" w:eastAsia="Times New Roman" w:hAnsi="Arial" w:cs="Arial"/>
          <w:color w:val="000000"/>
          <w:kern w:val="0"/>
          <w:lang w:val="es-MX"/>
          <w14:ligatures w14:val="none"/>
        </w:rPr>
        <w:t>Investigador (2025)</w:t>
      </w:r>
    </w:p>
    <w:p w14:paraId="4FFA99C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E937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evidencian que la información cualitativa, como la experiencia y percepciones de los gestores, complementa los datos cuantitativos para ofrecer una visión más completa de los riesgos asociados a las inversiones en fondos de pensiones. </w:t>
      </w:r>
    </w:p>
    <w:p w14:paraId="1CFDB1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B98A06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Mientras los datos duros reflejan aspectos como rendimientos, plazos y liquidez, la perspectiva cualitativa ayuda a entender cómo la falta de estándares contables claros, la baja liquidez, la dificultad para valorar ciertos activos y la escasa transparencia incrementan la incertidumbre y el riesgo operativo. </w:t>
      </w:r>
    </w:p>
    <w:p w14:paraId="394DD20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801FA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complementariedad es fundamental para una gestión integral del riesgo, ya que aspectos como la subjetividad en la valoración y la ausencia de normativas específicas complican la toma de decisiones y la supervisión.</w:t>
      </w:r>
    </w:p>
    <w:p w14:paraId="434A345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0C6A0C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liquidez, en particular, está estrechamente vinculada al tipo de instrumento financiero. Los activos tradicionales, como bonos y acciones, suelen ofrecer mayor liquidez, permitiendo convertirlos en efectivo con relativa rapidez y menor pérdida de valor. En contraste, las inversiones alternativas, que incluyen infraestructura, bienes raíces y capital privado, presentan una liquidez mucho más limitada. </w:t>
      </w:r>
    </w:p>
    <w:p w14:paraId="2F12F4D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546DFC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iliquidez implica que, ante necesidades inmediatas de efectivo o cambios económicos repentinos, los fondos no pueden responder con rapidez sin incurrir en pérdidas significativas. La complejidad para valorar estos activos también aumenta con su menor liquidez, lo que añade un nivel extra de riesgo y dificulta la gestión activa del portafolio.</w:t>
      </w:r>
    </w:p>
    <w:p w14:paraId="0B04883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7E9E65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gestores de fondos, como los de BAC Pensiones y el Banco de Costa Rica, reconocen que esta menor liquidez afecta la capacidad de reacción ante necesidades fiscales o cambios en el entorno económico. </w:t>
      </w:r>
    </w:p>
    <w:p w14:paraId="733775D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1AFD2A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ello, la inclusión de inversiones alternativas requiere no solo un marco normativo claro sino también una estrategia que considere el horizonte de inversión largo y la capacidad limitada para liquidar activos rápidamente. </w:t>
      </w:r>
    </w:p>
    <w:p w14:paraId="41322B8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CBC135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definitiva, la gestión de riesgos en fondos de pensiones debe equilibrar la búsqueda de rentabilidad con la necesidad de mantener suficiente liquidez y </w:t>
      </w:r>
      <w:r w:rsidRPr="002012E1">
        <w:rPr>
          <w:rFonts w:ascii="Arial" w:eastAsia="Calibri" w:hAnsi="Arial" w:cs="Arial"/>
          <w:kern w:val="0"/>
          <w:lang w:val="es-MX"/>
          <w14:ligatures w14:val="none"/>
        </w:rPr>
        <w:lastRenderedPageBreak/>
        <w:t>transparencia, adaptándose a las características específicas de cada tipo de instrumento y a las condiciones del mercado.</w:t>
      </w:r>
    </w:p>
    <w:p w14:paraId="163DABE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6F937A0"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Factores externos que han influenciado en estos fondos</w:t>
      </w:r>
    </w:p>
    <w:p w14:paraId="31D7EC7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principales factores externos identificados son:</w:t>
      </w:r>
    </w:p>
    <w:p w14:paraId="4398387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1BA60BB" w14:textId="77777777" w:rsidR="00C51607" w:rsidRPr="002012E1" w:rsidRDefault="00C51607" w:rsidP="00C51607">
      <w:pPr>
        <w:numPr>
          <w:ilvl w:val="0"/>
          <w:numId w:val="1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Falta de normativa clara y adaptada: La ausencia de guías técnicas y marcos legales actualizados limita la transparencia y dificulta la gestión de estos instrumentos.</w:t>
      </w:r>
    </w:p>
    <w:p w14:paraId="261DAE51" w14:textId="77777777" w:rsidR="00C51607" w:rsidRPr="002012E1" w:rsidRDefault="00C51607" w:rsidP="00C51607">
      <w:pPr>
        <w:numPr>
          <w:ilvl w:val="0"/>
          <w:numId w:val="1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Capacitación insuficiente: La falta de formación técnica en los equipos contables y de inversión incrementa el riesgo de errores y dificulta la valoración adecuada.</w:t>
      </w:r>
    </w:p>
    <w:p w14:paraId="5BB51EBC" w14:textId="77777777" w:rsidR="00C51607" w:rsidRPr="002012E1" w:rsidRDefault="00C51607" w:rsidP="00C51607">
      <w:pPr>
        <w:numPr>
          <w:ilvl w:val="0"/>
          <w:numId w:val="1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Entorno económico y regulatorio: Cambios en la legislación, la supervisión y la presión por diversificar portafolios han impulsado la inclusión de inversiones alternativas.</w:t>
      </w:r>
    </w:p>
    <w:p w14:paraId="4E68ECCF" w14:textId="77777777" w:rsidR="00C51607" w:rsidRPr="002012E1" w:rsidRDefault="00C51607" w:rsidP="00C51607">
      <w:pPr>
        <w:numPr>
          <w:ilvl w:val="0"/>
          <w:numId w:val="1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Ejemplo: OPC CCSS y BAC Pensiones insisten en la necesidad de modernizar la legislación y adaptar los estándares internacionales al contexto local.</w:t>
      </w:r>
    </w:p>
    <w:p w14:paraId="2A51AB3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22845F"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Mecanismos de cobertura implementados</w:t>
      </w:r>
    </w:p>
    <w:p w14:paraId="393D021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mecanismos de cobertura y gestión de riesgos mencionados incluyen:</w:t>
      </w:r>
    </w:p>
    <w:p w14:paraId="7486BE9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04A9F90" w14:textId="77777777" w:rsidR="00C51607" w:rsidRPr="002012E1" w:rsidRDefault="00C51607" w:rsidP="00C51607">
      <w:pPr>
        <w:numPr>
          <w:ilvl w:val="0"/>
          <w:numId w:val="1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Diversificación: Incorporar inversiones alternativas para reducir la volatilidad general del portafolio y mitigar riesgos sistémicos.</w:t>
      </w:r>
    </w:p>
    <w:p w14:paraId="79D84920" w14:textId="77777777" w:rsidR="00C51607" w:rsidRPr="002012E1" w:rsidRDefault="00C51607" w:rsidP="00C51607">
      <w:pPr>
        <w:numPr>
          <w:ilvl w:val="0"/>
          <w:numId w:val="1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Evaluación ajustada por liquidez: Uso de métricas como el ratio de Sharpe adaptado a activos ilíquidos para determinar si la rentabilidad compensa el riesgo.</w:t>
      </w:r>
    </w:p>
    <w:p w14:paraId="797A4D87" w14:textId="77777777" w:rsidR="00C51607" w:rsidRPr="002012E1" w:rsidRDefault="00C51607" w:rsidP="00C51607">
      <w:pPr>
        <w:numPr>
          <w:ilvl w:val="0"/>
          <w:numId w:val="1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Mejora de sistemas de reporte y supervisión: En proceso de implementar registros contables específicos y fortalecer la transparencia.</w:t>
      </w:r>
    </w:p>
    <w:p w14:paraId="63FD2C73" w14:textId="77777777" w:rsidR="00C51607" w:rsidRPr="002012E1" w:rsidRDefault="00C51607" w:rsidP="00C51607">
      <w:pPr>
        <w:numPr>
          <w:ilvl w:val="0"/>
          <w:numId w:val="1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Ejemplo: BAC Pensiones menciona explícitamente la diversificación y el análisis riesgo-rendimiento ajustado por liquidez como mecanismos clave.</w:t>
      </w:r>
    </w:p>
    <w:p w14:paraId="029F341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09DF095"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Escenarios en los que el ROP se vuelve más vulnerable</w:t>
      </w:r>
    </w:p>
    <w:p w14:paraId="36234DA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Régimen Obligatorio de Pensiones (ROP) es más vulnerable en los siguientes escenarios:</w:t>
      </w:r>
    </w:p>
    <w:p w14:paraId="036637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37DB8BB" w14:textId="77777777" w:rsidR="00C51607" w:rsidRPr="002012E1" w:rsidRDefault="00C51607" w:rsidP="00C51607">
      <w:pPr>
        <w:numPr>
          <w:ilvl w:val="0"/>
          <w:numId w:val="1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Estrés de liquidez: Cuando hay necesidad de liquidar activos alternativos rápidamente y a precios desfavorables.</w:t>
      </w:r>
    </w:p>
    <w:p w14:paraId="092481AE" w14:textId="77777777" w:rsidR="00C51607" w:rsidRPr="002012E1" w:rsidRDefault="00C51607" w:rsidP="00C51607">
      <w:pPr>
        <w:numPr>
          <w:ilvl w:val="0"/>
          <w:numId w:val="1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Cambios regulatorios: Normativas restrictivas o poco claras pueden limitar la flexibilidad de inversión y aumentar la incertidumbre.</w:t>
      </w:r>
    </w:p>
    <w:p w14:paraId="588F95F9" w14:textId="77777777" w:rsidR="00C51607" w:rsidRPr="002012E1" w:rsidRDefault="00C51607" w:rsidP="00C51607">
      <w:pPr>
        <w:numPr>
          <w:ilvl w:val="0"/>
          <w:numId w:val="1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Falta de información y capacitación: Dificulta la valoración y la toma de decisiones informadas.</w:t>
      </w:r>
    </w:p>
    <w:p w14:paraId="17796047" w14:textId="77777777" w:rsidR="00C51607" w:rsidRPr="002012E1" w:rsidRDefault="00C51607" w:rsidP="00C51607">
      <w:pPr>
        <w:numPr>
          <w:ilvl w:val="0"/>
          <w:numId w:val="1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Ejemplo: OPC CCSS y BCR resaltan que la falta de lineamientos y capacitación técnica incrementa la vulnerabilidad del fondo.</w:t>
      </w:r>
    </w:p>
    <w:p w14:paraId="266F501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5F98EF"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Combinación de variables que presentan mayor riesgo para el fondo y la toma de decisiones</w:t>
      </w:r>
    </w:p>
    <w:p w14:paraId="497ACCD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mayor exposición al riesgo ocurre cuando coinciden varias de estas variables:</w:t>
      </w:r>
    </w:p>
    <w:p w14:paraId="0711EB1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573A82B" w14:textId="77777777" w:rsidR="00C51607" w:rsidRPr="002012E1" w:rsidRDefault="00C51607" w:rsidP="00C51607">
      <w:pPr>
        <w:numPr>
          <w:ilvl w:val="0"/>
          <w:numId w:val="1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Baja liquidez + alta incertidumbre de valoración + falta de normativa clara + poca capacitación técnica.</w:t>
      </w:r>
    </w:p>
    <w:p w14:paraId="51074DEA" w14:textId="77777777" w:rsidR="00C51607" w:rsidRPr="002012E1" w:rsidRDefault="00C51607" w:rsidP="00C51607">
      <w:pPr>
        <w:numPr>
          <w:ilvl w:val="0"/>
          <w:numId w:val="1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Consecuencias: Dificulta la gestión prudente, puede llevar a decisiones subóptimas y aumentar el riesgo sistémico.</w:t>
      </w:r>
    </w:p>
    <w:p w14:paraId="2044F11D" w14:textId="77777777" w:rsidR="00C51607" w:rsidRPr="002012E1" w:rsidRDefault="00C51607" w:rsidP="00C51607">
      <w:pPr>
        <w:numPr>
          <w:ilvl w:val="0"/>
          <w:numId w:val="1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Ejemplo: BAC Pensiones y OPC CCSS advierten que la ausencia de normativas locales, la iliquidez y la falta de transparencia aumentan considerablemente el riesgo para el fondo.</w:t>
      </w:r>
    </w:p>
    <w:p w14:paraId="0FE2969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B8DDE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Los datos aportados por los analistas y gestores muestran que la gestión de inversiones alternativas en fondos de pensiones públicos está marcada por desafíos estructurales: la iliquidez, la falta de normativa y la escasa capacitación técnica. </w:t>
      </w:r>
    </w:p>
    <w:p w14:paraId="0925AAB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5138A2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Estos factores, combinados, incrementan el riesgo y la vulnerabilidad del ROP, especialmente en escenarios de estrés o cambios regulatorios. </w:t>
      </w:r>
    </w:p>
    <w:p w14:paraId="59A89A5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435901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diversificación y la mejora de sistemas de reporte son los principales mecanismos de cobertura, pero su efectividad depende de una mayor estandarización y profesionalización del sector.</w:t>
      </w:r>
    </w:p>
    <w:p w14:paraId="05E593C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640A52" w14:textId="77777777" w:rsidR="00C51607" w:rsidRPr="002012E1" w:rsidRDefault="00C51607" w:rsidP="00C51607">
      <w:pPr>
        <w:pStyle w:val="apanivel3"/>
        <w:rPr>
          <w:rFonts w:ascii="Arial" w:hAnsi="Arial" w:cs="Arial"/>
        </w:rPr>
      </w:pPr>
      <w:bookmarkStart w:id="109" w:name="_Toc201832455"/>
      <w:r w:rsidRPr="002012E1">
        <w:rPr>
          <w:rFonts w:ascii="Arial" w:hAnsi="Arial" w:cs="Arial"/>
        </w:rPr>
        <w:t>Rentabilidad de las Inversiones alternativas</w:t>
      </w:r>
      <w:bookmarkEnd w:id="109"/>
    </w:p>
    <w:p w14:paraId="3FECC66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de rentabilidad y sensibilidad de las inversiones en fondos de pensiones es fundamental para entender cómo los diferentes productos financieros contribuyen al crecimiento del patrimonio de los afiliados y cómo responden ante cambios en el entorno económico. </w:t>
      </w:r>
    </w:p>
    <w:p w14:paraId="798341D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82B83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Costa Rica, estudios recientes muestran que, en términos generales, los fondos de inversión presentan un mayor rendimiento en comparación con los fondos de pensión complementaria voluntaria. </w:t>
      </w:r>
    </w:p>
    <w:p w14:paraId="20E101D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310B7B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un análisis realizado por el Instituto Tecnológico de Costa Rica, “los fondos de inversión abiertos en colones han presentado una rentabilidad superior en los últimos diez años, con rendimientos de 4.21% y 6.75% en los dos últimos años, superando a los fondos de pensión complementaria” (2019, p. 30). Esta diferencia en rentabilidad refleja la mayor flexibilidad y diversificación que ofrecen los fondos de inversión, aunque con un perfil de riesgo diferente.</w:t>
      </w:r>
    </w:p>
    <w:p w14:paraId="63642E0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45F6C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su parte, la sensibilidad de las inversiones se refiere a cómo varían los resultados financieros ante cambios en variables económicas y financieras, como tasas de interés, inflación o volatilidad del mercado. </w:t>
      </w:r>
    </w:p>
    <w:p w14:paraId="38198B1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El análisis de sensibilidad permite estimar la solidez de una inversión y su capacidad para resistir escenarios adversos. Por ejemplo, en los fondos de pensiones, la exposición a activos alternativos puede incrementar la rentabilidad esperada, pero también la volatilidad y el riesgo de iliquidez. </w:t>
      </w:r>
    </w:p>
    <w:p w14:paraId="46F98D7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B4796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la Superintendencia de Pensiones (SUPEN), “la diversificación en activos alternativos mejora la rentabilidad ajustada al riesgo, pero requiere una gestión especializada para mitigar la mayor volatilidad y riesgos asociados” (SUPEN, 2023, p. 28). Por ello, el análisis de sensibilidad es una herramienta clave para ajustar las estrategias de inversión y proteger el patrimonio de los afiliados.</w:t>
      </w:r>
    </w:p>
    <w:p w14:paraId="1CA22B3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4611C9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comparación entre fondos de inversión y fondos de pensión complementaria costarricenses revelan que, aunque los primeros ofrecen mayor rentabilidad, los fondos de pensión mantienen una estabilidad un poco relativa en sus resultados, lo que puede ser atractivo para perfiles con menor tolerancia al riesgo. </w:t>
      </w:r>
    </w:p>
    <w:p w14:paraId="6C91F85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6F0D94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 estudio de la SUPEN (2023) indica que “los fondos de pensión voluntaria presentan una menor volatilidad y un rendimiento más estable, lo que los hace adecuados para afiliados con un horizonte de inversión conservador” (p. 35).</w:t>
      </w:r>
    </w:p>
    <w:p w14:paraId="50CC512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51651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esta estabilidad puede limitar el crecimiento del capital en entornos de bajas tasas de interés, lo que motiva la inclusión gradual de activos alternativos para mejorar el desempeño a largo plazo.</w:t>
      </w:r>
    </w:p>
    <w:p w14:paraId="52A0C24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4924B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de sensibilidad también se aplica para evaluar el impacto de cambios regulatorios y económicos en la rentabilidad de los fondos. Por ejemplo, la implementación de nuevos límites para inversiones en productos alternativos puede afectar la composición del portafolio y, por ende, su rendimiento. </w:t>
      </w:r>
    </w:p>
    <w:p w14:paraId="1D121F9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5232E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Según un informe de la SUPEN (2023) “las modificaciones regulatorias recientes buscan equilibrar la innovación en inversiones con la protección del afiliado, lo que implica ajustar las estrategias para mantener la rentabilidad y la solvencia del fondo” (p. 30). Este equilibrio es crucial para asegurar la sostenibilidad del sistema de pensiones y la confianza de los afiliados.</w:t>
      </w:r>
    </w:p>
    <w:p w14:paraId="7B7896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3FDA1F" w14:textId="77777777" w:rsidR="00C51607" w:rsidRPr="002012E1" w:rsidRDefault="00C51607" w:rsidP="00C51607">
      <w:pPr>
        <w:pStyle w:val="apanivel4"/>
      </w:pPr>
      <w:r w:rsidRPr="002012E1">
        <w:t>Análisis comparativo entre las operadoras de pensiones ROP</w:t>
      </w:r>
    </w:p>
    <w:p w14:paraId="189FC8A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comparativo entre las operadoras de pensiones del Régimen Obligatorio de Pensiones (ROP) en Costa Rica revela diferencias importantes en la rentabilidad, las comisiones y las estrategias de inversión, que impactan directamente en el desempeño financiero y la satisfacción de los afiliados. </w:t>
      </w:r>
    </w:p>
    <w:p w14:paraId="44E09B8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BAADF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informes recientes," Popular Pensiones lidera la rentabilidad a cinco años con un rendimiento nominal del 9,35%, superando el promedio de la industria que se sitúa en 8,86%" (Delfino.cr, 2024). Esta operadora destaca también en los plazos de tres y diez años, mostrando una consistencia en su desempeño superior al promedio sectorial.</w:t>
      </w:r>
    </w:p>
    <w:p w14:paraId="4FB060C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C7D84F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Vida Plena y BAC San José presentan rendimientos competitivos, "con Vida Plena alcanzando hasta 8,82% en diez años” y “BAC San José reportando 7,87% en el mismo periodo, aunque con comisiones similares al resto de operadoras" (Vida Plena, 2025; BAC San José, 2025). </w:t>
      </w:r>
    </w:p>
    <w:p w14:paraId="3661D27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1D2F81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CCSS OPC, aunque con una estrategia más conservadora, "mantiene rendimientos estables, pero generalmente inferiores a las operadoras privadas, reflejando su enfoque en menor riesgo y mayor liquidez" (SUPEN, 2025, p. 35). </w:t>
      </w:r>
    </w:p>
    <w:p w14:paraId="758374C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24A10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BN Vital del Banco Nacional y BCR Pensiones del Banco de Costa Rica también muestran rendimientos sólidos, aunque con variaciones más marcadas en algunos periodos, lo que indica diferencias en la gestión de activos y exposición a mercados internacionales.</w:t>
      </w:r>
    </w:p>
    <w:p w14:paraId="4B42918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D6289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comisiones sobre saldo y sobre rendimiento son relativamente homogéneas entre las operadoras, rondando entre 0.35% y 2.00%, pero estas diferencias pueden influir en la rentabilidad neta para los afiliados a largo plazo" (Banco Popular, 2025; Vida Plena, 2025). </w:t>
      </w:r>
    </w:p>
    <w:p w14:paraId="59E0BB7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84B96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 reciente reforma del ROP y la introducción de fondos generacionales, que permiten "ajustar las estrategias según la edad del afiliado, implican que las operadoras deben adaptar sus portafolios para maximizar rentabilidad y minimizar riesgos en diferentes etapas de la vida laboral" (Heinsohn, 2025, p. 1).</w:t>
      </w:r>
    </w:p>
    <w:p w14:paraId="07CA1B0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F7AED1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Un aspecto crítico que afecta a todas las operadoras es la volatilidad de los mercados internacionales, que ha provocado fluctuaciones en los rendimientos, especialmente en 2024 y 2025. Por ejemplo, Popular Pensiones "reportó una rentabilidad nominal anual de 8,01% en abril de 2025, con rendimientos a 3, 5 y 10 años de 5,09%, 8,86% y 8,56%, respectivamente, pero reconoció que las minusvalías recientes han afectado a los afiliados próximos a pensionarse" (Semanario Universidad, 2025). </w:t>
      </w:r>
    </w:p>
    <w:p w14:paraId="59E6BBF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3C5AB2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BN Vital del Banco Nacional "experimentó una caída en su rendimiento promedio de 10,53% a 6,62% en apenas tres meses, impactando significativamente sus resultados y la percepción de sus afiliados" (Semanario Universidad, 2025).</w:t>
      </w:r>
    </w:p>
    <w:p w14:paraId="5143C86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06B7A4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conclusión, aunque todas las operadoras del ROP en Costa Rica muestran un desempeño positivo en términos generales, existen diferencias notables en rentabilidad y gestión que los afiliados deben considerar al elegir su operadora. La diversificación internacional, la gestión activa de riesgos y la adaptación a las reformas regulatorias serán factores clave para mantener y mejorar estos resultados en el futuro próximo.</w:t>
      </w:r>
    </w:p>
    <w:p w14:paraId="263E9005" w14:textId="77777777" w:rsidR="00C51607" w:rsidRDefault="00C51607" w:rsidP="00C51607">
      <w:pPr>
        <w:spacing w:after="0" w:line="360" w:lineRule="auto"/>
        <w:jc w:val="both"/>
        <w:rPr>
          <w:rFonts w:ascii="Arial" w:eastAsia="Calibri" w:hAnsi="Arial" w:cs="Arial"/>
          <w:kern w:val="0"/>
          <w:lang w:val="es-MX"/>
          <w14:ligatures w14:val="none"/>
        </w:rPr>
      </w:pPr>
    </w:p>
    <w:p w14:paraId="4927D9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C8FFE6" w14:textId="77777777" w:rsidR="00C51607" w:rsidRPr="002012E1" w:rsidRDefault="00C51607" w:rsidP="00C51607">
      <w:pPr>
        <w:pStyle w:val="apanivel2"/>
        <w:rPr>
          <w:rFonts w:ascii="Arial" w:hAnsi="Arial" w:cs="Arial"/>
        </w:rPr>
      </w:pPr>
      <w:bookmarkStart w:id="110" w:name="_Toc201832456"/>
      <w:r w:rsidRPr="002012E1">
        <w:rPr>
          <w:rFonts w:ascii="Arial" w:hAnsi="Arial" w:cs="Arial"/>
        </w:rPr>
        <w:lastRenderedPageBreak/>
        <w:t>Normativa Contable</w:t>
      </w:r>
      <w:bookmarkEnd w:id="110"/>
    </w:p>
    <w:p w14:paraId="720DDD9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fondos de pensiones se encuentran estrechamente vinculados al marco normativo contable que regula el reconocimiento, medición y presentación de sus inversiones y obligaciones. La aplicación de normas contables, como las Normas Internacionales de Información Financiera (NIIF), especialmente la NIIF 9 y la NIC 39, influye directamente en la transparencia, la toma de decisiones financieras y la rendición de cuentas por parte de las operadoras.</w:t>
      </w:r>
    </w:p>
    <w:p w14:paraId="18FBBFA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F54291" w14:textId="77777777" w:rsidR="00C51607" w:rsidRPr="002012E1" w:rsidRDefault="00C51607" w:rsidP="00C51607">
      <w:pPr>
        <w:pStyle w:val="apanivel3"/>
        <w:rPr>
          <w:rFonts w:ascii="Arial" w:hAnsi="Arial" w:cs="Arial"/>
        </w:rPr>
      </w:pPr>
      <w:bookmarkStart w:id="111" w:name="_Toc201832457"/>
      <w:r w:rsidRPr="002012E1">
        <w:rPr>
          <w:rFonts w:ascii="Arial" w:hAnsi="Arial" w:cs="Arial"/>
        </w:rPr>
        <w:t>Conformidad de la normativa con NIIF 9 y NIC 39</w:t>
      </w:r>
      <w:bookmarkEnd w:id="111"/>
    </w:p>
    <w:p w14:paraId="38076BAD" w14:textId="77777777" w:rsidR="00C51607" w:rsidRPr="002012E1" w:rsidRDefault="00C51607" w:rsidP="00C51607">
      <w:pPr>
        <w:spacing w:after="0" w:line="360" w:lineRule="auto"/>
        <w:jc w:val="both"/>
        <w:rPr>
          <w:rFonts w:ascii="Arial" w:eastAsia="Calibri" w:hAnsi="Arial" w:cs="Arial"/>
          <w:bCs/>
          <w:kern w:val="0"/>
          <w:lang w:val="es-MX"/>
          <w14:ligatures w14:val="none"/>
        </w:rPr>
      </w:pPr>
      <w:r w:rsidRPr="002012E1">
        <w:rPr>
          <w:rFonts w:ascii="Arial" w:eastAsia="Calibri" w:hAnsi="Arial" w:cs="Arial"/>
          <w:kern w:val="0"/>
          <w:lang w:val="es-MX"/>
          <w14:ligatures w14:val="none"/>
        </w:rPr>
        <w:t>El desempeño del ROPC está sujeto a regulaciones locales como la Ley de Protección al Trabajador (LPT) en Costa Rica el cual corresponde a la Ley N° 7983. Esta ley establece el marco normativo para “regular los fondos de capitalización laboral, universalizar</w:t>
      </w:r>
      <w:r w:rsidRPr="002012E1">
        <w:rPr>
          <w:rFonts w:ascii="Arial" w:eastAsia="Calibri" w:hAnsi="Arial" w:cs="Arial"/>
          <w:bCs/>
          <w:kern w:val="0"/>
          <w:lang w:val="es-MX"/>
          <w14:ligatures w14:val="none"/>
        </w:rPr>
        <w:t xml:space="preserve"> pensiones para personas de la tercera edad en condición de pobreza, y fortalecer el régimen de invalidez, vejez y muerte administrado por la Caja Costarricense de Seguro Social (CCSS)” (Asamblea Legislativa de Costa Rica, 2000, art. 1) </w:t>
      </w:r>
    </w:p>
    <w:p w14:paraId="0FBA8BC4" w14:textId="77777777" w:rsidR="00C51607" w:rsidRPr="002012E1" w:rsidRDefault="00C51607" w:rsidP="00C51607">
      <w:pPr>
        <w:spacing w:after="0" w:line="360" w:lineRule="auto"/>
        <w:jc w:val="both"/>
        <w:rPr>
          <w:rFonts w:ascii="Arial" w:eastAsia="Calibri" w:hAnsi="Arial" w:cs="Arial"/>
          <w:bCs/>
          <w:kern w:val="0"/>
          <w:lang w:val="es-MX"/>
          <w14:ligatures w14:val="none"/>
        </w:rPr>
      </w:pPr>
    </w:p>
    <w:p w14:paraId="02908F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Y la NIIF 9 - Instrumentos Financieros, las cuales establecen criterios de clasificación y medición de activos financieros. La clasificación de inversiones en Valor Razonable con cambios en resultados ha permitido capturar ganancias en la apreciación de activos financieros. La regulación de la Superintendencia de Pensiones (SUPEN) ha influido en la diversificación de la cartera y en la adopción de estrategias de mitigación de riesgos.</w:t>
      </w:r>
    </w:p>
    <w:p w14:paraId="7ED875E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2F91E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ROPC muestra un desempeño sólido, con crecimiento en activos y patrimonio, así como una notable recuperación en la rentabilidad. Sin embargo, enfrenta desafíos en términos de liquidez y gestión de riesgos. En esta sección se presenta el análisis del primer indicador, el cual evalúa la adecuación de la normativa contable vigente para la contabilización de las inversiones alternativas en los fondos de pensiones.</w:t>
      </w:r>
    </w:p>
    <w:p w14:paraId="28FC64CB" w14:textId="77777777" w:rsidR="00C51607" w:rsidRPr="00E555A0" w:rsidRDefault="00C51607" w:rsidP="00C51607">
      <w:pPr>
        <w:pStyle w:val="apanivel4"/>
      </w:pPr>
      <w:r w:rsidRPr="00E555A0">
        <w:lastRenderedPageBreak/>
        <w:t xml:space="preserve">Actualización Normativa y Enfoque Basado en Principios: </w:t>
      </w:r>
    </w:p>
    <w:p w14:paraId="75B3837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NIIF 9, al reemplazar a la NIC 39, introduce un enfoque más dinámico y basado en principios para la clasificación y medición de activos financieros, lo que permite reflejar de manera más precisa el riesgo y la volatilidad del mercado financiero moderno (IFRS Foundation, 2018). Este cambio normativo es crucial para ajustar los métodos de valoración a las características propias de las inversiones alternativas.</w:t>
      </w:r>
    </w:p>
    <w:p w14:paraId="02C7E7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01DBFA" w14:textId="77777777" w:rsidR="00C51607" w:rsidRPr="002012E1" w:rsidRDefault="00C51607" w:rsidP="00C51607">
      <w:pPr>
        <w:pStyle w:val="apanivel4"/>
      </w:pPr>
      <w:r w:rsidRPr="002012E1">
        <w:t>Comparación entre NIIF 9 y NIC 39:</w:t>
      </w:r>
    </w:p>
    <w:p w14:paraId="4460DF9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regulación contable de los instrumentos financieros ha evolucionado significativamente para adaptarse a las necesidades de transparencia, relevancia y gestión del riesgo en los mercados financieros globales.</w:t>
      </w:r>
    </w:p>
    <w:p w14:paraId="536E5F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C46FBF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este conecto, las Normas Internacionales de Información Financiera (NIIF), específicamente las NIIF 9, han reemplazado a las NIC 39 con el objetivo de simplificar y mejorar el reconocimiento, la clasificación y medición de los instrumentos, así como el reconocimiento anticipado de perdidas por el deterioro.</w:t>
      </w:r>
    </w:p>
    <w:p w14:paraId="5A3D4E2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EB3D8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nivel local, las normativas emitidas por las entidades supervisoras como SUPEN y CONASSIF buscan alinearse con estos estándares internacionales, incorporando consigo disposiciones específicas para el contexto nacional.</w:t>
      </w:r>
    </w:p>
    <w:p w14:paraId="67A523D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55CABD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siguiente matriz comparativa resume las principales características y diferencias entre estas normativas en aspectos clave como la clasificación, medición, el reconocimiento de pérdidas y la contabilización de instrumentos financieros y derivados.</w:t>
      </w:r>
    </w:p>
    <w:p w14:paraId="0F3A6FC5" w14:textId="77777777" w:rsidR="00C51607" w:rsidRDefault="00C51607" w:rsidP="00C51607">
      <w:pPr>
        <w:spacing w:after="0" w:line="360" w:lineRule="auto"/>
        <w:jc w:val="both"/>
        <w:rPr>
          <w:rFonts w:ascii="Arial" w:eastAsia="Calibri" w:hAnsi="Arial" w:cs="Arial"/>
          <w:kern w:val="0"/>
          <w:lang w:val="es-MX"/>
          <w14:ligatures w14:val="none"/>
        </w:rPr>
      </w:pPr>
    </w:p>
    <w:p w14:paraId="4FDE7F4E" w14:textId="77777777" w:rsidR="00C51607" w:rsidRDefault="00C51607" w:rsidP="00C51607">
      <w:pPr>
        <w:spacing w:after="0" w:line="360" w:lineRule="auto"/>
        <w:jc w:val="both"/>
        <w:rPr>
          <w:rFonts w:ascii="Arial" w:eastAsia="Calibri" w:hAnsi="Arial" w:cs="Arial"/>
          <w:kern w:val="0"/>
          <w:lang w:val="es-MX"/>
          <w14:ligatures w14:val="none"/>
        </w:rPr>
      </w:pPr>
    </w:p>
    <w:p w14:paraId="25C6A9A8" w14:textId="77777777" w:rsidR="00C51607" w:rsidRDefault="00C51607" w:rsidP="00C51607">
      <w:pPr>
        <w:spacing w:after="0" w:line="360" w:lineRule="auto"/>
        <w:jc w:val="both"/>
        <w:rPr>
          <w:rFonts w:ascii="Arial" w:eastAsia="Calibri" w:hAnsi="Arial" w:cs="Arial"/>
          <w:kern w:val="0"/>
          <w:lang w:val="es-MX"/>
          <w14:ligatures w14:val="none"/>
        </w:rPr>
      </w:pPr>
    </w:p>
    <w:p w14:paraId="51674F1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3524D59" w14:textId="240EBF0E" w:rsidR="00C51607" w:rsidRPr="002012E1" w:rsidRDefault="00C51607" w:rsidP="00C51607">
      <w:pPr>
        <w:spacing w:after="0" w:line="360" w:lineRule="auto"/>
        <w:jc w:val="both"/>
        <w:rPr>
          <w:rFonts w:ascii="Arial" w:eastAsia="Calibri" w:hAnsi="Arial" w:cs="Arial"/>
          <w:b/>
          <w:bCs/>
          <w:i/>
          <w:iCs/>
          <w:kern w:val="0"/>
          <w:lang w:val="es-MX"/>
          <w14:ligatures w14:val="none"/>
        </w:rPr>
      </w:pPr>
      <w:bookmarkStart w:id="112" w:name="_Toc201322522"/>
      <w:r w:rsidRPr="002012E1">
        <w:rPr>
          <w:rFonts w:ascii="Arial" w:eastAsia="Calibri" w:hAnsi="Arial" w:cs="Arial"/>
          <w:b/>
          <w:bCs/>
          <w:i/>
          <w:iCs/>
          <w:kern w:val="0"/>
          <w:lang w:val="es-MX"/>
          <w14:ligatures w14:val="none"/>
        </w:rPr>
        <w:lastRenderedPageBreak/>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19</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Matriz Comparativa de Normativas sobre Instrumentos Financieros</w:t>
      </w:r>
      <w:bookmarkEnd w:id="112"/>
    </w:p>
    <w:tbl>
      <w:tblPr>
        <w:tblStyle w:val="Tablaconcuadrcula1"/>
        <w:tblW w:w="0" w:type="auto"/>
        <w:jc w:val="center"/>
        <w:tblInd w:w="0" w:type="dxa"/>
        <w:tblLook w:val="04A0" w:firstRow="1" w:lastRow="0" w:firstColumn="1" w:lastColumn="0" w:noHBand="0" w:noVBand="1"/>
      </w:tblPr>
      <w:tblGrid>
        <w:gridCol w:w="1545"/>
        <w:gridCol w:w="1473"/>
        <w:gridCol w:w="1473"/>
        <w:gridCol w:w="1556"/>
        <w:gridCol w:w="1411"/>
        <w:gridCol w:w="1370"/>
      </w:tblGrid>
      <w:tr w:rsidR="00C51607" w:rsidRPr="002012E1" w14:paraId="3BBFC6BA" w14:textId="77777777" w:rsidTr="005C1607">
        <w:trPr>
          <w:trHeight w:val="20"/>
          <w:jc w:val="center"/>
        </w:trPr>
        <w:tc>
          <w:tcPr>
            <w:tcW w:w="1838" w:type="dxa"/>
            <w:vAlign w:val="center"/>
          </w:tcPr>
          <w:p w14:paraId="076E0BF4"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Criterio</w:t>
            </w:r>
          </w:p>
        </w:tc>
        <w:tc>
          <w:tcPr>
            <w:tcW w:w="1180" w:type="dxa"/>
            <w:vAlign w:val="center"/>
          </w:tcPr>
          <w:p w14:paraId="23CD4119"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NIIF 9</w:t>
            </w:r>
          </w:p>
        </w:tc>
        <w:tc>
          <w:tcPr>
            <w:tcW w:w="0" w:type="auto"/>
            <w:vAlign w:val="center"/>
          </w:tcPr>
          <w:p w14:paraId="1447220F"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NIC 39</w:t>
            </w:r>
          </w:p>
        </w:tc>
        <w:tc>
          <w:tcPr>
            <w:tcW w:w="0" w:type="auto"/>
            <w:vAlign w:val="center"/>
          </w:tcPr>
          <w:p w14:paraId="07F256B5"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Normativa SUPEN</w:t>
            </w:r>
          </w:p>
        </w:tc>
        <w:tc>
          <w:tcPr>
            <w:tcW w:w="0" w:type="auto"/>
            <w:vAlign w:val="center"/>
          </w:tcPr>
          <w:p w14:paraId="76F510E4"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Normativa CONASSIF</w:t>
            </w:r>
          </w:p>
        </w:tc>
        <w:tc>
          <w:tcPr>
            <w:tcW w:w="0" w:type="auto"/>
            <w:vAlign w:val="center"/>
          </w:tcPr>
          <w:p w14:paraId="3295E6B0" w14:textId="77777777" w:rsidR="00C51607" w:rsidRPr="002012E1" w:rsidRDefault="00C51607" w:rsidP="005C1607">
            <w:pPr>
              <w:spacing w:line="360" w:lineRule="auto"/>
              <w:jc w:val="center"/>
              <w:rPr>
                <w:rFonts w:eastAsia="Times New Roman"/>
                <w:b/>
                <w:bCs/>
                <w:color w:val="000000"/>
              </w:rPr>
            </w:pPr>
            <w:r w:rsidRPr="002012E1">
              <w:rPr>
                <w:rFonts w:eastAsia="Times New Roman"/>
                <w:b/>
                <w:bCs/>
                <w:color w:val="000000"/>
              </w:rPr>
              <w:t>Grado de Conformidad</w:t>
            </w:r>
          </w:p>
        </w:tc>
      </w:tr>
      <w:tr w:rsidR="00C51607" w:rsidRPr="002012E1" w14:paraId="16F684CF" w14:textId="77777777" w:rsidTr="005C1607">
        <w:trPr>
          <w:trHeight w:val="20"/>
          <w:jc w:val="center"/>
        </w:trPr>
        <w:tc>
          <w:tcPr>
            <w:tcW w:w="1838" w:type="dxa"/>
            <w:vAlign w:val="center"/>
          </w:tcPr>
          <w:p w14:paraId="4737B0C6"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Clasificación de Instrumentos</w:t>
            </w:r>
          </w:p>
        </w:tc>
        <w:tc>
          <w:tcPr>
            <w:tcW w:w="1180" w:type="dxa"/>
            <w:vAlign w:val="center"/>
          </w:tcPr>
          <w:p w14:paraId="3E8588A7"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Basada en el modelo de negocios y flujos contractuales; coste, amortización, valor razonable con cambios en resultados</w:t>
            </w:r>
          </w:p>
        </w:tc>
        <w:tc>
          <w:tcPr>
            <w:tcW w:w="0" w:type="auto"/>
            <w:vAlign w:val="center"/>
          </w:tcPr>
          <w:p w14:paraId="23D837A6"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Clasificación en préstamos, inversiones mantenidas hasta el vencimiento, disponibles para la venta y a valor razonable con cambios en resultados</w:t>
            </w:r>
          </w:p>
        </w:tc>
        <w:tc>
          <w:tcPr>
            <w:tcW w:w="0" w:type="auto"/>
            <w:vAlign w:val="center"/>
          </w:tcPr>
          <w:p w14:paraId="38DBB1FF"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Clasificación según tipo de cartera (mancomunada, individual, propia) y modelo de negocio siguiendo NIIF</w:t>
            </w:r>
          </w:p>
        </w:tc>
        <w:tc>
          <w:tcPr>
            <w:tcW w:w="0" w:type="auto"/>
            <w:vAlign w:val="center"/>
          </w:tcPr>
          <w:p w14:paraId="5F48638B"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Clasificación según modelo de negocio y características de flujos contractuales, siguiendo NIIF</w:t>
            </w:r>
          </w:p>
        </w:tc>
        <w:tc>
          <w:tcPr>
            <w:tcW w:w="0" w:type="auto"/>
            <w:vAlign w:val="center"/>
          </w:tcPr>
          <w:p w14:paraId="771FB884"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Alto</w:t>
            </w:r>
          </w:p>
        </w:tc>
      </w:tr>
      <w:tr w:rsidR="00C51607" w:rsidRPr="002012E1" w14:paraId="35FA5628" w14:textId="77777777" w:rsidTr="005C1607">
        <w:trPr>
          <w:trHeight w:val="20"/>
          <w:jc w:val="center"/>
        </w:trPr>
        <w:tc>
          <w:tcPr>
            <w:tcW w:w="1838" w:type="dxa"/>
            <w:vAlign w:val="center"/>
          </w:tcPr>
          <w:p w14:paraId="0A51BF8F"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Medición de Instrumentos</w:t>
            </w:r>
          </w:p>
        </w:tc>
        <w:tc>
          <w:tcPr>
            <w:tcW w:w="1180" w:type="dxa"/>
            <w:vAlign w:val="center"/>
          </w:tcPr>
          <w:p w14:paraId="7D2E99ED" w14:textId="77777777" w:rsidR="00C51607" w:rsidRPr="002012E1" w:rsidRDefault="00C51607" w:rsidP="005C1607">
            <w:pPr>
              <w:spacing w:line="360" w:lineRule="auto"/>
              <w:jc w:val="center"/>
              <w:rPr>
                <w:rFonts w:eastAsia="Times New Roman"/>
              </w:rPr>
            </w:pPr>
            <w:r w:rsidRPr="002012E1">
              <w:rPr>
                <w:rFonts w:eastAsia="Calibri"/>
              </w:rPr>
              <w:t>Coste amortizado o valor razonable según clasificación y modelo de negocio.</w:t>
            </w:r>
          </w:p>
        </w:tc>
        <w:tc>
          <w:tcPr>
            <w:tcW w:w="0" w:type="auto"/>
            <w:vAlign w:val="center"/>
          </w:tcPr>
          <w:p w14:paraId="7FD41626" w14:textId="77777777" w:rsidR="00C51607" w:rsidRPr="002012E1" w:rsidRDefault="00C51607" w:rsidP="005C1607">
            <w:pPr>
              <w:spacing w:line="360" w:lineRule="auto"/>
              <w:jc w:val="center"/>
              <w:rPr>
                <w:rFonts w:eastAsia="Times New Roman"/>
              </w:rPr>
            </w:pPr>
            <w:r w:rsidRPr="002012E1">
              <w:rPr>
                <w:rFonts w:eastAsia="Calibri"/>
              </w:rPr>
              <w:t>Coste amortizado o valor razonable según tipo de instrumento y clasificación.</w:t>
            </w:r>
          </w:p>
        </w:tc>
        <w:tc>
          <w:tcPr>
            <w:tcW w:w="0" w:type="auto"/>
            <w:vAlign w:val="center"/>
          </w:tcPr>
          <w:p w14:paraId="0662B628" w14:textId="77777777" w:rsidR="00C51607" w:rsidRPr="002012E1" w:rsidRDefault="00C51607" w:rsidP="005C1607">
            <w:pPr>
              <w:spacing w:line="360" w:lineRule="auto"/>
              <w:jc w:val="center"/>
              <w:rPr>
                <w:rFonts w:eastAsia="Times New Roman"/>
              </w:rPr>
            </w:pPr>
            <w:r w:rsidRPr="002012E1">
              <w:rPr>
                <w:rFonts w:eastAsia="Calibri"/>
              </w:rPr>
              <w:t>Uso de precios de proveedores autorizados o modelos propios registrados ante la SUGEVAL; se sigue NIIF.</w:t>
            </w:r>
          </w:p>
        </w:tc>
        <w:tc>
          <w:tcPr>
            <w:tcW w:w="0" w:type="auto"/>
            <w:vAlign w:val="center"/>
          </w:tcPr>
          <w:p w14:paraId="13F2C3DF" w14:textId="77777777" w:rsidR="00C51607" w:rsidRPr="002012E1" w:rsidRDefault="00C51607" w:rsidP="005C1607">
            <w:pPr>
              <w:spacing w:line="360" w:lineRule="auto"/>
              <w:jc w:val="center"/>
              <w:rPr>
                <w:rFonts w:eastAsia="Times New Roman"/>
              </w:rPr>
            </w:pPr>
            <w:r w:rsidRPr="002012E1">
              <w:rPr>
                <w:rFonts w:eastAsia="Calibri"/>
              </w:rPr>
              <w:t>Valor razonable obligatorio para instrumentos financieros, siguiendo NIIF y NIIF 13</w:t>
            </w:r>
          </w:p>
        </w:tc>
        <w:tc>
          <w:tcPr>
            <w:tcW w:w="0" w:type="auto"/>
            <w:vAlign w:val="center"/>
          </w:tcPr>
          <w:p w14:paraId="63510359"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Alto</w:t>
            </w:r>
          </w:p>
        </w:tc>
      </w:tr>
      <w:tr w:rsidR="00C51607" w:rsidRPr="002012E1" w14:paraId="49ADB0A3" w14:textId="77777777" w:rsidTr="005C1607">
        <w:trPr>
          <w:trHeight w:val="20"/>
          <w:jc w:val="center"/>
        </w:trPr>
        <w:tc>
          <w:tcPr>
            <w:tcW w:w="1838" w:type="dxa"/>
            <w:vAlign w:val="center"/>
          </w:tcPr>
          <w:p w14:paraId="5FC81ACA"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lastRenderedPageBreak/>
              <w:t>Reconocimiento de Perdidas</w:t>
            </w:r>
          </w:p>
        </w:tc>
        <w:tc>
          <w:tcPr>
            <w:tcW w:w="1180" w:type="dxa"/>
            <w:vAlign w:val="center"/>
          </w:tcPr>
          <w:p w14:paraId="1AB8A48E" w14:textId="77777777" w:rsidR="00C51607" w:rsidRPr="002012E1" w:rsidRDefault="00C51607" w:rsidP="005C1607">
            <w:pPr>
              <w:spacing w:line="360" w:lineRule="auto"/>
              <w:jc w:val="center"/>
              <w:rPr>
                <w:rFonts w:eastAsia="Times New Roman"/>
                <w:color w:val="000000"/>
              </w:rPr>
            </w:pPr>
            <w:r w:rsidRPr="002012E1">
              <w:rPr>
                <w:rFonts w:eastAsia="Calibri"/>
              </w:rPr>
              <w:t>Modelo de pérdida esperada, reconocimiento anticipado de deterioro para todos los instrumentos.</w:t>
            </w:r>
          </w:p>
        </w:tc>
        <w:tc>
          <w:tcPr>
            <w:tcW w:w="0" w:type="auto"/>
            <w:vAlign w:val="center"/>
          </w:tcPr>
          <w:p w14:paraId="388DA803" w14:textId="77777777" w:rsidR="00C51607" w:rsidRPr="002012E1" w:rsidRDefault="00C51607" w:rsidP="005C1607">
            <w:pPr>
              <w:spacing w:line="360" w:lineRule="auto"/>
              <w:jc w:val="center"/>
              <w:rPr>
                <w:rFonts w:eastAsia="Times New Roman"/>
                <w:color w:val="000000"/>
              </w:rPr>
            </w:pPr>
            <w:r w:rsidRPr="002012E1">
              <w:rPr>
                <w:rFonts w:eastAsia="Calibri"/>
              </w:rPr>
              <w:t>Modelo de pérdida incurrida, reconocimiento posterior al evento de pérdida.</w:t>
            </w:r>
          </w:p>
        </w:tc>
        <w:tc>
          <w:tcPr>
            <w:tcW w:w="0" w:type="auto"/>
            <w:vAlign w:val="center"/>
          </w:tcPr>
          <w:p w14:paraId="2D735F6C" w14:textId="77777777" w:rsidR="00C51607" w:rsidRPr="002012E1" w:rsidRDefault="00C51607" w:rsidP="005C1607">
            <w:pPr>
              <w:spacing w:line="360" w:lineRule="auto"/>
              <w:jc w:val="center"/>
              <w:rPr>
                <w:rFonts w:eastAsia="Times New Roman"/>
                <w:color w:val="000000"/>
              </w:rPr>
            </w:pPr>
            <w:r w:rsidRPr="002012E1">
              <w:rPr>
                <w:rFonts w:eastAsia="Calibri"/>
              </w:rPr>
              <w:t>Aplica modelo de pérdida esperada para deterioro, siguiendo NIIF 9.</w:t>
            </w:r>
          </w:p>
        </w:tc>
        <w:tc>
          <w:tcPr>
            <w:tcW w:w="0" w:type="auto"/>
            <w:vAlign w:val="center"/>
          </w:tcPr>
          <w:p w14:paraId="3E206E07" w14:textId="77777777" w:rsidR="00C51607" w:rsidRPr="002012E1" w:rsidRDefault="00C51607" w:rsidP="005C1607">
            <w:pPr>
              <w:spacing w:line="360" w:lineRule="auto"/>
              <w:jc w:val="center"/>
              <w:rPr>
                <w:rFonts w:eastAsia="Times New Roman"/>
                <w:color w:val="000000"/>
              </w:rPr>
            </w:pPr>
            <w:r w:rsidRPr="002012E1">
              <w:rPr>
                <w:rFonts w:eastAsia="Calibri"/>
              </w:rPr>
              <w:t>Aplica modelo de pérdida esperada para deterioro, siguiendo NIIF 9.</w:t>
            </w:r>
          </w:p>
        </w:tc>
        <w:tc>
          <w:tcPr>
            <w:tcW w:w="0" w:type="auto"/>
            <w:vAlign w:val="center"/>
          </w:tcPr>
          <w:p w14:paraId="7D29DA6E"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Alto</w:t>
            </w:r>
          </w:p>
        </w:tc>
      </w:tr>
      <w:tr w:rsidR="00C51607" w:rsidRPr="002012E1" w14:paraId="79F3B776" w14:textId="77777777" w:rsidTr="005C1607">
        <w:trPr>
          <w:trHeight w:val="20"/>
          <w:jc w:val="center"/>
        </w:trPr>
        <w:tc>
          <w:tcPr>
            <w:tcW w:w="1838" w:type="dxa"/>
            <w:vAlign w:val="center"/>
          </w:tcPr>
          <w:p w14:paraId="275E2EAA" w14:textId="77777777" w:rsidR="00C51607" w:rsidRPr="002012E1" w:rsidRDefault="00C51607" w:rsidP="005C1607">
            <w:pPr>
              <w:spacing w:line="360" w:lineRule="auto"/>
              <w:jc w:val="center"/>
              <w:rPr>
                <w:rFonts w:eastAsia="Times New Roman"/>
              </w:rPr>
            </w:pPr>
            <w:r w:rsidRPr="002012E1">
              <w:rPr>
                <w:rFonts w:eastAsia="Calibri"/>
              </w:rPr>
              <w:t>Contabilización de instrumentos o derivados</w:t>
            </w:r>
          </w:p>
        </w:tc>
        <w:tc>
          <w:tcPr>
            <w:tcW w:w="1180" w:type="dxa"/>
            <w:vAlign w:val="center"/>
          </w:tcPr>
          <w:p w14:paraId="6330F43E" w14:textId="77777777" w:rsidR="00C51607" w:rsidRPr="002012E1" w:rsidRDefault="00C51607" w:rsidP="005C1607">
            <w:pPr>
              <w:spacing w:line="360" w:lineRule="auto"/>
              <w:jc w:val="center"/>
              <w:rPr>
                <w:rFonts w:eastAsia="Times New Roman"/>
              </w:rPr>
            </w:pPr>
            <w:r w:rsidRPr="002012E1">
              <w:rPr>
                <w:rFonts w:eastAsia="Calibri"/>
              </w:rPr>
              <w:t>Contabilización según clasificación y medición; derivados a valor razonable con cambios en resultados.</w:t>
            </w:r>
          </w:p>
        </w:tc>
        <w:tc>
          <w:tcPr>
            <w:tcW w:w="0" w:type="auto"/>
            <w:vAlign w:val="center"/>
          </w:tcPr>
          <w:p w14:paraId="6816C91C" w14:textId="77777777" w:rsidR="00C51607" w:rsidRPr="002012E1" w:rsidRDefault="00C51607" w:rsidP="005C1607">
            <w:pPr>
              <w:spacing w:line="360" w:lineRule="auto"/>
              <w:jc w:val="center"/>
              <w:rPr>
                <w:rFonts w:eastAsia="Times New Roman"/>
              </w:rPr>
            </w:pPr>
            <w:r w:rsidRPr="002012E1">
              <w:rPr>
                <w:rFonts w:eastAsia="Calibri"/>
              </w:rPr>
              <w:t>Derivados a valor razonable, con reglas específicas para coberturas; diferencias en reconocimiento de resultados.</w:t>
            </w:r>
          </w:p>
        </w:tc>
        <w:tc>
          <w:tcPr>
            <w:tcW w:w="0" w:type="auto"/>
            <w:vAlign w:val="center"/>
          </w:tcPr>
          <w:p w14:paraId="4D2E282A" w14:textId="77777777" w:rsidR="00C51607" w:rsidRPr="002012E1" w:rsidRDefault="00C51607" w:rsidP="005C1607">
            <w:pPr>
              <w:spacing w:line="360" w:lineRule="auto"/>
              <w:jc w:val="center"/>
              <w:rPr>
                <w:rFonts w:eastAsia="Times New Roman"/>
              </w:rPr>
            </w:pPr>
            <w:r w:rsidRPr="002012E1">
              <w:rPr>
                <w:rFonts w:eastAsia="Calibri"/>
              </w:rPr>
              <w:t>Derivados y otros instrumentos a valor razonable, siguiendo NIIF; posibilidad de metodologías propias registradas.</w:t>
            </w:r>
          </w:p>
        </w:tc>
        <w:tc>
          <w:tcPr>
            <w:tcW w:w="0" w:type="auto"/>
            <w:vAlign w:val="center"/>
          </w:tcPr>
          <w:p w14:paraId="7EC7A9CC"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Derivados a valor razonable, siguiendo NIIF y NIIF 13; reglas para metodologías y modelos de valoración.</w:t>
            </w:r>
          </w:p>
        </w:tc>
        <w:tc>
          <w:tcPr>
            <w:tcW w:w="0" w:type="auto"/>
            <w:vAlign w:val="center"/>
          </w:tcPr>
          <w:p w14:paraId="4CC9EF72" w14:textId="77777777" w:rsidR="00C51607" w:rsidRPr="002012E1" w:rsidRDefault="00C51607" w:rsidP="005C1607">
            <w:pPr>
              <w:spacing w:line="360" w:lineRule="auto"/>
              <w:jc w:val="center"/>
              <w:rPr>
                <w:rFonts w:eastAsia="Times New Roman"/>
                <w:color w:val="000000"/>
              </w:rPr>
            </w:pPr>
            <w:r w:rsidRPr="002012E1">
              <w:rPr>
                <w:rFonts w:eastAsia="Times New Roman"/>
                <w:color w:val="000000"/>
              </w:rPr>
              <w:t>Alto</w:t>
            </w:r>
          </w:p>
        </w:tc>
      </w:tr>
    </w:tbl>
    <w:p w14:paraId="15D21BE9"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Adaptado de NIIF 9 Instrumentos financieros, por IASB, 2014; Normativa SUPEN, 2023; Normativa CONASSIF, 2023</w:t>
      </w:r>
      <w:r w:rsidRPr="002012E1">
        <w:rPr>
          <w:rFonts w:ascii="Arial" w:eastAsia="Calibri" w:hAnsi="Arial" w:cs="Arial"/>
          <w:i/>
          <w:iCs/>
          <w:kern w:val="0"/>
          <w:lang w:val="es-MX"/>
          <w14:ligatures w14:val="none"/>
        </w:rPr>
        <w:t>.</w:t>
      </w:r>
      <w:r w:rsidRPr="002012E1">
        <w:rPr>
          <w:rFonts w:ascii="Arial" w:eastAsia="Calibri" w:hAnsi="Arial" w:cs="Arial"/>
          <w:kern w:val="0"/>
          <w:lang w:val="es-MX"/>
          <w14:ligatures w14:val="none"/>
        </w:rPr>
        <w:t xml:space="preserve">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Grupo Investigador (2025)</w:t>
      </w:r>
    </w:p>
    <w:p w14:paraId="38857EC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5E716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tabla 19 refleja que la NIIF 9 y la NIC 39 establecen marcos normativos claros para la clasificación y medición de instrumentos financieros, aunque la NIIF 9 </w:t>
      </w:r>
      <w:r w:rsidRPr="002012E1">
        <w:rPr>
          <w:rFonts w:ascii="Arial" w:eastAsia="Calibri" w:hAnsi="Arial" w:cs="Arial"/>
          <w:kern w:val="0"/>
          <w:lang w:val="es-MX"/>
          <w14:ligatures w14:val="none"/>
        </w:rPr>
        <w:lastRenderedPageBreak/>
        <w:t>introduce un modelo más simplificado y basado en principios, centrado en el modelo de negocio y las características de los flujos contractuales.</w:t>
      </w:r>
    </w:p>
    <w:p w14:paraId="6631BB6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CEF852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normativa SUPEN y CONASSIF han adoptado estos principios, evidenciando un alto grado de conformidad con las normas internacionales en cuanto a clasificación.</w:t>
      </w:r>
    </w:p>
    <w:p w14:paraId="2BD348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cuanto a la medición, ambas las normativas exigen el uso del coste amortizado o valor razonable según corresponda, siguiendo los lineamientos de las NIIF.</w:t>
      </w:r>
    </w:p>
    <w:p w14:paraId="63A2D68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0C54E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normativa local permite el uso de precios de proveedores autorizados o modelos propios validados, lo que garantiza la transparencia y comparabilidad de la medición de los instrumentos financieros.</w:t>
      </w:r>
    </w:p>
    <w:p w14:paraId="6922F32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D7A83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Respecto al reconocimiento de pérdidas, la NIIF 9 implementa un modelo de pérdida esperada que permite un reconocimiento anticipado del deterioro, a diferencia del modelo de pérdida incurrida de la NIC 39. </w:t>
      </w:r>
    </w:p>
    <w:p w14:paraId="785C250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059DD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normativa SUPEN y CONASSIF han adoptado este modelo, alineándose con los estándares internacionales y mejorando la gestión del riesgo crediticio en las entidades supervisadas.</w:t>
      </w:r>
    </w:p>
    <w:p w14:paraId="2C8422C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43733EA" w14:textId="77777777" w:rsidR="00C51607" w:rsidRPr="002012E1" w:rsidRDefault="00C51607" w:rsidP="00C51607">
      <w:pPr>
        <w:pStyle w:val="apanivel4"/>
      </w:pPr>
      <w:r w:rsidRPr="002012E1">
        <w:t>Desafíos de las diferencias normativas</w:t>
      </w:r>
    </w:p>
    <w:p w14:paraId="34CF800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Uno de los principales desafíos en la adopción de la NIIF 9 frente a la NIC 39 radica en la implementación del modelo de perdida esperada, que representa un cambio metodológico y conceptual bastante significativo.</w:t>
      </w:r>
    </w:p>
    <w:p w14:paraId="176EAB1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BA5529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normativa costarricense, aunque alineada con la NIIF 9, enfrenta retos a la hora de adaptar sistemas y procesos que permitan capturar datos históricos y prospectivos necesarios para estimar las perdidas esperadas.</w:t>
      </w:r>
    </w:p>
    <w:p w14:paraId="605E332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DD909A"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MX"/>
          <w14:ligatures w14:val="none"/>
        </w:rPr>
        <w:t xml:space="preserve">Como señala la International Accounting Standards Board (IASB) </w:t>
      </w:r>
      <w:r w:rsidRPr="002012E1">
        <w:rPr>
          <w:rFonts w:ascii="Arial" w:eastAsia="Calibri" w:hAnsi="Arial" w:cs="Arial"/>
          <w:kern w:val="0"/>
          <w:lang w:val="es-419"/>
          <w14:ligatures w14:val="none"/>
        </w:rPr>
        <w:t xml:space="preserve">“el modelo de pérdida esperada requiere que las entidades reconozcan las pérdidas crediticias </w:t>
      </w:r>
      <w:r w:rsidRPr="002012E1">
        <w:rPr>
          <w:rFonts w:ascii="Arial" w:eastAsia="Calibri" w:hAnsi="Arial" w:cs="Arial"/>
          <w:kern w:val="0"/>
          <w:lang w:val="es-419"/>
          <w14:ligatures w14:val="none"/>
        </w:rPr>
        <w:lastRenderedPageBreak/>
        <w:t>esperadas desde el momento en que se originan los activos financieros” (2014, p. 20), lo cual implica una mayor complejidad en la gestión del riesgo.</w:t>
      </w:r>
    </w:p>
    <w:p w14:paraId="07011C38"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50A453A1"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 xml:space="preserve">Además, la capacitación del personal y la adecuación tecnológica son aspectos críticos para la correcta aplicación del modelo. Las entidades supervisadas deben desarrollar modelos internos robustos y contar con información suficiente para cumplir con los requerimientos de la normativa. </w:t>
      </w:r>
    </w:p>
    <w:p w14:paraId="4B2925AC"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04971DB1"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El Consejo Nacional de Supervisión del Sistema Financiero (CONASSIF) reconoce que “la transición hacia el modelo de pérdida esperada demanda un esfuerzo significativo en términos de recursos técnicos y humanos” (2021, p. 18), lo que puede generar demoras o inconsistencias en la aplicación.</w:t>
      </w:r>
    </w:p>
    <w:p w14:paraId="345AB97D"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178AAE01"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 xml:space="preserve">Otro desafío es la armonización entre las metodologías propias permitidas por la normativa local y los lineamientos internacionales. Aunque la normativa SUPEN y CONASSIF permiten el uso de modelos propios bajo supervisión, garantizar que estos modelos sean consistentes con las NIIF es fundamental para evitar arbitrajes contables y asegurar la comparabilidad de la información financiera. </w:t>
      </w:r>
    </w:p>
    <w:p w14:paraId="3E421BAE"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092CA859" w14:textId="77777777" w:rsidR="00C51607" w:rsidRPr="002012E1" w:rsidRDefault="00C51607" w:rsidP="00C51607">
      <w:p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En este sentido, “la supervisión rigurosa es indispensable para mantener la integridad y la transparencia del sistema financiero” (CONASSIF, 2021, p. 20).</w:t>
      </w:r>
    </w:p>
    <w:p w14:paraId="11431269"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552602D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entrevistados mencionan sobre este punto que las entidades presentan un alto grado de conformidad con las normas internacionales NIIF 9 y NIC 39, así como con las regulaciones locales emitidas por SUPEN y CONASSIF, en cuanto a la clasificación, medición, reconocimiento de pérdidas y contabilización de instrumentos financieros. </w:t>
      </w:r>
    </w:p>
    <w:p w14:paraId="2E47AA8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65CE4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la clasificación de instrumentos, se sigue principalmente el modelo de negocios y los flujos contractuales definidos en la NIIF 9, que ha sido adoptado también por la normativa local, mientras que la NIC 39 mantiene una clasificación más </w:t>
      </w:r>
      <w:r w:rsidRPr="002012E1">
        <w:rPr>
          <w:rFonts w:ascii="Arial" w:eastAsia="Calibri" w:hAnsi="Arial" w:cs="Arial"/>
          <w:kern w:val="0"/>
          <w:lang w:val="es-MX"/>
          <w14:ligatures w14:val="none"/>
        </w:rPr>
        <w:lastRenderedPageBreak/>
        <w:t>segmentada en categorías como préstamos, inversiones mantenidas hasta el vencimiento o disponibles para la venta.</w:t>
      </w:r>
    </w:p>
    <w:p w14:paraId="72A6DCA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66B8CE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cuanto a la medición, las entidades aplican el costo amortizado o valor razonable según la clasificación y modelo de negocio, utilizando precios de proveedores autorizados o modelos propios registrados ante la SUGEVAL, en línea con NIIF y las regulaciones locales. </w:t>
      </w:r>
    </w:p>
    <w:p w14:paraId="6708F6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F2AB8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medición al valor razonable es obligatoria para ciertos instrumentos, siguiendo también los lineamientos de NIIF 13, lo que asegura uniformidad y transparencia en la valoración de activos y pasivos financieros.</w:t>
      </w:r>
    </w:p>
    <w:p w14:paraId="41AAA1C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A0CF2F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Respecto al reconocimiento de pérdidas, se ha adoptado el modelo de pérdida esperada establecido en la NIIF 9, que implica un reconocimiento anticipado del deterioro para todos los instrumentos financieros, en contraste con el modelo de pérdida incurrida de la NIC 39, que reconoce pérdidas solo después de que se produce un evento de deterioro. Este cambio representa un avance significativo en la gestión del riesgo crediticio y la provisión para pérdidas.</w:t>
      </w:r>
    </w:p>
    <w:p w14:paraId="6DD18C8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B08E39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Finalmente, la contabilización de instrumentos derivados y otros activos financieros se realiza conforme a la clasificación y medición establecidas, con los derivados valorados a valor razonable con cambios en resultados, siguiendo las normas internacionales y permitiendo metodologías propias registradas. </w:t>
      </w:r>
    </w:p>
    <w:p w14:paraId="3F1116D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DA5116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conjunto, las entrevistas reflejan que las entidades están alineadas con los estándares internacionales y las normativas locales, lo que contribuye a una mayor coherencia, transparencia y control en la gestión financiera.</w:t>
      </w:r>
    </w:p>
    <w:p w14:paraId="1099DFE9" w14:textId="77777777" w:rsidR="00C51607" w:rsidRDefault="00C51607" w:rsidP="00C51607">
      <w:pPr>
        <w:spacing w:after="0" w:line="360" w:lineRule="auto"/>
        <w:jc w:val="both"/>
        <w:rPr>
          <w:rFonts w:ascii="Arial" w:eastAsia="Calibri" w:hAnsi="Arial" w:cs="Arial"/>
          <w:kern w:val="0"/>
          <w:lang w:val="es-419"/>
          <w14:ligatures w14:val="none"/>
        </w:rPr>
      </w:pPr>
    </w:p>
    <w:p w14:paraId="7A2F9D4C" w14:textId="77777777" w:rsidR="00C51607" w:rsidRDefault="00C51607" w:rsidP="00C51607">
      <w:pPr>
        <w:spacing w:after="0" w:line="360" w:lineRule="auto"/>
        <w:jc w:val="both"/>
        <w:rPr>
          <w:rFonts w:ascii="Arial" w:eastAsia="Calibri" w:hAnsi="Arial" w:cs="Arial"/>
          <w:kern w:val="0"/>
          <w:lang w:val="es-419"/>
          <w14:ligatures w14:val="none"/>
        </w:rPr>
      </w:pPr>
    </w:p>
    <w:p w14:paraId="0FB25A88" w14:textId="77777777" w:rsidR="00C51607" w:rsidRDefault="00C51607" w:rsidP="00C51607">
      <w:pPr>
        <w:spacing w:after="0" w:line="360" w:lineRule="auto"/>
        <w:jc w:val="both"/>
        <w:rPr>
          <w:rFonts w:ascii="Arial" w:eastAsia="Calibri" w:hAnsi="Arial" w:cs="Arial"/>
          <w:kern w:val="0"/>
          <w:lang w:val="es-419"/>
          <w14:ligatures w14:val="none"/>
        </w:rPr>
      </w:pPr>
    </w:p>
    <w:p w14:paraId="4847D8DD" w14:textId="77777777" w:rsidR="00C51607" w:rsidRPr="002012E1" w:rsidRDefault="00C51607" w:rsidP="00C51607">
      <w:pPr>
        <w:spacing w:after="0" w:line="360" w:lineRule="auto"/>
        <w:jc w:val="both"/>
        <w:rPr>
          <w:rFonts w:ascii="Arial" w:eastAsia="Calibri" w:hAnsi="Arial" w:cs="Arial"/>
          <w:kern w:val="0"/>
          <w:lang w:val="es-419"/>
          <w14:ligatures w14:val="none"/>
        </w:rPr>
      </w:pPr>
    </w:p>
    <w:p w14:paraId="07577EBD" w14:textId="77777777" w:rsidR="00C51607" w:rsidRPr="002012E1" w:rsidRDefault="00C51607" w:rsidP="00C51607">
      <w:pPr>
        <w:pStyle w:val="apanivel4"/>
      </w:pPr>
      <w:r w:rsidRPr="002012E1">
        <w:lastRenderedPageBreak/>
        <w:t>Impacto en la comparación de estados financieros</w:t>
      </w:r>
    </w:p>
    <w:p w14:paraId="42A5D41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diferencias en el reconocimiento de pérdidas entre la NIC 39 y la NIIF 9 pueden impactar directamente en la comparabilidad de los estados financieros de las entidades que aplican distintas normativas. </w:t>
      </w:r>
    </w:p>
    <w:p w14:paraId="6EC5DEA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7FC83C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Bajo la NIC 39, el reconocimiento de pérdidas se realiza solo cuando existe evidencia objetiva, lo que puede retrasar la presentación de deterioros y generar resultados menos conservadores. </w:t>
      </w:r>
    </w:p>
    <w:p w14:paraId="6D57C5D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4E194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contraste, la NIIF 9 exige un reconocimiento anticipado basado en pérdidas esperadas, lo que puede reflejar un mayor nivel de provisiones desde etapas tempranas.</w:t>
      </w:r>
    </w:p>
    <w:p w14:paraId="5E2BC38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F907F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Como indica el IASB “la adopción del modelo de pérdida esperada mejora la relevancia y la utilidad de la información financiera para los usuarios” (2014, p. 22).</w:t>
      </w:r>
    </w:p>
    <w:p w14:paraId="1FB3FE4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diferencia puede provocar que dos entidades con perfiles de riesgo similares presenten resultados financieros diferentes, dependiendo de la normativa aplicada. </w:t>
      </w:r>
    </w:p>
    <w:p w14:paraId="572EB85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661E30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 afecta la toma de decisiones por parte de los inversionistas, los analistas y los reguladores, quienes deben interpretar la información con base en el marco contable utilizado. </w:t>
      </w:r>
    </w:p>
    <w:p w14:paraId="64504B9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704F2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ello, la alineación de la normativa local con la NIIF 9 es clave para facilitar comparaciones consistentes en el mercado financiero. Además, la volatilidad en los resultados puede variar según el método de medición y reconocimiento utilizado, lo que también influye en la percepción de la solvencia y estabilidad financiera de las entidades. </w:t>
      </w:r>
    </w:p>
    <w:p w14:paraId="2A992B3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1C931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IASB señala que “la transición a la NIIF 9 puede aumentar la volatilidad en los resultados, pero refleja mejor el riesgo crediticio real” (2014, p. 34), un aspecto que debe ser considerado por los usuarios de la información financiera.</w:t>
      </w:r>
    </w:p>
    <w:p w14:paraId="50446BBE" w14:textId="77777777" w:rsidR="00C51607" w:rsidRPr="002012E1" w:rsidRDefault="00C51607" w:rsidP="00C51607">
      <w:pPr>
        <w:pStyle w:val="apanivel4"/>
      </w:pPr>
      <w:r w:rsidRPr="002012E1">
        <w:lastRenderedPageBreak/>
        <w:t>Métodos contables y volatilidad</w:t>
      </w:r>
    </w:p>
    <w:p w14:paraId="6BE6384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NIIF 9 introduce un enfoque basado en la medición a valor razonable y el modelo de pérdida esperada, lo que tiende a aumentar la volatilidad en los estados financieros en comparación con la NIC 39. </w:t>
      </w:r>
    </w:p>
    <w:p w14:paraId="7A0AF1D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0EC6EF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medición a valor razonable refleja las fluctuaciones del mercado en tiempo real, proporcionando información más relevante sobre la exposición al riesgo. Según el IASB, “la medición a valor razonable proporciona información relevante sobre la exposición al riesgo de mercado y la gestión del riesgo” (2014, p. 35).</w:t>
      </w:r>
    </w:p>
    <w:p w14:paraId="596ACE6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17E28B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la normativa local, tanto SUPEN como CONASSIF adoptan estos métodos, permitiendo además el uso de modelos propios para la valoración en ausencia de precios de mercado confiables. </w:t>
      </w:r>
    </w:p>
    <w:p w14:paraId="0FED4E7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E7546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flexibilidad puede ayudar a mitigar la volatilidad excesiva, pero requiere una supervisión estricta para evitar manipulaciones contables. Como indica CONASSIF (2021), “la regulación debe equilibrar la relevancia de la información con la estabilidad financiera del sistema” (p. 22).</w:t>
      </w:r>
    </w:p>
    <w:p w14:paraId="4E9D462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9977D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Con respecto a la medición del coste amortizado para activos mantenidos hasta el vencimiento contribuye a reducir la volatilidad, al reflejar el valor histórico ajustado por amortización y deterioro. Esto facilita una gestión más estable de la liquidez y del riesgo crediticio, alineándose con los objetivos financieros de largo plazo de las entidades. </w:t>
      </w:r>
    </w:p>
    <w:p w14:paraId="5496A6D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8AF04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IASB (2014) destaca que “los activos mantenidos para cobrar flujos contractuales se miden a coste amortizado, reduciendo la volatilidad y facilitando la gestión de la liquidez” (p. 40).</w:t>
      </w:r>
    </w:p>
    <w:p w14:paraId="1731B04A" w14:textId="77777777" w:rsidR="00C51607" w:rsidRDefault="00C51607" w:rsidP="00C51607">
      <w:pPr>
        <w:spacing w:after="0" w:line="360" w:lineRule="auto"/>
        <w:jc w:val="both"/>
        <w:rPr>
          <w:rFonts w:ascii="Arial" w:eastAsia="Calibri" w:hAnsi="Arial" w:cs="Arial"/>
          <w:kern w:val="0"/>
          <w:lang w:val="es-MX"/>
          <w14:ligatures w14:val="none"/>
        </w:rPr>
      </w:pPr>
    </w:p>
    <w:p w14:paraId="6844B317" w14:textId="77777777" w:rsidR="00C51607" w:rsidRDefault="00C51607" w:rsidP="00C51607">
      <w:pPr>
        <w:spacing w:after="0" w:line="360" w:lineRule="auto"/>
        <w:jc w:val="both"/>
        <w:rPr>
          <w:rFonts w:ascii="Arial" w:eastAsia="Calibri" w:hAnsi="Arial" w:cs="Arial"/>
          <w:kern w:val="0"/>
          <w:lang w:val="es-MX"/>
          <w14:ligatures w14:val="none"/>
        </w:rPr>
      </w:pPr>
    </w:p>
    <w:p w14:paraId="2E9759A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56ABB6" w14:textId="77777777" w:rsidR="00C51607" w:rsidRPr="002012E1" w:rsidRDefault="00C51607" w:rsidP="00C51607">
      <w:pPr>
        <w:pStyle w:val="apanivel4"/>
      </w:pPr>
      <w:r w:rsidRPr="002012E1">
        <w:lastRenderedPageBreak/>
        <w:t>Integración con regulaciones locales</w:t>
      </w:r>
    </w:p>
    <w:p w14:paraId="3B065BB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integración de las NIIF en la normativa SUPEN y CONASSIF ha sido amplia y profunda, con adaptaciones específicas para la realidad del mercado financiero local. </w:t>
      </w:r>
    </w:p>
    <w:p w14:paraId="7DF9DD1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5A3921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Estas adaptaciones incluyen la autorización para utilizar metodologías propias de valoración cuando no existen precios de mercado confiables, lo que permite una mayor flexibilidad y adaptación a las condiciones locales. </w:t>
      </w:r>
    </w:p>
    <w:p w14:paraId="1F29964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77656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CONASSIF, “la adopción de estándares internacionales debe ser complementada con regulaciones locales que aseguren la transparencia y la comparabilidad” (2021, p. 15).</w:t>
      </w:r>
    </w:p>
    <w:p w14:paraId="147B10E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44C6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Sin embargo, esta integración también implica retos en la supervisión y control, ya que la flexibilidad puede abrir la puerta a interpretaciones diversas y posibles inconsistencias. </w:t>
      </w:r>
    </w:p>
    <w:p w14:paraId="7987141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19D0F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las autoridades regulatorias han fortalecido sus mecanismos de supervisión para garantizar que las metodologías propias sean consistentes con los principios internacionales y que se mantenga la integridad del sistema financiero.</w:t>
      </w:r>
    </w:p>
    <w:p w14:paraId="4F72E9F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685F50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normativa local promueve la capacitación continua y la actualización normativa para asegurar que las entidades comprendan y apliquen correctamente las NIIF. Esto contribuye a una mejor armonización y a la reducción de riesgos operativos y financieros derivados de la aplicación incorrecta de las normas. </w:t>
      </w:r>
    </w:p>
    <w:p w14:paraId="5C16010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31800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Como señala CONASSIF (2021) “la formación y supervisión son pilares fundamentales para la correcta aplicación de las normas internacionales en el contexto local” (p. 17).</w:t>
      </w:r>
    </w:p>
    <w:p w14:paraId="2D0A096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51875D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Las entrevistas señalan que la integración de las Normas Internacionales de Información Financiera (NIIF) en la normativa local de SUPEN y CONASSIF ha sido profunda y adaptada a la realidad del mercado financiero costarricense. </w:t>
      </w:r>
    </w:p>
    <w:p w14:paraId="466E5BE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2C884D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integración permite flexibilidad mediante la autorización para usar metodologías propias de valoración cuando no existen precios de mercado confiables, lo que facilita una mejor adaptación a las condiciones específicas del país. Sin embargo, esta flexibilidad también genera retos en la supervisión, ya que puede dar lugar a interpretaciones diversas y posibles inconsistencias en la aplicación de las normas.</w:t>
      </w:r>
    </w:p>
    <w:p w14:paraId="319BD58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5AD40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Para enfrentar estos desafíos, las autoridades regulatorias han fortalecido sus mecanismos de supervisión y control, asegurando que las metodologías propias sean consistentes con los principios internacionales y mantengan la integridad del sistema financiero. </w:t>
      </w:r>
    </w:p>
    <w:p w14:paraId="3185481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12C81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se promueve la capacitación continua y la actualización normativa para que las entidades comprendan y apliquen correctamente las NIIF, lo cual es fundamental para reducir riesgos operativos y financieros derivados de una aplicación incorrecta. La formación y supervisión son consideradas pilares esenciales para la correcta implementación de las normas en el contexto local.</w:t>
      </w:r>
    </w:p>
    <w:p w14:paraId="0370630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944D2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conjunto, estas medidas buscan garantizar transparencia, comparabilidad y confiabilidad en la información financiera, alineando las prácticas locales con estándares internacionales sin perder de vista las particularidades del mercado costarricense. </w:t>
      </w:r>
    </w:p>
    <w:p w14:paraId="1961895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DDDDB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Así, la normativa local no solo adopta las NIIF, sino que también establece un marco regulatorio robusto que equilibra flexibilidad y control, contribuyendo a la estabilidad y confianza en el sistema financiero.</w:t>
      </w:r>
    </w:p>
    <w:p w14:paraId="538E8D0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EC5AC40" w14:textId="77777777" w:rsidR="00C51607" w:rsidRPr="002012E1" w:rsidRDefault="00C51607" w:rsidP="00C51607">
      <w:pPr>
        <w:pStyle w:val="apanivel4"/>
      </w:pPr>
      <w:r w:rsidRPr="002012E1">
        <w:lastRenderedPageBreak/>
        <w:t>Liquidez y horizonte de inversión</w:t>
      </w:r>
    </w:p>
    <w:p w14:paraId="206DD12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clasificación y medición de los instrumentos financieros según el modelo de negocio y el horizonte de inversión, tanto en la NIIF 9 como en la normativa local, permite una gestión más eficiente de la liquidez y una mejor alineación entre objetivos de inversión y presentación contable. </w:t>
      </w:r>
    </w:p>
    <w:p w14:paraId="2FFD2D4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EBE65B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Los activos mantenidos para cobrar flujos contractuales se miden a coste amortizado, lo que reduce la volatilidad y facilita la planificación financiera a largo plazo. Como indica el IASB, “los activos mantenidos para cobrar flujos contractuales se miden a coste amortizado, reduciendo la volatilidad y facilitando la gestión de la liquidez” (2014, p. 40).</w:t>
      </w:r>
    </w:p>
    <w:p w14:paraId="0950F96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7D52D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otro lado, los instrumentos clasificados para negociación o disponibles para la venta se miden a valor razonable, reflejando mejor las condiciones del mercado y permitiendo una gestión activa del portafolio. Esta clasificación favorece la liquidez, ya que estos instrumentos pueden ser vendidos con mayor facilidad para atender necesidades inmediatas de efectivo.</w:t>
      </w:r>
    </w:p>
    <w:p w14:paraId="1CDFDB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2E8E5E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Finalmente, esta segmentación basada en el horizonte de inversión ayuda a las entidades a equilibrar sus necesidades de liquidez con sus objetivos de rentabilidad, optimizando la estructura financiera y reduciendo riesgos. La normativa local, al seguir estos principios, contribuye a fortalecer la estabilidad y eficiencia del sistema financiero en el país.</w:t>
      </w:r>
    </w:p>
    <w:p w14:paraId="4BC7DBF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4EED98" w14:textId="77777777" w:rsidR="00C51607" w:rsidRPr="002012E1" w:rsidRDefault="00C51607" w:rsidP="00C51607">
      <w:pPr>
        <w:pStyle w:val="apanivel3"/>
        <w:rPr>
          <w:rFonts w:ascii="Arial" w:hAnsi="Arial" w:cs="Arial"/>
        </w:rPr>
      </w:pPr>
      <w:bookmarkStart w:id="113" w:name="_Toc201832458"/>
      <w:r w:rsidRPr="002012E1">
        <w:rPr>
          <w:rFonts w:ascii="Arial" w:hAnsi="Arial" w:cs="Arial"/>
        </w:rPr>
        <w:t>Identificación de los límites y desafíos de la normativa contable vigente</w:t>
      </w:r>
      <w:bookmarkEnd w:id="113"/>
    </w:p>
    <w:p w14:paraId="67FDD00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normativa contable vigente enfrenta diversos retos y limitaciones, especialmente en lo que respecta a la valoración de activos que no cuentan con cotización frecuente en mercados líquidos. </w:t>
      </w:r>
    </w:p>
    <w:p w14:paraId="0F21DD3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130E7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Estos desafíos incluyen la dificultad para aplicar el valor razonable en mercados ilíquidos, donde la falta de precios observables obliga a recurrir a técnicas de valoración basadas en supuestos y juicios que pueden introducir un alto grado de subjetividad. </w:t>
      </w:r>
    </w:p>
    <w:p w14:paraId="6C32614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3CBBD0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los fondos enfrentan limitaciones en su capacidad técnica para llevar a cabo estas valoraciones complejas, lo que se ve agravado por la dependencia de fuentes externas para obtener precios o modelos de valoración confiables.</w:t>
      </w:r>
    </w:p>
    <w:p w14:paraId="1A20CC7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75150F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Otro aspecto crítico es la adecuación de los sistemas de información y control para manejar correctamente la valoración de estos instrumentos, garantizando la trazabilidad y consistencia en los registros contables. </w:t>
      </w:r>
    </w:p>
    <w:p w14:paraId="059BFC1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C2372B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ausencia de lineamientos claros puede abrir la puerta a prácticas de contabilidad creativa, generando riesgos operativos y de transparencia. Asimismo, existe una dificultad importante para armonizar criterios contables entre fondos públicos y privados, lo que puede afectar la comparabilidad y uniformidad de la información financiera en el sector.</w:t>
      </w:r>
    </w:p>
    <w:p w14:paraId="06F3FD2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94420A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este contexto, es fundamental abordar estos límites mediante el fortalecimiento de capacidades técnicas, la actualización normativa y la implementación de sistemas robustos que permitan una valoración más objetiva y confiable. </w:t>
      </w:r>
    </w:p>
    <w:p w14:paraId="25A686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089A86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superación de estos retos contribuirá a mejorar la transparencia, la gestión del riesgo y la confianza en los estados financieros, aspectos esenciales para la sostenibilidad y estabilidad de los fondos de inversión y pensiones en el país.</w:t>
      </w:r>
    </w:p>
    <w:p w14:paraId="3C0DBC6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600839E" w14:textId="77777777" w:rsidR="00C51607" w:rsidRPr="002012E1" w:rsidRDefault="00C51607" w:rsidP="00C51607">
      <w:pPr>
        <w:pStyle w:val="apanivel4"/>
      </w:pPr>
      <w:r w:rsidRPr="002012E1">
        <w:t>Retos en la valoración de activos sin cotización frecuente</w:t>
      </w:r>
    </w:p>
    <w:p w14:paraId="0CC63A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valoración de activos que no cuentan con cotización frecuente representa un desafío significativo para los fondos de pensiones en Costa Rica, dado que los </w:t>
      </w:r>
      <w:r w:rsidRPr="002012E1">
        <w:rPr>
          <w:rFonts w:ascii="Arial" w:eastAsia="Calibri" w:hAnsi="Arial" w:cs="Arial"/>
          <w:kern w:val="0"/>
          <w:lang w:val="es-MX"/>
          <w14:ligatures w14:val="none"/>
        </w:rPr>
        <w:lastRenderedPageBreak/>
        <w:t>estados financieros deben presentarse con periodicidad mensual o trimestral, pero algunos activos solo se valoran trimestral o anualmente.</w:t>
      </w:r>
    </w:p>
    <w:p w14:paraId="2BBBAB4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 </w:t>
      </w:r>
    </w:p>
    <w:p w14:paraId="59A6BA8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el Informe del Fondo Régimen Obligatorio de Pensiones (BAC, 2024), “la valoración de activos ilíquidos requiere técnicas que incorporen estimaciones y supuestos, lo que puede generar desfases en la información financiera” (p. 15). Esto afecta la capacidad del fondo para reflejar con precisión el valor económico real en periodos cortos.</w:t>
      </w:r>
    </w:p>
    <w:p w14:paraId="6C4EB0E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1E62C7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normativa aplicable, como lo establece CONASSIF (2023), exige que “la valoración se realice con base en precios observables o, en su defecto, mediante modelos internos debidamente justificados y supervisados” (p. 14). </w:t>
      </w:r>
    </w:p>
    <w:p w14:paraId="1643DBA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44F092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en la práctica, la falta de datos de mercado confiables obliga a realizar valoraciones estimadas, lo que introduce un componente subjetivo que puede afectar la comparabilidad y confiabilidad de los estados financieros.</w:t>
      </w:r>
    </w:p>
    <w:p w14:paraId="272036A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DD71B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situación es especialmente crítica en fondos de pensiones, donde la transparencia y precisión en la valoración impactan directamente en la confianza de los afiliados y en la toma de decisiones de inversión. </w:t>
      </w:r>
    </w:p>
    <w:p w14:paraId="5F5F890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F181FA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Como señala SUPEN (2023), “la correcta valoración de activos ilíquidos es fundamental para garantizar la protección de los derechos de los afiliados y la estabilidad del sistema” (p. 22).</w:t>
      </w:r>
    </w:p>
    <w:p w14:paraId="0B82B1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FDF08C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la complejidad técnica para realizar estas valoraciones exige recursos especializados y sistemas adecuados, lo que no siempre está disponible en todos los fondos. Esto puede limitar la capacidad para cumplir con los requerimientos normativos y afectar la calidad de la información financiera presentada. </w:t>
      </w:r>
    </w:p>
    <w:p w14:paraId="1A61BA3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232126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BAC (2024) advierte que “la falta de recursos técnicos puede generar inconsistencias en las valoraciones y afectar la supervisión” (p. 18). Finalmente, la normativa contempla la necesidad de revelar en detalle las metodologías y supuestos utilizados en la valoración, buscando mitigar la opacidad y aumentar la transparencia. </w:t>
      </w:r>
    </w:p>
    <w:p w14:paraId="45F97A6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DA5C2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Sin embargo, SUPEN (2023) reconoce que “la calidad y profundidad de las revelaciones varían entre entidades, lo que limita la capacidad de los usuarios para evaluar la fiabilidad de las mediciones” (p. 25). Esto evidencia que no basta con conocer la norma, sino que su aplicación práctica enfrenta limitaciones importantes.</w:t>
      </w:r>
    </w:p>
    <w:p w14:paraId="6A0CF7C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89E044" w14:textId="77777777" w:rsidR="00C51607" w:rsidRPr="002012E1" w:rsidRDefault="00C51607" w:rsidP="00C51607">
      <w:pPr>
        <w:pStyle w:val="apanivel4"/>
      </w:pPr>
      <w:r w:rsidRPr="002012E1">
        <w:t>Limitaciones en la capacidad técnica de los fondos</w:t>
      </w:r>
    </w:p>
    <w:p w14:paraId="5A6D3DC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aplicación efectiva de la NIIF 9 y normas relacionadas requiere un nivel técnico avanzado que no todos los fondos de pensiones en Costa Rica poseen, especialmente aquellos con menor tamaño o recursos limitados. </w:t>
      </w:r>
    </w:p>
    <w:p w14:paraId="2BE9156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E5E24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Crowe Costa Rica (2023) señala que “la implementación exitosa de las NIIF demanda equipos multidisciplinarios con conocimientos en contabilidad, finanzas y gestión de riesgos, lo cual representa un reto para muchas entidades” (p. 3). Esta brecha técnica puede afectar la calidad y confiabilidad de los estados financieros.</w:t>
      </w:r>
    </w:p>
    <w:p w14:paraId="3926DF4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34FF7E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falta de personal especializado limita la capacidad para desarrollar modelos internos de estimación de pérdidas esperadas y para aplicar correctamente las metodologías de valoración. Esto puede derivar en errores o interpretaciones incorrectas que afectan la información financiera. </w:t>
      </w:r>
    </w:p>
    <w:p w14:paraId="4DE5A48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E6439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Según CONASSIF (2023), “la carencia de capacidades técnicas es una barrera para la correcta aplicación de las normas y puede impactar en la gestión del riesgo” (p. 19). Además, esta limitación técnica genera dependencia de consultores externos, lo que incrementa costos y puede afectar la autonomía en la gestión contable. </w:t>
      </w:r>
    </w:p>
    <w:p w14:paraId="05BC8CB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D6F289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SUPEN (2023) destaca que “la inversión en capacitación y tecnología es fundamental para cerrar brechas técnicas y reducir la dependencia de asesorías externas” (p. 21), pero no siempre es viable para todos los fondos.</w:t>
      </w:r>
    </w:p>
    <w:p w14:paraId="1C75EA9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2B5C81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falta de capacitación también dificulta la interpretación coherente y uniforme de las normas, lo que puede generar inconsistencias entre fondos y complicar la supervisión. BAC (2024) advierte que “la heterogeneidad en la aplicación de las NIIF afecta la comparabilidad y dificulta la evaluación del desempeño” (p. 20).</w:t>
      </w:r>
    </w:p>
    <w:p w14:paraId="42C9483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EE4FCA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otro lado, la limitación técnica puede impactar la gestión del riesgo y la toma de decisiones, ya que la información financiera puede no reflejar adecuadamente la exposición a pérdidas o la calidad de los activos. Esto afecta la confianza de los afiliados y la estabilidad del sistema, por lo que mejorar las capacidades técnicas es indispensable para la correcta aplicación normativa.</w:t>
      </w:r>
    </w:p>
    <w:p w14:paraId="71BCE70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6F90F3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con representantes de fondos de pensiones en Costa Rica coinciden en que la capacidad técnica limitada es uno de los principales obstáculos para la correcta aplicación de la NIIF 9 y otras normas relacionadas. </w:t>
      </w:r>
    </w:p>
    <w:p w14:paraId="4BCA09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E4D0F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Señalan que algunos fondos, especialmente los de menor tamaño o con recursos restringidos, carecen del personal especializado necesario para desarrollar modelos internos de estimación de pérdidas esperadas y aplicar metodologías complejas de valoración. Esta brecha técnica afecta la calidad y confiabilidad de los estados financieros y puede generar interpretaciones erróneas o inconsistentes.</w:t>
      </w:r>
    </w:p>
    <w:p w14:paraId="0531286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E8231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los entrevistados destacan que esta limitación técnica genera una dependencia considerable de consultores externos, lo que incrementa los costos operativos y reduce la autonomía en la gestión contable y de riesgos. </w:t>
      </w:r>
    </w:p>
    <w:p w14:paraId="6996956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EF444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Algunos mencionan que, aunque la SUPEN promueve la capacitación y la inversión en tecnología para cerrar estas brechas, no todos los fondos cuentan con los </w:t>
      </w:r>
      <w:r w:rsidRPr="002012E1">
        <w:rPr>
          <w:rFonts w:ascii="Arial" w:eastAsia="Calibri" w:hAnsi="Arial" w:cs="Arial"/>
          <w:kern w:val="0"/>
          <w:lang w:val="es-MX"/>
          <w14:ligatures w14:val="none"/>
        </w:rPr>
        <w:lastRenderedPageBreak/>
        <w:t>recursos suficientes para implementar estas mejoras de manera efectiva. Esta situación dificulta también la uniformidad en la interpretación y aplicación de las normas, complicando la supervisión y la comparabilidad entre fondos públicos y privados.</w:t>
      </w:r>
    </w:p>
    <w:p w14:paraId="061BFF5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B1E628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Finalmente, los entrevistados coinciden en que la falta de capacidades técnicas impacta directamente en la gestión del riesgo y en la toma de decisiones, ya que la información financiera puede no reflejar adecuadamente la exposición a pérdidas o la calidad de los activos. </w:t>
      </w:r>
    </w:p>
    <w:p w14:paraId="57B68CF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49C08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consideran indispensable fortalecer las capacidades internas mediante formación continua y desarrollo tecnológico para asegurar una aplicación correcta y consistente de las normas contables, lo que a su vez contribuirá a mejorar la transparencia, la confianza de los afiliados y la estabilidad del sistema de pensiones.</w:t>
      </w:r>
    </w:p>
    <w:p w14:paraId="556B159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8281DF2" w14:textId="77777777" w:rsidR="00C51607" w:rsidRPr="002012E1" w:rsidRDefault="00C51607" w:rsidP="00C51607">
      <w:pPr>
        <w:pStyle w:val="apanivel4"/>
      </w:pPr>
      <w:r w:rsidRPr="002012E1">
        <w:t>Dificultades para aplicar el valor razonable en mercados ilíquidos</w:t>
      </w:r>
    </w:p>
    <w:p w14:paraId="0611897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aplicación del valor razonable en activos sin mercados activos o con baja liquidez es un desafío metodológico y práctico para los fondos de pensiones en Costa Rica.  </w:t>
      </w:r>
    </w:p>
    <w:p w14:paraId="69D31E5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3403C2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Deloitte (2019), “el valor razonable se define como el precio que se recibiría en una transacción ordenada entre participantes del mercado” (p. 9), pero en activos como bienes raíces o capital privado, la ausencia de cotización diaria obliga a utilizar modelos con supuestos no observables, aumentando la incertidumbre.</w:t>
      </w:r>
    </w:p>
    <w:p w14:paraId="3250C61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FCC27F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 xml:space="preserve">El uso de insumos no observables, conocidos como nivel 3 en la jerarquía de valoraciones según las NIIF, se refiere a la aplicación de datos o supuestos que no provienen de precios de mercado directamente observables para valorar instrumentos financieros, los cuales </w:t>
      </w:r>
      <w:r w:rsidRPr="002012E1">
        <w:rPr>
          <w:rFonts w:ascii="Arial" w:eastAsia="Calibri" w:hAnsi="Arial" w:cs="Arial"/>
          <w:kern w:val="0"/>
          <w:lang w:val="es-MX"/>
          <w14:ligatures w14:val="none"/>
        </w:rPr>
        <w:t xml:space="preserve">incrementa el riesgo de errores y sesgos en la valoración, afectando la comparabilidad y confiabilidad de la información financiera. SUPEN (2023) indica que “la valoración de activos ilíquidos requiere modelos </w:t>
      </w:r>
      <w:r w:rsidRPr="002012E1">
        <w:rPr>
          <w:rFonts w:ascii="Arial" w:eastAsia="Calibri" w:hAnsi="Arial" w:cs="Arial"/>
          <w:kern w:val="0"/>
          <w:lang w:val="es-MX"/>
          <w14:ligatures w14:val="none"/>
        </w:rPr>
        <w:lastRenderedPageBreak/>
        <w:t>actualizados y supervisados para mitigar riesgos de manipulación” (p. 17), pero en la práctica, la heterogeneidad en metodologías limita la uniformidad.</w:t>
      </w:r>
    </w:p>
    <w:p w14:paraId="3626E14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9CA4B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entidades deben realizar revelaciones detalladas sobre los métodos y supuestos, pero la calidad de estas revelaciones varía, dificultando que los usuarios comprendan los riesgos asociados. Crowe Costa Rica (2023) resalta que “la transparencia en las revelaciones es clave para evaluar la sensibilidad de las mediciones” (p. 5), pero este requisito no siempre se cumple plenamente.</w:t>
      </w:r>
    </w:p>
    <w:p w14:paraId="70674D4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60D80D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actualización constante de modelos y supuestos es necesaria para reflejar cambios en el mercado, lo cual demanda recursos técnicos y financieros significativos. BAC (2024) señala que “la falta de actualización puede generar distorsiones en la valoración y afectar la toma de decisiones” (p. 22).</w:t>
      </w:r>
    </w:p>
    <w:p w14:paraId="0F150B0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554F19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la auditoría de estas valoraciones es compleja y requiere experiencia técnica avanzada, lo que representa un reto para fondos con recursos limitados. Deloitte (2019) enfatiza que “la auditoría en mercados ilíquidos demanda juicio profesional y conocimiento especializado” (p. 18), aspectos que condicionan la confiabilidad de la información financiera.</w:t>
      </w:r>
    </w:p>
    <w:p w14:paraId="16C53D3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C96D0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entrevistados coinciden en que la aplicación del valor razonable en activos sin mercados activos o con baja liquidez representa un desafío significativo para los fondos de pensiones en Costa Rica. </w:t>
      </w:r>
    </w:p>
    <w:p w14:paraId="7567579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9722D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Señalan que la ausencia de precios observables obliga a utilizar modelos internos que dependen de insumos no observables (nivel 3), lo que incrementa la incertidumbre y el riesgo de errores o sesgos en la valoración. Esta situación genera preocupación por la comparabilidad y confiabilidad de la información financiera reportada.</w:t>
      </w:r>
    </w:p>
    <w:p w14:paraId="7920E2A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A327B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Además, los entrevistados destacan la importancia de contar con modelos actualizados y supervisados para mitigar riesgos de manipulación, pero reconocen que en la práctica existe heterogeneidad en las metodologías aplicadas, lo que dificulta la uniformidad y transparencia. </w:t>
      </w:r>
    </w:p>
    <w:p w14:paraId="77382AD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D0685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También mencionan que la calidad y detalle de las revelaciones sobre métodos y supuestos varía entre entidades, limitando la capacidad de los usuarios para evaluar adecuadamente los riesgos asociados a estas valoraciones.</w:t>
      </w:r>
    </w:p>
    <w:p w14:paraId="163F197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DC1820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se resalta que la actualización constante de los modelos y supuestos es fundamental para reflejar cambios en el mercado, aunque esto demanda recursos técnicos y financieros significativos que no todos los fondos poseen. La auditoría de estas valoraciones también es vista como compleja, requiriendo experiencia técnica avanzada, lo que representa un reto adicional para fondos con recursos limitados. </w:t>
      </w:r>
    </w:p>
    <w:p w14:paraId="53A5905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A059D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conjunto, los entrevistados subrayan la necesidad de fortalecer capacidades técnicas, mejorar la supervisión y promover mayor transparencia para garantizar la confiabilidad y sostenibilidad de las valoraciones en activos ilíquidos.</w:t>
      </w:r>
    </w:p>
    <w:p w14:paraId="4FA351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78C47CC" w14:textId="77777777" w:rsidR="00C51607" w:rsidRPr="002012E1" w:rsidRDefault="00C51607" w:rsidP="00C51607">
      <w:pPr>
        <w:pStyle w:val="apanivel4"/>
      </w:pPr>
      <w:r w:rsidRPr="002012E1">
        <w:t>Adecuación de los sistemas de información y control</w:t>
      </w:r>
    </w:p>
    <w:p w14:paraId="6BAB397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complejidad de la normativa exige sistemas de información integrados y automatizados que permitan valorar instrumentos financieros periódicamente y controlar riesgos asociados. Sin embargo, muchos fondos en Costa Rica operan con sistemas manuales o poco integrados, limitando la calidad y confiabilidad de la información. </w:t>
      </w:r>
    </w:p>
    <w:p w14:paraId="22C9958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A7B28F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Crowe Costa Rica (2023) señala que “la coordinación entre áreas contables, financieras y de riesgos, apoyada en tecnología adecuada, es fundamental para cumplir con la normativa” (p. 4).</w:t>
      </w:r>
    </w:p>
    <w:p w14:paraId="51DECD3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B748AA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falta de infraestructura tecnológica adecuada puede provocar errores en la valoración, inconsistencias en los datos y retrasos en la presentación de informes financieros. Deloitte (2019) indica que “la calidad de la información financiera depende en gran medida de la robustez de los sistemas de control y la automatización de procesos” (p. 20).</w:t>
      </w:r>
    </w:p>
    <w:p w14:paraId="70F72AC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5315B3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normativa no establece estándares tecnológicos mínimos, dejando a las entidades la responsabilidad de implementar controles efectivos, lo que puede generar brechas de seguridad y riesgos de manipulación. </w:t>
      </w:r>
    </w:p>
    <w:p w14:paraId="6185A3C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EE9C03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Superintendencia de Pensiones de Costa Rica (SUPEN) (2023) advierte que “los sistemas deben incluir controles para validar la fiabilidad de las fuentes externas y garantizar la integridad de los datos” (p. 23).</w:t>
      </w:r>
    </w:p>
    <w:p w14:paraId="4881036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6B9FE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actualización y mantenimiento de estos sistemas requiere inversión constante, lo que puede ser un reto para fondos con recursos limitados. CONASSIF (2023) enfatiza que “la mejora continua en tecnología y procesos es necesaria para fortalecer la supervisión y la confianza en la información financiera” (p. 21).</w:t>
      </w:r>
    </w:p>
    <w:p w14:paraId="73E2C1A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D2B0D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conclusión, la integración tecnológica facilita la generación de reportes confiables y oportunos, mejorando la toma de decisiones y la gestión del riesgo. Por ello, la adopción de mejores prácticas en sistemas de información es indispensable para la correcta aplicación de la normativa.</w:t>
      </w:r>
    </w:p>
    <w:p w14:paraId="57AC748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DFF9E1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con representantes de fondos de pensiones en Costa Rica coinciden en que la falta de sistemas de información integrados y automatizados es una limitante importante para cumplir con la normativa contable y de gestión de riesgos. Señalan que muchos fondos aún operan con procesos manuales o sistemas poco conectados entre áreas contables, financieras y de riesgos, lo que dificulta la valoración periódica de instrumentos financieros y el control efectivo de los riesgos </w:t>
      </w:r>
      <w:r w:rsidRPr="002012E1">
        <w:rPr>
          <w:rFonts w:ascii="Arial" w:eastAsia="Calibri" w:hAnsi="Arial" w:cs="Arial"/>
          <w:kern w:val="0"/>
          <w:lang w:val="es-MX"/>
          <w14:ligatures w14:val="none"/>
        </w:rPr>
        <w:lastRenderedPageBreak/>
        <w:t>asociados. Esta situación afecta la calidad, confiabilidad y oportunidad de la información financiera.</w:t>
      </w:r>
    </w:p>
    <w:p w14:paraId="2261790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06DE29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entrevistados destacan que la coordinación entre áreas y el apoyo en tecnología adecuada son fundamentales para cumplir con los requerimientos normativos y mejorar la gestión del portafolio. Sin embargo, reconocen que la inversión en infraestructura tecnológica y capacitación es un reto, especialmente para fondos con recursos limitados. </w:t>
      </w:r>
    </w:p>
    <w:p w14:paraId="629B29F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5A540B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falta de estándares tecnológicos mínimos en la normativa local deja a cada entidad la responsabilidad de implementar controles, lo que puede generar brechas en seguridad y riesgos de manipulación de datos.</w:t>
      </w:r>
    </w:p>
    <w:p w14:paraId="5FB0ACD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E347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Asimismo, se enfatiza la importancia de contar con sistemas que validen la fiabilidad de las fuentes externas y garanticen la integridad de los datos, tal como lo recomienda la SUPEN. </w:t>
      </w:r>
    </w:p>
    <w:p w14:paraId="052A08E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8A55D5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actualización y mantenimiento constante de estos sistemas es clave para fortalecer la supervisión y aumentar la confianza en la información financiera reportada. </w:t>
      </w:r>
    </w:p>
    <w:p w14:paraId="3AF9B18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1BB4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síntesis, los entrevistados coinciden en que la adopción de mejores prácticas tecnológicas y la integración de sistemas son indispensables para mejorar la transparencia, la gestión del riesgo y la toma de decisiones en los fondos de pensiones costarricenses.</w:t>
      </w:r>
    </w:p>
    <w:p w14:paraId="79DCD88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6C72C4" w14:textId="77777777" w:rsidR="00C51607" w:rsidRPr="002012E1" w:rsidRDefault="00C51607" w:rsidP="00C51607">
      <w:pPr>
        <w:pStyle w:val="apanivel4"/>
      </w:pPr>
      <w:r w:rsidRPr="002012E1">
        <w:t>Dependencia de fuentes externas para valorar instrumentos</w:t>
      </w:r>
    </w:p>
    <w:p w14:paraId="637B7F1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fondos de pensiones en Costa Rica dependen frecuentemente de proveedores externos, como agencias calificadoras o tasadoras, para valorar instrumentos financieros complejos. </w:t>
      </w:r>
    </w:p>
    <w:p w14:paraId="13C6ECB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7523F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Deloitte (2019) indica que “la NIIF 13 permite el uso de precios de proveedores externos siempre que se evalúe la fiabilidad y consistencia de sus metodologías” (p. 18). Sin embargo, esta dependencia puede limitar la capacidad de las entidades para auditar críticamente las valoraciones recibidas.</w:t>
      </w:r>
    </w:p>
    <w:p w14:paraId="15F2A17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2A069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concentración en pocos proveedores puede generar riesgos sistémicos, ya que errores o sesgos en sus modelos afectarían a múltiples entidades simultáneamente. Crowe Costa Rica (2023) advierte que “la supervisión debe incluir la evaluación rigurosa de proveedores externos para evitar impactos negativos en la estabilidad financiera” (p. 6).</w:t>
      </w:r>
    </w:p>
    <w:p w14:paraId="1F4A871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2D9A2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costo de estos servicios puede ser elevado, especialmente para fondos pequeños, limitando su acceso a valoraciones de alta calidad. Esto puede generar desigualdades en la calidad de la información financiera entre fondos. BAC (2024) señala que “el acceso a servicios de valoración especializados está condicionado por la capacidad financiera de cada fondo” (p. 19).</w:t>
      </w:r>
    </w:p>
    <w:p w14:paraId="3580B73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601B76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dependencia también puede generar una falsa sensación de seguridad si las entidades aceptan pasivamente las valoraciones sin realizar análisis propios. SUPEN (2023) enfatiza que “la administración es responsable de validar y supervisar las valoraciones externas para garantizar su razonabilidad” (p. 20).</w:t>
      </w:r>
    </w:p>
    <w:p w14:paraId="2AE514D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15DB86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último, para garantizar la integridad y calidad de las valoraciones, las entidades deben equilibrar la externalización con el desarrollo de capacidades internas, aspecto fundamental para la confianza del mercado y la protección de los afiliados.</w:t>
      </w:r>
    </w:p>
    <w:p w14:paraId="73780CA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F8A363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entrevistados coinciden en que la dependencia de proveedores externos para la valoración de instrumentos financieros complejos es una práctica común entre los fondos de pensiones en Costa Rica, pero también reconocen que esta situación conlleva riesgos importantes. Señalan que, aunque la normativa permite el uso de precios y metodologías de proveedores externos, es fundamental que las entidades </w:t>
      </w:r>
      <w:r w:rsidRPr="002012E1">
        <w:rPr>
          <w:rFonts w:ascii="Arial" w:eastAsia="Calibri" w:hAnsi="Arial" w:cs="Arial"/>
          <w:kern w:val="0"/>
          <w:lang w:val="es-MX"/>
          <w14:ligatures w14:val="none"/>
        </w:rPr>
        <w:lastRenderedPageBreak/>
        <w:t>evalúen rigurosamente la fiabilidad y consistencia de estas valoraciones para evitar errores o sesgos que puedan afectar múltiples fondos simultáneamente.</w:t>
      </w:r>
    </w:p>
    <w:p w14:paraId="544EA3D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7F029F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los entrevistados advierten sobre la concentración en pocos proveedores, lo que puede generar riesgos sistémicos si alguno de ellos presenta fallas en sus modelos o metodologías. </w:t>
      </w:r>
    </w:p>
    <w:p w14:paraId="0388130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64DA80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dependencia también implica costos elevados, especialmente para fondos pequeños, limitando su acceso a valoraciones de alta calidad y generando desigualdades en la calidad de la información financiera entre diferentes fondos. </w:t>
      </w:r>
    </w:p>
    <w:p w14:paraId="3C34549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E9DC6E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ello, resaltan la importancia de que las administradoras mantengan capacidades internas para validar y supervisar críticamente las valoraciones externas, evitando una aceptación pasiva que podría comprometer la transparencia y la confianza.</w:t>
      </w:r>
    </w:p>
    <w:p w14:paraId="45E344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ACEC81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Finalmente, los entrevistados enfatizan que el equilibrio entre la externalización y el desarrollo de capacidades internas es clave para garantizar la integridad y calidad de las valoraciones. </w:t>
      </w:r>
    </w:p>
    <w:p w14:paraId="29DEDE0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5F81A1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Consideran que fortalecer el conocimiento técnico dentro de las entidades y mejorar los procesos de supervisión contribuye a proteger a los afiliados y a mantener la estabilidad del sistema financiero, asegurando que las valoraciones reflejen adecuadamente los riesgos y el valor real de los activos.</w:t>
      </w:r>
    </w:p>
    <w:p w14:paraId="7A0EC27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348548F" w14:textId="77777777" w:rsidR="00C51607" w:rsidRPr="002012E1" w:rsidRDefault="00C51607" w:rsidP="00C51607">
      <w:pPr>
        <w:pStyle w:val="apanivel4"/>
      </w:pPr>
      <w:r w:rsidRPr="002012E1">
        <w:t>Riesgo de contabilidad creativa por vacíos normativos</w:t>
      </w:r>
    </w:p>
    <w:p w14:paraId="28E0C44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vacíos o ambigüedades en la normativa contable, sumados a una fiscalización limitada, pueden facilitar prácticas de contabilidad creativa que distorsionan la realidad financiera. </w:t>
      </w:r>
    </w:p>
    <w:p w14:paraId="51D762F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FD536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Deloitte (2019) señala que “la subjetividad en la clasificación y valoración de instrumentos financieros puede ser utilizada para manipular resultados” (p. 22). Esto </w:t>
      </w:r>
      <w:r w:rsidRPr="002012E1">
        <w:rPr>
          <w:rFonts w:ascii="Arial" w:eastAsia="Calibri" w:hAnsi="Arial" w:cs="Arial"/>
          <w:kern w:val="0"/>
          <w:lang w:val="es-MX"/>
          <w14:ligatures w14:val="none"/>
        </w:rPr>
        <w:lastRenderedPageBreak/>
        <w:t>es especialmente preocupante en activos ilíquidos donde la valoración depende en gran medida de juicios y estimaciones.</w:t>
      </w:r>
    </w:p>
    <w:p w14:paraId="6775B24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44D3B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prácticas afectan la confianza de inversionistas y supervisores, dificultando la toma de decisiones informadas y aumentando el riesgo sistémico. Crowe Costa Rica (2023) resalta que “la transparencia y calidad de las revelaciones son fundamentales para mitigar riesgos de manipulación contable” (p. 7). Sin embargo, la efectividad de estas medidas depende de una supervisión rigurosa y sanciones adecuadas.</w:t>
      </w:r>
    </w:p>
    <w:p w14:paraId="507AD45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31FF8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normativa ha fortalecido los requisitos de revelación y auditoría para reducir estos riesgos, pero su aplicación práctica varía entre entidades. La NIIF 9 enfatiza que “los auditores deben evaluar la razonabilidad de los supuestos y modelos utilizados en las mediciones” (Deloitte, 2019, p. 23), lo que requiere capacidades técnicas avanzadas y enfoque crítico.</w:t>
      </w:r>
    </w:p>
    <w:p w14:paraId="0024AEA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4D9A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falta de recursos técnicos y humanos en algunos fondos limita la capacidad para detectar y corregir estas prácticas, aumentando la vulnerabilidad del sistema. CONASSIF (2023) advierte que “la supervisión debe ser proactiva para identificar y sancionar desviaciones en la aplicación normativa” (p. 22).</w:t>
      </w:r>
    </w:p>
    <w:p w14:paraId="2E33E6C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28E87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 respecto a la prevención del riesgo de contabilidad creativa requiere no solo normas claras, sino también una cultura organizacional ética y un compromiso firme de reguladores y auditores para garantizar la integridad de la información financiera.</w:t>
      </w:r>
    </w:p>
    <w:p w14:paraId="746A110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1C8C3E" w14:textId="77777777" w:rsidR="00C51607" w:rsidRPr="002012E1" w:rsidRDefault="00C51607" w:rsidP="00C51607">
      <w:pPr>
        <w:pStyle w:val="apanivel4"/>
      </w:pPr>
      <w:r w:rsidRPr="002012E1">
        <w:t>Dificultad para armonizar criterios entre fondos públicos y privados</w:t>
      </w:r>
    </w:p>
    <w:p w14:paraId="763CF7A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coexistencia de fondos públicos y privados con diferentes marcos normativos y objetivos genera dificultades para armonizar criterios contables y de valoración. CONASSIF (2023) señala que “la disparidad en la aplicación de normas entre sectores limita la comparabilidad y dificulta la supervisión integral” (p. 24). Mientras </w:t>
      </w:r>
      <w:r w:rsidRPr="002012E1">
        <w:rPr>
          <w:rFonts w:ascii="Arial" w:eastAsia="Calibri" w:hAnsi="Arial" w:cs="Arial"/>
          <w:kern w:val="0"/>
          <w:lang w:val="es-MX"/>
          <w14:ligatures w14:val="none"/>
        </w:rPr>
        <w:lastRenderedPageBreak/>
        <w:t>los fondos privados suelen adoptar plenamente NIIF, los públicos pueden aplicar normativas locales menos estrictas o con enfoques distintos.</w:t>
      </w:r>
    </w:p>
    <w:p w14:paraId="1BF6507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7983B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situación genera asimetrías en la presentación de resultados y en la medición del riesgo, afectando la transparencia y confianza en el sistema de inversión colectiva; es decir, los fondos públicos enfrentan presiones políticas que pueden influir en la aplicación de la normativa, retrasando el reconocimiento de pérdidas o ajustes necesarios. Crowe Costa Rica (2023) señala que “la armonización requiere coordinación entre reguladores y voluntad política para establecer un marco común” (p. 8).</w:t>
      </w:r>
    </w:p>
    <w:p w14:paraId="77BF4DA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112429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falta de criterios homogéneos dificulta la comparación entre fondos y la evaluación del desempeño, lo que puede afectar la toma de decisiones de los inversionistas y la supervisión regulatoria. CONASSIF (2023) enfatiza que “la armonización contable es un proceso gradual que demanda recursos, consenso y compromiso institucional” (p. 25).</w:t>
      </w:r>
    </w:p>
    <w:p w14:paraId="3491E67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421E0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Luego, avanzar hacia estándares unificados es fundamental para fortalecer la transparencia, eficiencia y estabilidad del sistema financiero, facilitando la supervisión y confianza de los usuarios. La convergencia normativa debe ser una prioridad para reguladores y actores del mercado.</w:t>
      </w:r>
    </w:p>
    <w:p w14:paraId="6F86882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2263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síntesis, la armonización contribuye a una mejor gestión del riesgo sistémico y a la protección de los afiliados, objetivos centrales para la sostenibilidad del sistema de pensiones en Costa Rica.</w:t>
      </w:r>
    </w:p>
    <w:p w14:paraId="1D3F3275" w14:textId="77777777" w:rsidR="00C51607" w:rsidRDefault="00C51607" w:rsidP="00C51607">
      <w:pPr>
        <w:spacing w:after="0" w:line="360" w:lineRule="auto"/>
        <w:jc w:val="both"/>
        <w:rPr>
          <w:rFonts w:ascii="Arial" w:eastAsia="Calibri" w:hAnsi="Arial" w:cs="Arial"/>
          <w:kern w:val="0"/>
          <w:lang w:val="es-MX"/>
          <w14:ligatures w14:val="none"/>
        </w:rPr>
      </w:pPr>
    </w:p>
    <w:p w14:paraId="1C7F7D96" w14:textId="77777777" w:rsidR="00C51607" w:rsidRDefault="00C51607" w:rsidP="00C51607">
      <w:pPr>
        <w:spacing w:after="0" w:line="360" w:lineRule="auto"/>
        <w:jc w:val="both"/>
        <w:rPr>
          <w:rFonts w:ascii="Arial" w:eastAsia="Calibri" w:hAnsi="Arial" w:cs="Arial"/>
          <w:kern w:val="0"/>
          <w:lang w:val="es-MX"/>
          <w14:ligatures w14:val="none"/>
        </w:rPr>
      </w:pPr>
    </w:p>
    <w:p w14:paraId="6201971E" w14:textId="77777777" w:rsidR="00C51607" w:rsidRDefault="00C51607" w:rsidP="00C51607">
      <w:pPr>
        <w:spacing w:after="0" w:line="360" w:lineRule="auto"/>
        <w:jc w:val="both"/>
        <w:rPr>
          <w:rFonts w:ascii="Arial" w:eastAsia="Calibri" w:hAnsi="Arial" w:cs="Arial"/>
          <w:kern w:val="0"/>
          <w:lang w:val="es-MX"/>
          <w14:ligatures w14:val="none"/>
        </w:rPr>
      </w:pPr>
    </w:p>
    <w:p w14:paraId="720F3981" w14:textId="77777777" w:rsidR="00C51607" w:rsidRDefault="00C51607" w:rsidP="00C51607">
      <w:pPr>
        <w:spacing w:after="0" w:line="360" w:lineRule="auto"/>
        <w:jc w:val="both"/>
        <w:rPr>
          <w:rFonts w:ascii="Arial" w:eastAsia="Calibri" w:hAnsi="Arial" w:cs="Arial"/>
          <w:kern w:val="0"/>
          <w:lang w:val="es-MX"/>
          <w14:ligatures w14:val="none"/>
        </w:rPr>
      </w:pPr>
    </w:p>
    <w:p w14:paraId="4D1E016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278EED" w14:textId="494847FE" w:rsidR="00C51607" w:rsidRPr="002012E1" w:rsidRDefault="00C51607" w:rsidP="00C51607">
      <w:pPr>
        <w:spacing w:line="360" w:lineRule="auto"/>
        <w:jc w:val="both"/>
        <w:rPr>
          <w:rFonts w:ascii="Arial" w:eastAsia="Calibri" w:hAnsi="Arial" w:cs="Arial"/>
          <w:b/>
          <w:bCs/>
          <w:kern w:val="0"/>
          <w14:ligatures w14:val="none"/>
        </w:rPr>
      </w:pPr>
      <w:bookmarkStart w:id="114" w:name="_Toc201322523"/>
      <w:r w:rsidRPr="002012E1">
        <w:rPr>
          <w:rFonts w:ascii="Arial" w:eastAsia="Calibri" w:hAnsi="Arial" w:cs="Arial"/>
          <w:b/>
          <w:bCs/>
          <w:i/>
          <w:i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20</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Matriz Comparativa de las Operadoras de Pensiones: Limitantes y Desafíos</w:t>
      </w:r>
      <w:bookmarkEnd w:id="114"/>
    </w:p>
    <w:tbl>
      <w:tblPr>
        <w:tblStyle w:val="Tablaconcuadrcula1"/>
        <w:tblW w:w="0" w:type="auto"/>
        <w:tblInd w:w="0" w:type="dxa"/>
        <w:tblLook w:val="04A0" w:firstRow="1" w:lastRow="0" w:firstColumn="1" w:lastColumn="0" w:noHBand="0" w:noVBand="1"/>
      </w:tblPr>
      <w:tblGrid>
        <w:gridCol w:w="1457"/>
        <w:gridCol w:w="2226"/>
        <w:gridCol w:w="2242"/>
        <w:gridCol w:w="2903"/>
      </w:tblGrid>
      <w:tr w:rsidR="00C51607" w:rsidRPr="002012E1" w14:paraId="540A6EC9" w14:textId="77777777" w:rsidTr="005C1607">
        <w:tc>
          <w:tcPr>
            <w:tcW w:w="0" w:type="auto"/>
            <w:vAlign w:val="center"/>
          </w:tcPr>
          <w:p w14:paraId="6FA2E5C6" w14:textId="77777777" w:rsidR="00C51607" w:rsidRPr="002012E1" w:rsidRDefault="00C51607" w:rsidP="005C1607">
            <w:pPr>
              <w:spacing w:after="160" w:line="360" w:lineRule="auto"/>
              <w:jc w:val="center"/>
              <w:rPr>
                <w:rFonts w:eastAsia="Calibri"/>
                <w:b/>
                <w:bCs/>
              </w:rPr>
            </w:pPr>
            <w:r w:rsidRPr="002012E1">
              <w:rPr>
                <w:rFonts w:eastAsia="Calibri"/>
                <w:b/>
                <w:bCs/>
              </w:rPr>
              <w:t>Operadora</w:t>
            </w:r>
          </w:p>
        </w:tc>
        <w:tc>
          <w:tcPr>
            <w:tcW w:w="0" w:type="auto"/>
            <w:vAlign w:val="center"/>
          </w:tcPr>
          <w:p w14:paraId="5755C84D" w14:textId="77777777" w:rsidR="00C51607" w:rsidRPr="002012E1" w:rsidRDefault="00C51607" w:rsidP="005C1607">
            <w:pPr>
              <w:spacing w:after="160" w:line="360" w:lineRule="auto"/>
              <w:jc w:val="center"/>
              <w:rPr>
                <w:rFonts w:eastAsia="Calibri"/>
                <w:b/>
                <w:bCs/>
              </w:rPr>
            </w:pPr>
            <w:r w:rsidRPr="002012E1">
              <w:rPr>
                <w:rFonts w:eastAsia="Calibri"/>
                <w:b/>
                <w:bCs/>
              </w:rPr>
              <w:t>Limitantes encontradas</w:t>
            </w:r>
          </w:p>
        </w:tc>
        <w:tc>
          <w:tcPr>
            <w:tcW w:w="0" w:type="auto"/>
            <w:vAlign w:val="center"/>
          </w:tcPr>
          <w:p w14:paraId="10F2170E" w14:textId="77777777" w:rsidR="00C51607" w:rsidRPr="002012E1" w:rsidRDefault="00C51607" w:rsidP="005C1607">
            <w:pPr>
              <w:spacing w:after="160" w:line="360" w:lineRule="auto"/>
              <w:jc w:val="center"/>
              <w:rPr>
                <w:rFonts w:eastAsia="Calibri"/>
                <w:b/>
                <w:bCs/>
              </w:rPr>
            </w:pPr>
            <w:r w:rsidRPr="002012E1">
              <w:rPr>
                <w:rFonts w:eastAsia="Calibri"/>
                <w:b/>
                <w:bCs/>
              </w:rPr>
              <w:t>Desafíos encontrados</w:t>
            </w:r>
          </w:p>
        </w:tc>
        <w:tc>
          <w:tcPr>
            <w:tcW w:w="0" w:type="auto"/>
            <w:vAlign w:val="center"/>
          </w:tcPr>
          <w:p w14:paraId="326B28D6" w14:textId="77777777" w:rsidR="00C51607" w:rsidRPr="002012E1" w:rsidRDefault="00C51607" w:rsidP="005C1607">
            <w:pPr>
              <w:spacing w:after="160" w:line="360" w:lineRule="auto"/>
              <w:jc w:val="center"/>
              <w:rPr>
                <w:rFonts w:eastAsia="Calibri"/>
                <w:b/>
                <w:bCs/>
              </w:rPr>
            </w:pPr>
            <w:r w:rsidRPr="002012E1">
              <w:rPr>
                <w:rFonts w:eastAsia="Calibri"/>
                <w:b/>
                <w:bCs/>
              </w:rPr>
              <w:t>Justificación</w:t>
            </w:r>
          </w:p>
        </w:tc>
      </w:tr>
      <w:tr w:rsidR="00C51607" w:rsidRPr="002012E1" w14:paraId="61FA580F" w14:textId="77777777" w:rsidTr="005C1607">
        <w:tc>
          <w:tcPr>
            <w:tcW w:w="0" w:type="auto"/>
            <w:vAlign w:val="center"/>
          </w:tcPr>
          <w:p w14:paraId="2F48F514" w14:textId="77777777" w:rsidR="00C51607" w:rsidRPr="002012E1" w:rsidRDefault="00C51607" w:rsidP="005C1607">
            <w:pPr>
              <w:spacing w:after="160" w:line="360" w:lineRule="auto"/>
              <w:jc w:val="center"/>
              <w:rPr>
                <w:rFonts w:eastAsia="Calibri"/>
              </w:rPr>
            </w:pPr>
            <w:r w:rsidRPr="002012E1">
              <w:rPr>
                <w:rFonts w:eastAsia="Calibri"/>
              </w:rPr>
              <w:t>Popular Pensiones</w:t>
            </w:r>
          </w:p>
        </w:tc>
        <w:tc>
          <w:tcPr>
            <w:tcW w:w="0" w:type="auto"/>
            <w:vAlign w:val="center"/>
          </w:tcPr>
          <w:p w14:paraId="1CEED4DD" w14:textId="77777777" w:rsidR="00C51607" w:rsidRPr="002012E1" w:rsidRDefault="00C51607" w:rsidP="005C1607">
            <w:pPr>
              <w:spacing w:after="160" w:line="360" w:lineRule="auto"/>
              <w:jc w:val="center"/>
              <w:rPr>
                <w:rFonts w:eastAsia="Calibri"/>
              </w:rPr>
            </w:pPr>
            <w:r w:rsidRPr="002012E1">
              <w:rPr>
                <w:rFonts w:eastAsia="Calibri"/>
              </w:rPr>
              <w:t>Alta concentración de afiliados con montos menores de ahorro promedio, limitando la eficiencia operativa.</w:t>
            </w:r>
          </w:p>
        </w:tc>
        <w:tc>
          <w:tcPr>
            <w:tcW w:w="0" w:type="auto"/>
            <w:vAlign w:val="center"/>
          </w:tcPr>
          <w:p w14:paraId="1168D889" w14:textId="77777777" w:rsidR="00C51607" w:rsidRPr="002012E1" w:rsidRDefault="00C51607" w:rsidP="005C1607">
            <w:pPr>
              <w:spacing w:after="160" w:line="360" w:lineRule="auto"/>
              <w:jc w:val="center"/>
              <w:rPr>
                <w:rFonts w:eastAsia="Calibri"/>
              </w:rPr>
            </w:pPr>
            <w:r w:rsidRPr="002012E1">
              <w:rPr>
                <w:rFonts w:eastAsia="Calibri"/>
              </w:rPr>
              <w:t>Adaptación a la reforma del Régimen Obligatorio de Pensiones (ROP) y transición a fondos generacionales.</w:t>
            </w:r>
          </w:p>
        </w:tc>
        <w:tc>
          <w:tcPr>
            <w:tcW w:w="0" w:type="auto"/>
            <w:vAlign w:val="center"/>
          </w:tcPr>
          <w:p w14:paraId="7E47C6B9" w14:textId="77777777" w:rsidR="00C51607" w:rsidRPr="002012E1" w:rsidRDefault="00C51607" w:rsidP="005C1607">
            <w:pPr>
              <w:spacing w:after="160" w:line="360" w:lineRule="auto"/>
              <w:jc w:val="center"/>
              <w:rPr>
                <w:rFonts w:eastAsia="Calibri"/>
              </w:rPr>
            </w:pPr>
            <w:r w:rsidRPr="002012E1">
              <w:rPr>
                <w:rFonts w:eastAsia="Calibri"/>
              </w:rPr>
              <w:t xml:space="preserve">“El 65% de los afiliados tienen montos de ahorro inferiores a 1 millón de colones, lo que dificulta la eficiencia en la gestión operativa” (SUPEN, 2025, p. 12). </w:t>
            </w:r>
          </w:p>
          <w:p w14:paraId="229FA7F0" w14:textId="77777777" w:rsidR="00C51607" w:rsidRPr="002012E1" w:rsidRDefault="00C51607" w:rsidP="005C1607">
            <w:pPr>
              <w:spacing w:after="160" w:line="360" w:lineRule="auto"/>
              <w:jc w:val="center"/>
              <w:rPr>
                <w:rFonts w:eastAsia="Calibri"/>
              </w:rPr>
            </w:pPr>
            <w:r w:rsidRPr="002012E1">
              <w:rPr>
                <w:rFonts w:eastAsia="Calibri"/>
              </w:rPr>
              <w:t>“La implementación del modelo de fondos generacionales, con un avance del 80% para abril de 2025, requiere modernización tecnológica para segmentar inversiones por edad” (Heinsohn, 2025, p. 3).</w:t>
            </w:r>
          </w:p>
        </w:tc>
      </w:tr>
      <w:tr w:rsidR="00C51607" w:rsidRPr="002012E1" w14:paraId="595A7864" w14:textId="77777777" w:rsidTr="005C1607">
        <w:tc>
          <w:tcPr>
            <w:tcW w:w="0" w:type="auto"/>
            <w:vAlign w:val="center"/>
          </w:tcPr>
          <w:p w14:paraId="5C11284A" w14:textId="77777777" w:rsidR="00C51607" w:rsidRPr="002012E1" w:rsidRDefault="00C51607" w:rsidP="005C1607">
            <w:pPr>
              <w:spacing w:after="160" w:line="360" w:lineRule="auto"/>
              <w:jc w:val="center"/>
              <w:rPr>
                <w:rFonts w:eastAsia="Calibri"/>
              </w:rPr>
            </w:pPr>
            <w:r w:rsidRPr="002012E1">
              <w:rPr>
                <w:rFonts w:eastAsia="Calibri"/>
              </w:rPr>
              <w:t>BN Vital</w:t>
            </w:r>
          </w:p>
        </w:tc>
        <w:tc>
          <w:tcPr>
            <w:tcW w:w="0" w:type="auto"/>
            <w:vAlign w:val="center"/>
          </w:tcPr>
          <w:p w14:paraId="19438DDB" w14:textId="77777777" w:rsidR="00C51607" w:rsidRPr="002012E1" w:rsidRDefault="00C51607" w:rsidP="005C1607">
            <w:pPr>
              <w:spacing w:after="160" w:line="360" w:lineRule="auto"/>
              <w:jc w:val="center"/>
              <w:rPr>
                <w:rFonts w:eastAsia="Calibri"/>
              </w:rPr>
            </w:pPr>
            <w:r w:rsidRPr="002012E1">
              <w:rPr>
                <w:rFonts w:eastAsia="Calibri"/>
              </w:rPr>
              <w:t>Limitaciones en recursos técnicos y humanos para implementar modelos avanzados de valoración y gestión.</w:t>
            </w:r>
          </w:p>
        </w:tc>
        <w:tc>
          <w:tcPr>
            <w:tcW w:w="0" w:type="auto"/>
            <w:vAlign w:val="center"/>
          </w:tcPr>
          <w:p w14:paraId="4FA5BE69" w14:textId="77777777" w:rsidR="00C51607" w:rsidRPr="002012E1" w:rsidRDefault="00C51607" w:rsidP="005C1607">
            <w:pPr>
              <w:spacing w:after="160" w:line="360" w:lineRule="auto"/>
              <w:jc w:val="center"/>
              <w:rPr>
                <w:rFonts w:eastAsia="Calibri"/>
              </w:rPr>
            </w:pPr>
            <w:r w:rsidRPr="002012E1">
              <w:rPr>
                <w:rFonts w:eastAsia="Calibri"/>
              </w:rPr>
              <w:t>Competir en un mercado con alta volatilidad y bajas tasas de rendimiento, exigiendo mejoras operativas.</w:t>
            </w:r>
          </w:p>
        </w:tc>
        <w:tc>
          <w:tcPr>
            <w:tcW w:w="0" w:type="auto"/>
            <w:vAlign w:val="center"/>
          </w:tcPr>
          <w:p w14:paraId="2486904C" w14:textId="77777777" w:rsidR="00C51607" w:rsidRPr="002012E1" w:rsidRDefault="00C51607" w:rsidP="005C1607">
            <w:pPr>
              <w:spacing w:after="160" w:line="360" w:lineRule="auto"/>
              <w:jc w:val="center"/>
              <w:rPr>
                <w:rFonts w:eastAsia="Calibri"/>
              </w:rPr>
            </w:pPr>
            <w:r w:rsidRPr="002012E1">
              <w:rPr>
                <w:rFonts w:eastAsia="Calibri"/>
              </w:rPr>
              <w:t xml:space="preserve">“La volatilidad del mercado global y local ha reducido los rendimientos promedio a niveles inferiores al 4% anual, lo que presiona a las operadoras a mejorar eficiencia y gestión de </w:t>
            </w:r>
            <w:r w:rsidRPr="002012E1">
              <w:rPr>
                <w:rFonts w:eastAsia="Calibri"/>
              </w:rPr>
              <w:lastRenderedPageBreak/>
              <w:t>riesgos” (Semanario Universidad, 2025, p. 5). La falta de personal capacitado limita la adopción de modelos sofisticados para mitigar estos riesgos.</w:t>
            </w:r>
          </w:p>
        </w:tc>
      </w:tr>
      <w:tr w:rsidR="00C51607" w:rsidRPr="002012E1" w14:paraId="60525564" w14:textId="77777777" w:rsidTr="005C1607">
        <w:tc>
          <w:tcPr>
            <w:tcW w:w="0" w:type="auto"/>
            <w:vAlign w:val="center"/>
          </w:tcPr>
          <w:p w14:paraId="7EC98AC9" w14:textId="77777777" w:rsidR="00C51607" w:rsidRPr="002012E1" w:rsidRDefault="00C51607" w:rsidP="005C1607">
            <w:pPr>
              <w:spacing w:after="160" w:line="360" w:lineRule="auto"/>
              <w:jc w:val="center"/>
              <w:rPr>
                <w:rFonts w:eastAsia="Calibri"/>
              </w:rPr>
            </w:pPr>
            <w:r w:rsidRPr="002012E1">
              <w:rPr>
                <w:rFonts w:eastAsia="Calibri"/>
              </w:rPr>
              <w:t>BCR Pensiones</w:t>
            </w:r>
          </w:p>
        </w:tc>
        <w:tc>
          <w:tcPr>
            <w:tcW w:w="0" w:type="auto"/>
            <w:vAlign w:val="center"/>
          </w:tcPr>
          <w:p w14:paraId="14DE47E5" w14:textId="77777777" w:rsidR="00C51607" w:rsidRPr="002012E1" w:rsidRDefault="00C51607" w:rsidP="005C1607">
            <w:pPr>
              <w:spacing w:after="160" w:line="360" w:lineRule="auto"/>
              <w:jc w:val="center"/>
              <w:rPr>
                <w:rFonts w:eastAsia="Calibri"/>
              </w:rPr>
            </w:pPr>
            <w:r w:rsidRPr="002012E1">
              <w:rPr>
                <w:rFonts w:eastAsia="Calibri"/>
              </w:rPr>
              <w:t>Sistemas de información poco integrados que dificultan automatización y trazabilidad de datos.</w:t>
            </w:r>
          </w:p>
        </w:tc>
        <w:tc>
          <w:tcPr>
            <w:tcW w:w="0" w:type="auto"/>
            <w:vAlign w:val="center"/>
          </w:tcPr>
          <w:p w14:paraId="2E78CDDF" w14:textId="77777777" w:rsidR="00C51607" w:rsidRPr="002012E1" w:rsidRDefault="00C51607" w:rsidP="005C1607">
            <w:pPr>
              <w:spacing w:after="160" w:line="360" w:lineRule="auto"/>
              <w:jc w:val="center"/>
              <w:rPr>
                <w:rFonts w:eastAsia="Calibri"/>
              </w:rPr>
            </w:pPr>
            <w:r w:rsidRPr="002012E1">
              <w:rPr>
                <w:rFonts w:eastAsia="Calibri"/>
              </w:rPr>
              <w:t>Implementar tecnologías para cumplir nuevas exigencias regulatorias y optimizar gestión integral.</w:t>
            </w:r>
          </w:p>
        </w:tc>
        <w:tc>
          <w:tcPr>
            <w:tcW w:w="0" w:type="auto"/>
            <w:vAlign w:val="center"/>
          </w:tcPr>
          <w:p w14:paraId="6B7EA7E5" w14:textId="77777777" w:rsidR="00C51607" w:rsidRPr="002012E1" w:rsidRDefault="00C51607" w:rsidP="005C1607">
            <w:pPr>
              <w:spacing w:line="360" w:lineRule="auto"/>
              <w:jc w:val="center"/>
              <w:rPr>
                <w:rFonts w:eastAsia="Calibri"/>
              </w:rPr>
            </w:pPr>
            <w:r w:rsidRPr="002012E1">
              <w:rPr>
                <w:rFonts w:eastAsia="Calibri"/>
              </w:rPr>
              <w:t>Según el boletín SUPEN (2025, p. 8) “el 70% de las operadoras enfrentan problemas de integración de sistemas, lo que afecta la confiabilidad y trazabilidad de la información financiera”.</w:t>
            </w:r>
          </w:p>
          <w:p w14:paraId="74FBEBC2" w14:textId="77777777" w:rsidR="00C51607" w:rsidRPr="002012E1" w:rsidRDefault="00C51607" w:rsidP="005C1607">
            <w:pPr>
              <w:spacing w:line="360" w:lineRule="auto"/>
              <w:jc w:val="center"/>
              <w:rPr>
                <w:rFonts w:eastAsia="Calibri"/>
              </w:rPr>
            </w:pPr>
          </w:p>
          <w:p w14:paraId="7F905D25" w14:textId="77777777" w:rsidR="00C51607" w:rsidRPr="002012E1" w:rsidRDefault="00C51607" w:rsidP="005C1607">
            <w:pPr>
              <w:spacing w:line="360" w:lineRule="auto"/>
              <w:jc w:val="center"/>
              <w:rPr>
                <w:rFonts w:eastAsia="Calibri"/>
              </w:rPr>
            </w:pPr>
            <w:r w:rsidRPr="002012E1">
              <w:rPr>
                <w:rFonts w:eastAsia="Calibri"/>
              </w:rPr>
              <w:t>“La reforma del ROP exige reportes más detallados y en tiempo real, aumentando la necesidad de sistemas integrados y automatizados” (Heinsohn, 2025, p. 4).</w:t>
            </w:r>
          </w:p>
        </w:tc>
      </w:tr>
      <w:tr w:rsidR="00C51607" w:rsidRPr="002012E1" w14:paraId="554DDB87" w14:textId="77777777" w:rsidTr="005C1607">
        <w:tc>
          <w:tcPr>
            <w:tcW w:w="0" w:type="auto"/>
            <w:vAlign w:val="center"/>
          </w:tcPr>
          <w:p w14:paraId="51A2CE65" w14:textId="77777777" w:rsidR="00C51607" w:rsidRPr="002012E1" w:rsidRDefault="00C51607" w:rsidP="005C1607">
            <w:pPr>
              <w:spacing w:after="160" w:line="360" w:lineRule="auto"/>
              <w:jc w:val="center"/>
              <w:rPr>
                <w:rFonts w:eastAsia="Calibri"/>
              </w:rPr>
            </w:pPr>
            <w:r w:rsidRPr="002012E1">
              <w:rPr>
                <w:rFonts w:eastAsia="Calibri"/>
              </w:rPr>
              <w:t>BAC Pensiones</w:t>
            </w:r>
          </w:p>
        </w:tc>
        <w:tc>
          <w:tcPr>
            <w:tcW w:w="0" w:type="auto"/>
            <w:vAlign w:val="center"/>
          </w:tcPr>
          <w:p w14:paraId="6DD4D633" w14:textId="77777777" w:rsidR="00C51607" w:rsidRPr="002012E1" w:rsidRDefault="00C51607" w:rsidP="005C1607">
            <w:pPr>
              <w:spacing w:after="160" w:line="360" w:lineRule="auto"/>
              <w:jc w:val="center"/>
              <w:rPr>
                <w:rFonts w:eastAsia="Calibri"/>
              </w:rPr>
            </w:pPr>
            <w:r w:rsidRPr="002012E1">
              <w:rPr>
                <w:rFonts w:eastAsia="Calibri"/>
              </w:rPr>
              <w:t xml:space="preserve">Dependencia significativa de fuentes externas para valoración de activos ilíquidos, </w:t>
            </w:r>
            <w:r w:rsidRPr="002012E1">
              <w:rPr>
                <w:rFonts w:eastAsia="Calibri"/>
              </w:rPr>
              <w:lastRenderedPageBreak/>
              <w:t>limitando autonomía.</w:t>
            </w:r>
          </w:p>
        </w:tc>
        <w:tc>
          <w:tcPr>
            <w:tcW w:w="0" w:type="auto"/>
            <w:vAlign w:val="center"/>
          </w:tcPr>
          <w:p w14:paraId="192A56BE" w14:textId="77777777" w:rsidR="00C51607" w:rsidRPr="002012E1" w:rsidRDefault="00C51607" w:rsidP="005C1607">
            <w:pPr>
              <w:spacing w:after="160" w:line="360" w:lineRule="auto"/>
              <w:jc w:val="center"/>
              <w:rPr>
                <w:rFonts w:eastAsia="Calibri"/>
              </w:rPr>
            </w:pPr>
            <w:r w:rsidRPr="002012E1">
              <w:rPr>
                <w:rFonts w:eastAsia="Calibri"/>
              </w:rPr>
              <w:lastRenderedPageBreak/>
              <w:t xml:space="preserve">Adaptación a cambios regulatorios, mejora en transparencia y </w:t>
            </w:r>
            <w:r w:rsidRPr="002012E1">
              <w:rPr>
                <w:rFonts w:eastAsia="Calibri"/>
              </w:rPr>
              <w:lastRenderedPageBreak/>
              <w:t>optimización de procesos para supervisión.</w:t>
            </w:r>
          </w:p>
        </w:tc>
        <w:tc>
          <w:tcPr>
            <w:tcW w:w="0" w:type="auto"/>
            <w:vAlign w:val="center"/>
          </w:tcPr>
          <w:p w14:paraId="084E8660" w14:textId="77777777" w:rsidR="00C51607" w:rsidRPr="002012E1" w:rsidRDefault="00C51607" w:rsidP="005C1607">
            <w:pPr>
              <w:spacing w:line="360" w:lineRule="auto"/>
              <w:jc w:val="center"/>
              <w:rPr>
                <w:rFonts w:eastAsia="Calibri"/>
              </w:rPr>
            </w:pPr>
            <w:r w:rsidRPr="002012E1">
              <w:rPr>
                <w:rFonts w:eastAsia="Calibri"/>
              </w:rPr>
              <w:lastRenderedPageBreak/>
              <w:t xml:space="preserve">“La reciente apertura del 10% del portafolio a inversiones internacionales por un monto aproximado de </w:t>
            </w:r>
            <w:r w:rsidRPr="002012E1">
              <w:rPr>
                <w:rFonts w:eastAsia="Calibri"/>
              </w:rPr>
              <w:lastRenderedPageBreak/>
              <w:t xml:space="preserve">2.7 billones de colones” (CCSS, 2025, p. 7) ha incrementado la necesidad de valoraciones precisas y autónomas. </w:t>
            </w:r>
          </w:p>
          <w:p w14:paraId="4785D210" w14:textId="77777777" w:rsidR="00C51607" w:rsidRPr="002012E1" w:rsidRDefault="00C51607" w:rsidP="005C1607">
            <w:pPr>
              <w:spacing w:line="360" w:lineRule="auto"/>
              <w:jc w:val="center"/>
              <w:rPr>
                <w:rFonts w:eastAsia="Calibri"/>
              </w:rPr>
            </w:pPr>
          </w:p>
          <w:p w14:paraId="73D88AB3" w14:textId="77777777" w:rsidR="00C51607" w:rsidRPr="002012E1" w:rsidRDefault="00C51607" w:rsidP="005C1607">
            <w:pPr>
              <w:spacing w:line="360" w:lineRule="auto"/>
              <w:jc w:val="center"/>
              <w:rPr>
                <w:rFonts w:eastAsia="Calibri"/>
              </w:rPr>
            </w:pPr>
            <w:r w:rsidRPr="002012E1">
              <w:rPr>
                <w:rFonts w:eastAsia="Calibri"/>
              </w:rPr>
              <w:t>“La dependencia de terceros para activos ilíquidos afecta la capacidad de respuesta ante supervisión y riesgos cambiarios” (Semanario Universidad, 2025, p. 6).</w:t>
            </w:r>
          </w:p>
        </w:tc>
      </w:tr>
      <w:tr w:rsidR="00C51607" w:rsidRPr="002012E1" w14:paraId="6681CF9F" w14:textId="77777777" w:rsidTr="005C1607">
        <w:tc>
          <w:tcPr>
            <w:tcW w:w="0" w:type="auto"/>
            <w:vAlign w:val="center"/>
          </w:tcPr>
          <w:p w14:paraId="26EBB677" w14:textId="77777777" w:rsidR="00C51607" w:rsidRPr="002012E1" w:rsidRDefault="00C51607" w:rsidP="005C1607">
            <w:pPr>
              <w:spacing w:after="160" w:line="360" w:lineRule="auto"/>
              <w:jc w:val="center"/>
              <w:rPr>
                <w:rFonts w:eastAsia="Calibri"/>
              </w:rPr>
            </w:pPr>
            <w:r w:rsidRPr="002012E1">
              <w:rPr>
                <w:rFonts w:eastAsia="Calibri"/>
              </w:rPr>
              <w:t>Vida Plena</w:t>
            </w:r>
          </w:p>
        </w:tc>
        <w:tc>
          <w:tcPr>
            <w:tcW w:w="0" w:type="auto"/>
            <w:vAlign w:val="center"/>
          </w:tcPr>
          <w:p w14:paraId="3BC3C6B3" w14:textId="77777777" w:rsidR="00C51607" w:rsidRPr="002012E1" w:rsidRDefault="00C51607" w:rsidP="005C1607">
            <w:pPr>
              <w:spacing w:after="160" w:line="360" w:lineRule="auto"/>
              <w:jc w:val="center"/>
              <w:rPr>
                <w:rFonts w:eastAsia="Calibri"/>
              </w:rPr>
            </w:pPr>
            <w:r w:rsidRPr="002012E1">
              <w:rPr>
                <w:rFonts w:eastAsia="Calibri"/>
              </w:rPr>
              <w:t>Menor tamaño y participación en el mercado, limitando economías de escala para inversión en tecnología.</w:t>
            </w:r>
          </w:p>
        </w:tc>
        <w:tc>
          <w:tcPr>
            <w:tcW w:w="0" w:type="auto"/>
            <w:vAlign w:val="center"/>
          </w:tcPr>
          <w:p w14:paraId="60AAA834" w14:textId="77777777" w:rsidR="00C51607" w:rsidRPr="002012E1" w:rsidRDefault="00C51607" w:rsidP="005C1607">
            <w:pPr>
              <w:spacing w:after="160" w:line="360" w:lineRule="auto"/>
              <w:jc w:val="center"/>
              <w:rPr>
                <w:rFonts w:eastAsia="Calibri"/>
              </w:rPr>
            </w:pPr>
            <w:r w:rsidRPr="002012E1">
              <w:rPr>
                <w:rFonts w:eastAsia="Calibri"/>
              </w:rPr>
              <w:t>Necesidad de fortalecer capacidades técnicas para adaptarse a la reforma del ROP y exigencias supervisión.</w:t>
            </w:r>
          </w:p>
        </w:tc>
        <w:tc>
          <w:tcPr>
            <w:tcW w:w="0" w:type="auto"/>
            <w:vAlign w:val="center"/>
          </w:tcPr>
          <w:p w14:paraId="0E03B14E" w14:textId="77777777" w:rsidR="00C51607" w:rsidRPr="002012E1" w:rsidRDefault="00C51607" w:rsidP="005C1607">
            <w:pPr>
              <w:spacing w:line="360" w:lineRule="auto"/>
              <w:jc w:val="center"/>
              <w:rPr>
                <w:rFonts w:eastAsia="Calibri"/>
              </w:rPr>
            </w:pPr>
            <w:r w:rsidRPr="002012E1">
              <w:rPr>
                <w:rFonts w:eastAsia="Calibri"/>
              </w:rPr>
              <w:t xml:space="preserve">“Vida Plena representa menos del 10% del mercado, lo que dificulta inversiones significativas en tecnología y capacitación” (SUPEN, 2025, p. 15). </w:t>
            </w:r>
          </w:p>
          <w:p w14:paraId="3EB5ABB8" w14:textId="77777777" w:rsidR="00C51607" w:rsidRPr="002012E1" w:rsidRDefault="00C51607" w:rsidP="005C1607">
            <w:pPr>
              <w:spacing w:line="360" w:lineRule="auto"/>
              <w:jc w:val="center"/>
              <w:rPr>
                <w:rFonts w:eastAsia="Calibri"/>
              </w:rPr>
            </w:pPr>
          </w:p>
          <w:p w14:paraId="5A897607" w14:textId="77777777" w:rsidR="00C51607" w:rsidRPr="002012E1" w:rsidRDefault="00C51607" w:rsidP="005C1607">
            <w:pPr>
              <w:spacing w:line="360" w:lineRule="auto"/>
              <w:jc w:val="center"/>
              <w:rPr>
                <w:rFonts w:eastAsia="Calibri"/>
              </w:rPr>
            </w:pPr>
            <w:r w:rsidRPr="002012E1">
              <w:rPr>
                <w:rFonts w:eastAsia="Calibri"/>
              </w:rPr>
              <w:t>“La reforma del ROP y la supervisión creciente requieren mayor inversión en recursos humanos y tecnológicos para cumplir con estándares regulatorios” (ACOP, 2024, p. 9).</w:t>
            </w:r>
          </w:p>
        </w:tc>
      </w:tr>
      <w:tr w:rsidR="00C51607" w:rsidRPr="002012E1" w14:paraId="2C5ED9E9" w14:textId="77777777" w:rsidTr="005C1607">
        <w:tc>
          <w:tcPr>
            <w:tcW w:w="0" w:type="auto"/>
            <w:vAlign w:val="center"/>
          </w:tcPr>
          <w:p w14:paraId="1D06E1E1" w14:textId="77777777" w:rsidR="00C51607" w:rsidRPr="002012E1" w:rsidRDefault="00C51607" w:rsidP="005C1607">
            <w:pPr>
              <w:spacing w:after="160" w:line="360" w:lineRule="auto"/>
              <w:jc w:val="center"/>
              <w:rPr>
                <w:rFonts w:eastAsia="Calibri"/>
              </w:rPr>
            </w:pPr>
            <w:r w:rsidRPr="002012E1">
              <w:rPr>
                <w:rFonts w:eastAsia="Calibri"/>
              </w:rPr>
              <w:lastRenderedPageBreak/>
              <w:t>OPC CCSS</w:t>
            </w:r>
          </w:p>
        </w:tc>
        <w:tc>
          <w:tcPr>
            <w:tcW w:w="0" w:type="auto"/>
            <w:vAlign w:val="center"/>
          </w:tcPr>
          <w:p w14:paraId="2C14236C" w14:textId="77777777" w:rsidR="00C51607" w:rsidRPr="002012E1" w:rsidRDefault="00C51607" w:rsidP="005C1607">
            <w:pPr>
              <w:spacing w:after="160" w:line="360" w:lineRule="auto"/>
              <w:jc w:val="center"/>
              <w:rPr>
                <w:rFonts w:eastAsia="Calibri"/>
              </w:rPr>
            </w:pPr>
            <w:r w:rsidRPr="002012E1">
              <w:rPr>
                <w:rFonts w:eastAsia="Calibri"/>
              </w:rPr>
              <w:t>Restricciones del sector público en agilidad para implementación tecnológica y limitaciones en personal.</w:t>
            </w:r>
          </w:p>
        </w:tc>
        <w:tc>
          <w:tcPr>
            <w:tcW w:w="0" w:type="auto"/>
            <w:vAlign w:val="center"/>
          </w:tcPr>
          <w:p w14:paraId="1B9F9FEF" w14:textId="77777777" w:rsidR="00C51607" w:rsidRPr="002012E1" w:rsidRDefault="00C51607" w:rsidP="005C1607">
            <w:pPr>
              <w:spacing w:after="160" w:line="360" w:lineRule="auto"/>
              <w:jc w:val="center"/>
              <w:rPr>
                <w:rFonts w:eastAsia="Calibri"/>
              </w:rPr>
            </w:pPr>
            <w:r w:rsidRPr="002012E1">
              <w:rPr>
                <w:rFonts w:eastAsia="Calibri"/>
              </w:rPr>
              <w:t>Gestionar el envejecimiento poblacional y presión sobre recursos, junto con modernización tecnológica.</w:t>
            </w:r>
          </w:p>
        </w:tc>
        <w:tc>
          <w:tcPr>
            <w:tcW w:w="0" w:type="auto"/>
            <w:vAlign w:val="center"/>
          </w:tcPr>
          <w:p w14:paraId="55C7420E" w14:textId="77777777" w:rsidR="00C51607" w:rsidRPr="002012E1" w:rsidRDefault="00C51607" w:rsidP="005C1607">
            <w:pPr>
              <w:spacing w:line="360" w:lineRule="auto"/>
              <w:jc w:val="center"/>
              <w:rPr>
                <w:rFonts w:eastAsia="Calibri"/>
              </w:rPr>
            </w:pPr>
            <w:r w:rsidRPr="002012E1">
              <w:rPr>
                <w:rFonts w:eastAsia="Calibri"/>
              </w:rPr>
              <w:t xml:space="preserve">“El envejecimiento demográfico en Costa Rica aumenta la proporción de pensionados, generando presión sobre el sistema IVM” (SUPEN, 2025, p. 4). </w:t>
            </w:r>
          </w:p>
          <w:p w14:paraId="583DEFB2" w14:textId="77777777" w:rsidR="00C51607" w:rsidRPr="002012E1" w:rsidRDefault="00C51607" w:rsidP="005C1607">
            <w:pPr>
              <w:spacing w:line="360" w:lineRule="auto"/>
              <w:jc w:val="center"/>
              <w:rPr>
                <w:rFonts w:eastAsia="Calibri"/>
              </w:rPr>
            </w:pPr>
          </w:p>
          <w:p w14:paraId="5B216CFC" w14:textId="77777777" w:rsidR="00C51607" w:rsidRPr="002012E1" w:rsidRDefault="00C51607" w:rsidP="005C1607">
            <w:pPr>
              <w:spacing w:line="360" w:lineRule="auto"/>
              <w:jc w:val="center"/>
              <w:rPr>
                <w:rFonts w:eastAsia="Calibri"/>
              </w:rPr>
            </w:pPr>
            <w:r w:rsidRPr="002012E1">
              <w:rPr>
                <w:rFonts w:eastAsia="Calibri"/>
              </w:rPr>
              <w:t>“Las limitaciones burocráticas ralentizan la adopción tecnológica necesaria para mejorar la eficiencia y sostenibilidad del sistema” (Academia Centroamérica, 2020, p. 9).</w:t>
            </w:r>
          </w:p>
        </w:tc>
      </w:tr>
    </w:tbl>
    <w:p w14:paraId="4DDA9BBB"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 xml:space="preserve"> SUPEN. (2025). Boletín SUPEN febrero 2025, Heinsohn. (2025). Reforma del ROP 2025, Semanario Universidad. (2025), CCSS. (2025). Montos de pensiones IVM, Academia de Centroamérica. (2020), ACOP. (2024). Seminario sobre implementación de fondos generacionales en Costa Rica.</w:t>
      </w:r>
    </w:p>
    <w:p w14:paraId="569537D6"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Elaborado:</w:t>
      </w:r>
      <w:r w:rsidRPr="002012E1">
        <w:rPr>
          <w:rFonts w:ascii="Arial" w:eastAsia="Calibri" w:hAnsi="Arial" w:cs="Arial"/>
          <w:kern w:val="0"/>
          <w:lang w:val="es-MX"/>
          <w14:ligatures w14:val="none"/>
        </w:rPr>
        <w:t xml:space="preserve"> Grupo Investigador (2025)</w:t>
      </w:r>
    </w:p>
    <w:p w14:paraId="358C03F4" w14:textId="77777777" w:rsidR="00C51607" w:rsidRPr="002012E1" w:rsidRDefault="00C51607" w:rsidP="00C51607">
      <w:pPr>
        <w:spacing w:after="0" w:line="360" w:lineRule="auto"/>
        <w:jc w:val="right"/>
        <w:rPr>
          <w:rFonts w:ascii="Arial" w:eastAsia="Calibri" w:hAnsi="Arial" w:cs="Arial"/>
          <w:kern w:val="0"/>
          <w:lang w:val="es-MX"/>
          <w14:ligatures w14:val="none"/>
        </w:rPr>
      </w:pPr>
    </w:p>
    <w:p w14:paraId="5780811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análisis de los limitantes y desafíos de cada una de las Operadoras de Pensiones en Costa Rica se torna fundamental en el contexto de los cambios regulatorios y de mercado que enfrenta el sistema de pensiones. </w:t>
      </w:r>
    </w:p>
    <w:p w14:paraId="77E5BE0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3B6F3F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Con la próxima implementación de los fondos generacionales en el Régimen Obligatorio de Pensión Complementaria (ROP), las operadoras deben enfrentar retos significativos relacionados con la adaptación de sus estrategias de inversión, </w:t>
      </w:r>
      <w:r w:rsidRPr="002012E1">
        <w:rPr>
          <w:rFonts w:ascii="Arial" w:eastAsia="Calibri" w:hAnsi="Arial" w:cs="Arial"/>
          <w:kern w:val="0"/>
          <w:lang w:val="es-MX"/>
          <w14:ligatures w14:val="none"/>
        </w:rPr>
        <w:lastRenderedPageBreak/>
        <w:t xml:space="preserve">la gestión del riesgo y la capacidad técnica para operar en un entorno más segmentado y dinámico. </w:t>
      </w:r>
    </w:p>
    <w:p w14:paraId="5CBB49F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8124C4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Estos desafíos incluyen la necesidad de desarrollar una ingeniería financiera más sofisticada para ajustar las carteras a los distintos perfiles etarios, mejorar la infraestructura tecnológica y fortalecer los procesos de supervisión y control, todo ello mientras se mantiene la rentabilidad y estabilidad para los afiliados. </w:t>
      </w:r>
    </w:p>
    <w:p w14:paraId="1104D95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12DC7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Este análisis busca identificar las principales barreras y oportunidades que enfrentan las operadoras para cumplir con las nuevas exigencias normativas y responder a las expectativas de un mercado en transformación.</w:t>
      </w:r>
    </w:p>
    <w:p w14:paraId="28A160E2" w14:textId="77777777" w:rsidR="00C51607" w:rsidRPr="002012E1" w:rsidRDefault="00C51607" w:rsidP="00C51607">
      <w:pPr>
        <w:spacing w:after="0" w:line="360" w:lineRule="auto"/>
        <w:rPr>
          <w:rFonts w:ascii="Arial" w:eastAsia="Calibri" w:hAnsi="Arial" w:cs="Arial"/>
          <w:kern w:val="0"/>
          <w14:ligatures w14:val="none"/>
        </w:rPr>
      </w:pPr>
    </w:p>
    <w:p w14:paraId="520E7DCB"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Banco Popular – Popular Pensiones</w:t>
      </w:r>
    </w:p>
    <w:p w14:paraId="10FCAE5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Popular Pensiones enfrenta una limitante importante en la alta concentración de afiliados con montos menores de ahorro promedio, lo que dificulta la eficiencia operativa y la gestión de grandes volúmenes de pequeños aportes. Según la SUPEN (2023), “la concentración de afiliados con bajos saldos limita la capacidad de la operadora para optimizar costos y mejorar la rentabilidad” (p. 18). Esta situación obliga a la entidad a buscar economías de escala y procesos más eficientes para mantener la sostenibilidad.</w:t>
      </w:r>
    </w:p>
    <w:p w14:paraId="48B9E28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E3520F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principal desafío para Popular Pensiones es la adaptación a la reforma del Régimen Obligatorio de Pensiones (ROP), que implica la transición hacia fondos generacionales con perfiles de riesgo ajustados a la edad del afiliado. CONASSIF (2023) indica que “la transición a fondos generacionales requiere modernización tecnológica y cambios en los procesos internos para atender la diversidad de perfiles” (p. 12). Esto demanda inversión en sistemas y capacitación para gestionar adecuadamente los nuevos fondos.</w:t>
      </w:r>
    </w:p>
    <w:p w14:paraId="773EE3E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2BAAB0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el Popular debe mejorar la transparencia y comunicación con los afiliados para fortalecer la confianza en la gestión de sus recursos. La SUPEN (2023) señala </w:t>
      </w:r>
      <w:r w:rsidRPr="002012E1">
        <w:rPr>
          <w:rFonts w:ascii="Arial" w:eastAsia="Calibri" w:hAnsi="Arial" w:cs="Arial"/>
          <w:kern w:val="0"/>
          <w:lang w:val="es-MX"/>
          <w14:ligatures w14:val="none"/>
        </w:rPr>
        <w:lastRenderedPageBreak/>
        <w:t>que “la transparencia en la información y la educación financiera son claves para mejorar la percepción y satisfacción de los afiliados” (p. 20). Este aspecto es vital para mantener la competitividad en un mercado con múltiples opciones.</w:t>
      </w:r>
    </w:p>
    <w:p w14:paraId="0E40F52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D09B46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operadora también enfrenta la presión de mantener rendimientos competitivos en un contexto de volatilidad global y bajas tasas de interés, lo que afecta la rentabilidad de los fondos.</w:t>
      </w:r>
    </w:p>
    <w:p w14:paraId="285BC2F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3526F7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Deloitte (2019), “la gestión activa y prudente de las inversiones es esencial para equilibrar riesgo y rendimiento en fondos de pensiones” (p. 25). Popular debe fortalecer sus capacidades de inversión para responder a este entorno.</w:t>
      </w:r>
    </w:p>
    <w:p w14:paraId="6C8A1E5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9BBA73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el Popular Pensiones debe continuar adaptándose a los requerimientos regulatorios y de supervisión, que exigen mayor control y calidad en la información financiera. CONASSIF (2023) destaca que “las exigencias regulatorias actuales demandan procesos robustos y reportes confiables para proteger a los afiliados” (p. 14), lo que implica un esfuerzo constante de mejora.</w:t>
      </w:r>
    </w:p>
    <w:p w14:paraId="7F0B6D5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6F1D9D"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lang w:val="es-MX"/>
          <w14:ligatures w14:val="none"/>
        </w:rPr>
        <w:t>Adicionalmente, “</w:t>
      </w:r>
      <w:r w:rsidRPr="002012E1">
        <w:rPr>
          <w:rFonts w:ascii="Arial" w:eastAsia="Calibri" w:hAnsi="Arial" w:cs="Arial"/>
          <w:kern w:val="0"/>
          <w14:ligatures w14:val="none"/>
        </w:rPr>
        <w:t xml:space="preserve">enfrenta una alta concentración de afiliados con montos de ahorro bajos, ya que el 65% de sus afiliados tienen menos de 1 millón de colones acumulados, lo que limita la eficiencia operativa y la capacidad de generar economías de escala” (SUPEN, 2025, p. 12). </w:t>
      </w:r>
    </w:p>
    <w:p w14:paraId="65CFFD0E" w14:textId="77777777" w:rsidR="00C51607" w:rsidRPr="002012E1" w:rsidRDefault="00C51607" w:rsidP="00C51607">
      <w:pPr>
        <w:spacing w:after="0" w:line="360" w:lineRule="auto"/>
        <w:jc w:val="both"/>
        <w:rPr>
          <w:rFonts w:ascii="Arial" w:eastAsia="Calibri" w:hAnsi="Arial" w:cs="Arial"/>
          <w:kern w:val="0"/>
          <w14:ligatures w14:val="none"/>
        </w:rPr>
      </w:pPr>
    </w:p>
    <w:p w14:paraId="772BE70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Este escenario dificulta la gestión eficiente de recursos y la personalización de servicios. Además, “la transición hacia los fondos generacionales, con un avance del 80% para abril de 2025, exige una modernización tecnológica significativa para segmentar las inversiones según la edad de los afiliados y mejorar la rentabilidad” (Heinsohn, 2025, p. 3)</w:t>
      </w:r>
    </w:p>
    <w:p w14:paraId="6A4A51A1" w14:textId="77777777" w:rsidR="00C51607" w:rsidRDefault="00C51607" w:rsidP="00C51607">
      <w:pPr>
        <w:spacing w:after="0" w:line="360" w:lineRule="auto"/>
        <w:jc w:val="both"/>
        <w:rPr>
          <w:rFonts w:ascii="Arial" w:eastAsia="Calibri" w:hAnsi="Arial" w:cs="Arial"/>
          <w:kern w:val="0"/>
          <w:lang w:val="es-MX"/>
          <w14:ligatures w14:val="none"/>
        </w:rPr>
      </w:pPr>
    </w:p>
    <w:p w14:paraId="402A6AED" w14:textId="77777777" w:rsidR="00C51607" w:rsidRDefault="00C51607" w:rsidP="00C51607">
      <w:pPr>
        <w:spacing w:after="0" w:line="360" w:lineRule="auto"/>
        <w:jc w:val="both"/>
        <w:rPr>
          <w:rFonts w:ascii="Arial" w:eastAsia="Calibri" w:hAnsi="Arial" w:cs="Arial"/>
          <w:kern w:val="0"/>
          <w:lang w:val="es-MX"/>
          <w14:ligatures w14:val="none"/>
        </w:rPr>
      </w:pPr>
    </w:p>
    <w:p w14:paraId="3654CCF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488C94"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lastRenderedPageBreak/>
        <w:t>Banco Nacional - BN Vital</w:t>
      </w:r>
    </w:p>
    <w:p w14:paraId="7045E9F9" w14:textId="77777777" w:rsidR="00C51607"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lang w:val="es-MX"/>
          <w14:ligatures w14:val="none"/>
        </w:rPr>
        <w:t xml:space="preserve">El BN Vital presenta limitaciones en recursos técnicos y humanos para implementar modelos avanzados de valoración y gestión de riesgos, lo que afecta la calidad de la información financiera. </w:t>
      </w:r>
      <w:r w:rsidRPr="002012E1">
        <w:rPr>
          <w:rFonts w:ascii="Arial" w:eastAsia="Calibri" w:hAnsi="Arial" w:cs="Arial"/>
          <w:kern w:val="0"/>
          <w14:ligatures w14:val="none"/>
        </w:rPr>
        <w:t> </w:t>
      </w:r>
    </w:p>
    <w:p w14:paraId="452DD7FD" w14:textId="77777777" w:rsidR="00C51607" w:rsidRPr="002012E1" w:rsidRDefault="00C51607" w:rsidP="00C51607">
      <w:pPr>
        <w:spacing w:after="0" w:line="360" w:lineRule="auto"/>
        <w:jc w:val="both"/>
        <w:rPr>
          <w:rFonts w:ascii="Arial" w:eastAsia="Calibri" w:hAnsi="Arial" w:cs="Arial"/>
          <w:kern w:val="0"/>
          <w14:ligatures w14:val="none"/>
        </w:rPr>
      </w:pPr>
    </w:p>
    <w:p w14:paraId="0AC3D9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“La volatilidad del mercado global y local ha reducido los rendimientos promedio a niveles inferiores al 4% anual, lo que presiona a las operadoras a mejorar su eficiencia operativa y capacidad de gestión” (Semanario Universidad, 2025, p. 5). La falta de personal capacitado restringe la adopción de tecnologías y modelos sofisticados que permitan mitigar estos riesgos de manera efectiva.</w:t>
      </w:r>
    </w:p>
    <w:p w14:paraId="167646B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284697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Crowe Costa Rica (2023) señala que “la carencia de personal especializado limita la capacidad para aplicar correctamente la NIIF 9 y otros estándares internacionales” (p. 7). Esta situación genera dependencia de asesorías externas, con costos asociados y riesgos de autonomía limitada.</w:t>
      </w:r>
    </w:p>
    <w:p w14:paraId="3CD006C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9FD6E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desafío principal para BN Vital es competir en un mercado caracterizado por alta volatilidad y bajas tasas de rendimiento, lo que exige mejorar la eficiencia operativa y tecnológica. </w:t>
      </w:r>
    </w:p>
    <w:p w14:paraId="76035B7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D9BDD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Deloitte (2019) resalta que “la eficiencia en la gestión y la adopción de tecnologías son factores clave para enfrentar la volatilidad y optimizar resultados” (p. 25). BN Vital debe invertir en innovación para mantener su posición competitiva.</w:t>
      </w:r>
    </w:p>
    <w:p w14:paraId="315610C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CE19A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operadora debe fortalecer sus sistemas de información para garantizar la trazabilidad y confiabilidad de los datos, lo que es fundamental para la supervisión y auditoría. </w:t>
      </w:r>
    </w:p>
    <w:p w14:paraId="76BBDFF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08B993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BN Vital también enfrenta la necesidad de adaptarse a las reformas regulatorias, como la implementación de fondos generacionales y nuevas exigencias de reporte. </w:t>
      </w:r>
    </w:p>
    <w:p w14:paraId="26828DE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SUPEN (2023) indica que “la adaptación a los cambios regulatorios requiere capacitación continua y actualización de procesos” (p. 20). Esta transformación es clave para cumplir con las expectativas de supervisión y afiliados.</w:t>
      </w:r>
    </w:p>
    <w:p w14:paraId="798AC17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B2CD74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último, el BN Vital debe mejorar la comunicación y educación financiera para fortalecer la relación con sus afiliados, aspecto fundamental para la retención y captación de clientes. CONASSIF (2023) destaca que “la confianza del afiliado depende en gran medida de la transparencia y calidad del servicio ofrecido” (p. 16).</w:t>
      </w:r>
    </w:p>
    <w:p w14:paraId="624CCCE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75CFC7A"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Banco de Costa Rica - BCR Pensiones</w:t>
      </w:r>
    </w:p>
    <w:p w14:paraId="054EB04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BCR Pensiones enfrenta limitaciones en sus sistemas de información, que no están completamente integrados, dificultando la automatización y trazabilidad de datos, </w:t>
      </w:r>
      <w:r w:rsidRPr="002012E1">
        <w:rPr>
          <w:rFonts w:ascii="Arial" w:eastAsia="Calibri" w:hAnsi="Arial" w:cs="Arial"/>
          <w:kern w:val="0"/>
          <w14:ligatures w14:val="none"/>
        </w:rPr>
        <w:t>elementos críticos para la confiabilidad de la información financiera. Según SUPEN (2025), “el 70% de las operadoras enfrentan problemas similares, lo que dificulta cumplir con las nuevas exigencias regulatorias que demandan reportes detallados y en tiempo real” (p. 8). Esta situación obliga a invertir en tecnologías integradas que optimicen la gestión integral de pensiones.</w:t>
      </w:r>
    </w:p>
    <w:p w14:paraId="36CCA8F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47A250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desafío para BCR Pensiones es implementar tecnologías que permitan cumplir con la reforma del ROP y optimizar la gestión integral de pensiones. SUPEN (2023) indica que “la modernización tecnológica es esencial para atender las nuevas exigencias de supervisión y mejorar la eficiencia operativa” (p. 20). La inversión en sistemas es prioritaria para mantener la competitividad.</w:t>
      </w:r>
    </w:p>
    <w:p w14:paraId="3CEA701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8DA8B8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BCR debe manejar la volatilidad de los mercados financieros, que impacta directamente en los rendimientos de los fondos. Deloitte (2019) señala que “la gestión activa y diversificada es clave para mitigar riesgos y mejorar resultados en fondos de pensiones” (p. 25). La capacidad para adaptarse a condiciones cambiantes es fundamental.</w:t>
      </w:r>
    </w:p>
    <w:p w14:paraId="43269E5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955E9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operadora también debe fortalecer su capacidad técnica para aplicar correctamente las normas contables internacionales y garantizar la transparencia en la información financiera. Crowe Costa Rica (2023) destaca que “la capacitación continua es necesaria para asegurar el cumplimiento normativo y la calidad de los reportes” (p. 9).</w:t>
      </w:r>
    </w:p>
    <w:p w14:paraId="6C5A079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4E3068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resumen, BCR Pensiones enfrenta la presión de mantener la confianza de los afiliados mediante una gestión eficiente y transparente, lo que requiere una comunicación clara y efectiva. SUPEN (2023) señala que “la confianza se construye con información oportuna y procesos confiables” (p. 22).</w:t>
      </w:r>
    </w:p>
    <w:p w14:paraId="247F141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A3240B2"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BAC Credomatic - BAC Pensiones</w:t>
      </w:r>
    </w:p>
    <w:p w14:paraId="34E8C90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BAC Pensiones presenta limitaciones en recursos técnicos especializados para la valoración de activos ilíquidos, lo que genera dependencia de fuentes externas para la valoración, limitando la autonomía. </w:t>
      </w:r>
    </w:p>
    <w:p w14:paraId="6175D02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BEB57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CONASSIF (2023) indica que “la dependencia de proveedores externos puede afectar la objetividad y la calidad de las valoraciones” (p. 16). Esta situación representa un riesgo para la confiabilidad de los estados financieros.</w:t>
      </w:r>
    </w:p>
    <w:p w14:paraId="52438B0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438DFB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principal desafío para BAC es adaptarse a cambios regulatorios y mejorar la transparencia en sus procesos y reportes. Crowe Costa Rica (2023) señala que “la transparencia y la mejora continua en los procesos son claves para responder a las demandas regulatorias” (p. 9). La operadora debe fortalecer su gobernanza y controles internos.</w:t>
      </w:r>
    </w:p>
    <w:p w14:paraId="14EB18F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A2A93E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BAC debe optimizar sus procesos para mejorar la eficiencia operativa y responder a las exigencias de supervisión. SUPEN (2023) destaca que “la optimización de procesos contribuye a la sostenibilidad y calidad del servicio” (p. 21). Esto implica inversión en tecnología y capacitación.</w:t>
      </w:r>
    </w:p>
    <w:p w14:paraId="6E77DCC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5DA76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gestión de riesgos en un entorno de volatilidad financiera es otro reto importante. Deloitte (2019) señala que “la gestión prudente de riesgos es fundamental para preservar el capital y asegurar rendimientos sostenibles” (p. 25). BAC debe fortalecer sus capacidades en esta área.</w:t>
      </w:r>
    </w:p>
    <w:p w14:paraId="2EEC87B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31F5B23"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BAC Pensiones depende significativamente de fuentes externas para la valoración de activos ilíquidos, limitando su autonomía en la gestión. “La apertura reciente del 10% del portafolio a inversiones internacionales, equivalente a aproximadamente 2.7 billones de colones, ha incrementado la necesidad de valoraciones precisas y autónomas” (CCSS, 2025, p. 7). Esta dependencia afecta la capacidad de respuesta ante supervisión y riesgos cambiarios, lo que demanda optimización en procesos y mayor transparencia.</w:t>
      </w:r>
    </w:p>
    <w:p w14:paraId="24F8178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CAB1FE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síntesis, BAC Pensiones debe mantener una comunicación efectiva con los afiliados para fortalecer la confianza y la percepción de seguridad en la administración de sus recursos. CONASSIF (2023) resalta que “la confianza del afiliado es un activo estratégico para las operadoras” (p. 16).</w:t>
      </w:r>
    </w:p>
    <w:p w14:paraId="2BF4ECC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2BE5FB"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Operadora de Pensiones del Magisterio Nacional - Vida Plena</w:t>
      </w:r>
    </w:p>
    <w:p w14:paraId="2522B2AA"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lang w:val="es-MX"/>
          <w14:ligatures w14:val="none"/>
        </w:rPr>
        <w:t>Vida Plena, al ser una operadora de menor tamaño y participación en el mercado, enfrenta limitaciones para lograr economías de escala que permitan invertir en tecnología y capacitación, “</w:t>
      </w:r>
      <w:r w:rsidRPr="002012E1">
        <w:rPr>
          <w:rFonts w:ascii="Arial" w:eastAsia="Calibri" w:hAnsi="Arial" w:cs="Arial"/>
          <w:kern w:val="0"/>
          <w14:ligatures w14:val="none"/>
        </w:rPr>
        <w:t xml:space="preserve">con menos del 10% de participación en el mercado, enfrenta limitaciones para aprovechar economías de escala en inversión tecnológica y capacitación” (SUPEN, 2025, p. 15). </w:t>
      </w:r>
    </w:p>
    <w:p w14:paraId="3F2CED90" w14:textId="77777777" w:rsidR="00C51607" w:rsidRPr="002012E1" w:rsidRDefault="00C51607" w:rsidP="00C51607">
      <w:pPr>
        <w:spacing w:after="0" w:line="360" w:lineRule="auto"/>
        <w:jc w:val="both"/>
        <w:rPr>
          <w:rFonts w:ascii="Arial" w:eastAsia="Calibri" w:hAnsi="Arial" w:cs="Arial"/>
          <w:kern w:val="0"/>
          <w14:ligatures w14:val="none"/>
        </w:rPr>
      </w:pPr>
    </w:p>
    <w:p w14:paraId="39A283E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t>“La reforma del ROP y las crecientes exigencias de supervisión requieren fortalecer las capacidades técnicas para cumplir con los estándares regulatorios y mejorar la competitividad” (ACOP, 2024, p. 9).</w:t>
      </w:r>
    </w:p>
    <w:p w14:paraId="2AAC1A6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77DAC3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SUPEN (2023) señala que “las operadoras pequeñas enfrentan desafíos para financiar inversiones en tecnología y formación técnica” (p. 19). Esto afecta su capacidad para cumplir con las exigencias normativas.</w:t>
      </w:r>
    </w:p>
    <w:p w14:paraId="1B43DEA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5C129A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desafío principal es fortalecer las capacidades técnicas para adaptarse a la reforma del ROP y a las crecientes exigencias de supervisión. Deloitte (2019) indica que “la capacitación y la actualización continua son esenciales para la correcta aplicación de las NIIF y la gestión de riesgos” (p. 27). Vida Plena debe priorizar estos aspectos para mejorar su competitividad.</w:t>
      </w:r>
    </w:p>
    <w:p w14:paraId="2E687B2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948A46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 operadora debe mejorar sus sistemas de información para garantizar la calidad y confiabilidad de los reportes financieros. Crowe Costa Rica (2023) destaca que “la modernización tecnológica es un requisito para la transparencia y eficiencia operativa” (p. 5).</w:t>
      </w:r>
    </w:p>
    <w:p w14:paraId="72D840E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D3F12B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gestión de inversiones en un entorno de volatilidad también representa un reto, requiriendo estrategias prudentes y diversificadas. SUPEN (2023) señala que “la gestión activa y prudente es clave para proteger los intereses de los afiliados” (p. 22).</w:t>
      </w:r>
    </w:p>
    <w:p w14:paraId="27BE023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F68156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Vida Plena debe fortalecer la comunicación con sus afiliados para aumentar la confianza y mejorar la percepción de su gestión, aspecto fundamental para su sostenibilidad en el mercado. CONASSIF (2023) resalta que “la confianza y la transparencia son pilares para la retención y captación de afiliados” (p. 18).</w:t>
      </w:r>
    </w:p>
    <w:p w14:paraId="170A025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6076E22"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t>Caja Costarricense del Seguro Social - OPC CCSS</w:t>
      </w:r>
    </w:p>
    <w:p w14:paraId="1618FB9A"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lang w:val="es-MX"/>
          <w14:ligatures w14:val="none"/>
        </w:rPr>
        <w:t xml:space="preserve">La Operadora de Pensiones Complementarias de la Caja Costarricense del Seguro Social (OPC CCSS) enfrenta restricciones propias del sector público que limitan la agilidad para implementar tecnología y procesos modernos, </w:t>
      </w:r>
      <w:r w:rsidRPr="002012E1">
        <w:rPr>
          <w:rFonts w:ascii="Arial" w:eastAsia="Calibri" w:hAnsi="Arial" w:cs="Arial"/>
          <w:kern w:val="0"/>
          <w14:ligatures w14:val="none"/>
        </w:rPr>
        <w:t xml:space="preserve"> como la lentitud en la implementación tecnológica y limitaciones en personal especializado. </w:t>
      </w:r>
    </w:p>
    <w:p w14:paraId="5778F020" w14:textId="77777777" w:rsidR="00C51607" w:rsidRPr="002012E1" w:rsidRDefault="00C51607" w:rsidP="00C51607">
      <w:pPr>
        <w:spacing w:after="0" w:line="360" w:lineRule="auto"/>
        <w:jc w:val="both"/>
        <w:rPr>
          <w:rFonts w:ascii="Arial" w:eastAsia="Calibri" w:hAnsi="Arial" w:cs="Arial"/>
          <w:kern w:val="0"/>
          <w14:ligatures w14:val="none"/>
        </w:rPr>
      </w:pPr>
    </w:p>
    <w:p w14:paraId="55A0E9C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14:ligatures w14:val="none"/>
        </w:rPr>
        <w:lastRenderedPageBreak/>
        <w:t>“El envejecimiento demográfico en Costa Rica aumenta la proporción de pensionados, generando presión sobre el sistema IVM, cuyo déficit actuarial equivale al 102% del PIB, lo que representa un reto financiero considerable” (SUPEN, 2025, p. 4; Academia Centroamérica, 2020, p. 9). Las limitaciones burocráticas dificultan la modernización necesaria para mejorar la eficiencia y sostenibilidad del sistema.</w:t>
      </w:r>
    </w:p>
    <w:p w14:paraId="193504D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2081AA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principal desafío es gestionar el envejecimiento poblacional y la presión creciente sobre los recursos del sistema, lo que requiere modernización tecnológica y operativa. CONASSIF (2023) indica que “la sostenibilidad del sistema público de pensiones depende de la eficiencia en la administración y la adaptación a nuevas realidades demográficas” (p. 14).</w:t>
      </w:r>
    </w:p>
    <w:p w14:paraId="2BF445E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52972D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OPC CCSS debe fortalecer su personal especializado para aplicar correctamente las normas contables y mejorar la calidad de la información financiera. SUPEN (2023) destaca que “la capacitación y el desarrollo de capacidades técnicas son fundamentales para cumplir con las exigencias normativas” (p. 20).</w:t>
      </w:r>
    </w:p>
    <w:p w14:paraId="3227CBD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BC2FAB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operadora pública también debe mejorar la transparencia y comunicación con los afiliados para fortalecer la confianza en la gestión de sus recursos. Crowe Costa Rica (2023) resalta que “la confianza del afiliado es clave para la legitimidad y sostenibilidad del sistema” (p. 8).</w:t>
      </w:r>
    </w:p>
    <w:p w14:paraId="4219775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603AF7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lo tanto, OPC CCSS enfrenta el reto de modernizar sus procesos y sistemas para optimizar la gestión integral de pensiones, lo que requiere inversión y compromiso institucional. BAC Credomatic (2024) señala que “la modernización tecnológica es un factor crítico para la eficiencia operativa y la calidad del servicio” (p. 21).</w:t>
      </w:r>
    </w:p>
    <w:p w14:paraId="366FAC9E" w14:textId="77777777" w:rsidR="00C51607" w:rsidRDefault="00C51607" w:rsidP="00C51607">
      <w:pPr>
        <w:spacing w:after="0" w:line="360" w:lineRule="auto"/>
        <w:jc w:val="both"/>
        <w:rPr>
          <w:rFonts w:ascii="Arial" w:eastAsia="Calibri" w:hAnsi="Arial" w:cs="Arial"/>
          <w:kern w:val="0"/>
          <w:lang w:val="es-MX"/>
          <w14:ligatures w14:val="none"/>
        </w:rPr>
      </w:pPr>
    </w:p>
    <w:p w14:paraId="753E064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784E787" w14:textId="77777777" w:rsidR="00C51607" w:rsidRPr="002012E1" w:rsidRDefault="00C51607" w:rsidP="00C51607">
      <w:pPr>
        <w:numPr>
          <w:ilvl w:val="4"/>
          <w:numId w:val="0"/>
        </w:numPr>
        <w:tabs>
          <w:tab w:val="num" w:pos="360"/>
        </w:tabs>
        <w:spacing w:before="120" w:after="120" w:line="360" w:lineRule="auto"/>
        <w:ind w:left="1080" w:hanging="1080"/>
        <w:jc w:val="both"/>
        <w:outlineLvl w:val="4"/>
        <w:rPr>
          <w:rFonts w:ascii="Arial" w:eastAsia="Calibri" w:hAnsi="Arial" w:cs="Arial"/>
          <w:b/>
          <w:iCs/>
          <w:kern w:val="0"/>
          <w14:ligatures w14:val="none"/>
        </w:rPr>
      </w:pPr>
      <w:r w:rsidRPr="002012E1">
        <w:rPr>
          <w:rFonts w:ascii="Arial" w:eastAsia="Calibri" w:hAnsi="Arial" w:cs="Arial"/>
          <w:b/>
          <w:iCs/>
          <w:kern w:val="0"/>
          <w14:ligatures w14:val="none"/>
        </w:rPr>
        <w:lastRenderedPageBreak/>
        <w:tab/>
        <w:t>Comparativa General de las Operadoras de Pensiones</w:t>
      </w:r>
    </w:p>
    <w:p w14:paraId="70B3165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operadoras de pensiones en Costa Rica presentan limitantes comunes en recursos técnicos, infraestructura tecnológica y capacidad para adaptarse a reformas regulatorias como la transición a fondos generacionales. </w:t>
      </w:r>
    </w:p>
    <w:p w14:paraId="216DABF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6B66A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limitantes afectan la calidad, confiabilidad y transparencia de la información financiera, impactando la confianza de los afiliados y la sostenibilidad del sistema. Como señala SUPEN (2023), “la modernización tecnológica y la capacitación son pilares para mejorar la gestión y proteger los intereses de los afiliados” (p. 22).</w:t>
      </w:r>
    </w:p>
    <w:p w14:paraId="3E4E879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5B45AA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desafíos incluyen la necesidad de implementar tecnologías integradas, mejorar la eficiencia operativa, gestionar la volatilidad financiera y cumplir con exigencias regulatorias crecientes. </w:t>
      </w:r>
    </w:p>
    <w:p w14:paraId="5307D99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F32826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Deloitte (2019) enfatiza que “la gestión activa, la eficiencia y la transparencia son claves para enfrentar los retos del mercado actual” (p. 25). Las operadoras deben fortalecer sus capacidades para responder a estos requerimientos.</w:t>
      </w:r>
    </w:p>
    <w:p w14:paraId="7FC113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D1D2D5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dependencia de fuentes externas para valoración y la heterogeneidad en la aplicación normativa generan riesgos adicionales que requieren supervisión rigurosa y desarrollo de capacidades internas. CONASSIF (2023) advierte que “la supervisión y el fortalecimiento institucional son esenciales para garantizar la integridad del sistema” (p. 16).</w:t>
      </w:r>
    </w:p>
    <w:p w14:paraId="53622E5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89791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las operadoras públicas enfrentan barreras administrativas que limitan su agilidad, mientras que las privadas compiten en un mercado cada vez más exigente. La coordinación entre reguladores y entidades es fundamental para avanzar hacia un sistema más eficiente y transparente. </w:t>
      </w:r>
    </w:p>
    <w:p w14:paraId="69BA637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E85C86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BAC Credomatic (2024) señala que “la colaboración y el compromiso institucional son necesarios para la sostenibilidad del sistema de pensiones” (p. 21).</w:t>
      </w:r>
    </w:p>
    <w:p w14:paraId="5D6710C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En resumen, la confianza de los afiliados depende de la transparencia, calidad de la información y la gestión responsable de los recursos, aspectos que deben ser prioridad para todas las operadoras. La SUPEN (2023) concluye que “la protección</w:t>
      </w:r>
      <w:r w:rsidRPr="002012E1">
        <w:rPr>
          <w:rFonts w:ascii="Arial" w:eastAsia="Calibri" w:hAnsi="Arial" w:cs="Arial"/>
          <w:b/>
          <w:bCs/>
          <w:kern w:val="0"/>
          <w:lang w:val="es-MX"/>
          <w14:ligatures w14:val="none"/>
        </w:rPr>
        <w:t xml:space="preserve"> </w:t>
      </w:r>
      <w:r w:rsidRPr="002012E1">
        <w:rPr>
          <w:rFonts w:ascii="Arial" w:eastAsia="Calibri" w:hAnsi="Arial" w:cs="Arial"/>
          <w:kern w:val="0"/>
          <w:lang w:val="es-MX"/>
          <w14:ligatures w14:val="none"/>
        </w:rPr>
        <w:t>y satisfacción del afiliado es el objetivo central del sistema de pensiones” (p. 24).</w:t>
      </w:r>
    </w:p>
    <w:p w14:paraId="55FAB26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D9BD22C" w14:textId="77777777" w:rsidR="00C51607" w:rsidRPr="002012E1" w:rsidRDefault="00C51607" w:rsidP="00C51607">
      <w:pPr>
        <w:pStyle w:val="apanivel3"/>
        <w:rPr>
          <w:rFonts w:ascii="Arial" w:hAnsi="Arial" w:cs="Arial"/>
        </w:rPr>
      </w:pPr>
      <w:bookmarkStart w:id="115" w:name="_Toc201832459"/>
      <w:r w:rsidRPr="002012E1">
        <w:rPr>
          <w:rFonts w:ascii="Arial" w:hAnsi="Arial" w:cs="Arial"/>
        </w:rPr>
        <w:t xml:space="preserve">Eficiencia de la implementación </w:t>
      </w:r>
      <w:r>
        <w:rPr>
          <w:rFonts w:ascii="Arial" w:hAnsi="Arial" w:cs="Arial"/>
        </w:rPr>
        <w:t xml:space="preserve">de las </w:t>
      </w:r>
      <w:r w:rsidRPr="002012E1">
        <w:rPr>
          <w:rFonts w:ascii="Arial" w:hAnsi="Arial" w:cs="Arial"/>
        </w:rPr>
        <w:t>normativa</w:t>
      </w:r>
      <w:r>
        <w:rPr>
          <w:rFonts w:ascii="Arial" w:hAnsi="Arial" w:cs="Arial"/>
        </w:rPr>
        <w:t>s</w:t>
      </w:r>
      <w:r w:rsidRPr="002012E1">
        <w:rPr>
          <w:rFonts w:ascii="Arial" w:hAnsi="Arial" w:cs="Arial"/>
        </w:rPr>
        <w:t xml:space="preserve"> contable</w:t>
      </w:r>
      <w:r>
        <w:rPr>
          <w:rFonts w:ascii="Arial" w:hAnsi="Arial" w:cs="Arial"/>
        </w:rPr>
        <w:t>s</w:t>
      </w:r>
      <w:r w:rsidRPr="002012E1">
        <w:rPr>
          <w:rFonts w:ascii="Arial" w:hAnsi="Arial" w:cs="Arial"/>
        </w:rPr>
        <w:t xml:space="preserve"> en los Fondos de Pensiones</w:t>
      </w:r>
      <w:bookmarkEnd w:id="115"/>
    </w:p>
    <w:p w14:paraId="2DDA9BE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eficiencia en la implementación de la normativa contable en los fondos de pensiones constituye un aspecto fundamental para garantizar la transparencia, confiabilidad y adecuada gestión de los recursos de los afiliados en Costa Rica.</w:t>
      </w:r>
    </w:p>
    <w:p w14:paraId="369BD66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7D971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operadoras de pensiones están obligadas a adoptar y aplicar las Normas Internacionales de Información Financiera (NIIF), así como cumplir con las regulaciones emitidas por entidades supervisoras como la Superintendencia de Pensiones (SUPEN) y el Consejo Nacional de Supervisión del Sistema Financiero (CONASSIF).</w:t>
      </w:r>
    </w:p>
    <w:p w14:paraId="541B485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5B327C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Estas normativas buscan que los estados financieros reflejen fielmente la situación económico-financiera de los fondos, facilitando la toma de decisiones informadas tanto por parte de los gestores como de los afiliados y supervisores. </w:t>
      </w:r>
    </w:p>
    <w:p w14:paraId="3509753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6E20E0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aplicación correcta de estas normas implica contar con sistemas contables adecuados, personal capacitado y procesos de auditoría rigurosos que aseguren la calidad y oportunidad de la información financiera.</w:t>
      </w:r>
    </w:p>
    <w:p w14:paraId="6941F1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1D9864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la normativa establece disposiciones específicas para la valoración de activos, el reconocimiento de ingresos y gastos, así como la presentación y revelación de información, adaptándose a las particularidades del régimen obligatorio de pensiones complementarias y otros fondos administrados por las operadoras. </w:t>
      </w:r>
    </w:p>
    <w:p w14:paraId="3100102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A7980C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Esto incluye la obligación de mantener registros contables separados para cada fondo y utilizar el tipo de cambio oficial para la conversión de moneda extranjera, entre otros requerimientos técnicos.</w:t>
      </w:r>
    </w:p>
    <w:p w14:paraId="524DA0B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1A76B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este contexto, la eficiencia en la implementación normativa no solo se mide por el cumplimiento formal de las disposiciones, sino también por la capacidad de las operadoras para integrar estas normas en sus procesos internos, garantizando la confiabilidad, transparencia y utilidad de la información financiera en un entorno dinámico y regulado. Esto es crucial para fortalecer la confianza de los afiliados y la estabilidad del sistema de pensiones en Costa Rica.</w:t>
      </w:r>
    </w:p>
    <w:p w14:paraId="1D48870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2719EE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lo tanto, evaluar la eficiencia de la implementación normativa contable en los fondos de pensiones implica analizar no solo el grado de cumplimiento normativo, sino también la calidad de los sistemas, la capacitación del personal, la efectividad de los controles internos y la capacidad para generar información financiera oportuna y confiable, aspectos que son objeto de supervisión continua por parte de las autoridades regulatorias.</w:t>
      </w:r>
    </w:p>
    <w:p w14:paraId="5BEA62C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9DB679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continuación se muestra la matriz de evaluación del Índice promedio por operadora de pensiones en Costa Rica, donde se pueden observar los criterios, indicadores y el nivel de cumplimiento de dichas operadoras, tales como BCR Pensiones, Popular Pensiones, OPC CCSS, Bac Pensiones, Vida Plena y BN Vital.</w:t>
      </w:r>
    </w:p>
    <w:p w14:paraId="01222F2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776B09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Donde:</w:t>
      </w:r>
    </w:p>
    <w:p w14:paraId="3F61AC7C" w14:textId="77777777" w:rsidR="00C51607" w:rsidRPr="002012E1" w:rsidRDefault="00C51607" w:rsidP="00C51607">
      <w:pPr>
        <w:numPr>
          <w:ilvl w:val="0"/>
          <w:numId w:val="1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5: Excelente cumplimiento/evidencia robusta</w:t>
      </w:r>
    </w:p>
    <w:p w14:paraId="2122DA4B" w14:textId="77777777" w:rsidR="00C51607" w:rsidRPr="002012E1" w:rsidRDefault="00C51607" w:rsidP="00C51607">
      <w:pPr>
        <w:numPr>
          <w:ilvl w:val="0"/>
          <w:numId w:val="1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4: Bueno, con pocos aspectos a mejorar</w:t>
      </w:r>
    </w:p>
    <w:p w14:paraId="511D24BF" w14:textId="77777777" w:rsidR="00C51607" w:rsidRPr="002012E1" w:rsidRDefault="00C51607" w:rsidP="00C51607">
      <w:pPr>
        <w:numPr>
          <w:ilvl w:val="0"/>
          <w:numId w:val="1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3: Cumplimiento medio, mejoras necesarias</w:t>
      </w:r>
    </w:p>
    <w:p w14:paraId="66178163" w14:textId="77777777" w:rsidR="00C51607" w:rsidRPr="002012E1" w:rsidRDefault="00C51607" w:rsidP="00C51607">
      <w:pPr>
        <w:numPr>
          <w:ilvl w:val="0"/>
          <w:numId w:val="1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2: Bajo cumplimiento, varias áreas críticas</w:t>
      </w:r>
    </w:p>
    <w:p w14:paraId="2ECB902D" w14:textId="77777777" w:rsidR="00C51607" w:rsidRPr="002012E1" w:rsidRDefault="00C51607" w:rsidP="00C51607">
      <w:pPr>
        <w:numPr>
          <w:ilvl w:val="0"/>
          <w:numId w:val="18"/>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1: Muy bajo cumplimiento, deficiencias graves</w:t>
      </w:r>
    </w:p>
    <w:p w14:paraId="5266E6B0" w14:textId="77777777" w:rsidR="00C51607" w:rsidRPr="002012E1" w:rsidRDefault="00C51607" w:rsidP="00C51607">
      <w:pPr>
        <w:spacing w:after="0" w:line="360" w:lineRule="auto"/>
        <w:jc w:val="both"/>
        <w:rPr>
          <w:rFonts w:ascii="Arial" w:eastAsia="Calibri" w:hAnsi="Arial" w:cs="Arial"/>
          <w:b/>
          <w:bCs/>
          <w:i/>
          <w:iCs/>
          <w:kern w:val="0"/>
          <w:lang w:val="es-MX"/>
          <w14:ligatures w14:val="none"/>
        </w:rPr>
      </w:pPr>
    </w:p>
    <w:p w14:paraId="50ACCDB2" w14:textId="77777777" w:rsidR="00C51607" w:rsidRDefault="00C51607" w:rsidP="00C51607">
      <w:pPr>
        <w:spacing w:after="0" w:line="360" w:lineRule="auto"/>
        <w:jc w:val="both"/>
        <w:rPr>
          <w:rFonts w:ascii="Arial" w:eastAsia="Calibri" w:hAnsi="Arial" w:cs="Arial"/>
          <w:b/>
          <w:bCs/>
          <w:i/>
          <w:iCs/>
          <w:kern w:val="0"/>
          <w:lang w:val="es-MX"/>
          <w14:ligatures w14:val="none"/>
        </w:rPr>
      </w:pPr>
      <w:bookmarkStart w:id="116" w:name="_Toc201322524"/>
    </w:p>
    <w:p w14:paraId="105C04C0" w14:textId="56DDD93A" w:rsidR="00C51607" w:rsidRPr="002012E1" w:rsidRDefault="00C51607" w:rsidP="00C51607">
      <w:pPr>
        <w:spacing w:after="0" w:line="360" w:lineRule="auto"/>
        <w:jc w:val="both"/>
        <w:rPr>
          <w:rFonts w:ascii="Arial" w:eastAsia="Calibri" w:hAnsi="Arial" w:cs="Arial"/>
          <w:b/>
          <w:bCs/>
          <w:i/>
          <w:iCs/>
          <w:kern w:val="0"/>
          <w:lang w:val="es-MX"/>
          <w14:ligatures w14:val="none"/>
        </w:rPr>
      </w:pPr>
      <w:r w:rsidRPr="002012E1">
        <w:rPr>
          <w:rFonts w:ascii="Arial" w:eastAsia="Calibri" w:hAnsi="Arial" w:cs="Arial"/>
          <w:b/>
          <w:bCs/>
          <w:i/>
          <w:iCs/>
          <w:kern w:val="0"/>
          <w:lang w:val="es-MX"/>
          <w14:ligatures w14:val="none"/>
        </w:rPr>
        <w:lastRenderedPageBreak/>
        <w:t xml:space="preserve">Tabla </w:t>
      </w:r>
      <w:r w:rsidRPr="002012E1">
        <w:rPr>
          <w:rFonts w:ascii="Arial" w:eastAsia="Calibri" w:hAnsi="Arial" w:cs="Arial"/>
          <w:b/>
          <w:bCs/>
          <w:i/>
          <w:iCs/>
          <w:kern w:val="0"/>
          <w:lang w:val="es-MX"/>
          <w14:ligatures w14:val="none"/>
        </w:rPr>
        <w:fldChar w:fldCharType="begin"/>
      </w:r>
      <w:r w:rsidRPr="002012E1">
        <w:rPr>
          <w:rFonts w:ascii="Arial" w:eastAsia="Calibri" w:hAnsi="Arial" w:cs="Arial"/>
          <w:b/>
          <w:bCs/>
          <w:i/>
          <w:iCs/>
          <w:kern w:val="0"/>
          <w:lang w:val="es-MX"/>
          <w14:ligatures w14:val="none"/>
        </w:rPr>
        <w:instrText xml:space="preserve"> SEQ Tabla \* ARABIC </w:instrText>
      </w:r>
      <w:r w:rsidRPr="002012E1">
        <w:rPr>
          <w:rFonts w:ascii="Arial" w:eastAsia="Calibri" w:hAnsi="Arial" w:cs="Arial"/>
          <w:b/>
          <w:bCs/>
          <w:i/>
          <w:iCs/>
          <w:kern w:val="0"/>
          <w:lang w:val="es-MX"/>
          <w14:ligatures w14:val="none"/>
        </w:rPr>
        <w:fldChar w:fldCharType="separate"/>
      </w:r>
      <w:r w:rsidR="00125018">
        <w:rPr>
          <w:rFonts w:ascii="Arial" w:eastAsia="Calibri" w:hAnsi="Arial" w:cs="Arial"/>
          <w:b/>
          <w:bCs/>
          <w:i/>
          <w:iCs/>
          <w:noProof/>
          <w:kern w:val="0"/>
          <w:lang w:val="es-MX"/>
          <w14:ligatures w14:val="none"/>
        </w:rPr>
        <w:t>21</w:t>
      </w:r>
      <w:r w:rsidRPr="002012E1">
        <w:rPr>
          <w:rFonts w:ascii="Arial" w:eastAsia="Calibri" w:hAnsi="Arial" w:cs="Arial"/>
          <w:b/>
          <w:bCs/>
          <w:i/>
          <w:iCs/>
          <w:kern w:val="0"/>
          <w:lang w:val="es-MX"/>
          <w14:ligatures w14:val="none"/>
        </w:rPr>
        <w:fldChar w:fldCharType="end"/>
      </w:r>
      <w:r w:rsidRPr="002012E1">
        <w:rPr>
          <w:rFonts w:ascii="Arial" w:eastAsia="Calibri" w:hAnsi="Arial" w:cs="Arial"/>
          <w:b/>
          <w:bCs/>
          <w:i/>
          <w:iCs/>
          <w:kern w:val="0"/>
          <w:lang w:val="es-MX"/>
          <w14:ligatures w14:val="none"/>
        </w:rPr>
        <w:t>. Matriz de Evaluación del Índice Promedio por Operadora</w:t>
      </w:r>
      <w:bookmarkEnd w:id="116"/>
    </w:p>
    <w:tbl>
      <w:tblPr>
        <w:tblStyle w:val="Tablaconcuadrcula1"/>
        <w:tblW w:w="9226" w:type="dxa"/>
        <w:jc w:val="center"/>
        <w:tblInd w:w="0" w:type="dxa"/>
        <w:tblLook w:val="04A0" w:firstRow="1" w:lastRow="0" w:firstColumn="1" w:lastColumn="0" w:noHBand="0" w:noVBand="1"/>
      </w:tblPr>
      <w:tblGrid>
        <w:gridCol w:w="1644"/>
        <w:gridCol w:w="1817"/>
        <w:gridCol w:w="1417"/>
        <w:gridCol w:w="883"/>
        <w:gridCol w:w="1417"/>
        <w:gridCol w:w="1417"/>
        <w:gridCol w:w="723"/>
        <w:gridCol w:w="857"/>
      </w:tblGrid>
      <w:tr w:rsidR="00C51607" w:rsidRPr="002012E1" w14:paraId="17D7B1D9" w14:textId="77777777" w:rsidTr="005C1607">
        <w:trPr>
          <w:trHeight w:val="680"/>
          <w:jc w:val="center"/>
        </w:trPr>
        <w:tc>
          <w:tcPr>
            <w:tcW w:w="0" w:type="auto"/>
            <w:vMerge w:val="restart"/>
            <w:vAlign w:val="center"/>
            <w:hideMark/>
          </w:tcPr>
          <w:p w14:paraId="352F007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Criterio</w:t>
            </w:r>
          </w:p>
        </w:tc>
        <w:tc>
          <w:tcPr>
            <w:tcW w:w="0" w:type="auto"/>
            <w:vMerge w:val="restart"/>
            <w:vAlign w:val="center"/>
            <w:hideMark/>
          </w:tcPr>
          <w:p w14:paraId="67325A8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Indicador</w:t>
            </w:r>
          </w:p>
        </w:tc>
        <w:tc>
          <w:tcPr>
            <w:tcW w:w="5994" w:type="dxa"/>
            <w:gridSpan w:val="6"/>
            <w:vAlign w:val="center"/>
            <w:hideMark/>
          </w:tcPr>
          <w:p w14:paraId="11C6EF5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Nivel de Cumplimiento</w:t>
            </w:r>
          </w:p>
        </w:tc>
      </w:tr>
      <w:tr w:rsidR="00C51607" w:rsidRPr="002012E1" w14:paraId="4FC386C1" w14:textId="77777777" w:rsidTr="005C1607">
        <w:trPr>
          <w:trHeight w:val="20"/>
          <w:jc w:val="center"/>
        </w:trPr>
        <w:tc>
          <w:tcPr>
            <w:tcW w:w="0" w:type="auto"/>
            <w:vMerge/>
            <w:vAlign w:val="center"/>
            <w:hideMark/>
          </w:tcPr>
          <w:p w14:paraId="48CE86E2" w14:textId="77777777" w:rsidR="00C51607" w:rsidRPr="002012E1" w:rsidRDefault="00C51607" w:rsidP="005C1607">
            <w:pPr>
              <w:pBdr>
                <w:top w:val="nil"/>
                <w:left w:val="nil"/>
                <w:bottom w:val="nil"/>
                <w:right w:val="nil"/>
                <w:between w:val="nil"/>
              </w:pBdr>
              <w:spacing w:before="280" w:after="280" w:line="360" w:lineRule="auto"/>
              <w:ind w:firstLine="720"/>
              <w:jc w:val="center"/>
              <w:rPr>
                <w:rFonts w:eastAsia="Times New Roman"/>
                <w:b/>
                <w:bCs/>
                <w:lang w:val="es-419"/>
              </w:rPr>
            </w:pPr>
          </w:p>
        </w:tc>
        <w:tc>
          <w:tcPr>
            <w:tcW w:w="0" w:type="auto"/>
            <w:vMerge/>
            <w:vAlign w:val="center"/>
            <w:hideMark/>
          </w:tcPr>
          <w:p w14:paraId="361956A8" w14:textId="77777777" w:rsidR="00C51607" w:rsidRPr="002012E1" w:rsidRDefault="00C51607" w:rsidP="005C1607">
            <w:pPr>
              <w:pBdr>
                <w:top w:val="nil"/>
                <w:left w:val="nil"/>
                <w:bottom w:val="nil"/>
                <w:right w:val="nil"/>
                <w:between w:val="nil"/>
              </w:pBdr>
              <w:spacing w:before="280" w:after="280" w:line="360" w:lineRule="auto"/>
              <w:ind w:firstLine="720"/>
              <w:jc w:val="center"/>
              <w:rPr>
                <w:rFonts w:eastAsia="Times New Roman"/>
                <w:b/>
                <w:bCs/>
                <w:lang w:val="es-419"/>
              </w:rPr>
            </w:pPr>
          </w:p>
        </w:tc>
        <w:tc>
          <w:tcPr>
            <w:tcW w:w="0" w:type="auto"/>
            <w:vAlign w:val="center"/>
            <w:hideMark/>
          </w:tcPr>
          <w:p w14:paraId="051E3A9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BAC Pensiones</w:t>
            </w:r>
          </w:p>
        </w:tc>
        <w:tc>
          <w:tcPr>
            <w:tcW w:w="0" w:type="auto"/>
            <w:vAlign w:val="center"/>
            <w:hideMark/>
          </w:tcPr>
          <w:p w14:paraId="73BB2266"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OPC CCSS</w:t>
            </w:r>
          </w:p>
        </w:tc>
        <w:tc>
          <w:tcPr>
            <w:tcW w:w="0" w:type="auto"/>
            <w:vAlign w:val="center"/>
            <w:hideMark/>
          </w:tcPr>
          <w:p w14:paraId="6D2397F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Popular Pensiones</w:t>
            </w:r>
          </w:p>
        </w:tc>
        <w:tc>
          <w:tcPr>
            <w:tcW w:w="0" w:type="auto"/>
            <w:vAlign w:val="center"/>
            <w:hideMark/>
          </w:tcPr>
          <w:p w14:paraId="0988E02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BCR Pensiones</w:t>
            </w:r>
          </w:p>
        </w:tc>
        <w:tc>
          <w:tcPr>
            <w:tcW w:w="0" w:type="auto"/>
            <w:vAlign w:val="center"/>
            <w:hideMark/>
          </w:tcPr>
          <w:p w14:paraId="630D0047"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BN Vital</w:t>
            </w:r>
          </w:p>
        </w:tc>
        <w:tc>
          <w:tcPr>
            <w:tcW w:w="790" w:type="dxa"/>
            <w:vAlign w:val="center"/>
            <w:hideMark/>
          </w:tcPr>
          <w:p w14:paraId="04D08D2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Vida Plena</w:t>
            </w:r>
          </w:p>
        </w:tc>
      </w:tr>
      <w:tr w:rsidR="00C51607" w:rsidRPr="002012E1" w14:paraId="3C3378E5" w14:textId="77777777" w:rsidTr="005C1607">
        <w:trPr>
          <w:trHeight w:val="20"/>
          <w:jc w:val="center"/>
        </w:trPr>
        <w:tc>
          <w:tcPr>
            <w:tcW w:w="0" w:type="auto"/>
            <w:vAlign w:val="center"/>
            <w:hideMark/>
          </w:tcPr>
          <w:p w14:paraId="1B156A7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Consistencia con la normativa contable</w:t>
            </w:r>
          </w:p>
        </w:tc>
        <w:tc>
          <w:tcPr>
            <w:tcW w:w="0" w:type="auto"/>
            <w:vAlign w:val="center"/>
            <w:hideMark/>
          </w:tcPr>
          <w:p w14:paraId="1FA119BD"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Alineación entre estados financieros y normativa NIIF</w:t>
            </w:r>
          </w:p>
        </w:tc>
        <w:tc>
          <w:tcPr>
            <w:tcW w:w="0" w:type="auto"/>
            <w:vAlign w:val="center"/>
            <w:hideMark/>
          </w:tcPr>
          <w:p w14:paraId="02653358"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7F6F559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6D344D0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0A7C63D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610F9FB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790" w:type="dxa"/>
            <w:vAlign w:val="center"/>
            <w:hideMark/>
          </w:tcPr>
          <w:p w14:paraId="2F6E796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r>
      <w:tr w:rsidR="00C51607" w:rsidRPr="002012E1" w14:paraId="35680EAC" w14:textId="77777777" w:rsidTr="005C1607">
        <w:trPr>
          <w:trHeight w:val="20"/>
          <w:jc w:val="center"/>
        </w:trPr>
        <w:tc>
          <w:tcPr>
            <w:tcW w:w="0" w:type="auto"/>
            <w:vAlign w:val="center"/>
            <w:hideMark/>
          </w:tcPr>
          <w:p w14:paraId="1DB1D04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Sistemas contables y tecnológicos</w:t>
            </w:r>
          </w:p>
        </w:tc>
        <w:tc>
          <w:tcPr>
            <w:tcW w:w="0" w:type="auto"/>
            <w:vAlign w:val="center"/>
            <w:hideMark/>
          </w:tcPr>
          <w:p w14:paraId="4990A4B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Uso de software especializado y actualizado</w:t>
            </w:r>
          </w:p>
        </w:tc>
        <w:tc>
          <w:tcPr>
            <w:tcW w:w="0" w:type="auto"/>
            <w:vAlign w:val="center"/>
            <w:hideMark/>
          </w:tcPr>
          <w:p w14:paraId="4D0ACCCD"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325FBEA6"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0" w:type="auto"/>
            <w:vAlign w:val="center"/>
            <w:hideMark/>
          </w:tcPr>
          <w:p w14:paraId="1E21A88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0C4BA5D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0" w:type="auto"/>
            <w:vAlign w:val="center"/>
            <w:hideMark/>
          </w:tcPr>
          <w:p w14:paraId="4D266F5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790" w:type="dxa"/>
            <w:vAlign w:val="center"/>
            <w:hideMark/>
          </w:tcPr>
          <w:p w14:paraId="568B347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2</w:t>
            </w:r>
          </w:p>
        </w:tc>
      </w:tr>
      <w:tr w:rsidR="00C51607" w:rsidRPr="002012E1" w14:paraId="6ECFF8B9" w14:textId="77777777" w:rsidTr="005C1607">
        <w:trPr>
          <w:trHeight w:val="20"/>
          <w:jc w:val="center"/>
        </w:trPr>
        <w:tc>
          <w:tcPr>
            <w:tcW w:w="0" w:type="auto"/>
            <w:vAlign w:val="center"/>
            <w:hideMark/>
          </w:tcPr>
          <w:p w14:paraId="7407AFB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Auditoría y control interno</w:t>
            </w:r>
          </w:p>
        </w:tc>
        <w:tc>
          <w:tcPr>
            <w:tcW w:w="0" w:type="auto"/>
            <w:vAlign w:val="center"/>
            <w:hideMark/>
          </w:tcPr>
          <w:p w14:paraId="65ED6B3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Existencia y efectividad de auditorías periódicas</w:t>
            </w:r>
          </w:p>
        </w:tc>
        <w:tc>
          <w:tcPr>
            <w:tcW w:w="0" w:type="auto"/>
            <w:vAlign w:val="center"/>
            <w:hideMark/>
          </w:tcPr>
          <w:p w14:paraId="603694D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28F7D11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461E58C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1540547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5FF5E77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790" w:type="dxa"/>
            <w:vAlign w:val="center"/>
            <w:hideMark/>
          </w:tcPr>
          <w:p w14:paraId="77BED3C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r>
      <w:tr w:rsidR="00C51607" w:rsidRPr="002012E1" w14:paraId="5A34B906" w14:textId="77777777" w:rsidTr="005C1607">
        <w:trPr>
          <w:trHeight w:val="20"/>
          <w:jc w:val="center"/>
        </w:trPr>
        <w:tc>
          <w:tcPr>
            <w:tcW w:w="0" w:type="auto"/>
            <w:vAlign w:val="center"/>
            <w:hideMark/>
          </w:tcPr>
          <w:p w14:paraId="3B85B34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Errores o ajustes posteriores</w:t>
            </w:r>
          </w:p>
        </w:tc>
        <w:tc>
          <w:tcPr>
            <w:tcW w:w="0" w:type="auto"/>
            <w:vAlign w:val="center"/>
            <w:hideMark/>
          </w:tcPr>
          <w:p w14:paraId="133BEEE2"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Frecuencia de correcciones tras emisión de estados financieros</w:t>
            </w:r>
          </w:p>
        </w:tc>
        <w:tc>
          <w:tcPr>
            <w:tcW w:w="0" w:type="auto"/>
            <w:vAlign w:val="center"/>
            <w:hideMark/>
          </w:tcPr>
          <w:p w14:paraId="7D48152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515FD307"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642FA25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1274961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1DADBA3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790" w:type="dxa"/>
            <w:vAlign w:val="center"/>
            <w:hideMark/>
          </w:tcPr>
          <w:p w14:paraId="2CCD474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r>
      <w:tr w:rsidR="00C51607" w:rsidRPr="002012E1" w14:paraId="79675EBA" w14:textId="77777777" w:rsidTr="005C1607">
        <w:trPr>
          <w:trHeight w:val="20"/>
          <w:jc w:val="center"/>
        </w:trPr>
        <w:tc>
          <w:tcPr>
            <w:tcW w:w="0" w:type="auto"/>
            <w:vAlign w:val="center"/>
            <w:hideMark/>
          </w:tcPr>
          <w:p w14:paraId="33AAFE89"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lastRenderedPageBreak/>
              <w:t>Opinión de auditores externos</w:t>
            </w:r>
          </w:p>
        </w:tc>
        <w:tc>
          <w:tcPr>
            <w:tcW w:w="0" w:type="auto"/>
            <w:vAlign w:val="center"/>
            <w:hideMark/>
          </w:tcPr>
          <w:p w14:paraId="41F3A21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Grado de cumplimiento según informes de auditoría externa</w:t>
            </w:r>
          </w:p>
        </w:tc>
        <w:tc>
          <w:tcPr>
            <w:tcW w:w="0" w:type="auto"/>
            <w:vAlign w:val="center"/>
            <w:hideMark/>
          </w:tcPr>
          <w:p w14:paraId="3A9D26E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39EAB673"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7C6632A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77B1A7C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757D596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790" w:type="dxa"/>
            <w:vAlign w:val="center"/>
            <w:hideMark/>
          </w:tcPr>
          <w:p w14:paraId="64DC7AF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r>
      <w:tr w:rsidR="00C51607" w:rsidRPr="002012E1" w14:paraId="0628545F" w14:textId="77777777" w:rsidTr="005C1607">
        <w:trPr>
          <w:trHeight w:val="20"/>
          <w:jc w:val="center"/>
        </w:trPr>
        <w:tc>
          <w:tcPr>
            <w:tcW w:w="0" w:type="auto"/>
            <w:vAlign w:val="center"/>
            <w:hideMark/>
          </w:tcPr>
          <w:p w14:paraId="0DA9FA76"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Sanciones o advertencias de la SUPEN</w:t>
            </w:r>
          </w:p>
        </w:tc>
        <w:tc>
          <w:tcPr>
            <w:tcW w:w="0" w:type="auto"/>
            <w:vAlign w:val="center"/>
            <w:hideMark/>
          </w:tcPr>
          <w:p w14:paraId="4CFA422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Incidencias por incumplimiento normativo</w:t>
            </w:r>
          </w:p>
        </w:tc>
        <w:tc>
          <w:tcPr>
            <w:tcW w:w="0" w:type="auto"/>
            <w:vAlign w:val="center"/>
            <w:hideMark/>
          </w:tcPr>
          <w:p w14:paraId="37C7CDD8"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0730B9D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5</w:t>
            </w:r>
          </w:p>
        </w:tc>
        <w:tc>
          <w:tcPr>
            <w:tcW w:w="0" w:type="auto"/>
            <w:vAlign w:val="center"/>
            <w:hideMark/>
          </w:tcPr>
          <w:p w14:paraId="7356A6A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5E433E6F"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54BF215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790" w:type="dxa"/>
            <w:vAlign w:val="center"/>
            <w:hideMark/>
          </w:tcPr>
          <w:p w14:paraId="436EA121"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r>
      <w:tr w:rsidR="00C51607" w:rsidRPr="002012E1" w14:paraId="215CC568" w14:textId="77777777" w:rsidTr="005C1607">
        <w:trPr>
          <w:trHeight w:val="20"/>
          <w:jc w:val="center"/>
        </w:trPr>
        <w:tc>
          <w:tcPr>
            <w:tcW w:w="0" w:type="auto"/>
            <w:vAlign w:val="center"/>
            <w:hideMark/>
          </w:tcPr>
          <w:p w14:paraId="54396AC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Capacidades técnicas y profesionales</w:t>
            </w:r>
          </w:p>
        </w:tc>
        <w:tc>
          <w:tcPr>
            <w:tcW w:w="0" w:type="auto"/>
            <w:vAlign w:val="center"/>
            <w:hideMark/>
          </w:tcPr>
          <w:p w14:paraId="39C1F27D"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Personal con experticia sobre NIIF, NIC, normativa</w:t>
            </w:r>
          </w:p>
        </w:tc>
        <w:tc>
          <w:tcPr>
            <w:tcW w:w="0" w:type="auto"/>
            <w:vAlign w:val="center"/>
            <w:hideMark/>
          </w:tcPr>
          <w:p w14:paraId="608086F7"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3DC69E9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0" w:type="auto"/>
            <w:vAlign w:val="center"/>
            <w:hideMark/>
          </w:tcPr>
          <w:p w14:paraId="07BF50D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4</w:t>
            </w:r>
          </w:p>
        </w:tc>
        <w:tc>
          <w:tcPr>
            <w:tcW w:w="0" w:type="auto"/>
            <w:vAlign w:val="center"/>
            <w:hideMark/>
          </w:tcPr>
          <w:p w14:paraId="518DFCBC"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0" w:type="auto"/>
            <w:vAlign w:val="center"/>
            <w:hideMark/>
          </w:tcPr>
          <w:p w14:paraId="4F2598F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3</w:t>
            </w:r>
          </w:p>
        </w:tc>
        <w:tc>
          <w:tcPr>
            <w:tcW w:w="790" w:type="dxa"/>
            <w:vAlign w:val="center"/>
            <w:hideMark/>
          </w:tcPr>
          <w:p w14:paraId="7069AE9E"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lang w:val="es-419"/>
              </w:rPr>
            </w:pPr>
            <w:r w:rsidRPr="002012E1">
              <w:rPr>
                <w:rFonts w:eastAsia="Times New Roman"/>
                <w:lang w:val="es-419"/>
              </w:rPr>
              <w:t>2</w:t>
            </w:r>
          </w:p>
        </w:tc>
      </w:tr>
      <w:tr w:rsidR="00C51607" w:rsidRPr="002012E1" w14:paraId="34DF0775" w14:textId="77777777" w:rsidTr="005C1607">
        <w:trPr>
          <w:trHeight w:val="20"/>
          <w:jc w:val="center"/>
        </w:trPr>
        <w:tc>
          <w:tcPr>
            <w:tcW w:w="0" w:type="auto"/>
            <w:gridSpan w:val="2"/>
            <w:vAlign w:val="center"/>
            <w:hideMark/>
          </w:tcPr>
          <w:p w14:paraId="7F0DF0B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Índice promedio</w:t>
            </w:r>
          </w:p>
        </w:tc>
        <w:tc>
          <w:tcPr>
            <w:tcW w:w="0" w:type="auto"/>
            <w:vAlign w:val="center"/>
            <w:hideMark/>
          </w:tcPr>
          <w:p w14:paraId="54D940DA"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4.71</w:t>
            </w:r>
          </w:p>
        </w:tc>
        <w:tc>
          <w:tcPr>
            <w:tcW w:w="0" w:type="auto"/>
            <w:vAlign w:val="center"/>
            <w:hideMark/>
          </w:tcPr>
          <w:p w14:paraId="2D99BC0B"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3.86</w:t>
            </w:r>
          </w:p>
        </w:tc>
        <w:tc>
          <w:tcPr>
            <w:tcW w:w="0" w:type="auto"/>
            <w:vAlign w:val="center"/>
            <w:hideMark/>
          </w:tcPr>
          <w:p w14:paraId="7DCFCB7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4.29</w:t>
            </w:r>
          </w:p>
        </w:tc>
        <w:tc>
          <w:tcPr>
            <w:tcW w:w="0" w:type="auto"/>
            <w:vAlign w:val="center"/>
            <w:hideMark/>
          </w:tcPr>
          <w:p w14:paraId="27BD4310"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3.71</w:t>
            </w:r>
          </w:p>
        </w:tc>
        <w:tc>
          <w:tcPr>
            <w:tcW w:w="0" w:type="auto"/>
            <w:vAlign w:val="center"/>
            <w:hideMark/>
          </w:tcPr>
          <w:p w14:paraId="22C28485"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3.57</w:t>
            </w:r>
          </w:p>
        </w:tc>
        <w:tc>
          <w:tcPr>
            <w:tcW w:w="790" w:type="dxa"/>
            <w:vAlign w:val="center"/>
            <w:hideMark/>
          </w:tcPr>
          <w:p w14:paraId="1B62B5A4" w14:textId="77777777" w:rsidR="00C51607" w:rsidRPr="002012E1" w:rsidRDefault="00C51607" w:rsidP="005C1607">
            <w:pPr>
              <w:pBdr>
                <w:top w:val="nil"/>
                <w:left w:val="nil"/>
                <w:bottom w:val="nil"/>
                <w:right w:val="nil"/>
                <w:between w:val="nil"/>
              </w:pBdr>
              <w:spacing w:before="280" w:after="280" w:line="360" w:lineRule="auto"/>
              <w:jc w:val="center"/>
              <w:rPr>
                <w:rFonts w:eastAsia="Times New Roman"/>
                <w:b/>
                <w:bCs/>
                <w:lang w:val="es-419"/>
              </w:rPr>
            </w:pPr>
            <w:r w:rsidRPr="002012E1">
              <w:rPr>
                <w:rFonts w:eastAsia="Times New Roman"/>
                <w:b/>
                <w:bCs/>
                <w:lang w:val="es-419"/>
              </w:rPr>
              <w:t>2.71</w:t>
            </w:r>
          </w:p>
        </w:tc>
      </w:tr>
    </w:tbl>
    <w:p w14:paraId="6B2DD3CA"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 xml:space="preserve">Elaboración propia.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Grupo Investigador (2025)</w:t>
      </w:r>
    </w:p>
    <w:p w14:paraId="5822E6BD" w14:textId="77777777" w:rsidR="00C51607" w:rsidRDefault="00C51607" w:rsidP="00C51607">
      <w:pPr>
        <w:spacing w:before="280" w:after="280" w:line="360" w:lineRule="auto"/>
        <w:jc w:val="both"/>
        <w:rPr>
          <w:rFonts w:ascii="Arial" w:eastAsia="Calibri" w:hAnsi="Arial" w:cs="Arial"/>
          <w:b/>
          <w:bCs/>
          <w:i/>
          <w:iCs/>
          <w:kern w:val="0"/>
          <w14:ligatures w14:val="none"/>
        </w:rPr>
      </w:pPr>
      <w:bookmarkStart w:id="117" w:name="_Toc200314674"/>
    </w:p>
    <w:p w14:paraId="4DFAD253" w14:textId="77777777" w:rsidR="00C51607" w:rsidRDefault="00C51607" w:rsidP="00C51607">
      <w:pPr>
        <w:spacing w:before="280" w:after="280" w:line="360" w:lineRule="auto"/>
        <w:jc w:val="both"/>
        <w:rPr>
          <w:rFonts w:ascii="Arial" w:eastAsia="Calibri" w:hAnsi="Arial" w:cs="Arial"/>
          <w:b/>
          <w:bCs/>
          <w:i/>
          <w:iCs/>
          <w:kern w:val="0"/>
          <w14:ligatures w14:val="none"/>
        </w:rPr>
      </w:pPr>
    </w:p>
    <w:p w14:paraId="2A63A90C" w14:textId="77777777" w:rsidR="00C51607" w:rsidRDefault="00C51607" w:rsidP="00C51607">
      <w:pPr>
        <w:spacing w:before="280" w:after="280" w:line="360" w:lineRule="auto"/>
        <w:jc w:val="both"/>
        <w:rPr>
          <w:rFonts w:ascii="Arial" w:eastAsia="Calibri" w:hAnsi="Arial" w:cs="Arial"/>
          <w:b/>
          <w:bCs/>
          <w:i/>
          <w:iCs/>
          <w:kern w:val="0"/>
          <w14:ligatures w14:val="none"/>
        </w:rPr>
      </w:pPr>
    </w:p>
    <w:p w14:paraId="4C59049B" w14:textId="77777777" w:rsidR="00C51607" w:rsidRDefault="00C51607" w:rsidP="00C51607">
      <w:pPr>
        <w:spacing w:before="280" w:after="280" w:line="360" w:lineRule="auto"/>
        <w:jc w:val="both"/>
        <w:rPr>
          <w:rFonts w:ascii="Arial" w:eastAsia="Calibri" w:hAnsi="Arial" w:cs="Arial"/>
          <w:b/>
          <w:bCs/>
          <w:i/>
          <w:iCs/>
          <w:kern w:val="0"/>
          <w14:ligatures w14:val="none"/>
        </w:rPr>
      </w:pPr>
    </w:p>
    <w:p w14:paraId="0E128095" w14:textId="77777777" w:rsidR="00C51607" w:rsidRDefault="00C51607" w:rsidP="00C51607">
      <w:pPr>
        <w:spacing w:before="280" w:after="280" w:line="360" w:lineRule="auto"/>
        <w:jc w:val="both"/>
        <w:rPr>
          <w:rFonts w:ascii="Arial" w:eastAsia="Calibri" w:hAnsi="Arial" w:cs="Arial"/>
          <w:b/>
          <w:bCs/>
          <w:i/>
          <w:iCs/>
          <w:kern w:val="0"/>
          <w14:ligatures w14:val="none"/>
        </w:rPr>
      </w:pPr>
    </w:p>
    <w:p w14:paraId="76DB9889" w14:textId="59C4E7AD" w:rsidR="00C51607" w:rsidRPr="002012E1" w:rsidRDefault="00C51607" w:rsidP="00C51607">
      <w:pPr>
        <w:spacing w:before="280" w:after="280" w:line="360" w:lineRule="auto"/>
        <w:jc w:val="both"/>
        <w:rPr>
          <w:rFonts w:ascii="Arial" w:eastAsia="Times New Roman" w:hAnsi="Arial" w:cs="Arial"/>
          <w:b/>
          <w:bCs/>
          <w:i/>
          <w:iCs/>
          <w:kern w:val="0"/>
          <w14:ligatures w14:val="none"/>
        </w:rPr>
      </w:pPr>
      <w:r w:rsidRPr="002012E1">
        <w:rPr>
          <w:rFonts w:ascii="Arial" w:eastAsia="Calibri" w:hAnsi="Arial" w:cs="Arial"/>
          <w:b/>
          <w:bCs/>
          <w:i/>
          <w:iCs/>
          <w:kern w:val="0"/>
          <w14:ligatures w14:val="none"/>
        </w:rPr>
        <w:lastRenderedPageBreak/>
        <w:t xml:space="preserve">Gráfico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Gráfico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xml:space="preserve">. </w:t>
      </w:r>
      <w:r w:rsidRPr="002012E1">
        <w:rPr>
          <w:rFonts w:ascii="Arial" w:eastAsia="Times New Roman" w:hAnsi="Arial" w:cs="Arial"/>
          <w:b/>
          <w:bCs/>
          <w:i/>
          <w:iCs/>
          <w:kern w:val="0"/>
          <w14:ligatures w14:val="none"/>
        </w:rPr>
        <w:t xml:space="preserve">Nivel de Cumplimiento, </w:t>
      </w:r>
      <w:r w:rsidRPr="002012E1">
        <w:rPr>
          <w:rFonts w:ascii="Arial" w:eastAsia="Times New Roman" w:hAnsi="Arial" w:cs="Arial"/>
          <w:b/>
          <w:bCs/>
          <w:i/>
          <w:iCs/>
          <w:color w:val="000000"/>
          <w:kern w:val="0"/>
          <w14:ligatures w14:val="none"/>
        </w:rPr>
        <w:t>Evaluación del Índice promedio por operadora basado en la Tabla 21</w:t>
      </w:r>
      <w:bookmarkEnd w:id="117"/>
    </w:p>
    <w:p w14:paraId="6177B9C0" w14:textId="77777777" w:rsidR="00C51607" w:rsidRPr="002012E1" w:rsidRDefault="00C51607" w:rsidP="00C51607">
      <w:pPr>
        <w:spacing w:before="280" w:after="280" w:line="360" w:lineRule="auto"/>
        <w:jc w:val="both"/>
        <w:rPr>
          <w:rFonts w:ascii="Arial" w:eastAsia="Times New Roman" w:hAnsi="Arial" w:cs="Arial"/>
          <w:b/>
          <w:bCs/>
          <w:kern w:val="0"/>
          <w14:ligatures w14:val="none"/>
        </w:rPr>
      </w:pPr>
      <w:r w:rsidRPr="002012E1">
        <w:rPr>
          <w:rFonts w:ascii="Arial" w:eastAsia="Times New Roman" w:hAnsi="Arial" w:cs="Arial"/>
          <w:b/>
          <w:bCs/>
          <w:noProof/>
          <w:kern w:val="0"/>
          <w14:ligatures w14:val="none"/>
        </w:rPr>
        <w:drawing>
          <wp:inline distT="0" distB="0" distL="0" distR="0" wp14:anchorId="5567304C" wp14:editId="72B4B0E4">
            <wp:extent cx="5715000" cy="4229100"/>
            <wp:effectExtent l="0" t="0" r="0" b="0"/>
            <wp:docPr id="512377592" name="Gráfico 1">
              <a:extLst xmlns:a="http://schemas.openxmlformats.org/drawingml/2006/main">
                <a:ext uri="{FF2B5EF4-FFF2-40B4-BE49-F238E27FC236}">
                  <a16:creationId xmlns:a16="http://schemas.microsoft.com/office/drawing/2014/main" id="{A364A407-ACD5-2C21-855D-6E9000B2F1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91DEFDD"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 xml:space="preserve">Elaboración propia.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Grupo Investigador (2025)</w:t>
      </w:r>
    </w:p>
    <w:p w14:paraId="1C87C77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FB82A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operadoras BAC y Popular Pensiones lideran la evaluación con índices promedio de 4.71 y 4.29, respectivamente, lo que indica un alto nivel de eficiencia en la aplicación de la normativa contable. </w:t>
      </w:r>
    </w:p>
    <w:p w14:paraId="0ECF645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549D94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Estos resultados reflejan que ambas entidades cuentan con una sólida alineación con las Normas Internacionales de Información Financiera (NIIF), sistemas contables robustos, auditorías efectivas y personal capacitado. </w:t>
      </w:r>
    </w:p>
    <w:p w14:paraId="3D21CAB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46BB33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Su desempeño sobresaliente en la consistencia normativa y auditoría externa sugiere que han invertido adecuadamente en tecnología y recursos humanos especializados, lo que les permite cumplir con los requerimientos regulatorios y ofrecer transparencia a sus afiliados. </w:t>
      </w:r>
    </w:p>
    <w:p w14:paraId="42C716C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AC29DC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es consistente con los informes de Deloitte (2019) y CONASSIF (2023), que destacan a estas operadoras como referentes en la gestión y supervisión del sistema.</w:t>
      </w:r>
    </w:p>
    <w:p w14:paraId="472C877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255600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las operadoras CCSS, BCR Pensiones y BN Vital presentan índices promedio entre 3.57 y 3.86, lo que indica un desempeño aceptable, pero con áreas claras de mejora. </w:t>
      </w:r>
    </w:p>
    <w:p w14:paraId="7050F1A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C53BE6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particular, estas entidades muestran limitaciones en la infraestructura tecnológica y en la capacitación continua del personal, aspectos críticos para la correcta aplicación de las NIIF y la generación de reportes confiables. </w:t>
      </w:r>
    </w:p>
    <w:p w14:paraId="63BD5A4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23E1BC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ejemplo, la CCSS enfrenta restricciones propias del sector público que ralentizan la modernización tecnológica, mientras que BCR y BN Vital necesitan fortalecer sus sistemas integrados para mejorar la trazabilidad y automatización, tal como señala SUPEN (2023). </w:t>
      </w:r>
    </w:p>
    <w:p w14:paraId="53BD93E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ADF5497"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la dependencia de fuentes externas para valoración y algunos ajustes posteriores reflejan la necesidad de optimizar el control interno y la gestión de riesgos.</w:t>
      </w:r>
    </w:p>
    <w:p w14:paraId="54BCF8A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09AEEC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operadora Vida Plena obtiene el índice promedio más bajo (2.71), lo que evidencia limitaciones importantes en casi todos los criterios evaluados. Su menor tamaño y participación en el mercado restringen la capacidad para invertir en tecnología, capacitación y auditorías rigurosas, afectando la calidad y confiabilidad de la información financiera que presenta. </w:t>
      </w:r>
    </w:p>
    <w:p w14:paraId="02C86F7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Esta situación puede impactar negativamente en la confianza de los afiliados y en la supervisión regulatoria. La evidencia coincide con estudios de Crowe Costa Rica (2023) y SUPEN (2023), que señalan que las operadoras pequeñas enfrentan barreras para alcanzar niveles óptimos de cumplimiento normativo y eficiencia operativa.</w:t>
      </w:r>
    </w:p>
    <w:p w14:paraId="5E69E4A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75B72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Un hallazgo colateral en todas las operadoras es la importancia crítica de contar con personal capacitado y con acceso a tecnologías actualizadas para la correcta implementación de la normativa contable. </w:t>
      </w:r>
    </w:p>
    <w:p w14:paraId="01FF636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D94336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puntuaciones más bajas en estos criterios reflejan que, aunque algunas operadoras cumplen con los requerimientos mínimos, la evolución constante de las NIIF y la complejidad creciente de los instrumentos financieros exigen un esfuerzo continuo en formación y modernización. Esto es fundamental para reducir errores, mejorar la calidad de los reportes y cumplir con las exigencias regulatorias, tal como enfatiza Deloitte (2019).</w:t>
      </w:r>
    </w:p>
    <w:p w14:paraId="798545A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8CEB20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Los resultados de esta evaluación tienen implicaciones importantes para la supervisión y la sostenibilidad del sistema de pensiones en Costa Rica. Las operadoras con mayor eficiencia en la implementación normativa están mejor posicionadas para gestionar riesgos, proteger los recursos de los afiliados y mantener la confianza del mercado. </w:t>
      </w:r>
    </w:p>
    <w:p w14:paraId="7C8F6DA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56EC70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el contrario, las entidades con menores índices requieren apoyo regulatorio y estrategias específicas para fortalecer sus capacidades técnicas y operativas. La supervisión activa y el acompañamiento técnico, junto con incentivos para la inversión en tecnología y formación, serán clave para elevar el nivel general del sistema y garantizar su estabilidad a largo plazo, tal como lo recomienda CONASSIF (2023).</w:t>
      </w:r>
    </w:p>
    <w:p w14:paraId="25D75C3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F8CA8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Por lo que, la información recopilada y las entrevistas realizadas a las diferentes entidades vinculadas con la gestión de fondos de pensiones en Costa Rica revelan un panorama complejo y desafiante en la aplicación de normas contables internacionales, la valoración de activos y la gestión del riesgo. </w:t>
      </w:r>
    </w:p>
    <w:p w14:paraId="507E40C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6882B2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general, se reconoce un alto grado de conformidad con las NIIF, especialmente la NIIF 9, y una integración significativa de estas normas en la regulación local bajo SUPEN y CONASSIF. Sin embargo, esta integración conlleva retos importantes, como la necesidad de adaptar metodologías de valoración a la realidad del mercado local, especialmente para activos ilíquidos o sin cotización frecuente, que requieren el uso de insumos no observables (nivel 3), aumentando la incertidumbre y la complejidad.</w:t>
      </w:r>
    </w:p>
    <w:p w14:paraId="00EC194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C91EB9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Las entrevistas destacan que la capacidad técnica de los fondos es una limitante crucial. Muchos fondos, particularmente los de menor tamaño, carecen de personal especializado y sistemas tecnológicos adecuados, lo que dificulta la correcta aplicación de las normas, la valoración precisa de instrumentos financieros y la gestión integral del riesgo. </w:t>
      </w:r>
    </w:p>
    <w:p w14:paraId="0508E2C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F1556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situación genera dependencia de proveedores externos para valoraciones complejas, con riesgos asociados a la concentración y costos elevados, además de la necesidad de supervisión rigurosa para evitar inconsistencias o manipulaciones. La heterogeneidad en la aplicación de las normas y la falta de uniformidad en las revelaciones contables complican la comparabilidad y la evaluación del desempeño entre fondos.</w:t>
      </w:r>
    </w:p>
    <w:p w14:paraId="0565E0C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06C168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Asimismo, la falta de sistemas integrados y automatizados limita la calidad, confiabilidad y oportunidad de la información financiera, afectando la toma de decisiones y la gestión del riesgo. </w:t>
      </w:r>
    </w:p>
    <w:p w14:paraId="3DA8ADF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B2647F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La inversión en tecnología, capacitación y actualización normativa es fundamental, aunque representa un reto para fondos con recursos limitados. La supervisión se ha fortalecido para garantizar que las metodologías propias de valoración sean consistentes con los principios internacionales y que se mantenga la integridad del sistema financiero.</w:t>
      </w:r>
    </w:p>
    <w:p w14:paraId="56A40F9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F728E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este sentido, el análisis de los desafíos específicos de cada operadora revela que la transición hacia modelos más sofisticados, como los fondos generacionales, exige una mayor ingeniería financiera, infraestructura tecnológica y coordinación entre áreas. </w:t>
      </w:r>
    </w:p>
    <w:p w14:paraId="1AE8712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24A5D4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conjunto, la información y las entrevistas subrayan la necesidad de fortalecer capacidades técnicas, mejorar la transparencia y promover una supervisión efectiva para asegurar la sostenibilidad, estabilidad y confianza en el sistema de pensiones costarricense.</w:t>
      </w:r>
    </w:p>
    <w:p w14:paraId="59E87043" w14:textId="77777777" w:rsidR="00C51607" w:rsidRPr="002012E1" w:rsidRDefault="00C51607" w:rsidP="00C51607">
      <w:pPr>
        <w:spacing w:after="0" w:line="360" w:lineRule="auto"/>
        <w:jc w:val="both"/>
        <w:rPr>
          <w:rFonts w:ascii="Arial" w:eastAsia="Calibri" w:hAnsi="Arial" w:cs="Arial"/>
          <w:kern w:val="0"/>
          <w:lang w:val="es-MX"/>
          <w14:ligatures w14:val="none"/>
        </w:rPr>
        <w:sectPr w:rsidR="00C51607" w:rsidRPr="002012E1" w:rsidSect="00C51607">
          <w:headerReference w:type="first" r:id="rId32"/>
          <w:footerReference w:type="first" r:id="rId33"/>
          <w:pgSz w:w="12240" w:h="15840"/>
          <w:pgMar w:top="1417" w:right="1701" w:bottom="1417" w:left="1701" w:header="708" w:footer="708" w:gutter="0"/>
          <w:cols w:space="708"/>
          <w:titlePg/>
          <w:docGrid w:linePitch="360"/>
        </w:sectPr>
      </w:pPr>
    </w:p>
    <w:p w14:paraId="45279886"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kern w:val="36"/>
          <w:sz w:val="40"/>
          <w:szCs w:val="40"/>
          <w:lang w:eastAsia="es-CR"/>
          <w14:ligatures w14:val="none"/>
        </w:rPr>
        <w:sectPr w:rsidR="00C51607" w:rsidRPr="002012E1" w:rsidSect="00C51607">
          <w:headerReference w:type="first" r:id="rId34"/>
          <w:footerReference w:type="first" r:id="rId35"/>
          <w:pgSz w:w="12240" w:h="15840"/>
          <w:pgMar w:top="1417" w:right="1701" w:bottom="1417" w:left="1701" w:header="709" w:footer="709" w:gutter="0"/>
          <w:cols w:space="708"/>
          <w:vAlign w:val="center"/>
          <w:titlePg/>
          <w:docGrid w:linePitch="360"/>
        </w:sectPr>
      </w:pPr>
      <w:bookmarkStart w:id="118" w:name="_Toc201832460"/>
      <w:r w:rsidRPr="002012E1">
        <w:rPr>
          <w:rFonts w:ascii="Arial" w:eastAsia="Times New Roman" w:hAnsi="Arial" w:cs="Arial"/>
          <w:b/>
          <w:bCs/>
          <w:kern w:val="36"/>
          <w:sz w:val="40"/>
          <w:szCs w:val="40"/>
          <w:lang w:eastAsia="es-CR"/>
          <w14:ligatures w14:val="none"/>
        </w:rPr>
        <w:lastRenderedPageBreak/>
        <w:t>CAPÍTULO V. CONCLUSIONES Y RECOMENDACIONES</w:t>
      </w:r>
      <w:bookmarkEnd w:id="118"/>
    </w:p>
    <w:p w14:paraId="1B1332E2" w14:textId="77777777" w:rsidR="00C51607" w:rsidRPr="002012E1" w:rsidRDefault="00C51607" w:rsidP="00C51607">
      <w:pPr>
        <w:pStyle w:val="apanivel1"/>
        <w:jc w:val="center"/>
      </w:pPr>
      <w:bookmarkStart w:id="119" w:name="_Toc196485461"/>
      <w:bookmarkStart w:id="120" w:name="_Toc201832461"/>
      <w:r w:rsidRPr="002012E1">
        <w:lastRenderedPageBreak/>
        <w:t>Capitulo V: Conclusiones Y Recomendaciones</w:t>
      </w:r>
      <w:bookmarkEnd w:id="119"/>
      <w:bookmarkEnd w:id="120"/>
    </w:p>
    <w:p w14:paraId="4A93D8A6" w14:textId="77777777" w:rsidR="00C51607" w:rsidRPr="002012E1" w:rsidRDefault="00C51607" w:rsidP="00C51607">
      <w:pPr>
        <w:pStyle w:val="apanivel2"/>
        <w:rPr>
          <w:rFonts w:ascii="Arial" w:hAnsi="Arial" w:cs="Arial"/>
        </w:rPr>
      </w:pPr>
      <w:bookmarkStart w:id="121" w:name="_Toc201832462"/>
      <w:r w:rsidRPr="002012E1">
        <w:rPr>
          <w:rFonts w:ascii="Arial" w:hAnsi="Arial" w:cs="Arial"/>
        </w:rPr>
        <w:t>Conclusiones</w:t>
      </w:r>
      <w:bookmarkEnd w:id="121"/>
    </w:p>
    <w:p w14:paraId="24EB3C43" w14:textId="77777777" w:rsidR="00C51607" w:rsidRPr="002012E1" w:rsidRDefault="00C51607" w:rsidP="00C51607">
      <w:pPr>
        <w:pStyle w:val="apanivel3"/>
        <w:rPr>
          <w:rFonts w:ascii="Arial" w:hAnsi="Arial" w:cs="Arial"/>
        </w:rPr>
      </w:pPr>
      <w:bookmarkStart w:id="122" w:name="_Toc201832463"/>
      <w:r w:rsidRPr="002012E1">
        <w:rPr>
          <w:rFonts w:ascii="Arial" w:hAnsi="Arial" w:cs="Arial"/>
          <w:lang w:val="es-MX"/>
        </w:rPr>
        <w:t xml:space="preserve">Objetivo general: </w:t>
      </w:r>
      <w:r w:rsidRPr="002012E1">
        <w:rPr>
          <w:rFonts w:ascii="Arial" w:hAnsi="Arial" w:cs="Arial"/>
        </w:rPr>
        <w:t>Desarrollar una propuesta de registro contable para productos de inversión alternativos en los portafolios de pensiones costarricenses, alineada con las normativas nacionales e internacionales, que facilite la supervisión, valoración y gestión de riesgos por parte de las autoridades y operadores del sistema de pensiones</w:t>
      </w:r>
      <w:bookmarkEnd w:id="122"/>
    </w:p>
    <w:p w14:paraId="6F7395A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propuesta de desarrollar un registro contable específico para productos de inversión alternativos en los portafolios de pensiones costarricenses, alineado con normativas nacionales e internacionales, es fundamental para mejorar la supervisión, valoración y gestión de riesgos tanto por parte de las autoridades como de los operadores del sistema. </w:t>
      </w:r>
    </w:p>
    <w:p w14:paraId="4041142A" w14:textId="77777777" w:rsidR="00C51607" w:rsidRPr="002012E1" w:rsidRDefault="00C51607" w:rsidP="00C51607">
      <w:pPr>
        <w:spacing w:after="0" w:line="360" w:lineRule="auto"/>
        <w:jc w:val="both"/>
        <w:rPr>
          <w:rFonts w:ascii="Arial" w:eastAsia="Calibri" w:hAnsi="Arial" w:cs="Arial"/>
          <w:kern w:val="0"/>
          <w14:ligatures w14:val="none"/>
        </w:rPr>
      </w:pPr>
    </w:p>
    <w:p w14:paraId="1BAF69B3"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Este enfoque permite una mayor transparencia y comparabilidad en la información financiera, facilitando la toma de decisiones informadas y la confianza de los afiliados. Además, al incorporar criterios claros para la medición y reporte de activos complejos e ilíquidos, y al fortalecer las capacidades técnicas y tecnológicas de las operadoras, se promoverá una gestión más eficiente y sostenible de los fondos de pensiones. La armonización normativa y la aplicación de mejores prácticas internacionales, adaptadas a la realidad local, contribuirán a robustecer el marco regulatorio y a anticipar riesgos emergentes, asegurando la estabilidad y solvencia del sistema de pensiones en Costa Rica.</w:t>
      </w:r>
    </w:p>
    <w:p w14:paraId="3376B4B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BFFD5A0" w14:textId="77777777" w:rsidR="00C51607" w:rsidRPr="002012E1" w:rsidRDefault="00C51607" w:rsidP="00C51607">
      <w:pPr>
        <w:pStyle w:val="apanivel3"/>
        <w:rPr>
          <w:rFonts w:ascii="Arial" w:hAnsi="Arial" w:cs="Arial"/>
        </w:rPr>
      </w:pPr>
      <w:bookmarkStart w:id="123" w:name="_Toc201832464"/>
      <w:r w:rsidRPr="002012E1">
        <w:rPr>
          <w:rFonts w:ascii="Arial" w:hAnsi="Arial" w:cs="Arial"/>
        </w:rPr>
        <w:t xml:space="preserve">Objetivo 1: </w:t>
      </w:r>
      <w:r w:rsidRPr="002012E1">
        <w:rPr>
          <w:rFonts w:ascii="Arial" w:hAnsi="Arial" w:cs="Arial"/>
          <w:lang w:val="es-MX"/>
        </w:rPr>
        <w:t>Investigar los productos financieros de deuda, acciones y alternativos para comprender sus características principales y su impacto en las estrategias de inversión.</w:t>
      </w:r>
      <w:bookmarkEnd w:id="123"/>
    </w:p>
    <w:p w14:paraId="50B352B6" w14:textId="77777777" w:rsidR="00C51607" w:rsidRPr="002012E1" w:rsidRDefault="00C51607" w:rsidP="00C51607">
      <w:pPr>
        <w:pStyle w:val="apanivel4"/>
        <w:rPr>
          <w:rFonts w:ascii="Arial" w:hAnsi="Arial" w:cs="Arial"/>
        </w:rPr>
      </w:pPr>
      <w:r w:rsidRPr="002012E1">
        <w:rPr>
          <w:rFonts w:ascii="Arial" w:hAnsi="Arial" w:cs="Arial"/>
        </w:rPr>
        <w:t>Características principales de productos de deuda, acciones y alternativos</w:t>
      </w:r>
    </w:p>
    <w:p w14:paraId="0A78E61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lastRenderedPageBreak/>
        <w:t xml:space="preserve">Los productos financieros disponibles para los fondos de pensiones en Costa Rica presentan perfiles variados de riesgo y rendimiento. La deuda pública y privada es la base de las carteras tradicionales debido a su estabilidad y liquidez, mientras que las acciones ofrecen mayor potencial de crecimiento, pero con mayor volatilidad y sensibilidad a los ciclos económicos. </w:t>
      </w:r>
    </w:p>
    <w:p w14:paraId="5B1EB466" w14:textId="77777777" w:rsidR="00C51607" w:rsidRPr="002012E1" w:rsidRDefault="00C51607" w:rsidP="00C51607">
      <w:pPr>
        <w:spacing w:after="0" w:line="360" w:lineRule="auto"/>
        <w:jc w:val="both"/>
        <w:rPr>
          <w:rFonts w:ascii="Arial" w:eastAsia="Calibri" w:hAnsi="Arial" w:cs="Arial"/>
          <w:kern w:val="0"/>
          <w14:ligatures w14:val="none"/>
        </w:rPr>
      </w:pPr>
    </w:p>
    <w:p w14:paraId="43FB9CEC"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Las inversiones alternativas buscan diversificar el portafolio, aunque enfrentan retos en cuanto a valoración y liquidez, requiriendo transparencia y capacidades técnicas fortalecidas.</w:t>
      </w:r>
    </w:p>
    <w:p w14:paraId="26BFEAD8" w14:textId="77777777" w:rsidR="00C51607" w:rsidRPr="002012E1" w:rsidRDefault="00C51607" w:rsidP="00C51607">
      <w:pPr>
        <w:spacing w:after="0" w:line="360" w:lineRule="auto"/>
        <w:jc w:val="both"/>
        <w:rPr>
          <w:rFonts w:ascii="Arial" w:eastAsia="Calibri" w:hAnsi="Arial" w:cs="Arial"/>
          <w:kern w:val="0"/>
          <w14:ligatures w14:val="none"/>
        </w:rPr>
      </w:pPr>
    </w:p>
    <w:p w14:paraId="2BA12388"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En comparación con mercados desarrollados, Costa Rica mantiene una preferencia por la renta fija y debe avanzar en mejorar su marco normativo y técnico para lograr una diversificación más eficiente y equilibrada, que permita optimizar el perfil riesgo-rendimiento de los portafolios.</w:t>
      </w:r>
    </w:p>
    <w:p w14:paraId="5FDCE1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7CAE924" w14:textId="77777777" w:rsidR="00C51607" w:rsidRPr="002012E1" w:rsidRDefault="00C51607" w:rsidP="00C51607">
      <w:pPr>
        <w:pStyle w:val="apanivel4"/>
        <w:rPr>
          <w:rFonts w:ascii="Arial" w:hAnsi="Arial" w:cs="Arial"/>
        </w:rPr>
      </w:pPr>
      <w:r w:rsidRPr="002012E1">
        <w:rPr>
          <w:rFonts w:ascii="Arial" w:hAnsi="Arial" w:cs="Arial"/>
        </w:rPr>
        <w:t>Impacto de estos productos en las estrategias de inversión</w:t>
      </w:r>
    </w:p>
    <w:p w14:paraId="7E5ED98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selección y combinación de productos financieros en los portafolios de los fondos de pensiones en Costa Rica es fundamental para alcanzar rentabilidad, sostenibilidad y solvencia. </w:t>
      </w:r>
    </w:p>
    <w:p w14:paraId="17CAF206" w14:textId="77777777" w:rsidR="00C51607" w:rsidRPr="002012E1" w:rsidRDefault="00C51607" w:rsidP="00C51607">
      <w:pPr>
        <w:spacing w:after="0" w:line="360" w:lineRule="auto"/>
        <w:jc w:val="both"/>
        <w:rPr>
          <w:rFonts w:ascii="Arial" w:eastAsia="Calibri" w:hAnsi="Arial" w:cs="Arial"/>
          <w:kern w:val="0"/>
          <w14:ligatures w14:val="none"/>
        </w:rPr>
      </w:pPr>
    </w:p>
    <w:p w14:paraId="5FB380A8"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deuda, por su estabilidad y liquidez, se utiliza para objetivos de corto y mediano plazo, mientras que las acciones e inversiones alternativas se adaptan mejor a horizontes largos y mayor tolerancia al riesgo. Esta diversificación optimiza el rendimiento ajustado al riesgo, aunque requiere una gestión sofisticada y monitoreo constante frente a cambios macroeconómicos como tasas de interés o inflación. La regulación local limita la proporción de productos alternativos para proteger la solvencia, obligando a los gestores a equilibrar rentabilidad, riesgo y cumplimiento normativo. </w:t>
      </w:r>
    </w:p>
    <w:p w14:paraId="045B9AE1" w14:textId="77777777" w:rsidR="00C51607" w:rsidRPr="002012E1" w:rsidRDefault="00C51607" w:rsidP="00C51607">
      <w:pPr>
        <w:spacing w:after="0" w:line="360" w:lineRule="auto"/>
        <w:jc w:val="both"/>
        <w:rPr>
          <w:rFonts w:ascii="Arial" w:eastAsia="Calibri" w:hAnsi="Arial" w:cs="Arial"/>
          <w:kern w:val="0"/>
          <w14:ligatures w14:val="none"/>
        </w:rPr>
      </w:pPr>
    </w:p>
    <w:p w14:paraId="4951682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lastRenderedPageBreak/>
        <w:t xml:space="preserve">La inclusión de productos complejos y diversificación internacional ha mejorado el desempeño en contextos de bajo crecimiento local, aunque con mayor exposición a riesgos cambiarios y volatilidad global. </w:t>
      </w:r>
    </w:p>
    <w:p w14:paraId="531585C5" w14:textId="77777777" w:rsidR="00C51607" w:rsidRPr="002012E1" w:rsidRDefault="00C51607" w:rsidP="00C51607">
      <w:pPr>
        <w:spacing w:after="0" w:line="360" w:lineRule="auto"/>
        <w:jc w:val="both"/>
        <w:rPr>
          <w:rFonts w:ascii="Arial" w:eastAsia="Calibri" w:hAnsi="Arial" w:cs="Arial"/>
          <w:kern w:val="0"/>
          <w14:ligatures w14:val="none"/>
        </w:rPr>
      </w:pPr>
    </w:p>
    <w:p w14:paraId="7BB9BC1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Experiencias internacionales muestran que una diversificación adecuada, junto con marcos normativos claros y capacidades técnicas fortalecidas, mejora el perfil riesgo-rendimiento, y que la toma de decisiones debe considerar aspectos financieros, contables, regulatorios y de transparencia para asegurar la alineación entre rentabilidad, liquidez y sostenibilidad en el tiempo.</w:t>
      </w:r>
    </w:p>
    <w:p w14:paraId="1F71C34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A5D5D9F" w14:textId="77777777" w:rsidR="00C51607" w:rsidRPr="002012E1" w:rsidRDefault="00C51607" w:rsidP="00C51607">
      <w:pPr>
        <w:pStyle w:val="apanivel4"/>
        <w:rPr>
          <w:rFonts w:ascii="Arial" w:hAnsi="Arial" w:cs="Arial"/>
        </w:rPr>
      </w:pPr>
      <w:r w:rsidRPr="002012E1">
        <w:rPr>
          <w:rFonts w:ascii="Arial" w:hAnsi="Arial" w:cs="Arial"/>
        </w:rPr>
        <w:t>Nivel de riesgo asociado a cada tipo de producto financiero</w:t>
      </w:r>
    </w:p>
    <w:p w14:paraId="1ADD8D02"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El riesgo asociado a los productos financieros en los fondos de pensiones costarricenses varía según su naturaleza: la deuda pública y privada ofrece menor volatilidad y es preferida por su estabilidad y liquidez, mientras que las acciones presentan mayor exposición a ciclos económicos, pero con mayor potencial de crecimiento a largo plazo. </w:t>
      </w:r>
    </w:p>
    <w:p w14:paraId="40773CF3" w14:textId="77777777" w:rsidR="00C51607" w:rsidRPr="002012E1" w:rsidRDefault="00C51607" w:rsidP="00C51607">
      <w:pPr>
        <w:spacing w:after="0" w:line="360" w:lineRule="auto"/>
        <w:jc w:val="both"/>
        <w:rPr>
          <w:rFonts w:ascii="Arial" w:eastAsia="Calibri" w:hAnsi="Arial" w:cs="Arial"/>
          <w:kern w:val="0"/>
          <w14:ligatures w14:val="none"/>
        </w:rPr>
      </w:pPr>
    </w:p>
    <w:p w14:paraId="396A0B19"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Las inversiones alternativas, como capital privado e infraestructura, enfrentan riesgos adicionales debido a su complejidad, iliquidez y dificultad en la valoración, lo que requiere modelos sofisticados y revelaciones detalladas para asegurar transparencia y fiabilidad. La gestión efectiva de estos riesgos demanda sistemas sólidos de control y reporte, especialmente para activos ilíquidos o no cotizados, garantizando la confianza de afiliados y reguladores. </w:t>
      </w:r>
    </w:p>
    <w:p w14:paraId="3438893C" w14:textId="77777777" w:rsidR="00C51607" w:rsidRPr="002012E1" w:rsidRDefault="00C51607" w:rsidP="00C51607">
      <w:pPr>
        <w:spacing w:after="0" w:line="360" w:lineRule="auto"/>
        <w:jc w:val="both"/>
        <w:rPr>
          <w:rFonts w:ascii="Arial" w:eastAsia="Calibri" w:hAnsi="Arial" w:cs="Arial"/>
          <w:kern w:val="0"/>
          <w14:ligatures w14:val="none"/>
        </w:rPr>
      </w:pPr>
    </w:p>
    <w:p w14:paraId="77F5A3C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La falta de estandarización en la valoración de productos alternativos dificulta la comparación entre fondos, por lo que políticas claras y capacitación continua son esenciales para mejorar la calidad de la información financiera y fortalecer la sostenibilidad y éxito a largo plazo de los fondos de pensiones</w:t>
      </w:r>
    </w:p>
    <w:p w14:paraId="2597FE9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30F2B8B" w14:textId="77777777" w:rsidR="00C51607" w:rsidRPr="002012E1" w:rsidRDefault="00C51607" w:rsidP="00C51607">
      <w:pPr>
        <w:pStyle w:val="apanivel3"/>
        <w:rPr>
          <w:rFonts w:ascii="Arial" w:hAnsi="Arial" w:cs="Arial"/>
        </w:rPr>
      </w:pPr>
      <w:bookmarkStart w:id="124" w:name="_Toc201832465"/>
      <w:r w:rsidRPr="002012E1">
        <w:rPr>
          <w:rFonts w:ascii="Arial" w:hAnsi="Arial" w:cs="Arial"/>
        </w:rPr>
        <w:lastRenderedPageBreak/>
        <w:t>Objetivo 2: Identificar las inversiones alternativas que forman parte de los portafolios de los fondos de pensiones en Costa Rica para la clasificación de éstas según su naturaleza y características.</w:t>
      </w:r>
      <w:bookmarkEnd w:id="124"/>
    </w:p>
    <w:p w14:paraId="080645EC" w14:textId="77777777" w:rsidR="00C51607" w:rsidRPr="002012E1" w:rsidRDefault="00C51607" w:rsidP="00C51607">
      <w:pPr>
        <w:pStyle w:val="apanivel4"/>
        <w:rPr>
          <w:rFonts w:ascii="Arial" w:hAnsi="Arial" w:cs="Arial"/>
        </w:rPr>
      </w:pPr>
      <w:r w:rsidRPr="002012E1">
        <w:rPr>
          <w:rFonts w:ascii="Arial" w:hAnsi="Arial" w:cs="Arial"/>
        </w:rPr>
        <w:t>Tipos de inversiones alternativas en los portafolios de pensiones</w:t>
      </w:r>
    </w:p>
    <w:p w14:paraId="73B51AB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Las inversiones alternativas han ganado relevancia en los portafolios de fondos de pensiones en Costa Rica, aunque su participación sigue siendo menor frente a instrumentos tradicionales como la deuda y las acciones. Entre las más comunes están los fondos de capital privado, infraestructura y bienes raíces, impulsados por la búsqueda de mayores rendimientos y diversificación en un contexto de bajas tasas de interés y mercados locales limitados. </w:t>
      </w:r>
    </w:p>
    <w:p w14:paraId="05CED03A" w14:textId="77777777" w:rsidR="00C51607" w:rsidRPr="002012E1" w:rsidRDefault="00C51607" w:rsidP="00C51607">
      <w:pPr>
        <w:spacing w:after="0" w:line="360" w:lineRule="auto"/>
        <w:jc w:val="both"/>
        <w:rPr>
          <w:rFonts w:ascii="Arial" w:eastAsia="Calibri" w:hAnsi="Arial" w:cs="Arial"/>
          <w:kern w:val="0"/>
          <w14:ligatures w14:val="none"/>
        </w:rPr>
      </w:pPr>
    </w:p>
    <w:p w14:paraId="6A16EA5B"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Su incorporación ha sido gradual y liderada por operadoras con mayor capacidad técnica y acceso internacional, pero estos activos presentan retos como menor liquidez, complejidad en valoración y la necesidad de un monitoreo especializado para cumplir con los requerimientos regulatorios. La diversidad de estas inversiones refleja una evolución en la gestión institucional, ofreciendo acceso a oportunidades fuera del ámbito tradicional y protección contra la inflación. </w:t>
      </w:r>
    </w:p>
    <w:p w14:paraId="0C29821F" w14:textId="77777777" w:rsidR="00C51607" w:rsidRPr="002012E1" w:rsidRDefault="00C51607" w:rsidP="00C51607">
      <w:pPr>
        <w:spacing w:after="0" w:line="360" w:lineRule="auto"/>
        <w:jc w:val="both"/>
        <w:rPr>
          <w:rFonts w:ascii="Arial" w:eastAsia="Calibri" w:hAnsi="Arial" w:cs="Arial"/>
          <w:kern w:val="0"/>
          <w14:ligatures w14:val="none"/>
        </w:rPr>
      </w:pPr>
    </w:p>
    <w:p w14:paraId="2F71A9AB"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Cada tipo de activo alternativo tiene características específicas que demandan una gestión diferenciada y especializada, por lo que fortalecer las capacidades técnicas para su análisis y monitoreo es fundamental para aprovechar sus beneficios sin comprometer la seguridad y sostenibilidad de los fondos, siendo la correcta clasificación y gestión clave para mejorar el desempeño a largo plazo.</w:t>
      </w:r>
    </w:p>
    <w:p w14:paraId="3686C6C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B83DECF" w14:textId="77777777" w:rsidR="00C51607" w:rsidRPr="002012E1" w:rsidRDefault="00C51607" w:rsidP="00C51607">
      <w:pPr>
        <w:pStyle w:val="apanivel4"/>
        <w:rPr>
          <w:rFonts w:ascii="Arial" w:hAnsi="Arial" w:cs="Arial"/>
        </w:rPr>
      </w:pPr>
      <w:r w:rsidRPr="002012E1">
        <w:rPr>
          <w:rFonts w:ascii="Arial" w:hAnsi="Arial" w:cs="Arial"/>
        </w:rPr>
        <w:t>Características de las inversiones alternativas en portafolios de pensiones</w:t>
      </w:r>
    </w:p>
    <w:p w14:paraId="3D079F5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Las inversiones alternativas en los fondos de pensiones costarricenses se han vuelto cada vez más relevantes, aunque su participación sigue siendo menor que la de los instrumentos tradicionales como la deuda y las acciones. </w:t>
      </w:r>
    </w:p>
    <w:p w14:paraId="6878950F" w14:textId="77777777" w:rsidR="00C51607" w:rsidRPr="002012E1" w:rsidRDefault="00C51607" w:rsidP="00C51607">
      <w:pPr>
        <w:spacing w:after="0" w:line="360" w:lineRule="auto"/>
        <w:jc w:val="both"/>
        <w:rPr>
          <w:rFonts w:ascii="Arial" w:eastAsia="Calibri" w:hAnsi="Arial" w:cs="Arial"/>
          <w:kern w:val="0"/>
          <w14:ligatures w14:val="none"/>
        </w:rPr>
      </w:pPr>
    </w:p>
    <w:p w14:paraId="74FB5316"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Entre las más comunes están los fondos de capital privado, infraestructura y bienes raíces, que buscan mayores rendimientos y diversificación en un contexto de bajas tasas de interés y mercados locales limitados. Su incorporación ha sido gradual y liderada por operadoras con mayor capacidad técnica y acceso internacional, pero estos activos enfrentan retos como menor liquidez, complejidad en la valoración y necesidad de monitoreo especializado para cumplir con regulaciones.</w:t>
      </w:r>
    </w:p>
    <w:p w14:paraId="68AF6FBF" w14:textId="77777777" w:rsidR="00C51607" w:rsidRPr="002012E1" w:rsidRDefault="00C51607" w:rsidP="00C51607">
      <w:pPr>
        <w:spacing w:after="0" w:line="360" w:lineRule="auto"/>
        <w:jc w:val="both"/>
        <w:rPr>
          <w:rFonts w:ascii="Arial" w:eastAsia="Calibri" w:hAnsi="Arial" w:cs="Arial"/>
          <w:kern w:val="0"/>
          <w14:ligatures w14:val="none"/>
        </w:rPr>
      </w:pPr>
    </w:p>
    <w:p w14:paraId="2D5EDCDC"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La diversidad de estas inversiones refleja una evolución en la gestión institucional, ofreciendo acceso a oportunidades fuera del ámbito tradicional y protección contra la inflación. Cada tipo de activo alternativo tiene características específicas que requieren una gestión diferenciada y especializada, por lo que fortalecer las capacidades técnicas para su análisis y monitoreo es clave para aprovechar sus beneficios sin comprometer la seguridad y sostenibilidad de los fondos, mejorando así el desempeño a largo plazo.</w:t>
      </w:r>
    </w:p>
    <w:p w14:paraId="2B4BC20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45F8C25" w14:textId="77777777" w:rsidR="00C51607" w:rsidRPr="002012E1" w:rsidRDefault="00C51607" w:rsidP="00C51607">
      <w:pPr>
        <w:pStyle w:val="apanivel4"/>
        <w:rPr>
          <w:rFonts w:ascii="Arial" w:hAnsi="Arial" w:cs="Arial"/>
        </w:rPr>
      </w:pPr>
      <w:r w:rsidRPr="002012E1">
        <w:rPr>
          <w:rFonts w:ascii="Arial" w:hAnsi="Arial" w:cs="Arial"/>
        </w:rPr>
        <w:t>Rentabilidad de las inversiones alternativas en comparación con las inversiones tradicionales</w:t>
      </w:r>
    </w:p>
    <w:p w14:paraId="309015C0"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Las inversiones alternativas han demostrado en mercados internacionales un potencial de rentabilidad superior al de los instrumentos tradicionales, especialmente en horizontes de largo plazo. </w:t>
      </w:r>
    </w:p>
    <w:p w14:paraId="229F23F8" w14:textId="77777777" w:rsidR="00C51607" w:rsidRPr="002012E1" w:rsidRDefault="00C51607" w:rsidP="00C51607">
      <w:pPr>
        <w:spacing w:after="0" w:line="360" w:lineRule="auto"/>
        <w:jc w:val="both"/>
        <w:rPr>
          <w:rFonts w:ascii="Arial" w:eastAsia="Calibri" w:hAnsi="Arial" w:cs="Arial"/>
          <w:kern w:val="0"/>
          <w14:ligatures w14:val="none"/>
        </w:rPr>
      </w:pPr>
    </w:p>
    <w:p w14:paraId="4E33A3EE"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En Costa Rica, aunque su participación sigue siendo limitada, los fondos que han incorporado activos como capital privado, infraestructura y bienes raíces han mejorado el rendimiento ajustado al riesgo, compensando la baja rentabilidad de la deuda local en períodos de volatilidad o bajo crecimiento. Sin embargo, estos activos presentan desafíos importantes, como menor liquidez, ciclos de inversión más largos y complejidad en la valoración, lo que requiere una gestión cuidadosa y capacidades técnicas avanzadas para mitigar riesgos y mantener la transparencia. </w:t>
      </w:r>
    </w:p>
    <w:p w14:paraId="2E24BC33"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lastRenderedPageBreak/>
        <w:t xml:space="preserve">La inclusión creciente de activos alternativos, especialmente con exposición internacional, está cambiando el panorama dominado históricamente por la deuda pública y privada. </w:t>
      </w:r>
    </w:p>
    <w:p w14:paraId="5254C917" w14:textId="77777777" w:rsidR="00C51607" w:rsidRPr="002012E1" w:rsidRDefault="00C51607" w:rsidP="00C51607">
      <w:pPr>
        <w:spacing w:after="0" w:line="360" w:lineRule="auto"/>
        <w:jc w:val="both"/>
        <w:rPr>
          <w:rFonts w:ascii="Arial" w:eastAsia="Calibri" w:hAnsi="Arial" w:cs="Arial"/>
          <w:kern w:val="0"/>
          <w14:ligatures w14:val="none"/>
        </w:rPr>
      </w:pPr>
    </w:p>
    <w:p w14:paraId="19B36C05"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La sostenibilidad de estos rendimientos depende de una adecuada selección de activos, procesos rigurosos de debida diligencia, gestión activa, transparencia y alineación entre rentabilidad y perfil de riesgo de los afiliados, factores que la experiencia internacional ha identificado como clave para maximizar los beneficios de las inversiones alternativas a largo plazo.</w:t>
      </w:r>
    </w:p>
    <w:p w14:paraId="1343CE8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574BFE" w14:textId="77777777" w:rsidR="00C51607" w:rsidRPr="002012E1" w:rsidRDefault="00C51607" w:rsidP="00C51607">
      <w:pPr>
        <w:pStyle w:val="apanivel3"/>
        <w:rPr>
          <w:rFonts w:ascii="Arial" w:hAnsi="Arial" w:cs="Arial"/>
        </w:rPr>
      </w:pPr>
      <w:bookmarkStart w:id="125" w:name="_Toc201832466"/>
      <w:r w:rsidRPr="002012E1">
        <w:rPr>
          <w:rFonts w:ascii="Arial" w:hAnsi="Arial" w:cs="Arial"/>
        </w:rPr>
        <w:t>Objetivo 3: Examinar la normativa vigente relacionada con la contabilidad y la gestión de fondos de pensiones en Costa Rica, así como los lineamientos de NIIF 9 y NIC 39, para la identificación de los tipos de registros contables y su ajuste según la normativa costarricense.</w:t>
      </w:r>
      <w:bookmarkEnd w:id="125"/>
    </w:p>
    <w:p w14:paraId="4F0B0A2B" w14:textId="77777777" w:rsidR="00C51607" w:rsidRPr="002012E1" w:rsidRDefault="00C51607" w:rsidP="00C51607">
      <w:pPr>
        <w:pStyle w:val="apanivel4"/>
        <w:rPr>
          <w:rFonts w:ascii="Arial" w:hAnsi="Arial" w:cs="Arial"/>
        </w:rPr>
      </w:pPr>
      <w:r w:rsidRPr="002012E1">
        <w:rPr>
          <w:rFonts w:ascii="Arial" w:hAnsi="Arial" w:cs="Arial"/>
        </w:rPr>
        <w:t>Conformidad de la normativa con NIIF 9 y NIC 39</w:t>
      </w:r>
    </w:p>
    <w:p w14:paraId="7591E4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normativa costarricense ha avanzado significativamente en la adopción de estándares internacionales como la NIIF 9 y la NIC 39, mejorando la transparencia y comparabilidad de la información financiera de los fondos de pensiones. </w:t>
      </w:r>
    </w:p>
    <w:p w14:paraId="78FC68C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64D4D6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normas establecen criterios claros para la clasificación, medición y revelación de activos y pasivos financieros, facilitando la supervisión regulatoria y la toma de decisiones informadas. En particular, la NIIF 9 introduce un enfoque prospectivo para la estimación de pérdidas esperadas, mejorando la precisión en el reconocimiento del deterioro de activos financieros y alineando las prácticas locales con las internacionales.</w:t>
      </w:r>
    </w:p>
    <w:p w14:paraId="5EA0170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EA1405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Sin embargo, la aplicación práctica enfrenta desafíos importantes, especialmente en la valoración de activos complejos y alternativos que carecen de mercados </w:t>
      </w:r>
      <w:r w:rsidRPr="002012E1">
        <w:rPr>
          <w:rFonts w:ascii="Arial" w:eastAsia="Calibri" w:hAnsi="Arial" w:cs="Arial"/>
          <w:kern w:val="0"/>
          <w:lang w:val="es-MX"/>
          <w14:ligatures w14:val="none"/>
        </w:rPr>
        <w:lastRenderedPageBreak/>
        <w:t xml:space="preserve">activos y precios observables, lo que obliga a utilizar modelos internos y estimaciones subjetivas. </w:t>
      </w:r>
    </w:p>
    <w:p w14:paraId="4B2F062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60CD6B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incrementa la carga informativa y requiere sistemas de información robustos y personal altamente capacitado. La experiencia nacional e internacional indica que la conformidad con las NIIF es un proceso dinámico que demanda actualización constante, colaboración entre reguladores, operadoras y auditores, así como inversión en tecnología y capacitación para asegurar una implementación eficiente y confiable.</w:t>
      </w:r>
    </w:p>
    <w:p w14:paraId="1597348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4C70265" w14:textId="77777777" w:rsidR="00C51607" w:rsidRPr="002012E1" w:rsidRDefault="00C51607" w:rsidP="00C51607">
      <w:pPr>
        <w:pStyle w:val="apanivel4"/>
        <w:rPr>
          <w:rFonts w:ascii="Arial" w:hAnsi="Arial" w:cs="Arial"/>
        </w:rPr>
      </w:pPr>
      <w:r w:rsidRPr="002012E1">
        <w:rPr>
          <w:rFonts w:ascii="Arial" w:hAnsi="Arial" w:cs="Arial"/>
        </w:rPr>
        <w:t>Identificación de los límites y desafíos de la normativa contable vigente</w:t>
      </w:r>
    </w:p>
    <w:p w14:paraId="41B3D759"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normativa contable vigente en Costa Rica, aunque en gran medida alineada con estándares internacionales como NIIF 9 y NIC 39, presenta limitaciones importantes para la valoración y reporte de inversiones alternativas y productos complejos debido a la ausencia de criterios específicos y la falta de mercados activos, lo que obliga a utilizar modelos internos subjetivos que incrementan la carga informativa y dificultan la comparación entre fondos, afectando la transparencia y confianza de los afiliados. </w:t>
      </w:r>
    </w:p>
    <w:p w14:paraId="2B59586F" w14:textId="77777777" w:rsidR="00C51607" w:rsidRPr="002012E1" w:rsidRDefault="00C51607" w:rsidP="00C51607">
      <w:pPr>
        <w:spacing w:after="0" w:line="360" w:lineRule="auto"/>
        <w:jc w:val="both"/>
        <w:rPr>
          <w:rFonts w:ascii="Arial" w:eastAsia="Calibri" w:hAnsi="Arial" w:cs="Arial"/>
          <w:kern w:val="0"/>
          <w14:ligatures w14:val="none"/>
        </w:rPr>
      </w:pPr>
    </w:p>
    <w:p w14:paraId="1DA271C5"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Además, la normativa local no contempla exhaustivamente los controles para activos ilíquidos, limitando la supervisión de riesgos sistémicos y obstaculizando la innovación y diversificación en los portafolios. La aplicación no uniforme de la normativa, la falta de guías técnicas claras y recursos especializados dificultan la auditoría y supervisión, aumentando el riesgo de errores.</w:t>
      </w:r>
    </w:p>
    <w:p w14:paraId="7BF34511" w14:textId="77777777" w:rsidR="00C51607" w:rsidRPr="002012E1" w:rsidRDefault="00C51607" w:rsidP="00C51607">
      <w:pPr>
        <w:spacing w:after="0" w:line="360" w:lineRule="auto"/>
        <w:jc w:val="both"/>
        <w:rPr>
          <w:rFonts w:ascii="Arial" w:eastAsia="Calibri" w:hAnsi="Arial" w:cs="Arial"/>
          <w:kern w:val="0"/>
          <w14:ligatures w14:val="none"/>
        </w:rPr>
      </w:pPr>
    </w:p>
    <w:p w14:paraId="3EAD8759"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En contraste, países con marcos regulatorios más avanzados han superado estos retos mediante normativas específicas y mejores prácticas contables, por lo que actualizar la normativa, fortalecer la capacitación técnica y fomentar la colaboración interinstitucional son pasos esenciales para mejorar la transparencia, </w:t>
      </w:r>
      <w:r w:rsidRPr="002012E1">
        <w:rPr>
          <w:rFonts w:ascii="Arial" w:eastAsia="Calibri" w:hAnsi="Arial" w:cs="Arial"/>
          <w:kern w:val="0"/>
          <w14:ligatures w14:val="none"/>
        </w:rPr>
        <w:lastRenderedPageBreak/>
        <w:t>comparabilidad y confianza en el sistema de pensiones costarricense, alineándolo con estándares internacionales y promoviendo una gestión más eficiente.</w:t>
      </w:r>
    </w:p>
    <w:p w14:paraId="222E4A0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4D9FF0C" w14:textId="77777777" w:rsidR="00C51607" w:rsidRPr="002012E1" w:rsidRDefault="00C51607" w:rsidP="00C51607">
      <w:pPr>
        <w:pStyle w:val="apanivel4"/>
        <w:rPr>
          <w:rFonts w:ascii="Arial" w:hAnsi="Arial" w:cs="Arial"/>
        </w:rPr>
      </w:pPr>
      <w:r w:rsidRPr="002012E1">
        <w:rPr>
          <w:rFonts w:ascii="Arial" w:hAnsi="Arial" w:cs="Arial"/>
        </w:rPr>
        <w:t>Eficiencia de la implementación de las normativas contables en los fondos de pensiones</w:t>
      </w:r>
    </w:p>
    <w:p w14:paraId="1A1A64C6"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eficiencia en la implementación de las normativas contables en los fondos de pensiones costarricenses depende en gran medida de la capacidad técnica y tecnológica de las operadoras, donde la inversión en sistemas avanzados de información y la capacitación continua del personal han permitido una mejor adaptación a los requerimientos de las NIIF, mejorando la calidad y confiabilidad de la información financiera. </w:t>
      </w:r>
    </w:p>
    <w:p w14:paraId="0198CB9D" w14:textId="77777777" w:rsidR="00C51607" w:rsidRPr="002012E1" w:rsidRDefault="00C51607" w:rsidP="00C51607">
      <w:pPr>
        <w:spacing w:after="0" w:line="360" w:lineRule="auto"/>
        <w:jc w:val="both"/>
        <w:rPr>
          <w:rFonts w:ascii="Arial" w:eastAsia="Calibri" w:hAnsi="Arial" w:cs="Arial"/>
          <w:kern w:val="0"/>
          <w14:ligatures w14:val="none"/>
        </w:rPr>
      </w:pPr>
    </w:p>
    <w:p w14:paraId="5DC7E4AE"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automatización y el uso de herramientas analíticas facilitan la gestión de activos complejos y la generación de reportes precisos y oportunos; sin embargo, persisten desafíos en la valoración y revelación de inversiones alternativas, la complejidad de los instrumentos y el cumplimiento de múltiples exigencias regulatorias, lo que puede afectar la eficiencia y aumentar el riesgo de errores. La correcta aplicación de estas normativas no solo incrementa la transparencia y confianza en los fondos, sino que también fortalece la supervisión y la toma de decisiones estratégicas. </w:t>
      </w:r>
    </w:p>
    <w:p w14:paraId="589CCC37" w14:textId="77777777" w:rsidR="00C51607" w:rsidRPr="002012E1" w:rsidRDefault="00C51607" w:rsidP="00C51607">
      <w:pPr>
        <w:spacing w:after="0" w:line="360" w:lineRule="auto"/>
        <w:jc w:val="both"/>
        <w:rPr>
          <w:rFonts w:ascii="Arial" w:eastAsia="Calibri" w:hAnsi="Arial" w:cs="Arial"/>
          <w:kern w:val="0"/>
          <w14:ligatures w14:val="none"/>
        </w:rPr>
      </w:pPr>
    </w:p>
    <w:p w14:paraId="12533998"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 pesar de ello, la falta de estandarización y la necesidad de adaptar sistemas a cambios normativos representan retos importantes, por lo que la experiencia internacional resalta la importancia de la innovación tecnológica, la estandarización de procesos y la colaboración interinstitucional para avanzar hacia una gestión eficiente, sostenible y confiable del sistema de pensiones en Costa Rica.</w:t>
      </w:r>
    </w:p>
    <w:p w14:paraId="1DD52701" w14:textId="77777777" w:rsidR="00C51607" w:rsidRPr="002012E1" w:rsidRDefault="00C51607" w:rsidP="00C51607">
      <w:pPr>
        <w:spacing w:after="0" w:line="360" w:lineRule="auto"/>
        <w:jc w:val="both"/>
        <w:rPr>
          <w:rFonts w:ascii="Arial" w:eastAsia="Calibri" w:hAnsi="Arial" w:cs="Arial"/>
          <w:kern w:val="0"/>
          <w14:ligatures w14:val="none"/>
        </w:rPr>
      </w:pPr>
    </w:p>
    <w:p w14:paraId="15462057" w14:textId="77777777" w:rsidR="00C51607" w:rsidRPr="002012E1" w:rsidRDefault="00C51607" w:rsidP="00C51607">
      <w:pPr>
        <w:pStyle w:val="apanivel3"/>
        <w:rPr>
          <w:rFonts w:ascii="Arial" w:hAnsi="Arial" w:cs="Arial"/>
        </w:rPr>
      </w:pPr>
      <w:bookmarkStart w:id="126" w:name="_Toc200314651"/>
      <w:bookmarkStart w:id="127" w:name="_Toc201832467"/>
      <w:r w:rsidRPr="002012E1">
        <w:rPr>
          <w:rFonts w:ascii="Arial" w:hAnsi="Arial" w:cs="Arial"/>
        </w:rPr>
        <w:t>Conclusión General</w:t>
      </w:r>
      <w:bookmarkEnd w:id="126"/>
      <w:bookmarkEnd w:id="127"/>
    </w:p>
    <w:p w14:paraId="3E536E51" w14:textId="77777777" w:rsidR="00C51607" w:rsidRPr="002012E1" w:rsidRDefault="00C51607" w:rsidP="00C51607">
      <w:pPr>
        <w:pStyle w:val="apaparrafo"/>
      </w:pPr>
      <w:r w:rsidRPr="002012E1">
        <w:t xml:space="preserve">En los fondos de pensiones de Costa Rica, la tendencia hacia la diversificación de portafolios ha llevado a una mayor inclusión de acciones e inversiones alternativas junto a la tradicional deuda pública y privada. Esta estrategia busca optimizar la </w:t>
      </w:r>
      <w:r w:rsidRPr="002012E1">
        <w:lastRenderedPageBreak/>
        <w:t>rentabilidad y mitigar riesgos de concentración, pero introduce una complejidad adicional en la gestión, especialmente en la valoración y control de riesgos de instrumentos menos líquidos y con precios poco observables. El marco regulatorio y contable, influenciado por normativas internacionales como las NIIF, exige altos estándares de transparencia y revelación, aunque la falta de mercados activos para ciertos activos alternativos representa un desafío para la consistencia y fiabilidad de los reportes financieros.</w:t>
      </w:r>
    </w:p>
    <w:p w14:paraId="21BBE28F" w14:textId="77777777" w:rsidR="00C51607" w:rsidRPr="002012E1" w:rsidRDefault="00C51607" w:rsidP="00C51607">
      <w:pPr>
        <w:pStyle w:val="apaparrafo"/>
      </w:pPr>
    </w:p>
    <w:p w14:paraId="3FEF4637" w14:textId="77777777" w:rsidR="00C51607" w:rsidRPr="002012E1" w:rsidRDefault="00C51607" w:rsidP="00C51607">
      <w:pPr>
        <w:pStyle w:val="apaparrafo"/>
      </w:pPr>
      <w:r w:rsidRPr="002012E1">
        <w:t>La regulación local mantiene un enfoque conservador para proteger la solvencia y liquidez de los fondos, limitando la proporción de inversiones alternativas y generando un dilema entre seguridad y potencial de crecimiento. En este contexto, la sostenibilidad de los fondos depende de encontrar un equilibrio entre diversificación, rentabilidad y gestión prudente del riesgo, respaldado por sistemas robustos de información y capacidades técnicas fortalecidas. La experiencia internacional muestra que una mayor apertura a productos alternativos, acompañada de regulación clara y sofisticación institucional, puede mejorar la rentabilidad y sostenibilidad de los fondos, ofreciendo a Costa Rica oportunidades para avanzar hacia una gestión más eficiente y diversificada</w:t>
      </w:r>
      <w:r w:rsidRPr="002012E1">
        <w:rPr>
          <w:rFonts w:eastAsia="Calibri"/>
        </w:rPr>
        <w:t>.</w:t>
      </w:r>
    </w:p>
    <w:p w14:paraId="596583A5" w14:textId="77777777" w:rsidR="00C51607" w:rsidRPr="002012E1" w:rsidRDefault="00C51607" w:rsidP="00C51607">
      <w:pPr>
        <w:spacing w:after="0" w:line="360" w:lineRule="auto"/>
        <w:jc w:val="both"/>
        <w:rPr>
          <w:rFonts w:ascii="Arial" w:eastAsia="Calibri" w:hAnsi="Arial" w:cs="Arial"/>
          <w:kern w:val="0"/>
          <w14:ligatures w14:val="none"/>
        </w:rPr>
      </w:pPr>
    </w:p>
    <w:p w14:paraId="26783EB7" w14:textId="77777777" w:rsidR="00C51607" w:rsidRPr="002012E1" w:rsidRDefault="00C51607" w:rsidP="00C51607">
      <w:pPr>
        <w:pStyle w:val="apanivel2"/>
        <w:rPr>
          <w:rFonts w:ascii="Arial" w:hAnsi="Arial" w:cs="Arial"/>
        </w:rPr>
      </w:pPr>
      <w:bookmarkStart w:id="128" w:name="_Toc201832468"/>
      <w:r w:rsidRPr="002012E1">
        <w:rPr>
          <w:rFonts w:ascii="Arial" w:hAnsi="Arial" w:cs="Arial"/>
        </w:rPr>
        <w:t>Recomendaciones</w:t>
      </w:r>
      <w:bookmarkEnd w:id="128"/>
    </w:p>
    <w:p w14:paraId="6E0AA9ED" w14:textId="77777777" w:rsidR="00C51607" w:rsidRPr="002012E1" w:rsidRDefault="00C51607" w:rsidP="00C51607">
      <w:pPr>
        <w:pStyle w:val="apanivel3"/>
        <w:rPr>
          <w:rFonts w:ascii="Arial" w:hAnsi="Arial" w:cs="Arial"/>
        </w:rPr>
      </w:pPr>
      <w:bookmarkStart w:id="129" w:name="_Toc201832469"/>
      <w:r w:rsidRPr="002012E1">
        <w:rPr>
          <w:rFonts w:ascii="Arial" w:hAnsi="Arial" w:cs="Arial"/>
          <w:lang w:val="es-MX"/>
        </w:rPr>
        <w:t xml:space="preserve">Objetivo general: </w:t>
      </w:r>
      <w:r w:rsidRPr="002012E1">
        <w:rPr>
          <w:rFonts w:ascii="Arial" w:hAnsi="Arial" w:cs="Arial"/>
        </w:rPr>
        <w:t>Desarrollar una propuesta de registro contable para productos de inversión alternativos en los portafolios de pensiones costarricenses, alineada con las normativas nacionales e internacionales, que facilite la supervisión, valoración y gestión de riesgos por parte de las autoridades y operadores del sistema de pensiones</w:t>
      </w:r>
      <w:bookmarkEnd w:id="129"/>
    </w:p>
    <w:p w14:paraId="2A25D2D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recomienda que, para desarrollar una propuesta de registro contable para productos de inversión alternativos en los portafolios de pensiones costarricenses, se adopten criterios específicos que reflejen la naturaleza compleja e ilíquida de </w:t>
      </w:r>
      <w:r w:rsidRPr="002012E1">
        <w:rPr>
          <w:rFonts w:ascii="Arial" w:eastAsia="Calibri" w:hAnsi="Arial" w:cs="Arial"/>
          <w:kern w:val="0"/>
          <w:lang w:val="es-MX"/>
          <w14:ligatures w14:val="none"/>
        </w:rPr>
        <w:lastRenderedPageBreak/>
        <w:t xml:space="preserve">estos activos, alineados con las normativas nacionales e internacionales vigentes, como las NIIF y regulaciones de la Superintendencia de Pensiones. </w:t>
      </w:r>
    </w:p>
    <w:p w14:paraId="0815A78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1C85C0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propuesta debe facilitar la valoración precisa y la gestión integral de riesgos, incorporando metodologías adaptadas a la realidad local y promoviendo la transparencia y comparabilidad de la información financiera, lo cual es esencial para fortalecer la supervisión regulatoria y la confianza de los afiliados.</w:t>
      </w:r>
    </w:p>
    <w:p w14:paraId="3E7E5F2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115AF1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Asimismo, es fundamental que la implementación de este registro contable vaya acompañada de un fortalecimiento en las capacidades técnicas y tecnológicas de las operadoras, incluyendo la capacitación continua del personal y la modernización de sistemas de información para asegurar una gestión eficiente y oportuna de los activos alternativos. </w:t>
      </w:r>
    </w:p>
    <w:p w14:paraId="07E9ECB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42B755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colaboración estrecha entre reguladores, operadoras, auditores y expertos permitirá ajustar y actualizar permanentemente los criterios contables, garantizando que la propuesta responda a los desafíos emergentes del mercado y contribuya a la sostenibilidad y solvencia del sistema de pensiones en Costa Rica.</w:t>
      </w:r>
    </w:p>
    <w:p w14:paraId="02412EF3" w14:textId="77777777" w:rsidR="00C51607" w:rsidRPr="002012E1" w:rsidRDefault="00C51607" w:rsidP="00C51607">
      <w:pPr>
        <w:spacing w:line="360" w:lineRule="auto"/>
        <w:rPr>
          <w:rFonts w:ascii="Arial" w:eastAsia="Calibri" w:hAnsi="Arial" w:cs="Arial"/>
          <w:kern w:val="0"/>
          <w14:ligatures w14:val="none"/>
        </w:rPr>
      </w:pPr>
    </w:p>
    <w:p w14:paraId="19B2D76D" w14:textId="77777777" w:rsidR="00C51607" w:rsidRPr="002012E1" w:rsidRDefault="00C51607" w:rsidP="00C51607">
      <w:pPr>
        <w:pStyle w:val="apanivel3"/>
        <w:rPr>
          <w:rFonts w:ascii="Arial" w:hAnsi="Arial" w:cs="Arial"/>
        </w:rPr>
      </w:pPr>
      <w:bookmarkStart w:id="130" w:name="_Toc201832470"/>
      <w:r w:rsidRPr="002012E1">
        <w:rPr>
          <w:rFonts w:ascii="Arial" w:hAnsi="Arial" w:cs="Arial"/>
          <w:bCs/>
        </w:rPr>
        <w:t>Objetivo 1:</w:t>
      </w:r>
      <w:r w:rsidRPr="002012E1">
        <w:rPr>
          <w:rFonts w:ascii="Arial" w:hAnsi="Arial" w:cs="Arial"/>
        </w:rPr>
        <w:t xml:space="preserve"> Investigar los productos financieros de deuda, acciones y alternativos para comprender sus características principales y su impacto en las estrategias de inversión.</w:t>
      </w:r>
      <w:bookmarkEnd w:id="130"/>
    </w:p>
    <w:p w14:paraId="7CFF3E72" w14:textId="77777777" w:rsidR="00C51607" w:rsidRPr="002012E1" w:rsidRDefault="00C51607" w:rsidP="00C51607">
      <w:pPr>
        <w:pStyle w:val="apanivel4"/>
        <w:rPr>
          <w:rFonts w:ascii="Arial" w:hAnsi="Arial" w:cs="Arial"/>
        </w:rPr>
      </w:pPr>
      <w:r w:rsidRPr="002012E1">
        <w:rPr>
          <w:rFonts w:ascii="Arial" w:hAnsi="Arial" w:cs="Arial"/>
        </w:rPr>
        <w:t>Características principales de productos de deuda, acciones y alternativos</w:t>
      </w:r>
    </w:p>
    <w:p w14:paraId="670BA80D"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Se recomienda a las operadoras de fondos de pensiones profundizar en el análisis y documentación detallada de cada instrumento financiero en sus carteras, identificando riesgos, liquidez, metodologías de valoración y su impacto bajo normativas locales e internacionales, apoyándose en la capacitación continua del personal. </w:t>
      </w:r>
    </w:p>
    <w:p w14:paraId="453AF8AD" w14:textId="77777777" w:rsidR="00C51607" w:rsidRPr="002012E1" w:rsidRDefault="00C51607" w:rsidP="00C51607">
      <w:pPr>
        <w:spacing w:after="0" w:line="360" w:lineRule="auto"/>
        <w:jc w:val="both"/>
        <w:rPr>
          <w:rFonts w:ascii="Arial" w:eastAsia="Calibri" w:hAnsi="Arial" w:cs="Arial"/>
          <w:kern w:val="0"/>
          <w14:ligatures w14:val="none"/>
        </w:rPr>
      </w:pPr>
    </w:p>
    <w:p w14:paraId="0262EBA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lastRenderedPageBreak/>
        <w:t xml:space="preserve">Además, deben desarrollar manuales internos y procedimientos estandarizados para la valoración y reporte de productos alternativos, utilizando herramientas tecnológicas avanzadas y colaboración con expertos externos, junto con mecanismos de revisión y auditoría interna para fortalecer la transparencia y confianza de los afiliados. </w:t>
      </w:r>
    </w:p>
    <w:p w14:paraId="27F7213D" w14:textId="77777777" w:rsidR="00C51607" w:rsidRPr="002012E1" w:rsidRDefault="00C51607" w:rsidP="00C51607">
      <w:pPr>
        <w:spacing w:after="0" w:line="360" w:lineRule="auto"/>
        <w:jc w:val="both"/>
        <w:rPr>
          <w:rFonts w:ascii="Arial" w:eastAsia="Calibri" w:hAnsi="Arial" w:cs="Arial"/>
          <w:kern w:val="0"/>
          <w14:ligatures w14:val="none"/>
        </w:rPr>
      </w:pPr>
    </w:p>
    <w:p w14:paraId="4EC2E426"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Es fundamental que los gestores mantengan una vigilancia constante sobre la evolución de los productos financieros y adapten sus estrategias a las condiciones del mercado, actualizando políticas de inversión e incorporando nuevas herramientas analíticas para una gestión eficiente y resiliente. </w:t>
      </w:r>
    </w:p>
    <w:p w14:paraId="25B75F1F" w14:textId="77777777" w:rsidR="00C51607" w:rsidRPr="002012E1" w:rsidRDefault="00C51607" w:rsidP="00C51607">
      <w:pPr>
        <w:spacing w:after="0" w:line="360" w:lineRule="auto"/>
        <w:jc w:val="both"/>
        <w:rPr>
          <w:rFonts w:ascii="Arial" w:eastAsia="Calibri" w:hAnsi="Arial" w:cs="Arial"/>
          <w:kern w:val="0"/>
          <w14:ligatures w14:val="none"/>
        </w:rPr>
      </w:pPr>
    </w:p>
    <w:p w14:paraId="06C8EF86"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Asimismo, se recomienda fomentar la participación en foros y redes de intercambio nacionales e internacionales, colaborar con instituciones académicas y organismos internacionales, y mantener una comunicación clara y transparente con los afiliados sobre riesgos, beneficios y características de las inversiones, promoviendo la educación financiera como pilar para fortalecer la confianza y facilitar decisiones informadas.</w:t>
      </w:r>
    </w:p>
    <w:p w14:paraId="6599913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F63D06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33EE3D2" w14:textId="77777777" w:rsidR="00C51607" w:rsidRPr="002012E1" w:rsidRDefault="00C51607" w:rsidP="00C51607">
      <w:pPr>
        <w:pStyle w:val="apanivel4"/>
        <w:rPr>
          <w:rFonts w:ascii="Arial" w:hAnsi="Arial" w:cs="Arial"/>
        </w:rPr>
      </w:pPr>
      <w:r w:rsidRPr="002012E1">
        <w:rPr>
          <w:rFonts w:ascii="Arial" w:hAnsi="Arial" w:cs="Arial"/>
        </w:rPr>
        <w:t>Impacto de estos productos en las estrategias de inversión</w:t>
      </w:r>
    </w:p>
    <w:p w14:paraId="5EB6D86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recomienda a las operadoras de fondos de pensiones revisar periódicamente su estrategia de inversión, evaluando el impacto de cada producto en la rentabilidad y riesgo global del portafolio, utilizando modelos de simulación y análisis de escenarios para anticipar desbalances y ajustar la cartera según el entorno económico y regulatorio. </w:t>
      </w:r>
    </w:p>
    <w:p w14:paraId="27992E4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A91367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 fundamental establecer políticas claras de diversificación y límites de exposición, adaptándolas a la evolución del mercado y la tolerancia al riesgo de los afiliados, apoyándose en consultores externos y capacitación continua. Además, implementar sistemas de información integrados y automatizados permitirá un seguimiento en tiempo real del desempeño y una toma de decisiones ágil y precisa. </w:t>
      </w:r>
    </w:p>
    <w:p w14:paraId="6FE3DA9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34668E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Paralelamente, fortalecer la comunicación y educación financiera con los afiliados, mediante informes claros y materiales educativos, fomentará la transparencia, confianza y participación, mientras que la colaboración con reguladores y supervisores asegurará el cumplimiento normativo y la mejora continua del marco regulatorio.</w:t>
      </w:r>
    </w:p>
    <w:p w14:paraId="0F33B58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C87BD9" w14:textId="77777777" w:rsidR="00C51607" w:rsidRPr="002012E1" w:rsidRDefault="00C51607" w:rsidP="00C51607">
      <w:pPr>
        <w:pStyle w:val="apanivel4"/>
        <w:rPr>
          <w:rFonts w:ascii="Arial" w:hAnsi="Arial" w:cs="Arial"/>
        </w:rPr>
      </w:pPr>
      <w:r w:rsidRPr="002012E1">
        <w:rPr>
          <w:rFonts w:ascii="Arial" w:hAnsi="Arial" w:cs="Arial"/>
        </w:rPr>
        <w:t>Nivel de riesgo asociado a cada tipo de producto financiero</w:t>
      </w:r>
    </w:p>
    <w:p w14:paraId="1F441252" w14:textId="77777777" w:rsidR="00C51607" w:rsidRPr="002012E1" w:rsidRDefault="00C51607" w:rsidP="00C51607">
      <w:pPr>
        <w:spacing w:after="0" w:line="360" w:lineRule="auto"/>
        <w:jc w:val="both"/>
        <w:rPr>
          <w:rFonts w:ascii="Arial" w:eastAsia="Calibri" w:hAnsi="Arial" w:cs="Arial"/>
          <w:kern w:val="0"/>
          <w:lang w:val="es-MX" w:eastAsia="es-419"/>
          <w14:ligatures w14:val="none"/>
        </w:rPr>
      </w:pPr>
      <w:r w:rsidRPr="002012E1">
        <w:rPr>
          <w:rFonts w:ascii="Arial" w:eastAsia="Calibri" w:hAnsi="Arial" w:cs="Arial"/>
          <w:kern w:val="0"/>
          <w:lang w:val="es-MX" w:eastAsia="es-419"/>
          <w14:ligatures w14:val="none"/>
        </w:rPr>
        <w:t xml:space="preserve">Se recomienda a las operadoras de fondos de pensiones invertir en sistemas avanzados de gestión de riesgos que permitan monitorear en tiempo real la exposición a distintos instrumentos, identificar desviaciones respecto a límites establecidos y realizar pruebas de estrés periódicas para anticipar escenarios adversos. La adopción de herramientas tecnológicas y la colaboración con expertos externos facilitarán la implementación de modelos de riesgo más precisos y transparentes. </w:t>
      </w:r>
    </w:p>
    <w:p w14:paraId="117F8924" w14:textId="77777777" w:rsidR="00C51607" w:rsidRPr="002012E1" w:rsidRDefault="00C51607" w:rsidP="00C51607">
      <w:pPr>
        <w:spacing w:after="0" w:line="360" w:lineRule="auto"/>
        <w:jc w:val="both"/>
        <w:rPr>
          <w:rFonts w:ascii="Arial" w:eastAsia="Calibri" w:hAnsi="Arial" w:cs="Arial"/>
          <w:kern w:val="0"/>
          <w:lang w:val="es-MX" w:eastAsia="es-419"/>
          <w14:ligatures w14:val="none"/>
        </w:rPr>
      </w:pPr>
    </w:p>
    <w:p w14:paraId="64BCEA24" w14:textId="77777777" w:rsidR="00C51607" w:rsidRPr="002012E1" w:rsidRDefault="00C51607" w:rsidP="00C51607">
      <w:pPr>
        <w:spacing w:after="0" w:line="360" w:lineRule="auto"/>
        <w:jc w:val="both"/>
        <w:rPr>
          <w:rFonts w:ascii="Arial" w:eastAsia="Calibri" w:hAnsi="Arial" w:cs="Arial"/>
          <w:kern w:val="0"/>
          <w:lang w:val="es-MX" w:eastAsia="es-419"/>
          <w14:ligatures w14:val="none"/>
        </w:rPr>
      </w:pPr>
      <w:r w:rsidRPr="002012E1">
        <w:rPr>
          <w:rFonts w:ascii="Arial" w:eastAsia="Calibri" w:hAnsi="Arial" w:cs="Arial"/>
          <w:kern w:val="0"/>
          <w:lang w:val="es-MX" w:eastAsia="es-419"/>
          <w14:ligatures w14:val="none"/>
        </w:rPr>
        <w:t xml:space="preserve">Es fundamental establecer políticas claras de diversificación y límites de exposición ajustados según la evolución del mercado y la tolerancia al riesgo de los afiliados, revisando constantemente estas políticas para garantizar una gestión prudente y alineada con los objetivos del fondo. Además, se recomienda fomentar la participación en programas de capacitación continua y en redes de intercambio de experiencias a nivel nacional e internacional, así como colaborar con instituciones académicas y organismos internacionales para enriquecer la perspectiva técnica y estratégica de los gestores. </w:t>
      </w:r>
    </w:p>
    <w:p w14:paraId="3E6F4C88" w14:textId="77777777" w:rsidR="00C51607" w:rsidRPr="002012E1" w:rsidRDefault="00C51607" w:rsidP="00C51607">
      <w:pPr>
        <w:spacing w:after="0" w:line="360" w:lineRule="auto"/>
        <w:jc w:val="both"/>
        <w:rPr>
          <w:rFonts w:ascii="Arial" w:eastAsia="Calibri" w:hAnsi="Arial" w:cs="Arial"/>
          <w:kern w:val="0"/>
          <w:lang w:val="es-MX" w:eastAsia="es-419"/>
          <w14:ligatures w14:val="none"/>
        </w:rPr>
      </w:pPr>
    </w:p>
    <w:p w14:paraId="4ED7D4FF" w14:textId="77777777" w:rsidR="00C51607" w:rsidRPr="002012E1" w:rsidRDefault="00C51607" w:rsidP="00C51607">
      <w:pPr>
        <w:spacing w:after="0" w:line="360" w:lineRule="auto"/>
        <w:jc w:val="both"/>
        <w:rPr>
          <w:rFonts w:ascii="Arial" w:eastAsia="Calibri" w:hAnsi="Arial" w:cs="Arial"/>
          <w:kern w:val="0"/>
          <w:lang w:val="es-MX" w:eastAsia="es-419"/>
          <w14:ligatures w14:val="none"/>
        </w:rPr>
      </w:pPr>
      <w:r w:rsidRPr="002012E1">
        <w:rPr>
          <w:rFonts w:ascii="Arial" w:eastAsia="Calibri" w:hAnsi="Arial" w:cs="Arial"/>
          <w:kern w:val="0"/>
          <w:lang w:val="es-MX" w:eastAsia="es-419"/>
          <w14:ligatures w14:val="none"/>
        </w:rPr>
        <w:t>Finalmente, la comunicación clara y transparente con los afiliados sobre los riesgos, beneficios y características de las inversiones, junto con la educación financiera, debe ser un pilar esencial para fortalecer la confianza y facilitar la toma de decisiones informadas.</w:t>
      </w:r>
    </w:p>
    <w:p w14:paraId="4913217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F6A79E" w14:textId="77777777" w:rsidR="00C51607" w:rsidRPr="002012E1" w:rsidRDefault="00C51607" w:rsidP="00C51607">
      <w:pPr>
        <w:pStyle w:val="apanivel3"/>
        <w:rPr>
          <w:rFonts w:ascii="Arial" w:hAnsi="Arial" w:cs="Arial"/>
        </w:rPr>
      </w:pPr>
      <w:bookmarkStart w:id="131" w:name="_Toc201832471"/>
      <w:r w:rsidRPr="002012E1">
        <w:rPr>
          <w:rFonts w:ascii="Arial" w:hAnsi="Arial" w:cs="Arial"/>
        </w:rPr>
        <w:lastRenderedPageBreak/>
        <w:t>Objetivo 2: Identificar las inversiones alternativas que forman parte de los portafolios de los fondos de pensiones en Costa Rica para la clasificación de éstas según su naturaleza y características.</w:t>
      </w:r>
      <w:bookmarkEnd w:id="131"/>
    </w:p>
    <w:p w14:paraId="7A8941BF" w14:textId="77777777" w:rsidR="00C51607" w:rsidRPr="002012E1" w:rsidRDefault="00C51607" w:rsidP="00C51607">
      <w:pPr>
        <w:pStyle w:val="apanivel4"/>
        <w:rPr>
          <w:rFonts w:ascii="Arial" w:hAnsi="Arial" w:cs="Arial"/>
        </w:rPr>
      </w:pPr>
      <w:r w:rsidRPr="002012E1">
        <w:rPr>
          <w:rFonts w:ascii="Arial" w:hAnsi="Arial" w:cs="Arial"/>
        </w:rPr>
        <w:t>Tipos de inversiones alternativas en los portafolios de pensiones</w:t>
      </w:r>
    </w:p>
    <w:p w14:paraId="7EAC2535"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Se recomienda a las operadoras de fondos de pensiones realizar un mapeo exhaustivo y sistemático de las inversiones alternativas en sus portafolios, documentando detalladamente características, riesgos, beneficios, mercados y contrapartes involucradas, para facilitar la toma de decisiones estratégicas y justificar su inclusión ante supervisores y afiliados. </w:t>
      </w:r>
    </w:p>
    <w:p w14:paraId="2D1C66F4" w14:textId="77777777" w:rsidR="00C51607" w:rsidRPr="002012E1" w:rsidRDefault="00C51607" w:rsidP="00C51607">
      <w:pPr>
        <w:spacing w:after="0" w:line="360" w:lineRule="auto"/>
        <w:jc w:val="both"/>
        <w:rPr>
          <w:rFonts w:ascii="Arial" w:eastAsia="Calibri" w:hAnsi="Arial" w:cs="Arial"/>
          <w:kern w:val="0"/>
          <w14:ligatures w14:val="none"/>
        </w:rPr>
      </w:pPr>
    </w:p>
    <w:p w14:paraId="35A66C7E"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Es fundamental desarrollar criterios claros y homogéneos para la clasificación de estos activos, alineados con mejores prácticas internacionales y normativas locales, adoptando taxonomías reconocidas que mejoren la comparabilidad y transparencia de la información. Además, la capacitación continua del personal mediante seminarios, talleres y certificaciones internacionales fortalecerá las competencias técnicas y permitirá anticipar tendencias y riesgos emergentes. </w:t>
      </w:r>
    </w:p>
    <w:p w14:paraId="4C9CED0C" w14:textId="77777777" w:rsidR="00C51607" w:rsidRPr="002012E1" w:rsidRDefault="00C51607" w:rsidP="00C51607">
      <w:pPr>
        <w:spacing w:after="0" w:line="360" w:lineRule="auto"/>
        <w:jc w:val="both"/>
        <w:rPr>
          <w:rFonts w:ascii="Arial" w:eastAsia="Calibri" w:hAnsi="Arial" w:cs="Arial"/>
          <w:kern w:val="0"/>
          <w14:ligatures w14:val="none"/>
        </w:rPr>
      </w:pPr>
    </w:p>
    <w:p w14:paraId="3B3EC5F1"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Asimismo, se recomienda establecer políticas y procedimientos específicos para la incorporación y gestión de inversiones alternativas, definiendo criterios de elegibilidad, límites de exposición, procesos de debida diligencia y mecanismos de monitoreo y reporte, con sistemas de seguimiento y evaluación periódica del desempeño adaptados a la naturaleza de cada instrumento. En este sentido, la transparencia en la comunicación de políticas y resultados, mediante informes detallados y sesiones informativas, es clave para fortalecer la confianza de los afiliados y facilitar la supervisión regulatoria.</w:t>
      </w:r>
    </w:p>
    <w:p w14:paraId="723C8D8F" w14:textId="77777777" w:rsidR="00C51607" w:rsidRDefault="00C51607" w:rsidP="00C51607">
      <w:pPr>
        <w:spacing w:after="0" w:line="360" w:lineRule="auto"/>
        <w:jc w:val="both"/>
        <w:rPr>
          <w:rFonts w:ascii="Arial" w:eastAsia="Calibri" w:hAnsi="Arial" w:cs="Arial"/>
          <w:kern w:val="0"/>
          <w:lang w:val="es-MX"/>
          <w14:ligatures w14:val="none"/>
        </w:rPr>
      </w:pPr>
    </w:p>
    <w:p w14:paraId="180F8D14" w14:textId="77777777" w:rsidR="00C51607" w:rsidRDefault="00C51607" w:rsidP="00C51607">
      <w:pPr>
        <w:spacing w:after="0" w:line="360" w:lineRule="auto"/>
        <w:jc w:val="both"/>
        <w:rPr>
          <w:rFonts w:ascii="Arial" w:eastAsia="Calibri" w:hAnsi="Arial" w:cs="Arial"/>
          <w:kern w:val="0"/>
          <w:lang w:val="es-MX"/>
          <w14:ligatures w14:val="none"/>
        </w:rPr>
      </w:pPr>
    </w:p>
    <w:p w14:paraId="27A401E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9EA836A" w14:textId="77777777" w:rsidR="00C51607" w:rsidRPr="002012E1" w:rsidRDefault="00C51607" w:rsidP="00C51607">
      <w:pPr>
        <w:pStyle w:val="apanivel4"/>
        <w:rPr>
          <w:rFonts w:ascii="Arial" w:hAnsi="Arial" w:cs="Arial"/>
        </w:rPr>
      </w:pPr>
      <w:r w:rsidRPr="002012E1">
        <w:rPr>
          <w:rFonts w:ascii="Arial" w:hAnsi="Arial" w:cs="Arial"/>
        </w:rPr>
        <w:lastRenderedPageBreak/>
        <w:t>Características de las inversiones alternativas en portafolios de pensiones</w:t>
      </w:r>
    </w:p>
    <w:p w14:paraId="14C05AB1"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Se recomienda a las operadoras de fondos de pensiones invertir en el desarrollo de metodologías internas para la valoración y monitoreo de inversiones alternativas, adaptando modelos internacionales a la realidad local, con capacitación continua del personal para asegurar una gestión eficiente y cumplir con los requisitos de transparencia y supervisión regulatorios. </w:t>
      </w:r>
    </w:p>
    <w:p w14:paraId="32640255" w14:textId="77777777" w:rsidR="00C51607" w:rsidRPr="002012E1" w:rsidRDefault="00C51607" w:rsidP="00C51607">
      <w:pPr>
        <w:spacing w:after="0" w:line="360" w:lineRule="auto"/>
        <w:jc w:val="both"/>
        <w:rPr>
          <w:rFonts w:ascii="Arial" w:eastAsia="Calibri" w:hAnsi="Arial" w:cs="Arial"/>
          <w:kern w:val="0"/>
          <w14:ligatures w14:val="none"/>
        </w:rPr>
      </w:pPr>
    </w:p>
    <w:p w14:paraId="41BA3C0A"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Es fundamental establecer procedimientos de revisión y auditoría interna que validen la consistencia y fiabilidad de las valoraciones, especialmente en activos ilíquidos o no cotizados, apoyándose en expertos externos y buenas prácticas internacionales para mejorar la calidad de la información financiera y la gestión de riesgos. </w:t>
      </w:r>
    </w:p>
    <w:p w14:paraId="209E1836" w14:textId="77777777" w:rsidR="00C51607" w:rsidRPr="002012E1" w:rsidRDefault="00C51607" w:rsidP="00C51607">
      <w:pPr>
        <w:spacing w:after="0" w:line="360" w:lineRule="auto"/>
        <w:jc w:val="both"/>
        <w:rPr>
          <w:rFonts w:ascii="Arial" w:eastAsia="Calibri" w:hAnsi="Arial" w:cs="Arial"/>
          <w:kern w:val="0"/>
          <w14:ligatures w14:val="none"/>
        </w:rPr>
      </w:pPr>
    </w:p>
    <w:p w14:paraId="6C139B84"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Además, se debe promover la transparencia mediante la publicación periódica de reportes detallados sobre desempeño, riesgos y estrategias de gestión, fortaleciendo la confianza de los afiliados y facilitando la supervisión regulatoria, lo que contribuye a una gestión más eficiente y sostenible de los portafolios de pensiones.</w:t>
      </w:r>
    </w:p>
    <w:p w14:paraId="4742173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D820B13" w14:textId="77777777" w:rsidR="00C51607" w:rsidRPr="002012E1" w:rsidRDefault="00C51607" w:rsidP="00C51607">
      <w:pPr>
        <w:pStyle w:val="apanivel4"/>
        <w:rPr>
          <w:rFonts w:ascii="Arial" w:hAnsi="Arial" w:cs="Arial"/>
        </w:rPr>
      </w:pPr>
      <w:r w:rsidRPr="002012E1">
        <w:rPr>
          <w:rFonts w:ascii="Arial" w:hAnsi="Arial" w:cs="Arial"/>
        </w:rPr>
        <w:t>Rentabilidad de las inversiones alternativas en comparación con las inversiones tradicionales</w:t>
      </w:r>
    </w:p>
    <w:p w14:paraId="10EFAD2D"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recomienda a las operadoras de fondos de pensiones realizar estudios comparativos periódicos que evalúen la rentabilidad y el riesgo de las inversiones alternativas frente a los instrumentos tradicionales, considerando no solo los rendimientos históricos, sino también la volatilidad, correlación con otros activos y costos de gestión y valoración. La aplicación de métricas ajustadas al riesgo, como el Sharpe Ratio o el Treynor Ratio, permitirá una evaluación más precisa del aporte de estos activos al portafolio. </w:t>
      </w:r>
    </w:p>
    <w:p w14:paraId="55D33F9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43B25B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 fundamental establecer políticas claras de asignación de activos con límites prudenciales para la exposición a inversiones alternativas, ajustándolos según el perfil de riesgo, liquidez del fondo y evolución del mercado. La revisión periódica de estas políticas facilitará decisiones informadas y la adaptación a cambios económicos y regulatorios. Además, la comunicación transparente de resultados y riesgos asociados a las inversiones alternativas fortalecerá la confianza de los afiliados y facilitará la supervisión regulatoria, mediante la publicación de informes detallados y sesiones informativas que mejoren la comprensión de los beneficios y desafíos de diversificar hacia productos alternativos.</w:t>
      </w:r>
    </w:p>
    <w:p w14:paraId="0C2307F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6F48B4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Asimismo, es esencial implementar procesos rigurosos de debida diligencia y selección, asegurando que los activos cumplan con criterios de rentabilidad, riesgo y liquidez acordes con los objetivos del fondo, evaluando gestores externos, revisando contratos y monitoreando continuamente el desempeño. </w:t>
      </w:r>
    </w:p>
    <w:p w14:paraId="5E91189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F69FA6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recomienda establecer mecanismos de control para identificar desviaciones y riesgos emergentes, incluyendo pruebas de estrés y análisis de escenarios para anticipar impactos negativos y tomar medidas preventivas. </w:t>
      </w:r>
    </w:p>
    <w:p w14:paraId="1FB72FAF"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1AD1B5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la capacitación continua del personal en gestión y supervisión de inversiones alternativas, junto con la participación en programas de formación y redes internacionales, fortalecerá la capacidad de adaptación y resiliencia del fondo, mejorando la administración responsable y eficiente de estos activos.</w:t>
      </w:r>
    </w:p>
    <w:p w14:paraId="78FE155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684C048" w14:textId="77777777" w:rsidR="00C51607" w:rsidRPr="00DB494B" w:rsidRDefault="00C51607" w:rsidP="00C51607">
      <w:pPr>
        <w:pStyle w:val="apanivel3"/>
        <w:rPr>
          <w:rFonts w:ascii="Arial" w:hAnsi="Arial" w:cs="Arial"/>
        </w:rPr>
      </w:pPr>
      <w:bookmarkStart w:id="132" w:name="_Toc201832472"/>
      <w:r w:rsidRPr="002012E1">
        <w:rPr>
          <w:rFonts w:ascii="Arial" w:hAnsi="Arial" w:cs="Arial"/>
        </w:rPr>
        <w:t>Objetivo 3: Examinar la normativa vigente relacionada con la contabilidad y la gestión de fondos de pensiones en Costa Rica, así como los lineamientos de NIIF 9 y NIC 39, para la identificación de los tipos de registros contables y su ajuste según la normativa costarricense.</w:t>
      </w:r>
      <w:bookmarkEnd w:id="132"/>
    </w:p>
    <w:p w14:paraId="6DD16DBC" w14:textId="77777777" w:rsidR="00C51607" w:rsidRPr="002012E1" w:rsidRDefault="00C51607" w:rsidP="00C51607">
      <w:pPr>
        <w:pStyle w:val="apanivel4"/>
        <w:rPr>
          <w:rFonts w:ascii="Arial" w:hAnsi="Arial" w:cs="Arial"/>
        </w:rPr>
      </w:pPr>
      <w:r w:rsidRPr="002012E1">
        <w:rPr>
          <w:rFonts w:ascii="Arial" w:hAnsi="Arial" w:cs="Arial"/>
        </w:rPr>
        <w:t>Conformidad de la normativa con NIIF 9 y NIC 39</w:t>
      </w:r>
    </w:p>
    <w:p w14:paraId="166BAE8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Se recomienda que las autoridades regulatorias y operadoras de fondos de pensiones continúen alineando la normativa local con los estándares internacionales, especialmente las NIIF, promoviendo la capacitación, el intercambio de experiencias y la elaboración de guías técnicas para unificar criterios y facilitar su aplicación efectiva. </w:t>
      </w:r>
    </w:p>
    <w:p w14:paraId="3C1218E0"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5121F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 fundamental que los fondos inviertan en sistemas tecnológicos que aseguren la calidad y oportunidad de la información financiera, automatizando procesos y utilizando herramientas analíticas avanzadas para gestionar activos complejos y generar reportes confiables. Además, deben establecer mecanismos de revisión y auditoría interna para detectar desviaciones y mejorar procedimientos contables, mientras que la transparencia en la comunicación de criterios y resultados fortalecerá la confianza de los afiliados y facilitará la supervisión regulatoria. </w:t>
      </w:r>
    </w:p>
    <w:p w14:paraId="4C8FE8D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7E4C5E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Asimismo, la participación de las operadoras en procesos normativos, junto con programas continuos de capacitación para el personal en la interpretación y aplicación práctica de las NIIF, es clave para enfrentar los retos en valoración y revelación de activos complejos. </w:t>
      </w:r>
    </w:p>
    <w:p w14:paraId="2E89903B"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E6EE25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síntesis, una comunicación clara y transparente con afiliados y partes interesadas sobre los cambios normativos y sus implicaciones, apoyada en la educación financiera y divulgación de información relevante, es esencial para fortalecer la confianza y facilitar la toma de decisiones informadas.</w:t>
      </w:r>
    </w:p>
    <w:p w14:paraId="2EED818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88E6610" w14:textId="77777777" w:rsidR="00C51607" w:rsidRPr="002012E1" w:rsidRDefault="00C51607" w:rsidP="00C51607">
      <w:pPr>
        <w:pStyle w:val="apanivel4"/>
        <w:rPr>
          <w:rFonts w:ascii="Arial" w:hAnsi="Arial" w:cs="Arial"/>
        </w:rPr>
      </w:pPr>
      <w:r w:rsidRPr="002012E1">
        <w:rPr>
          <w:rFonts w:ascii="Arial" w:hAnsi="Arial" w:cs="Arial"/>
        </w:rPr>
        <w:t>Identificación de los límites y desafíos de la normativa contable vigente</w:t>
      </w:r>
    </w:p>
    <w:p w14:paraId="39EE6E1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Se recomienda a los organismos reguladores revisar y actualizar periódicamente la normativa contable aplicable a los fondos de pensiones, incorporando criterios específicos para la valoración y reporte de activos complejos e ilíquidos, mediante la emisión de guías técnicas detalladas y la adopción de estándares internacionales </w:t>
      </w:r>
      <w:r w:rsidRPr="002012E1">
        <w:rPr>
          <w:rFonts w:ascii="Arial" w:eastAsia="Calibri" w:hAnsi="Arial" w:cs="Arial"/>
          <w:kern w:val="0"/>
          <w:lang w:val="es-MX"/>
          <w14:ligatures w14:val="none"/>
        </w:rPr>
        <w:lastRenderedPageBreak/>
        <w:t xml:space="preserve">adaptados a la realidad local para facilitar una aplicación uniforme y reducir la subjetividad en la medición del valor razonable. </w:t>
      </w:r>
    </w:p>
    <w:p w14:paraId="0B02795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8F5EAA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Esta actualización normativa debe realizarse en consulta con operadoras, auditores y expertos del sector, promoviendo la colaboración interinstitucional y el intercambio de experiencias para enriquecer el marco normativo y anticipar tendencias y riesgos emergentes en la gestión de inversiones alternativas. </w:t>
      </w:r>
    </w:p>
    <w:p w14:paraId="0D37DFA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38C2BE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Además, es esencial la capacitación continua del personal encargado de la gestión y supervisión contable mediante programas de formación, seminarios y talleres especializados, fortaleciendo las capacidades técnicas para adaptarse eficientemente a los cambios normativos y a la creciente complejidad de los portafolios de inversión. </w:t>
      </w:r>
    </w:p>
    <w:p w14:paraId="237C86F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B52BA5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Por otro lado, se recomienda que las operadoras participen activamente en los procesos de consulta y actualización normativa, aportando su experiencia práctica y proponiendo soluciones para los desafíos identificados, estableciendo mecanismos de monitoreo y evaluación del impacto de las actualizaciones en la gestión y reporte contable, apoyándose en estudios de impacto y buenas prácticas internacionales para la mejora continua. </w:t>
      </w:r>
    </w:p>
    <w:p w14:paraId="2FC2E10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23F086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Finalmente, la transparencia en la comunicación de los cambios normativos y sus implicaciones para la gestión de los fondos es clave para fortalecer la confianza de los afiliados y facilitar la supervisión regulatoria, siendo la divulgación de información relevante y la educación financiera pilares fundamentales en la estrategia de adaptación y cumplimiento normativo.</w:t>
      </w:r>
    </w:p>
    <w:p w14:paraId="273343B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B9C8ED" w14:textId="77777777" w:rsidR="00C51607" w:rsidRPr="002012E1" w:rsidRDefault="00C51607" w:rsidP="00C51607">
      <w:pPr>
        <w:pStyle w:val="apanivel4"/>
        <w:rPr>
          <w:rFonts w:ascii="Arial" w:hAnsi="Arial" w:cs="Arial"/>
        </w:rPr>
      </w:pPr>
      <w:r w:rsidRPr="002012E1">
        <w:rPr>
          <w:rFonts w:ascii="Arial" w:hAnsi="Arial" w:cs="Arial"/>
        </w:rPr>
        <w:t>Eficiencia de la implementación de las normativas contables en los fondos de pensiones</w:t>
      </w:r>
    </w:p>
    <w:p w14:paraId="165E1932"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Se recomienda a los fondos de pensiones realizar diagnósticos periódicos para evaluar la eficiencia de sus procesos contables, identificando áreas de mejora y </w:t>
      </w:r>
      <w:r w:rsidRPr="002012E1">
        <w:rPr>
          <w:rFonts w:ascii="Arial" w:eastAsia="Calibri" w:hAnsi="Arial" w:cs="Arial"/>
          <w:kern w:val="0"/>
          <w14:ligatures w14:val="none"/>
        </w:rPr>
        <w:lastRenderedPageBreak/>
        <w:t xml:space="preserve">oportunidades para optimizar la implementación de normativas, especialmente en activos complejos e ilíquidos, apoyándose en indicadores de desempeño y auditorías internas para monitorear avances y efectividad. </w:t>
      </w:r>
    </w:p>
    <w:p w14:paraId="32F958A0" w14:textId="77777777" w:rsidR="00C51607" w:rsidRPr="002012E1" w:rsidRDefault="00C51607" w:rsidP="00C51607">
      <w:pPr>
        <w:spacing w:after="0" w:line="360" w:lineRule="auto"/>
        <w:jc w:val="both"/>
        <w:rPr>
          <w:rFonts w:ascii="Arial" w:eastAsia="Calibri" w:hAnsi="Arial" w:cs="Arial"/>
          <w:kern w:val="0"/>
          <w14:ligatures w14:val="none"/>
        </w:rPr>
      </w:pPr>
    </w:p>
    <w:p w14:paraId="22C9B43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Además, es fundamental que las operadoras inviertan en la actualización y modernización de sus sistemas de información, incorporando herramientas tecnológicas que faciliten la gestión y reporte de activos complejos, reduciendo errores y agilizando la generación de información para la toma de decisiones y supervisión regulatoria. </w:t>
      </w:r>
    </w:p>
    <w:p w14:paraId="2F135D66" w14:textId="77777777" w:rsidR="00C51607" w:rsidRPr="002012E1" w:rsidRDefault="00C51607" w:rsidP="00C51607">
      <w:pPr>
        <w:spacing w:after="0" w:line="360" w:lineRule="auto"/>
        <w:jc w:val="both"/>
        <w:rPr>
          <w:rFonts w:ascii="Arial" w:eastAsia="Calibri" w:hAnsi="Arial" w:cs="Arial"/>
          <w:kern w:val="0"/>
          <w14:ligatures w14:val="none"/>
        </w:rPr>
      </w:pPr>
    </w:p>
    <w:p w14:paraId="14F2ED78"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La capacitación continua del personal encargado de la gestión y reporte contable, mediante programas de formación, seminarios y talleres especializados, fortalecerá las capacidades técnicas y permitirá adaptarse eficientemente a los cambios normativos y a la creciente complejidad de los portafolios. </w:t>
      </w:r>
    </w:p>
    <w:p w14:paraId="468CDF26" w14:textId="77777777" w:rsidR="00C51607" w:rsidRPr="002012E1" w:rsidRDefault="00C51607" w:rsidP="00C51607">
      <w:pPr>
        <w:spacing w:after="0" w:line="360" w:lineRule="auto"/>
        <w:jc w:val="both"/>
        <w:rPr>
          <w:rFonts w:ascii="Arial" w:eastAsia="Calibri" w:hAnsi="Arial" w:cs="Arial"/>
          <w:kern w:val="0"/>
          <w14:ligatures w14:val="none"/>
        </w:rPr>
      </w:pPr>
    </w:p>
    <w:p w14:paraId="25598461"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 xml:space="preserve">Por otro lado, se aconseja que las autoridades regulatorias apoyen a las operadoras facilitando acceso a capacitaciones, guías y herramientas tecnológicas que promuevan una implementación más eficiente y homogénea de las normativas contables, colaborando con organismos internacionales y asociaciones profesionales para enriquecer la perspectiva técnica y adoptar estándares globales. Asimismo, se recomienda establecer mecanismos de monitoreo y evaluación del impacto de las actualizaciones normativas en la gestión y reporte contable, utilizando estudios de impacto y buenas prácticas internacionales para mejorar el marco regulatorio y definir áreas prioritarias de intervención. </w:t>
      </w:r>
    </w:p>
    <w:p w14:paraId="76385354" w14:textId="77777777" w:rsidR="00C51607" w:rsidRPr="002012E1" w:rsidRDefault="00C51607" w:rsidP="00C51607">
      <w:pPr>
        <w:spacing w:after="0" w:line="360" w:lineRule="auto"/>
        <w:jc w:val="both"/>
        <w:rPr>
          <w:rFonts w:ascii="Arial" w:eastAsia="Calibri" w:hAnsi="Arial" w:cs="Arial"/>
          <w:kern w:val="0"/>
          <w14:ligatures w14:val="none"/>
        </w:rPr>
      </w:pPr>
    </w:p>
    <w:p w14:paraId="69E1B267"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En síntesis, la transparencia en la comunicación de los cambios normativos y sus implicaciones es clave para fortalecer la confianza de los afiliados y facilitar la supervisión regulatoria, siendo la divulgación de información relevante y la educación financiera pilares fundamentales en la estrategia de adaptación y cumplimiento normativo de las operadoras.</w:t>
      </w:r>
    </w:p>
    <w:p w14:paraId="1286010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39E2E4DA" w14:textId="77777777" w:rsidR="00C51607" w:rsidRPr="002012E1" w:rsidRDefault="00C51607" w:rsidP="00C51607">
      <w:pPr>
        <w:pStyle w:val="apanivel3"/>
        <w:rPr>
          <w:rFonts w:ascii="Arial" w:hAnsi="Arial" w:cs="Arial"/>
        </w:rPr>
      </w:pPr>
      <w:bookmarkStart w:id="133" w:name="_Toc201832473"/>
      <w:r w:rsidRPr="002012E1">
        <w:rPr>
          <w:rFonts w:ascii="Arial" w:hAnsi="Arial" w:cs="Arial"/>
        </w:rPr>
        <w:lastRenderedPageBreak/>
        <w:t>Recomendaciones Generales:</w:t>
      </w:r>
      <w:bookmarkEnd w:id="133"/>
    </w:p>
    <w:p w14:paraId="50726193" w14:textId="77777777" w:rsidR="00C51607" w:rsidRPr="002012E1" w:rsidRDefault="00C51607" w:rsidP="00C51607">
      <w:pPr>
        <w:pStyle w:val="apaparrafo"/>
      </w:pPr>
      <w:r w:rsidRPr="002012E1">
        <w:t>Las operadoras de fondos de pensiones deben fortalecer sus sistemas internos de valoración y monitoreo, especialmente para inversiones alternativas y productos complejos, adoptando tecnologías avanzadas y modelos robustos, por lo que es fundamental impulsar la capacitación continua del personal en normativas internacionales, valoración y gestión de riesgos, así como mejorar la comunicación transparente con los afiliados sobre los riesgos y beneficios de los productos financieros. Además, establecer alianzas estratégicas con instituciones internacionales permitirá transferir buenas prácticas y acelerar la adopción de estándares globales. La implementación de políticas estrictas de gestión de liquidez y la diversificación integral de las inversiones son claves para mitigar riesgos y mantener la estabilidad del portafolio.</w:t>
      </w:r>
    </w:p>
    <w:p w14:paraId="4F163133" w14:textId="77777777" w:rsidR="00C51607" w:rsidRPr="002012E1" w:rsidRDefault="00C51607" w:rsidP="00C51607">
      <w:pPr>
        <w:pStyle w:val="apaparrafo"/>
      </w:pPr>
    </w:p>
    <w:p w14:paraId="216A417A" w14:textId="77777777" w:rsidR="00C51607" w:rsidRPr="002012E1" w:rsidRDefault="00C51607" w:rsidP="00C51607">
      <w:pPr>
        <w:pStyle w:val="apaparrafo"/>
      </w:pPr>
      <w:r w:rsidRPr="002012E1">
        <w:t>Por su parte, las autoridades regulatorias deben revisar periódicamente los límites a las inversiones alternativas y extranjeras, manteniendo un marco normativo flexible pero prudente que favorezca la diversificación sin comprometer la solvencia, por tanto, es recomendable desarrollar sistemas integrados de información para el seguimiento en tiempo real de los portafolios y la toma de decisiones ágil. Los gestores deben estar atentos a los cambios macroeconómicos y regulatorios, adaptando sus estrategias para asegurar la rentabilidad, liquidez y sostenibilidad de los fondos y promover una cultura de cumplimiento normativo, ética profesional y transparencia es esencial para preservar la confianza de los afiliados y la estabilidad del sistema previsional a largo plazo.</w:t>
      </w:r>
    </w:p>
    <w:p w14:paraId="045EB7E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0C1861C" w14:textId="77777777" w:rsidR="00C51607" w:rsidRPr="002012E1" w:rsidRDefault="00C51607" w:rsidP="00C51607">
      <w:pPr>
        <w:pStyle w:val="apanivel2"/>
        <w:rPr>
          <w:rFonts w:ascii="Arial" w:hAnsi="Arial" w:cs="Arial"/>
        </w:rPr>
      </w:pPr>
      <w:bookmarkStart w:id="134" w:name="_Toc201832474"/>
      <w:r w:rsidRPr="002012E1">
        <w:rPr>
          <w:rFonts w:ascii="Arial" w:hAnsi="Arial" w:cs="Arial"/>
        </w:rPr>
        <w:t>Propuesta</w:t>
      </w:r>
      <w:bookmarkEnd w:id="134"/>
    </w:p>
    <w:p w14:paraId="5B42C9AB" w14:textId="77777777" w:rsidR="00C51607" w:rsidRPr="002012E1" w:rsidRDefault="00C51607" w:rsidP="00C51607">
      <w:pPr>
        <w:pStyle w:val="apanivel3"/>
        <w:rPr>
          <w:rFonts w:ascii="Arial" w:hAnsi="Arial" w:cs="Arial"/>
        </w:rPr>
      </w:pPr>
      <w:bookmarkStart w:id="135" w:name="_Toc173343478"/>
      <w:bookmarkStart w:id="136" w:name="_Toc201832475"/>
      <w:r w:rsidRPr="002012E1">
        <w:rPr>
          <w:rFonts w:ascii="Arial" w:hAnsi="Arial" w:cs="Arial"/>
        </w:rPr>
        <w:t>Nombre de la propuesta</w:t>
      </w:r>
      <w:bookmarkEnd w:id="135"/>
      <w:r w:rsidRPr="002012E1">
        <w:rPr>
          <w:rFonts w:ascii="Arial" w:hAnsi="Arial" w:cs="Arial"/>
        </w:rPr>
        <w:t>:</w:t>
      </w:r>
      <w:bookmarkEnd w:id="136"/>
    </w:p>
    <w:p w14:paraId="2C3F9BB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Propuesta de Registro Contable para Productos de Inversión Alternativos en los Portafolios de Pensiones de Costa Rica: Aplicación de Normas Internacionales y Regulación Nacional.</w:t>
      </w:r>
    </w:p>
    <w:p w14:paraId="1F46436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593B009" w14:textId="77777777" w:rsidR="00C51607" w:rsidRPr="002012E1" w:rsidRDefault="00C51607" w:rsidP="00C51607">
      <w:pPr>
        <w:pStyle w:val="apanivel3"/>
        <w:rPr>
          <w:rFonts w:ascii="Arial" w:hAnsi="Arial" w:cs="Arial"/>
          <w:lang w:val="es-MX"/>
        </w:rPr>
      </w:pPr>
      <w:bookmarkStart w:id="137" w:name="_Toc201832476"/>
      <w:r w:rsidRPr="002012E1">
        <w:rPr>
          <w:rFonts w:ascii="Arial" w:hAnsi="Arial" w:cs="Arial"/>
          <w:lang w:val="es-MX"/>
        </w:rPr>
        <w:lastRenderedPageBreak/>
        <w:t>Justificación</w:t>
      </w:r>
      <w:bookmarkEnd w:id="137"/>
    </w:p>
    <w:p w14:paraId="6DD53444" w14:textId="77777777" w:rsidR="00C51607" w:rsidRPr="002012E1" w:rsidRDefault="00C51607" w:rsidP="00C51607">
      <w:pPr>
        <w:pStyle w:val="apaparrafo"/>
      </w:pPr>
      <w:r w:rsidRPr="002012E1">
        <w:t>La creciente participación de productos de inversión alternativos en los portafolios de pensiones costarricenses ha generado una necesidad urgente de modernizar los sistemas de registro contable. Actualmente, no existe una normativa contable específica que permita la adecuada valoración, seguimiento y control de estos instrumentos, lo que dificulta la transparencia financiera, la supervisión por parte de la Superintendencia de Pensiones (SUPEN) y la toma de decisiones informadas por parte de las operadoras.</w:t>
      </w:r>
    </w:p>
    <w:p w14:paraId="2742FD3B" w14:textId="77777777" w:rsidR="00C51607" w:rsidRPr="002012E1" w:rsidRDefault="00C51607" w:rsidP="00C51607">
      <w:pPr>
        <w:pStyle w:val="apaparrafo"/>
      </w:pPr>
    </w:p>
    <w:p w14:paraId="4FF982E5" w14:textId="77777777" w:rsidR="00C51607" w:rsidRPr="002012E1" w:rsidRDefault="00C51607" w:rsidP="00C51607">
      <w:pPr>
        <w:pStyle w:val="apaparrafo"/>
        <w:rPr>
          <w:rStyle w:val="whitespace-nowrap"/>
          <w:bdr w:val="single" w:sz="2" w:space="0" w:color="E5E7EB" w:frame="1"/>
        </w:rPr>
      </w:pPr>
      <w:r w:rsidRPr="002012E1">
        <w:t>Según datos recientes, los activos del Régimen Obligatorio de Pensiones Complementarias (ROP) “alcanzaron en marzo de 2024 un valor de ¢11,3 billones, casi un 25% del Producto Interno Bruto (PIB) de Costa Rica, y experimentaron un crecimiento interanual del 17% en 2023 tras la recuperación de los mercados financieros” (SUPEN, 2024)</w:t>
      </w:r>
      <w:r w:rsidRPr="002012E1">
        <w:rPr>
          <w:rStyle w:val="whitespace-nowrap"/>
          <w:bdr w:val="single" w:sz="2" w:space="0" w:color="E5E7EB" w:frame="1"/>
        </w:rPr>
        <w:t>.</w:t>
      </w:r>
    </w:p>
    <w:p w14:paraId="321F6974" w14:textId="77777777" w:rsidR="00C51607" w:rsidRPr="002012E1" w:rsidRDefault="00C51607" w:rsidP="00C51607">
      <w:pPr>
        <w:pStyle w:val="apaparrafo"/>
        <w:rPr>
          <w:rStyle w:val="whitespace-nowrap"/>
          <w:bdr w:val="single" w:sz="2" w:space="0" w:color="E5E7EB" w:frame="1"/>
        </w:rPr>
      </w:pPr>
    </w:p>
    <w:p w14:paraId="7A1D4DF2" w14:textId="77777777" w:rsidR="00C51607" w:rsidRPr="002012E1" w:rsidRDefault="00C51607" w:rsidP="00C51607">
      <w:pPr>
        <w:pStyle w:val="apaparrafo"/>
      </w:pPr>
      <w:r w:rsidRPr="002012E1">
        <w:t>Este volumen significativo de activos, que incluye una creciente proporción de inversiones alternativas como capital privado, infraestructura y bienes raíces, requiere un sistema contable que refleje fielmente su valor razonable, riesgos inherentes y rendimientos proyectados.</w:t>
      </w:r>
    </w:p>
    <w:p w14:paraId="51442FB4" w14:textId="77777777" w:rsidR="00C51607" w:rsidRPr="002012E1" w:rsidRDefault="00C51607" w:rsidP="00C51607">
      <w:pPr>
        <w:pStyle w:val="apaparrafo"/>
      </w:pPr>
    </w:p>
    <w:p w14:paraId="3FE6F0B8" w14:textId="77777777" w:rsidR="00C51607" w:rsidRPr="002012E1" w:rsidRDefault="00C51607" w:rsidP="00C51607">
      <w:pPr>
        <w:pStyle w:val="apaparrafo"/>
      </w:pPr>
      <w:r w:rsidRPr="002012E1">
        <w:t>Además, “la rentabilidad nominal anual del ROP al mes de abril de 2025 fue del 8,01%, con rendimientos a 3, 5 y 10 años de 5,09%, 8,86% y 8,56%, respectivamente” (Semanario Universidad, 2025, p. 2)</w:t>
      </w:r>
      <w:r w:rsidRPr="002012E1">
        <w:rPr>
          <w:rStyle w:val="whitespace-nowrap"/>
          <w:bdr w:val="single" w:sz="2" w:space="0" w:color="E5E7EB" w:frame="1"/>
        </w:rPr>
        <w:t>.</w:t>
      </w:r>
      <w:r w:rsidRPr="002012E1">
        <w:t> Estos resultados evidencian la importancia de contar con registros contables precisos que permitan evaluar el desempeño real de las inversiones, especialmente en un contexto donde las fluctuaciones de mercado afectan directamente la pensión inicial y los retiros mensuales de los afiliados.</w:t>
      </w:r>
    </w:p>
    <w:p w14:paraId="19ADA501" w14:textId="77777777" w:rsidR="00C51607" w:rsidRPr="002012E1" w:rsidRDefault="00C51607" w:rsidP="00C51607">
      <w:pPr>
        <w:pStyle w:val="apaparrafo"/>
      </w:pPr>
    </w:p>
    <w:p w14:paraId="359FC8E4" w14:textId="77777777" w:rsidR="00C51607" w:rsidRPr="002012E1" w:rsidRDefault="00C51607" w:rsidP="00C51607">
      <w:pPr>
        <w:pStyle w:val="apaparrafo"/>
      </w:pPr>
      <w:r w:rsidRPr="002012E1">
        <w:t xml:space="preserve">La propuesta de modernización contable se fundamenta en la necesidad de adaptar los sistemas a los estándares internacionales, como la NIIF 9 y la NIC 39, que </w:t>
      </w:r>
      <w:r w:rsidRPr="002012E1">
        <w:lastRenderedPageBreak/>
        <w:t xml:space="preserve">establecen criterios para la medición a valor razonable y el reconocimiento de riesgos financieros. </w:t>
      </w:r>
    </w:p>
    <w:p w14:paraId="4DEAAF24" w14:textId="77777777" w:rsidR="00C51607" w:rsidRPr="002012E1" w:rsidRDefault="00C51607" w:rsidP="00C51607">
      <w:pPr>
        <w:pStyle w:val="apaparrafo"/>
      </w:pPr>
    </w:p>
    <w:p w14:paraId="3F4DC987" w14:textId="77777777" w:rsidR="00C51607" w:rsidRPr="002012E1" w:rsidRDefault="00C51607" w:rsidP="00C51607">
      <w:pPr>
        <w:pStyle w:val="apaparrafo"/>
      </w:pPr>
      <w:r w:rsidRPr="002012E1">
        <w:t>Esto es particularmente relevante para inversiones alternativas, que por su naturaleza ilíquida y heterogénea no pueden ser valoradas mediante precios de mercado observables, sino a través de modelos y estimaciones que requieren transparencia y consistencia.</w:t>
      </w:r>
    </w:p>
    <w:p w14:paraId="26390488" w14:textId="77777777" w:rsidR="00C51607" w:rsidRPr="002012E1" w:rsidRDefault="00C51607" w:rsidP="00C51607">
      <w:pPr>
        <w:pStyle w:val="Sinespaciado"/>
        <w:spacing w:line="360" w:lineRule="auto"/>
        <w:rPr>
          <w:rFonts w:ascii="Arial" w:hAnsi="Arial" w:cs="Arial"/>
          <w:lang w:val="es-MX"/>
        </w:rPr>
      </w:pPr>
    </w:p>
    <w:p w14:paraId="746F89A1" w14:textId="77777777" w:rsidR="00C51607" w:rsidRPr="002012E1" w:rsidRDefault="00C51607" w:rsidP="00C51607">
      <w:pPr>
        <w:pStyle w:val="apanivel3"/>
        <w:rPr>
          <w:rFonts w:ascii="Arial" w:hAnsi="Arial" w:cs="Arial"/>
        </w:rPr>
      </w:pPr>
      <w:bookmarkStart w:id="138" w:name="_Toc173343479"/>
      <w:bookmarkStart w:id="139" w:name="_Toc201832477"/>
      <w:r w:rsidRPr="002012E1">
        <w:rPr>
          <w:rFonts w:ascii="Arial" w:hAnsi="Arial" w:cs="Arial"/>
        </w:rPr>
        <w:t>Objetivos de la propuesta</w:t>
      </w:r>
      <w:bookmarkEnd w:id="138"/>
      <w:bookmarkEnd w:id="139"/>
    </w:p>
    <w:p w14:paraId="75FFD67A" w14:textId="77777777" w:rsidR="00C51607" w:rsidRPr="002012E1" w:rsidRDefault="00C51607" w:rsidP="00C51607">
      <w:pPr>
        <w:pStyle w:val="apanivel4"/>
        <w:rPr>
          <w:rFonts w:ascii="Arial" w:hAnsi="Arial" w:cs="Arial"/>
        </w:rPr>
      </w:pPr>
      <w:r w:rsidRPr="002012E1">
        <w:rPr>
          <w:rFonts w:ascii="Arial" w:hAnsi="Arial" w:cs="Arial"/>
        </w:rPr>
        <w:t>General</w:t>
      </w:r>
    </w:p>
    <w:p w14:paraId="72D40339" w14:textId="77777777" w:rsidR="00C51607" w:rsidRPr="002012E1" w:rsidRDefault="00C51607" w:rsidP="00C51607">
      <w:pPr>
        <w:numPr>
          <w:ilvl w:val="0"/>
          <w:numId w:val="1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Diseñar y justificar una propuesta de registro contable para los compromisos e inversiones en productos de inversiones alternativas, en los portafolios de pensiones en Costa Rica, alineada con las Normas Internacionales de Información Financiera (NIIF) y la normativa costarricense aplicable (CONASSIF, SUGEVAL y Ley de Protección al Trabajador, Ley N° 7983)</w:t>
      </w:r>
    </w:p>
    <w:p w14:paraId="4A8C9A1E" w14:textId="77777777" w:rsidR="00C51607" w:rsidRPr="002012E1" w:rsidRDefault="00C51607" w:rsidP="00C51607">
      <w:pPr>
        <w:spacing w:after="0" w:line="360" w:lineRule="auto"/>
        <w:ind w:left="1080"/>
        <w:jc w:val="both"/>
        <w:rPr>
          <w:rFonts w:ascii="Arial" w:eastAsia="Calibri" w:hAnsi="Arial" w:cs="Arial"/>
          <w:kern w:val="0"/>
          <w:lang w:val="es-MX"/>
          <w14:ligatures w14:val="none"/>
        </w:rPr>
      </w:pPr>
    </w:p>
    <w:p w14:paraId="0F0146D8" w14:textId="77777777" w:rsidR="00C51607" w:rsidRPr="002012E1" w:rsidRDefault="00C51607" w:rsidP="00C51607">
      <w:pPr>
        <w:pStyle w:val="apanivel4"/>
        <w:rPr>
          <w:rFonts w:ascii="Arial" w:hAnsi="Arial" w:cs="Arial"/>
        </w:rPr>
      </w:pPr>
      <w:r w:rsidRPr="002012E1">
        <w:rPr>
          <w:rFonts w:ascii="Arial" w:hAnsi="Arial" w:cs="Arial"/>
        </w:rPr>
        <w:t>Específicos</w:t>
      </w:r>
    </w:p>
    <w:p w14:paraId="3F078D0F" w14:textId="77777777" w:rsidR="00C51607" w:rsidRPr="002012E1" w:rsidRDefault="00C51607" w:rsidP="00C51607">
      <w:pPr>
        <w:numPr>
          <w:ilvl w:val="0"/>
          <w:numId w:val="19"/>
        </w:num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Analizar el marco regulatorio costarricense y las NIIF aplicables al registro de compromisos de inversión en fondos de capital de riesgo y productos alternativos.</w:t>
      </w:r>
    </w:p>
    <w:p w14:paraId="1FBB41F5" w14:textId="77777777" w:rsidR="00C51607" w:rsidRPr="002012E1" w:rsidRDefault="00C51607" w:rsidP="00C51607">
      <w:pPr>
        <w:numPr>
          <w:ilvl w:val="0"/>
          <w:numId w:val="19"/>
        </w:num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Proponer un modelo contable detallado que contemple el uso de cuentas de orden, valorización de inversiones, repagos de capital y distribución de dividendos.</w:t>
      </w:r>
    </w:p>
    <w:p w14:paraId="6DDE0EBF" w14:textId="77777777" w:rsidR="00C51607" w:rsidRPr="002012E1" w:rsidRDefault="00C51607" w:rsidP="00C51607">
      <w:pPr>
        <w:numPr>
          <w:ilvl w:val="0"/>
          <w:numId w:val="19"/>
        </w:num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Validar la propuesta contable mediante escenarios prácticos y análisis comparativo con la normativa vigente para garantizar su aplicabilidad en las diferentes operadoras de pensiones del país.</w:t>
      </w:r>
    </w:p>
    <w:p w14:paraId="7AE89ECF" w14:textId="77777777" w:rsidR="00C51607" w:rsidRDefault="00C51607" w:rsidP="00C51607">
      <w:pPr>
        <w:spacing w:after="0" w:line="360" w:lineRule="auto"/>
        <w:rPr>
          <w:rFonts w:ascii="Arial" w:eastAsia="Calibri" w:hAnsi="Arial" w:cs="Arial"/>
          <w:kern w:val="0"/>
          <w14:ligatures w14:val="none"/>
        </w:rPr>
      </w:pPr>
    </w:p>
    <w:p w14:paraId="49215AEB" w14:textId="77777777" w:rsidR="00C51607" w:rsidRPr="002012E1" w:rsidRDefault="00C51607" w:rsidP="00C51607">
      <w:pPr>
        <w:spacing w:after="0" w:line="360" w:lineRule="auto"/>
        <w:rPr>
          <w:rFonts w:ascii="Arial" w:eastAsia="Calibri" w:hAnsi="Arial" w:cs="Arial"/>
          <w:kern w:val="0"/>
          <w14:ligatures w14:val="none"/>
        </w:rPr>
      </w:pPr>
    </w:p>
    <w:p w14:paraId="1FA9BC9E" w14:textId="77777777" w:rsidR="00C51607" w:rsidRPr="002012E1" w:rsidRDefault="00C51607" w:rsidP="00C51607">
      <w:pPr>
        <w:pStyle w:val="apanivel3"/>
        <w:rPr>
          <w:rFonts w:ascii="Arial" w:hAnsi="Arial" w:cs="Arial"/>
        </w:rPr>
      </w:pPr>
      <w:bookmarkStart w:id="140" w:name="_Toc201832478"/>
      <w:r w:rsidRPr="002012E1">
        <w:rPr>
          <w:rFonts w:ascii="Arial" w:hAnsi="Arial" w:cs="Arial"/>
        </w:rPr>
        <w:lastRenderedPageBreak/>
        <w:t>Metodología</w:t>
      </w:r>
      <w:bookmarkEnd w:id="140"/>
    </w:p>
    <w:p w14:paraId="4DB5CBAB" w14:textId="77777777" w:rsidR="00C51607" w:rsidRPr="002012E1" w:rsidRDefault="00C51607" w:rsidP="00C51607">
      <w:pPr>
        <w:pStyle w:val="apaparrafo"/>
      </w:pPr>
      <w:r w:rsidRPr="002012E1">
        <w:t>La metodología es aplicada y mixta. Se integran técnicas cualitativas (entrevistas con expertos contables y reguladores) y cuantitativas (análisis de estados financieros, ratios de riesgo y rentabilidad).</w:t>
      </w:r>
    </w:p>
    <w:p w14:paraId="525349E5" w14:textId="77777777" w:rsidR="00C51607" w:rsidRPr="002012E1" w:rsidRDefault="00C51607" w:rsidP="00C51607">
      <w:pPr>
        <w:pStyle w:val="apaparrafo"/>
      </w:pPr>
    </w:p>
    <w:p w14:paraId="6046A9CF" w14:textId="77777777" w:rsidR="00C51607" w:rsidRPr="002012E1" w:rsidRDefault="00C51607" w:rsidP="00C51607">
      <w:pPr>
        <w:pStyle w:val="apanivel4"/>
        <w:rPr>
          <w:rFonts w:ascii="Arial" w:hAnsi="Arial" w:cs="Arial"/>
        </w:rPr>
      </w:pPr>
      <w:r w:rsidRPr="002012E1">
        <w:rPr>
          <w:rFonts w:ascii="Arial" w:hAnsi="Arial" w:cs="Arial"/>
        </w:rPr>
        <w:t>Fases metodológicas:</w:t>
      </w:r>
    </w:p>
    <w:p w14:paraId="11ED5F51" w14:textId="77777777" w:rsidR="00C51607" w:rsidRPr="002012E1" w:rsidRDefault="00C51607" w:rsidP="00C51607">
      <w:pPr>
        <w:pStyle w:val="apaparrafo"/>
        <w:numPr>
          <w:ilvl w:val="0"/>
          <w:numId w:val="47"/>
        </w:numPr>
      </w:pPr>
      <w:r w:rsidRPr="002012E1">
        <w:rPr>
          <w:b/>
        </w:rPr>
        <w:t>Diagnóstico:</w:t>
      </w:r>
      <w:r w:rsidRPr="002012E1">
        <w:t xml:space="preserve"> revisión normativa, entrevistas a SUPEN y operadoras.</w:t>
      </w:r>
    </w:p>
    <w:p w14:paraId="5A6E563B" w14:textId="77777777" w:rsidR="00C51607" w:rsidRPr="002012E1" w:rsidRDefault="00C51607" w:rsidP="00C51607">
      <w:pPr>
        <w:pStyle w:val="apaparrafo"/>
        <w:numPr>
          <w:ilvl w:val="0"/>
          <w:numId w:val="47"/>
        </w:numPr>
      </w:pPr>
      <w:r w:rsidRPr="002012E1">
        <w:rPr>
          <w:b/>
        </w:rPr>
        <w:t>Diseño del modelo:</w:t>
      </w:r>
      <w:r w:rsidRPr="002012E1">
        <w:t xml:space="preserve"> alineado con NIIF 9, ajustado al marco legal costarricense.</w:t>
      </w:r>
    </w:p>
    <w:p w14:paraId="55EEEAED" w14:textId="77777777" w:rsidR="00C51607" w:rsidRPr="002012E1" w:rsidRDefault="00C51607" w:rsidP="00C51607">
      <w:pPr>
        <w:pStyle w:val="apaparrafo"/>
        <w:numPr>
          <w:ilvl w:val="0"/>
          <w:numId w:val="47"/>
        </w:numPr>
      </w:pPr>
      <w:r w:rsidRPr="002012E1">
        <w:rPr>
          <w:b/>
        </w:rPr>
        <w:t>Validación técnica:</w:t>
      </w:r>
      <w:r w:rsidRPr="002012E1">
        <w:t xml:space="preserve"> aplicación piloto en una operadora ficticia (Ejemplo de simulación)</w:t>
      </w:r>
    </w:p>
    <w:p w14:paraId="49B7699A" w14:textId="77777777" w:rsidR="00C51607" w:rsidRPr="002012E1" w:rsidRDefault="00C51607" w:rsidP="00C51607">
      <w:pPr>
        <w:pStyle w:val="apaparrafo"/>
        <w:numPr>
          <w:ilvl w:val="0"/>
          <w:numId w:val="47"/>
        </w:numPr>
      </w:pPr>
      <w:r w:rsidRPr="002012E1">
        <w:rPr>
          <w:b/>
        </w:rPr>
        <w:t>Evaluación de resultados:</w:t>
      </w:r>
      <w:r w:rsidRPr="002012E1">
        <w:t xml:space="preserve"> análisis de riesgo, cumplimiento contable y beneficios operativos.</w:t>
      </w:r>
    </w:p>
    <w:p w14:paraId="1C5B1B2E" w14:textId="77777777" w:rsidR="00C51607" w:rsidRPr="002012E1" w:rsidRDefault="00C51607" w:rsidP="00C51607">
      <w:pPr>
        <w:pStyle w:val="apaparrafo"/>
        <w:numPr>
          <w:ilvl w:val="0"/>
          <w:numId w:val="47"/>
        </w:numPr>
      </w:pPr>
      <w:r w:rsidRPr="002012E1">
        <w:rPr>
          <w:bCs/>
        </w:rPr>
        <w:t>Propuesta formal.</w:t>
      </w:r>
    </w:p>
    <w:p w14:paraId="6E2E6C34" w14:textId="77777777" w:rsidR="00C51607" w:rsidRPr="002012E1" w:rsidRDefault="00C51607" w:rsidP="00C51607">
      <w:pPr>
        <w:pStyle w:val="apaparrafo"/>
      </w:pPr>
    </w:p>
    <w:p w14:paraId="05FA0573" w14:textId="77777777" w:rsidR="00C51607" w:rsidRPr="002012E1" w:rsidRDefault="00C51607" w:rsidP="00C51607">
      <w:pPr>
        <w:pStyle w:val="apanivel4"/>
        <w:rPr>
          <w:rFonts w:ascii="Arial" w:hAnsi="Arial" w:cs="Arial"/>
        </w:rPr>
      </w:pPr>
      <w:r w:rsidRPr="002012E1">
        <w:rPr>
          <w:rFonts w:ascii="Arial" w:hAnsi="Arial" w:cs="Arial"/>
        </w:rPr>
        <w:t xml:space="preserve">Actividad de preparación </w:t>
      </w:r>
    </w:p>
    <w:p w14:paraId="63AFB84F" w14:textId="77777777" w:rsidR="00C51607" w:rsidRPr="002012E1" w:rsidRDefault="00C51607" w:rsidP="00C51607">
      <w:pPr>
        <w:spacing w:after="0" w:line="360" w:lineRule="auto"/>
        <w:ind w:left="720"/>
        <w:jc w:val="both"/>
        <w:rPr>
          <w:rFonts w:ascii="Arial" w:eastAsia="Calibri" w:hAnsi="Arial" w:cs="Arial"/>
          <w:kern w:val="0"/>
          <w:lang w:val="es-419"/>
          <w14:ligatures w14:val="none"/>
        </w:rPr>
      </w:pPr>
      <w:r w:rsidRPr="005F26AD">
        <w:rPr>
          <w:rFonts w:ascii="Arial" w:eastAsia="Calibri" w:hAnsi="Arial" w:cs="Arial"/>
          <w:kern w:val="0"/>
          <w:lang w:val="es-419"/>
          <w14:ligatures w14:val="none"/>
        </w:rPr>
        <w:t>Para la actividad de preparación se propone un enfoque integral y sistemático que garantice una base sólida para el desarrollo del proyecto, considerando aspectos normativos, prácticos y técnicos:</w:t>
      </w:r>
    </w:p>
    <w:p w14:paraId="673E9CFE" w14:textId="77777777" w:rsidR="00C51607" w:rsidRPr="005F26AD" w:rsidRDefault="00C51607" w:rsidP="00C51607">
      <w:pPr>
        <w:spacing w:after="0" w:line="360" w:lineRule="auto"/>
        <w:ind w:left="720"/>
        <w:jc w:val="both"/>
        <w:rPr>
          <w:rFonts w:ascii="Arial" w:eastAsia="Calibri" w:hAnsi="Arial" w:cs="Arial"/>
          <w:kern w:val="0"/>
          <w:lang w:val="es-419"/>
          <w14:ligatures w14:val="none"/>
        </w:rPr>
      </w:pPr>
    </w:p>
    <w:p w14:paraId="6819A47F" w14:textId="77777777" w:rsidR="00C51607" w:rsidRPr="002012E1" w:rsidRDefault="00C51607" w:rsidP="00C51607">
      <w:pPr>
        <w:numPr>
          <w:ilvl w:val="0"/>
          <w:numId w:val="57"/>
        </w:numPr>
        <w:spacing w:after="0" w:line="360" w:lineRule="auto"/>
        <w:jc w:val="both"/>
        <w:rPr>
          <w:rFonts w:ascii="Arial" w:eastAsia="Calibri" w:hAnsi="Arial" w:cs="Arial"/>
          <w:kern w:val="0"/>
          <w:lang w:val="es-419"/>
          <w14:ligatures w14:val="none"/>
        </w:rPr>
      </w:pPr>
      <w:r w:rsidRPr="005F26AD">
        <w:rPr>
          <w:rFonts w:ascii="Arial" w:eastAsia="Calibri" w:hAnsi="Arial" w:cs="Arial"/>
          <w:b/>
          <w:bCs/>
          <w:kern w:val="0"/>
          <w:lang w:val="es-419"/>
          <w14:ligatures w14:val="none"/>
        </w:rPr>
        <w:t>Revisión bibliográfica y documental sobre NIIF, Ley de Protección al Trabajador (Ley N° 7983), reglamentos del CONASSIF y SUGEVAL</w:t>
      </w:r>
      <w:r w:rsidRPr="005F26AD">
        <w:rPr>
          <w:rFonts w:ascii="Arial" w:eastAsia="Calibri" w:hAnsi="Arial" w:cs="Arial"/>
          <w:kern w:val="0"/>
          <w:lang w:val="es-419"/>
          <w14:ligatures w14:val="none"/>
        </w:rPr>
        <w:br/>
        <w:t>Se realizará un análisis exhaustivo de la normativa vigente aplicable al sistema de pensiones costarricense y a la contabilidad de inversiones alternativas. Esto incluye:</w:t>
      </w:r>
    </w:p>
    <w:p w14:paraId="3AC88F61" w14:textId="77777777" w:rsidR="00C51607" w:rsidRPr="002012E1" w:rsidRDefault="00C51607" w:rsidP="00C51607">
      <w:pPr>
        <w:numPr>
          <w:ilvl w:val="1"/>
          <w:numId w:val="57"/>
        </w:num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Estudio detallado de las Normas Internacionales de Información Financiera (NIIF), especialmente NIIF 9 y NIC 39, que regulan la valoración y reconocimiento de instrumentos financieros.</w:t>
      </w:r>
    </w:p>
    <w:p w14:paraId="3B313DA7" w14:textId="77777777" w:rsidR="00C51607" w:rsidRPr="002012E1" w:rsidRDefault="00C51607" w:rsidP="00C51607">
      <w:pPr>
        <w:numPr>
          <w:ilvl w:val="1"/>
          <w:numId w:val="57"/>
        </w:num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 xml:space="preserve">Análisis de la Ley de Protección al Trabajador (Ley N° 7983), que establece el marco legal para la administración de fondos de </w:t>
      </w:r>
      <w:r w:rsidRPr="002012E1">
        <w:rPr>
          <w:rFonts w:ascii="Arial" w:eastAsia="Calibri" w:hAnsi="Arial" w:cs="Arial"/>
          <w:kern w:val="0"/>
          <w:lang w:val="es-419"/>
          <w14:ligatures w14:val="none"/>
        </w:rPr>
        <w:lastRenderedPageBreak/>
        <w:t>capitalización laboral y regímenes complementarios de pensiones, incluyendo sus objetivos, estructura y mecanismos de supervisión (Asamblea Legislativa, 2000).</w:t>
      </w:r>
    </w:p>
    <w:p w14:paraId="6B16F918" w14:textId="77777777" w:rsidR="00C51607" w:rsidRPr="002012E1" w:rsidRDefault="00C51607" w:rsidP="00C51607">
      <w:pPr>
        <w:numPr>
          <w:ilvl w:val="1"/>
          <w:numId w:val="57"/>
        </w:numPr>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Revisión de reglamentos emitidos por el Consejo Nacional de Supervisión del Sistema Financiero (CONASSIF) y la Superintendencia General de Valores (SUGEVAL), que regulan aspectos específicos de la gestión y supervisión de fondos de pensiones y sus inversiones.</w:t>
      </w:r>
    </w:p>
    <w:p w14:paraId="6B5F0E38" w14:textId="77777777" w:rsidR="00C51607" w:rsidRPr="002012E1" w:rsidRDefault="00C51607" w:rsidP="00C51607">
      <w:pPr>
        <w:spacing w:after="0" w:line="360" w:lineRule="auto"/>
        <w:ind w:left="708"/>
        <w:jc w:val="both"/>
        <w:rPr>
          <w:rFonts w:ascii="Arial" w:eastAsia="Calibri" w:hAnsi="Arial" w:cs="Arial"/>
          <w:kern w:val="0"/>
          <w:lang w:val="es-419"/>
          <w14:ligatures w14:val="none"/>
        </w:rPr>
      </w:pPr>
    </w:p>
    <w:p w14:paraId="38B167F7" w14:textId="77777777" w:rsidR="00C51607" w:rsidRPr="002012E1" w:rsidRDefault="00C51607" w:rsidP="00C51607">
      <w:pPr>
        <w:spacing w:after="0" w:line="360" w:lineRule="auto"/>
        <w:ind w:left="708"/>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Esta revisión permitirá identificar vacíos normativos, requisitos de reporte, y mejores prácticas internacionales adaptadas al contexto nacional.</w:t>
      </w:r>
    </w:p>
    <w:p w14:paraId="08EE3EAF" w14:textId="77777777" w:rsidR="00C51607" w:rsidRPr="002012E1" w:rsidRDefault="00C51607" w:rsidP="00C51607">
      <w:pPr>
        <w:spacing w:after="0" w:line="360" w:lineRule="auto"/>
        <w:ind w:left="708"/>
        <w:jc w:val="both"/>
        <w:rPr>
          <w:rFonts w:ascii="Arial" w:eastAsia="Calibri" w:hAnsi="Arial" w:cs="Arial"/>
          <w:kern w:val="0"/>
          <w:lang w:val="es-419"/>
          <w14:ligatures w14:val="none"/>
        </w:rPr>
      </w:pPr>
    </w:p>
    <w:p w14:paraId="36E76BC8" w14:textId="77777777" w:rsidR="00C51607" w:rsidRPr="002012E1" w:rsidRDefault="00C51607" w:rsidP="00C51607">
      <w:pPr>
        <w:pStyle w:val="Prrafodelista"/>
        <w:numPr>
          <w:ilvl w:val="0"/>
          <w:numId w:val="57"/>
        </w:numPr>
        <w:spacing w:after="0" w:line="360" w:lineRule="auto"/>
        <w:jc w:val="both"/>
        <w:rPr>
          <w:rFonts w:ascii="Arial" w:eastAsia="Calibri" w:hAnsi="Arial" w:cs="Arial"/>
          <w:b/>
          <w:bCs/>
          <w:kern w:val="0"/>
          <w:lang w:val="es-419"/>
          <w14:ligatures w14:val="none"/>
        </w:rPr>
      </w:pPr>
      <w:r w:rsidRPr="002012E1">
        <w:rPr>
          <w:rFonts w:ascii="Arial" w:eastAsia="Calibri" w:hAnsi="Arial" w:cs="Arial"/>
          <w:b/>
          <w:bCs/>
          <w:kern w:val="0"/>
          <w:lang w:val="es-419"/>
          <w14:ligatures w14:val="none"/>
        </w:rPr>
        <w:t>Recopilación de información sobre prácticas contables actuales en operadoras de pensiones</w:t>
      </w:r>
    </w:p>
    <w:p w14:paraId="671EB7F0" w14:textId="77777777" w:rsidR="00C51607" w:rsidRPr="002012E1" w:rsidRDefault="00C51607" w:rsidP="00C51607">
      <w:pPr>
        <w:pStyle w:val="Prrafodelista"/>
        <w:spacing w:after="0"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Se recopilarán y analizarán los procedimientos contables y sistemas de registro utilizados por las operadoras de pensiones en Costa Rica para el manejo de inversiones tradicionales y alternativas. Esto incluirá:</w:t>
      </w:r>
    </w:p>
    <w:p w14:paraId="20835BB0" w14:textId="77777777" w:rsidR="00C51607" w:rsidRPr="00D76ABA" w:rsidRDefault="00C51607" w:rsidP="00C51607">
      <w:pPr>
        <w:pStyle w:val="Prrafodelista"/>
        <w:numPr>
          <w:ilvl w:val="1"/>
          <w:numId w:val="57"/>
        </w:numPr>
        <w:spacing w:after="0" w:line="360" w:lineRule="auto"/>
        <w:jc w:val="both"/>
        <w:rPr>
          <w:rFonts w:ascii="Arial" w:eastAsia="Calibri" w:hAnsi="Arial" w:cs="Arial"/>
          <w:kern w:val="0"/>
          <w:lang w:val="es-419"/>
          <w14:ligatures w14:val="none"/>
        </w:rPr>
      </w:pPr>
      <w:r w:rsidRPr="00D76ABA">
        <w:rPr>
          <w:rFonts w:ascii="Arial" w:eastAsia="Calibri" w:hAnsi="Arial" w:cs="Arial"/>
          <w:kern w:val="0"/>
          <w:lang w:val="es-419"/>
          <w14:ligatures w14:val="none"/>
        </w:rPr>
        <w:t>Evaluación de metodologías de valoración aplicadas a activos ilíquidos como capital privado, infraestructura y bienes raíces.</w:t>
      </w:r>
    </w:p>
    <w:p w14:paraId="6A613F2F" w14:textId="77777777" w:rsidR="00C51607" w:rsidRPr="00D76ABA" w:rsidRDefault="00C51607" w:rsidP="00C51607">
      <w:pPr>
        <w:pStyle w:val="Prrafodelista"/>
        <w:numPr>
          <w:ilvl w:val="1"/>
          <w:numId w:val="57"/>
        </w:numPr>
        <w:spacing w:after="0" w:line="360" w:lineRule="auto"/>
        <w:jc w:val="both"/>
        <w:rPr>
          <w:rFonts w:ascii="Arial" w:eastAsia="Calibri" w:hAnsi="Arial" w:cs="Arial"/>
          <w:kern w:val="0"/>
          <w:lang w:val="es-419"/>
          <w14:ligatures w14:val="none"/>
        </w:rPr>
      </w:pPr>
      <w:r w:rsidRPr="00D76ABA">
        <w:rPr>
          <w:rFonts w:ascii="Arial" w:eastAsia="Calibri" w:hAnsi="Arial" w:cs="Arial"/>
          <w:kern w:val="0"/>
          <w:lang w:val="es-419"/>
          <w14:ligatures w14:val="none"/>
        </w:rPr>
        <w:t>Identificación de limitaciones en los sistemas actuales para reflejar el valor razonable, riesgos y rendimientos proyectados.</w:t>
      </w:r>
    </w:p>
    <w:p w14:paraId="2FC1DC85" w14:textId="77777777" w:rsidR="00C51607" w:rsidRPr="00D76ABA" w:rsidRDefault="00C51607" w:rsidP="00C51607">
      <w:pPr>
        <w:pStyle w:val="Prrafodelista"/>
        <w:numPr>
          <w:ilvl w:val="1"/>
          <w:numId w:val="57"/>
        </w:numPr>
        <w:spacing w:after="0" w:line="360" w:lineRule="auto"/>
        <w:jc w:val="both"/>
        <w:rPr>
          <w:rFonts w:ascii="Arial" w:eastAsia="Calibri" w:hAnsi="Arial" w:cs="Arial"/>
          <w:kern w:val="0"/>
          <w:lang w:val="es-419"/>
          <w14:ligatures w14:val="none"/>
        </w:rPr>
      </w:pPr>
      <w:r w:rsidRPr="00D76ABA">
        <w:rPr>
          <w:rFonts w:ascii="Arial" w:eastAsia="Calibri" w:hAnsi="Arial" w:cs="Arial"/>
          <w:kern w:val="0"/>
          <w:lang w:val="es-419"/>
          <w14:ligatures w14:val="none"/>
        </w:rPr>
        <w:t>Análisis de reportes financieros y auditorías recientes para detectar inconsistencias o áreas de mejora en la presentación y control de inversiones.</w:t>
      </w:r>
    </w:p>
    <w:p w14:paraId="3B35AA1E" w14:textId="77777777" w:rsidR="00C51607" w:rsidRPr="002012E1" w:rsidRDefault="00C51607" w:rsidP="00C51607">
      <w:pPr>
        <w:spacing w:after="0" w:line="360" w:lineRule="auto"/>
        <w:ind w:left="1080"/>
        <w:jc w:val="both"/>
        <w:rPr>
          <w:rFonts w:ascii="Arial" w:eastAsia="Calibri" w:hAnsi="Arial" w:cs="Arial"/>
          <w:kern w:val="0"/>
          <w:lang w:val="es-419"/>
          <w14:ligatures w14:val="none"/>
        </w:rPr>
      </w:pPr>
    </w:p>
    <w:p w14:paraId="14CC0589" w14:textId="77777777" w:rsidR="00C51607" w:rsidRPr="002012E1" w:rsidRDefault="00C51607" w:rsidP="00C51607">
      <w:pPr>
        <w:spacing w:after="0" w:line="360" w:lineRule="auto"/>
        <w:ind w:left="708"/>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Esta actividad facilitará la comprensión de las prácticas reales frente a los requerimientos normativos y estándares internacionales.</w:t>
      </w:r>
    </w:p>
    <w:p w14:paraId="71FD1AEE"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15FF0537"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7377C00E"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540FD850" w14:textId="77777777" w:rsidR="00C51607" w:rsidRPr="002012E1" w:rsidRDefault="00C51607" w:rsidP="00C51607">
      <w:pPr>
        <w:pStyle w:val="Prrafodelista"/>
        <w:numPr>
          <w:ilvl w:val="0"/>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lastRenderedPageBreak/>
        <w:t>Entrevistas con auditores de fondos de pensiones de las diferentes operadoras del país.</w:t>
      </w:r>
    </w:p>
    <w:p w14:paraId="7EEA5F62" w14:textId="77777777" w:rsidR="00C51607" w:rsidRPr="002012E1" w:rsidRDefault="00C51607" w:rsidP="00C51607">
      <w:pPr>
        <w:spacing w:line="360" w:lineRule="auto"/>
        <w:ind w:left="708"/>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realizarán entrevistas estructuradas con auditores externos e internos que supervisan los fondos de pensiones, con el fin de:</w:t>
      </w:r>
    </w:p>
    <w:p w14:paraId="005A2924" w14:textId="77777777" w:rsidR="00C51607" w:rsidRPr="002012E1" w:rsidRDefault="00C51607" w:rsidP="00C51607">
      <w:pPr>
        <w:pStyle w:val="Prrafodelista"/>
        <w:numPr>
          <w:ilvl w:val="1"/>
          <w:numId w:val="57"/>
        </w:numPr>
        <w:spacing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Obtener perspectivas sobre los principales desafíos en la valoración y control de inversiones alternativas.</w:t>
      </w:r>
    </w:p>
    <w:p w14:paraId="1DE90B58" w14:textId="77777777" w:rsidR="00C51607" w:rsidRPr="002012E1" w:rsidRDefault="00C51607" w:rsidP="00C51607">
      <w:pPr>
        <w:pStyle w:val="Prrafodelista"/>
        <w:numPr>
          <w:ilvl w:val="1"/>
          <w:numId w:val="57"/>
        </w:numPr>
        <w:spacing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Recopilar experiencias sobre la implementación de normativas contables y tecnológicas.</w:t>
      </w:r>
    </w:p>
    <w:p w14:paraId="1064EA77" w14:textId="77777777" w:rsidR="00C51607" w:rsidRPr="002012E1" w:rsidRDefault="00C51607" w:rsidP="00C51607">
      <w:pPr>
        <w:pStyle w:val="Prrafodelista"/>
        <w:numPr>
          <w:ilvl w:val="1"/>
          <w:numId w:val="57"/>
        </w:numPr>
        <w:spacing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Identificar necesidades de capacitación, mejoras en procesos y sistemas, y recomendaciones para la modernización contable.</w:t>
      </w:r>
    </w:p>
    <w:p w14:paraId="0A83A1A3" w14:textId="77777777" w:rsidR="00C51607" w:rsidRPr="002012E1" w:rsidRDefault="00C51607" w:rsidP="00C51607">
      <w:pPr>
        <w:pStyle w:val="Prrafodelista"/>
        <w:numPr>
          <w:ilvl w:val="1"/>
          <w:numId w:val="57"/>
        </w:numPr>
        <w:spacing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Estas entrevistas aportarán información cualitativa valiosa que complementará la revisión documental y permitirá ajustar propuestas prácticas y técnicas a la realidad operativa.</w:t>
      </w:r>
    </w:p>
    <w:p w14:paraId="76DCABD9" w14:textId="77777777" w:rsidR="00C51607" w:rsidRDefault="00C51607" w:rsidP="00C51607">
      <w:pPr>
        <w:spacing w:line="360" w:lineRule="auto"/>
        <w:jc w:val="both"/>
        <w:rPr>
          <w:rFonts w:ascii="Arial" w:eastAsia="Calibri" w:hAnsi="Arial" w:cs="Arial"/>
          <w:kern w:val="0"/>
          <w:lang w:val="es-419"/>
          <w14:ligatures w14:val="none"/>
        </w:rPr>
      </w:pPr>
    </w:p>
    <w:p w14:paraId="0AB9A889" w14:textId="77777777" w:rsidR="00C51607" w:rsidRPr="002012E1" w:rsidRDefault="00C51607" w:rsidP="00C51607">
      <w:pPr>
        <w:spacing w:line="360" w:lineRule="auto"/>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En conjunto, estas actividades de preparación buscan construir un diagnóstico riguroso y fundamentado que sirva de base para el diseño e implementación de un modelo contable moderno, alineado con las mejores prácticas internacionales y adaptado al marco legal y operativo costarricense, contribuyendo así a la transparencia, supervisión efectiva y toma de decisiones informadas en el sistema de pensiones.</w:t>
      </w:r>
    </w:p>
    <w:p w14:paraId="0F833743" w14:textId="77777777" w:rsidR="00C51607" w:rsidRPr="002012E1" w:rsidRDefault="00C51607" w:rsidP="00C51607">
      <w:pPr>
        <w:pStyle w:val="Prrafodelista"/>
        <w:spacing w:after="0" w:line="360" w:lineRule="auto"/>
        <w:jc w:val="both"/>
        <w:rPr>
          <w:rFonts w:ascii="Arial" w:eastAsia="Calibri" w:hAnsi="Arial" w:cs="Arial"/>
          <w:kern w:val="0"/>
          <w:lang w:val="es-MX"/>
          <w14:ligatures w14:val="none"/>
        </w:rPr>
      </w:pPr>
    </w:p>
    <w:p w14:paraId="37EBAE40" w14:textId="77777777" w:rsidR="00C51607" w:rsidRPr="002012E1" w:rsidRDefault="00C51607" w:rsidP="00C51607">
      <w:pPr>
        <w:pStyle w:val="apanivel4"/>
        <w:rPr>
          <w:rFonts w:ascii="Arial" w:hAnsi="Arial" w:cs="Arial"/>
        </w:rPr>
      </w:pPr>
      <w:r w:rsidRPr="002012E1">
        <w:rPr>
          <w:rFonts w:ascii="Arial" w:hAnsi="Arial" w:cs="Arial"/>
        </w:rPr>
        <w:t xml:space="preserve">Actividades de aplicación </w:t>
      </w:r>
    </w:p>
    <w:p w14:paraId="6788ADD5"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la propuesta de modernización contable en el manejo de inversiones alternativas en fondos de pensiones costarricenses, las actividades de aplicación se desarrollan de la siguiente manera:</w:t>
      </w:r>
    </w:p>
    <w:p w14:paraId="0181A364"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6565F317"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132BA94D"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0D0ABC27" w14:textId="77777777" w:rsidR="00C51607" w:rsidRPr="002012E1" w:rsidRDefault="00C51607" w:rsidP="00C51607">
      <w:pPr>
        <w:pStyle w:val="Prrafodelista"/>
        <w:numPr>
          <w:ilvl w:val="3"/>
          <w:numId w:val="57"/>
        </w:numPr>
        <w:spacing w:after="0" w:line="360" w:lineRule="auto"/>
        <w:ind w:left="993"/>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lastRenderedPageBreak/>
        <w:t>Diseño del modelo contable para los compromisos de inversión alternativos</w:t>
      </w:r>
    </w:p>
    <w:p w14:paraId="6FE0DB16"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elaborará un modelo contable específico que contemple las particularidades de las inversiones alternativas, tales como capital privado, infraestructura y bienes raíces, adaptado al contexto normativo y operativo costarricense. Este modelo incorporará principios de la NIIF 9 y NIC 39 para la medición a valor razonable y reconocimiento de riesgos financieros, pero ajustado para reflejar la iliquidez y complejidad propia de estos activos.</w:t>
      </w:r>
    </w:p>
    <w:p w14:paraId="2041E0AB"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1A54B566"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Además, se considerarán las características del nuevo régimen de fondos generacionales que se implementará en Costa Rica en 2025, el cual ajusta automáticamente el perfil de riesgo según la edad del afiliado y la etapa del ciclo de inversión. El modelo deberá permitir la segmentación y transición suave entre fondos con diferentes perfiles de riesgo, garantizando la transparencia y trazabilidad contable en cada etapa.</w:t>
      </w:r>
    </w:p>
    <w:p w14:paraId="3EBFC327"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5DAE7261" w14:textId="77777777" w:rsidR="00C51607" w:rsidRPr="002012E1" w:rsidRDefault="00C51607" w:rsidP="00C51607">
      <w:pPr>
        <w:pStyle w:val="Prrafodelista"/>
        <w:numPr>
          <w:ilvl w:val="3"/>
          <w:numId w:val="57"/>
        </w:numPr>
        <w:spacing w:after="0" w:line="360" w:lineRule="auto"/>
        <w:ind w:left="993"/>
        <w:jc w:val="both"/>
        <w:rPr>
          <w:rFonts w:ascii="Arial" w:eastAsia="Calibri" w:hAnsi="Arial" w:cs="Arial"/>
          <w:b/>
          <w:bCs/>
          <w:kern w:val="0"/>
          <w:lang w:val="es-MX"/>
          <w14:ligatures w14:val="none"/>
        </w:rPr>
      </w:pPr>
      <w:r w:rsidRPr="002012E1">
        <w:rPr>
          <w:rFonts w:ascii="Arial" w:eastAsia="Calibri" w:hAnsi="Arial" w:cs="Arial"/>
          <w:b/>
          <w:bCs/>
          <w:kern w:val="0"/>
          <w:lang w:val="es-MX"/>
          <w14:ligatures w14:val="none"/>
        </w:rPr>
        <w:t>Desarrollo de ejemplos contables en diferentes etapas del ciclo de inversión</w:t>
      </w:r>
    </w:p>
    <w:p w14:paraId="0866CA75"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elaborarán casos prácticos que reflejen las operaciones contables típicas a lo largo del ciclo de vida de una inversión alternativa, desde su adquisición, reconocimiento inicial, medición posterior, hasta su desinversión o liquidación. Estos ejemplos incluirán:</w:t>
      </w:r>
    </w:p>
    <w:p w14:paraId="6A71AE76"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Registro inicial de compromisos de inversión en capital privado o infraestructura.</w:t>
      </w:r>
    </w:p>
    <w:p w14:paraId="263EDB68"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Ajustes por valoración a valor razonable en ausencia de precios de mercado observables, utilizando modelos internos.</w:t>
      </w:r>
    </w:p>
    <w:p w14:paraId="5473E5E5"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Reconocimiento de ingresos por rendimientos proyectados y deterioros por iliquidez o riesgo.</w:t>
      </w:r>
    </w:p>
    <w:p w14:paraId="7D47561C"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Movimientos contables asociados a la transición entre fondos generacionales, conforme al “glide path” que reduce la exposición a activos volátiles con la edad.</w:t>
      </w:r>
    </w:p>
    <w:p w14:paraId="34BF5ACC" w14:textId="77777777" w:rsidR="00C51607"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Estos ejemplos facilitarán la comprensión y aplicación práctica del modelo contable propuesto por parte de las operadoras y auditores.</w:t>
      </w:r>
    </w:p>
    <w:p w14:paraId="2C0B09DF"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3E86679C" w14:textId="77777777" w:rsidR="00C51607" w:rsidRPr="002012E1" w:rsidRDefault="00C51607" w:rsidP="00C51607">
      <w:pPr>
        <w:spacing w:after="0" w:line="360" w:lineRule="auto"/>
        <w:ind w:firstLine="708"/>
        <w:jc w:val="both"/>
        <w:rPr>
          <w:rFonts w:ascii="Arial" w:eastAsia="Calibri" w:hAnsi="Arial" w:cs="Arial"/>
          <w:kern w:val="0"/>
          <w:lang w:val="es-MX"/>
          <w14:ligatures w14:val="none"/>
        </w:rPr>
      </w:pPr>
      <w:r w:rsidRPr="002012E1">
        <w:rPr>
          <w:rFonts w:ascii="Arial" w:eastAsia="Calibri" w:hAnsi="Arial" w:cs="Arial"/>
          <w:kern w:val="0"/>
          <w:lang w:val="es-MX"/>
          <w14:ligatures w14:val="none"/>
        </w:rPr>
        <w:t>3.</w:t>
      </w:r>
      <w:r w:rsidRPr="002012E1">
        <w:rPr>
          <w:rFonts w:ascii="Arial" w:eastAsia="Calibri" w:hAnsi="Arial" w:cs="Arial"/>
          <w:b/>
          <w:bCs/>
          <w:kern w:val="0"/>
          <w:lang w:val="es-MX"/>
          <w14:ligatures w14:val="none"/>
        </w:rPr>
        <w:t xml:space="preserve"> Aplicación práctica mediante simulaciones contables</w:t>
      </w:r>
    </w:p>
    <w:p w14:paraId="45419CF8" w14:textId="77777777" w:rsidR="00C51607"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implementarán simulaciones que permitan validar el modelo contable en escenarios controlados, utilizando datos históricos y supuestos realistas de mercado. Estas simulaciones incluirán:</w:t>
      </w:r>
    </w:p>
    <w:p w14:paraId="012FB302"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1DF31032"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Evaluación del impacto de fluctuaciones en el valor razonable de activos alternativos sobre los estados financieros.</w:t>
      </w:r>
    </w:p>
    <w:p w14:paraId="10C1180C"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Análisis de la sensibilidad a variables clave como tasas de descuento, horizontes de inversión y condiciones de mercado.</w:t>
      </w:r>
    </w:p>
    <w:p w14:paraId="5AC44715"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Pruebas de consistencia en la transición automática entre fondos generacionales, asegurando que los registros contables reflejen adecuadamente los cambios en la composición del portafolio y el perfil de riesgo.</w:t>
      </w:r>
    </w:p>
    <w:p w14:paraId="36E7D419" w14:textId="77777777" w:rsidR="00C51607" w:rsidRPr="002012E1" w:rsidRDefault="00C51607" w:rsidP="00C51607">
      <w:pPr>
        <w:pStyle w:val="Prrafodelista"/>
        <w:numPr>
          <w:ilvl w:val="1"/>
          <w:numId w:val="5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Identificación de posibles brechas o ajustes necesarios para mejorar la precisión y transparencia contable.</w:t>
      </w:r>
    </w:p>
    <w:p w14:paraId="76C08E9B"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542BD41B"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 fase permitirá ajustar el modelo antes de su implementación definitiva, garantizando su robustez y adecuación a la realidad operativa costarricense.</w:t>
      </w:r>
    </w:p>
    <w:p w14:paraId="3074FD21"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131FB55B" w14:textId="77777777" w:rsidR="00C51607"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conjunto, estas actividades de aplicación buscan transformar la gestión contable de las inversiones alternativas en fondos de pensiones, alineándola con estándares internacionales y adaptándola a las particularidades del sistema costarricense, especialmente en el marco de la implementación de fondos generacionales. </w:t>
      </w:r>
    </w:p>
    <w:p w14:paraId="427D19C8"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5452F090"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Esto contribuirá a mejorar la transparencia, supervisión y toma de decisiones, fortaleciendo la sostenibilidad y confianza en el sistema previsional.</w:t>
      </w:r>
    </w:p>
    <w:p w14:paraId="0CE3952A" w14:textId="77777777" w:rsidR="00C51607" w:rsidRDefault="00C51607" w:rsidP="00C51607">
      <w:pPr>
        <w:spacing w:after="0" w:line="360" w:lineRule="auto"/>
        <w:ind w:left="720"/>
        <w:jc w:val="both"/>
        <w:rPr>
          <w:rFonts w:ascii="Arial" w:eastAsia="Calibri" w:hAnsi="Arial" w:cs="Arial"/>
          <w:kern w:val="0"/>
          <w:lang w:val="es-MX"/>
          <w14:ligatures w14:val="none"/>
        </w:rPr>
      </w:pPr>
    </w:p>
    <w:p w14:paraId="11DE1F5D" w14:textId="77777777" w:rsidR="00C51607" w:rsidRPr="002012E1" w:rsidRDefault="00C51607" w:rsidP="00C51607">
      <w:pPr>
        <w:pStyle w:val="apanivel4"/>
        <w:rPr>
          <w:rFonts w:ascii="Arial" w:hAnsi="Arial" w:cs="Arial"/>
        </w:rPr>
      </w:pPr>
      <w:r w:rsidRPr="002012E1">
        <w:rPr>
          <w:rFonts w:ascii="Arial" w:hAnsi="Arial" w:cs="Arial"/>
        </w:rPr>
        <w:lastRenderedPageBreak/>
        <w:t>Actividad de comprobación</w:t>
      </w:r>
    </w:p>
    <w:p w14:paraId="1165E19E" w14:textId="77777777" w:rsidR="00C51607" w:rsidRPr="002012E1" w:rsidRDefault="00C51607" w:rsidP="00C51607">
      <w:pPr>
        <w:pStyle w:val="apaparrafo"/>
      </w:pPr>
      <w:bookmarkStart w:id="141" w:name="_1smtxgf" w:colFirst="0" w:colLast="0"/>
      <w:bookmarkEnd w:id="141"/>
      <w:r w:rsidRPr="002012E1">
        <w:t>Para la actividad de comprobación dentro de la propuesta de modernización contable para inversiones alternativas en fondos de pensiones, se plantean las siguientes acciones profesionales y rigurosas:</w:t>
      </w:r>
    </w:p>
    <w:p w14:paraId="0C8D3209" w14:textId="77777777" w:rsidR="00C51607" w:rsidRPr="002012E1" w:rsidRDefault="00C51607" w:rsidP="00C51607">
      <w:pPr>
        <w:pStyle w:val="apaparrafo"/>
      </w:pPr>
    </w:p>
    <w:p w14:paraId="1FC52943" w14:textId="77777777" w:rsidR="00C51607" w:rsidRPr="002012E1" w:rsidRDefault="00C51607" w:rsidP="00C51607">
      <w:pPr>
        <w:pStyle w:val="apaparrafo"/>
        <w:numPr>
          <w:ilvl w:val="3"/>
          <w:numId w:val="57"/>
        </w:numPr>
        <w:ind w:left="709"/>
        <w:rPr>
          <w:b/>
          <w:bCs/>
        </w:rPr>
      </w:pPr>
      <w:r w:rsidRPr="002012E1">
        <w:rPr>
          <w:b/>
          <w:bCs/>
        </w:rPr>
        <w:t>Análisis de consistencia del modelo con las NIIF y la normativa nacional</w:t>
      </w:r>
    </w:p>
    <w:p w14:paraId="69CCA656" w14:textId="77777777" w:rsidR="00C51607" w:rsidRPr="002012E1" w:rsidRDefault="00C51607" w:rsidP="00C51607">
      <w:pPr>
        <w:pStyle w:val="apaparrafo"/>
      </w:pPr>
      <w:r w:rsidRPr="002012E1">
        <w:t xml:space="preserve">Se realizará una revisión exhaustiva para asegurar que el modelo contable diseñado cumpla con los lineamientos establecidos en las Normas Internacionales de Información Financiera, especialmente la NIIF 9 “Instrumentos Financieros” y la NIC 39, que regulan el reconocimiento, medición y presentación de activos financieros. </w:t>
      </w:r>
    </w:p>
    <w:p w14:paraId="6B161784" w14:textId="77777777" w:rsidR="00C51607" w:rsidRPr="002012E1" w:rsidRDefault="00C51607" w:rsidP="00C51607">
      <w:pPr>
        <w:pStyle w:val="apaparrafo"/>
      </w:pPr>
    </w:p>
    <w:p w14:paraId="499120D5" w14:textId="77777777" w:rsidR="00C51607" w:rsidRPr="002012E1" w:rsidRDefault="00C51607" w:rsidP="00C51607">
      <w:pPr>
        <w:pStyle w:val="apaparrafo"/>
      </w:pPr>
      <w:r w:rsidRPr="002012E1">
        <w:t>Además, se verificará la conformidad con la normativa nacional vigente, incluyendo el Reglamento sobre valoración de instrumentos financieros emitido por CONASSIF y SUPEN, que rige desde enero de 2020 y establece criterios específicos para el cálculo del valor razonable en el contexto costarricense. Este análisis garantizará que el modelo respete tanto los estándares internacionales como las disposiciones locales, asegurando la validez y aplicabilidad de este.</w:t>
      </w:r>
    </w:p>
    <w:p w14:paraId="5FA56B36" w14:textId="77777777" w:rsidR="00C51607" w:rsidRPr="002012E1" w:rsidRDefault="00C51607" w:rsidP="00C51607">
      <w:pPr>
        <w:pStyle w:val="apaparrafo"/>
      </w:pPr>
    </w:p>
    <w:p w14:paraId="680EDCAB" w14:textId="77777777" w:rsidR="00C51607" w:rsidRPr="002012E1" w:rsidRDefault="00C51607" w:rsidP="00C51607">
      <w:pPr>
        <w:pStyle w:val="apaparrafo"/>
        <w:numPr>
          <w:ilvl w:val="3"/>
          <w:numId w:val="57"/>
        </w:numPr>
        <w:ind w:left="426"/>
        <w:rPr>
          <w:b/>
          <w:bCs/>
        </w:rPr>
      </w:pPr>
      <w:r w:rsidRPr="002012E1">
        <w:rPr>
          <w:b/>
          <w:bCs/>
        </w:rPr>
        <w:t>Comparación con prácticas contables en países de referencia (benchmarking)</w:t>
      </w:r>
    </w:p>
    <w:p w14:paraId="1D347519" w14:textId="77777777" w:rsidR="00C51607" w:rsidRPr="002012E1" w:rsidRDefault="00C51607" w:rsidP="00C51607">
      <w:pPr>
        <w:pStyle w:val="apaparrafo"/>
      </w:pPr>
      <w:r w:rsidRPr="002012E1">
        <w:t xml:space="preserve">Se llevará a cabo un estudio comparativo con modelos contables aplicados en sistemas de pensiones de países con marcos regulatorios y mercados financieros desarrollados, que hayan implementado con éxito la contabilización de inversiones alternativas. </w:t>
      </w:r>
    </w:p>
    <w:p w14:paraId="007D05EB" w14:textId="77777777" w:rsidR="00C51607" w:rsidRPr="002012E1" w:rsidRDefault="00C51607" w:rsidP="00C51607">
      <w:pPr>
        <w:pStyle w:val="apaparrafo"/>
      </w:pPr>
    </w:p>
    <w:p w14:paraId="5758C6EF" w14:textId="77777777" w:rsidR="00C51607" w:rsidRPr="002012E1" w:rsidRDefault="00C51607" w:rsidP="00C51607">
      <w:pPr>
        <w:pStyle w:val="apaparrafo"/>
      </w:pPr>
      <w:r w:rsidRPr="002012E1">
        <w:t>Este benchmarking permitirá identificar mejores prácticas, innovaciones y posibles adaptaciones que puedan enriquecer el modelo propuesto. Se analizarán aspectos como la clasificación de activos, métodos de valoración en ausencia de precios observables, revelación de información y gestión de riesgos, con el fin de asegurar que el modelo costarricense esté alineado con estándares internacionales y experiencias exitosas.</w:t>
      </w:r>
    </w:p>
    <w:p w14:paraId="03D4B25E" w14:textId="77777777" w:rsidR="00C51607" w:rsidRPr="002012E1" w:rsidRDefault="00C51607" w:rsidP="00C51607">
      <w:pPr>
        <w:pStyle w:val="apaparrafo"/>
        <w:rPr>
          <w:b/>
          <w:bCs/>
        </w:rPr>
      </w:pPr>
      <w:r w:rsidRPr="002012E1">
        <w:lastRenderedPageBreak/>
        <w:t xml:space="preserve">3. </w:t>
      </w:r>
      <w:r w:rsidRPr="002012E1">
        <w:rPr>
          <w:b/>
          <w:bCs/>
        </w:rPr>
        <w:t>Evaluación del modelo por expertos</w:t>
      </w:r>
    </w:p>
    <w:p w14:paraId="11CB828A" w14:textId="77777777" w:rsidR="00C51607" w:rsidRDefault="00C51607" w:rsidP="00C51607">
      <w:pPr>
        <w:pStyle w:val="apaparrafo"/>
      </w:pPr>
      <w:r w:rsidRPr="002012E1">
        <w:t xml:space="preserve">Finalmente, el modelo contable será sometido a revisión y validación por un panel de expertos en contabilidad financiera, regulación de pensiones y auditoría, incluyendo profesionales con experiencia en la aplicación de NIIF en el sector de fondos de pensiones. </w:t>
      </w:r>
    </w:p>
    <w:p w14:paraId="475B9910" w14:textId="77777777" w:rsidR="00C51607" w:rsidRPr="002012E1" w:rsidRDefault="00C51607" w:rsidP="00C51607">
      <w:pPr>
        <w:pStyle w:val="apaparrafo"/>
      </w:pPr>
    </w:p>
    <w:p w14:paraId="200BC5BE" w14:textId="77777777" w:rsidR="00C51607" w:rsidRPr="002012E1" w:rsidRDefault="00C51607" w:rsidP="00C51607">
      <w:pPr>
        <w:pStyle w:val="apaparrafo"/>
      </w:pPr>
      <w:r w:rsidRPr="002012E1">
        <w:t>Esta evaluación buscará identificar posibles debilidades, inconsistencias o áreas de mejora, así como validar la factibilidad técnica y operativa del modelo en el contexto costarricense. La retroalimentación de estos expertos será fundamental para ajustar y perfeccionar el modelo antes de su implementación definitiva, garantizando su robustez, transparencia y capacidad para soportar la supervisión regulatoria.</w:t>
      </w:r>
    </w:p>
    <w:p w14:paraId="7EADD612" w14:textId="77777777" w:rsidR="00C51607" w:rsidRPr="002012E1" w:rsidRDefault="00C51607" w:rsidP="00C51607">
      <w:pPr>
        <w:pStyle w:val="apaparrafo"/>
      </w:pPr>
    </w:p>
    <w:p w14:paraId="6DFA7EC0" w14:textId="77777777" w:rsidR="00C51607" w:rsidRPr="002012E1" w:rsidRDefault="00C51607" w:rsidP="00C51607">
      <w:pPr>
        <w:pStyle w:val="apaparrafo"/>
        <w:rPr>
          <w:b/>
          <w:iCs/>
          <w:kern w:val="2"/>
          <w:lang w:val="es-CR"/>
          <w14:ligatures w14:val="standardContextual"/>
        </w:rPr>
      </w:pPr>
      <w:r w:rsidRPr="002012E1">
        <w:t>En conjunto, estas actividades de comprobación asegurarán que el modelo contable propuesto sea técnicamente sólido, normativamente compatible y adaptado a las necesidades y particularidades del sistema de pensiones costarricense, contribuyendo a mejorar la transparencia, control y toma de decisiones en la gestión de inversiones alternativas.</w:t>
      </w:r>
    </w:p>
    <w:p w14:paraId="3DDD82A9" w14:textId="77777777" w:rsidR="00C51607" w:rsidRPr="002012E1" w:rsidRDefault="00C51607" w:rsidP="00C51607">
      <w:pPr>
        <w:pStyle w:val="apanivel4"/>
        <w:numPr>
          <w:ilvl w:val="0"/>
          <w:numId w:val="0"/>
        </w:numPr>
        <w:ind w:left="720"/>
        <w:rPr>
          <w:rFonts w:ascii="Arial" w:hAnsi="Arial" w:cs="Arial"/>
        </w:rPr>
      </w:pPr>
    </w:p>
    <w:p w14:paraId="75EA716C" w14:textId="77777777" w:rsidR="00C51607" w:rsidRPr="002012E1" w:rsidRDefault="00C51607" w:rsidP="00C51607">
      <w:pPr>
        <w:pStyle w:val="apanivel4"/>
        <w:rPr>
          <w:rFonts w:ascii="Arial" w:hAnsi="Arial" w:cs="Arial"/>
        </w:rPr>
      </w:pPr>
      <w:r w:rsidRPr="002012E1">
        <w:rPr>
          <w:rFonts w:ascii="Arial" w:hAnsi="Arial" w:cs="Arial"/>
        </w:rPr>
        <w:t xml:space="preserve">Actividad de retroalimentación  </w:t>
      </w:r>
    </w:p>
    <w:p w14:paraId="3E0E28E1" w14:textId="77777777" w:rsidR="00C51607" w:rsidRPr="002012E1" w:rsidRDefault="00C51607" w:rsidP="00C51607">
      <w:pPr>
        <w:pStyle w:val="apaparrafo"/>
      </w:pPr>
      <w:r w:rsidRPr="002012E1">
        <w:t>Las actividades de retroalimentación para la propuesta de modernización contable en inversiones alternativas en fondos de pensiones se desarrollarán de manera estructurada y profesional, asegurando la mejora continua y la calidad técnica del modelo:</w:t>
      </w:r>
    </w:p>
    <w:p w14:paraId="40432843" w14:textId="77777777" w:rsidR="00C51607" w:rsidRPr="002012E1" w:rsidRDefault="00C51607" w:rsidP="00C51607">
      <w:pPr>
        <w:pStyle w:val="apaparrafo"/>
      </w:pPr>
    </w:p>
    <w:p w14:paraId="6B6C7B16" w14:textId="77777777" w:rsidR="00C51607" w:rsidRPr="002012E1" w:rsidRDefault="00C51607" w:rsidP="00C51607">
      <w:pPr>
        <w:pStyle w:val="apaparrafo"/>
        <w:rPr>
          <w:b/>
          <w:bCs/>
        </w:rPr>
      </w:pPr>
      <w:r w:rsidRPr="002012E1">
        <w:t xml:space="preserve">1. </w:t>
      </w:r>
      <w:r w:rsidRPr="002012E1">
        <w:rPr>
          <w:b/>
          <w:bCs/>
        </w:rPr>
        <w:t>Revisión del modelo con base en observaciones de los expertos</w:t>
      </w:r>
    </w:p>
    <w:p w14:paraId="3BBAF8A6" w14:textId="77777777" w:rsidR="00C51607" w:rsidRPr="002012E1" w:rsidRDefault="00C51607" w:rsidP="00C51607">
      <w:pPr>
        <w:pStyle w:val="apaparrafo"/>
      </w:pPr>
      <w:r w:rsidRPr="002012E1">
        <w:t xml:space="preserve">Se realizará una sesión formal de revisión donde se presentarán los resultados y características del modelo contable a un panel de expertos en contabilidad financiera, regulación de pensiones y auditoría. </w:t>
      </w:r>
    </w:p>
    <w:p w14:paraId="0EE1C350" w14:textId="77777777" w:rsidR="00C51607" w:rsidRPr="002012E1" w:rsidRDefault="00C51607" w:rsidP="00C51607">
      <w:pPr>
        <w:pStyle w:val="apaparrafo"/>
      </w:pPr>
    </w:p>
    <w:p w14:paraId="060E80B9" w14:textId="77777777" w:rsidR="00C51607" w:rsidRPr="002012E1" w:rsidRDefault="00C51607" w:rsidP="00C51607">
      <w:pPr>
        <w:pStyle w:val="apaparrafo"/>
      </w:pPr>
      <w:r w:rsidRPr="002012E1">
        <w:lastRenderedPageBreak/>
        <w:t>Las observaciones recibidas serán documentadas cuidadosamente, utilizando modelos efectivos de retroalimentación como el modelo SCI (Situation, Complication, Impact) para asegurar que los comentarios sean claros, específicos y orientados a resultados. Este proceso permitirá identificar áreas de mejora técnica, operativa y normativa, así como validar la aplicabilidad del modelo en el contexto costarricense.</w:t>
      </w:r>
    </w:p>
    <w:p w14:paraId="756CF692" w14:textId="77777777" w:rsidR="00C51607" w:rsidRPr="002012E1" w:rsidRDefault="00C51607" w:rsidP="00C51607">
      <w:pPr>
        <w:pStyle w:val="apaparrafo"/>
      </w:pPr>
    </w:p>
    <w:p w14:paraId="703C362C" w14:textId="77777777" w:rsidR="00C51607" w:rsidRPr="002012E1" w:rsidRDefault="00C51607" w:rsidP="00C51607">
      <w:pPr>
        <w:pStyle w:val="apaparrafo"/>
      </w:pPr>
      <w:r w:rsidRPr="002012E1">
        <w:t xml:space="preserve">2. </w:t>
      </w:r>
      <w:r w:rsidRPr="002012E1">
        <w:rPr>
          <w:b/>
          <w:bCs/>
        </w:rPr>
        <w:t>Ajustes y validaciones técnicas</w:t>
      </w:r>
    </w:p>
    <w:p w14:paraId="50F72EFE" w14:textId="77777777" w:rsidR="00C51607" w:rsidRPr="002012E1" w:rsidRDefault="00C51607" w:rsidP="00C51607">
      <w:pPr>
        <w:pStyle w:val="apaparrafo"/>
      </w:pPr>
      <w:r w:rsidRPr="002012E1">
        <w:t xml:space="preserve">Con base en las observaciones y recomendaciones recibidas, se procederá a realizar los ajustes necesarios en el modelo contable. Esto incluirá la revisión de los procedimientos de valoración, reconocimiento y presentación de inversiones alternativas, así como la incorporación de mejoras en los controles internos y mecanismos de supervisión. </w:t>
      </w:r>
    </w:p>
    <w:p w14:paraId="35D2AD9A" w14:textId="77777777" w:rsidR="00C51607" w:rsidRPr="002012E1" w:rsidRDefault="00C51607" w:rsidP="00C51607">
      <w:pPr>
        <w:pStyle w:val="apaparrafo"/>
      </w:pPr>
    </w:p>
    <w:p w14:paraId="6E5AB2ED" w14:textId="77777777" w:rsidR="00C51607" w:rsidRPr="002012E1" w:rsidRDefault="00C51607" w:rsidP="00C51607">
      <w:pPr>
        <w:pStyle w:val="apaparrafo"/>
      </w:pPr>
      <w:r w:rsidRPr="002012E1">
        <w:t>Se efectuarán pruebas adicionales para validar la consistencia y robustez del modelo, garantizando su alineación con las NIIF, la normativa nacional y las mejores prácticas internacionales. La flexibilidad del modelo permitirá realizar modificaciones que respondan a las necesidades específicas detectadas durante la revisión.</w:t>
      </w:r>
    </w:p>
    <w:p w14:paraId="288F20F7" w14:textId="77777777" w:rsidR="00C51607" w:rsidRPr="002012E1" w:rsidRDefault="00C51607" w:rsidP="00C51607">
      <w:pPr>
        <w:pStyle w:val="apaparrafo"/>
      </w:pPr>
    </w:p>
    <w:p w14:paraId="15F068BE" w14:textId="77777777" w:rsidR="00C51607" w:rsidRPr="002012E1" w:rsidRDefault="00C51607" w:rsidP="00C51607">
      <w:pPr>
        <w:pStyle w:val="apaparrafo"/>
      </w:pPr>
      <w:r w:rsidRPr="002012E1">
        <w:t xml:space="preserve">3. </w:t>
      </w:r>
      <w:r w:rsidRPr="002012E1">
        <w:rPr>
          <w:b/>
          <w:bCs/>
        </w:rPr>
        <w:t>Preparación del informe final</w:t>
      </w:r>
    </w:p>
    <w:p w14:paraId="42EEFFAA" w14:textId="77777777" w:rsidR="00C51607" w:rsidRPr="002012E1" w:rsidRDefault="00C51607" w:rsidP="00C51607">
      <w:pPr>
        <w:pStyle w:val="apaparrafo"/>
      </w:pPr>
      <w:r w:rsidRPr="002012E1">
        <w:t>Finalmente, se elaborará un informe técnico detallado que documente todo el proceso de desarrollo, revisión y ajuste del modelo contable. Este informe incluirá:</w:t>
      </w:r>
    </w:p>
    <w:p w14:paraId="65D2F0E6" w14:textId="77777777" w:rsidR="00C51607" w:rsidRPr="002012E1" w:rsidRDefault="00C51607" w:rsidP="00C51607">
      <w:pPr>
        <w:pStyle w:val="apaparrafo"/>
        <w:numPr>
          <w:ilvl w:val="0"/>
          <w:numId w:val="58"/>
        </w:numPr>
      </w:pPr>
      <w:r w:rsidRPr="002012E1">
        <w:t>La descripción del modelo y su fundamento normativo.</w:t>
      </w:r>
    </w:p>
    <w:p w14:paraId="6870A715" w14:textId="77777777" w:rsidR="00C51607" w:rsidRPr="002012E1" w:rsidRDefault="00C51607" w:rsidP="00C51607">
      <w:pPr>
        <w:pStyle w:val="apaparrafo"/>
        <w:numPr>
          <w:ilvl w:val="0"/>
          <w:numId w:val="58"/>
        </w:numPr>
      </w:pPr>
      <w:r w:rsidRPr="002012E1">
        <w:t>Resultados de las pruebas y simulaciones realizadas.</w:t>
      </w:r>
    </w:p>
    <w:p w14:paraId="44C6B050" w14:textId="77777777" w:rsidR="00C51607" w:rsidRPr="002012E1" w:rsidRDefault="00C51607" w:rsidP="00C51607">
      <w:pPr>
        <w:pStyle w:val="apaparrafo"/>
        <w:numPr>
          <w:ilvl w:val="0"/>
          <w:numId w:val="58"/>
        </w:numPr>
      </w:pPr>
      <w:r w:rsidRPr="002012E1">
        <w:t>Observaciones y recomendaciones de los expertos, junto con las acciones correctivas implementadas.</w:t>
      </w:r>
    </w:p>
    <w:p w14:paraId="1566C52E" w14:textId="77777777" w:rsidR="00C51607" w:rsidRPr="002012E1" w:rsidRDefault="00C51607" w:rsidP="00C51607">
      <w:pPr>
        <w:pStyle w:val="apaparrafo"/>
        <w:numPr>
          <w:ilvl w:val="0"/>
          <w:numId w:val="58"/>
        </w:numPr>
      </w:pPr>
      <w:r w:rsidRPr="002012E1">
        <w:t>Recomendaciones para la implementación práctica y seguimiento del modelo en las operadoras de pensiones.</w:t>
      </w:r>
    </w:p>
    <w:p w14:paraId="22A74091" w14:textId="77777777" w:rsidR="00C51607" w:rsidRPr="002012E1" w:rsidRDefault="00C51607" w:rsidP="00C51607">
      <w:pPr>
        <w:pStyle w:val="apaparrafo"/>
      </w:pPr>
    </w:p>
    <w:p w14:paraId="0564BFC3" w14:textId="77777777" w:rsidR="00C51607" w:rsidRPr="002012E1" w:rsidRDefault="00C51607" w:rsidP="00C51607">
      <w:pPr>
        <w:pStyle w:val="apaparrafo"/>
      </w:pPr>
      <w:r w:rsidRPr="002012E1">
        <w:lastRenderedPageBreak/>
        <w:t>El informe servirá como documento oficial para la presentación ante la Superintendencia de Pensiones (SUPEN) y otras entidades regulatorias, facilitando la adopción formal del modelo y su integración en los procesos contables y de supervisión.</w:t>
      </w:r>
    </w:p>
    <w:p w14:paraId="051D6174" w14:textId="77777777" w:rsidR="00C51607" w:rsidRPr="002012E1" w:rsidRDefault="00C51607" w:rsidP="00C51607">
      <w:pPr>
        <w:pStyle w:val="apaparrafo"/>
      </w:pPr>
    </w:p>
    <w:p w14:paraId="533048CD" w14:textId="77777777" w:rsidR="00C51607" w:rsidRPr="002012E1" w:rsidRDefault="00C51607" w:rsidP="00C51607">
      <w:pPr>
        <w:pStyle w:val="apaparrafo"/>
      </w:pPr>
      <w:r w:rsidRPr="002012E1">
        <w:t>Este enfoque sistemático de retroalimentación asegura que el modelo contable no solo cumpla con los estándares técnicos y normativos, sino que también sea práctico y adaptable a la realidad operativa de las operadoras de pensiones en Costa Rica, fortaleciendo la transparencia, control y toma de decisiones en la gestión de inversiones alternativas.</w:t>
      </w:r>
    </w:p>
    <w:p w14:paraId="7E65BA0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F9DE141" w14:textId="77777777" w:rsidR="00C51607" w:rsidRPr="002012E1" w:rsidRDefault="00C51607" w:rsidP="00C51607">
      <w:pPr>
        <w:pStyle w:val="apanivel3"/>
        <w:rPr>
          <w:rFonts w:ascii="Arial" w:hAnsi="Arial" w:cs="Arial"/>
        </w:rPr>
      </w:pPr>
      <w:bookmarkStart w:id="142" w:name="_Toc173343484"/>
      <w:bookmarkStart w:id="143" w:name="_Toc201832479"/>
      <w:r w:rsidRPr="002012E1">
        <w:rPr>
          <w:rFonts w:ascii="Arial" w:hAnsi="Arial" w:cs="Arial"/>
        </w:rPr>
        <w:t>Responsables</w:t>
      </w:r>
      <w:bookmarkEnd w:id="142"/>
      <w:bookmarkEnd w:id="143"/>
    </w:p>
    <w:p w14:paraId="06D73E47" w14:textId="77777777" w:rsidR="00C51607" w:rsidRPr="002012E1" w:rsidRDefault="00C51607" w:rsidP="00C51607">
      <w:pPr>
        <w:numPr>
          <w:ilvl w:val="0"/>
          <w:numId w:val="2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Proponentes: Cada uno de los estudiantes encargados de la investigación, redacción, búsqueda de la información y validación de la propuesta</w:t>
      </w:r>
    </w:p>
    <w:p w14:paraId="0A7CDE19" w14:textId="77777777" w:rsidR="00C51607" w:rsidRPr="002012E1" w:rsidRDefault="00C51607" w:rsidP="00C51607">
      <w:pPr>
        <w:numPr>
          <w:ilvl w:val="0"/>
          <w:numId w:val="2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Tutor académico: Guia metodológica y validación académica</w:t>
      </w:r>
    </w:p>
    <w:p w14:paraId="73611050" w14:textId="77777777" w:rsidR="00C51607" w:rsidRPr="002012E1" w:rsidRDefault="00C51607" w:rsidP="00C51607">
      <w:pPr>
        <w:numPr>
          <w:ilvl w:val="0"/>
          <w:numId w:val="2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Entidades colaboradoras: Operadoras de pensiones (para entrevistas y validación de información)</w:t>
      </w:r>
    </w:p>
    <w:p w14:paraId="6DBBC5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7A1E82D" w14:textId="77777777" w:rsidR="00C51607" w:rsidRPr="002012E1" w:rsidRDefault="00C51607" w:rsidP="00C51607">
      <w:pPr>
        <w:pStyle w:val="apanivel3"/>
        <w:rPr>
          <w:rFonts w:ascii="Arial" w:hAnsi="Arial" w:cs="Arial"/>
        </w:rPr>
      </w:pPr>
      <w:bookmarkStart w:id="144" w:name="_Toc201832480"/>
      <w:r w:rsidRPr="002012E1">
        <w:rPr>
          <w:rFonts w:ascii="Arial" w:hAnsi="Arial" w:cs="Arial"/>
        </w:rPr>
        <w:t>Desarrollo de Propuesta</w:t>
      </w:r>
      <w:bookmarkEnd w:id="144"/>
    </w:p>
    <w:p w14:paraId="7954F829" w14:textId="77777777" w:rsidR="00C51607" w:rsidRPr="002012E1" w:rsidRDefault="00C51607" w:rsidP="00C51607">
      <w:pPr>
        <w:pStyle w:val="apanivel4"/>
        <w:rPr>
          <w:rFonts w:ascii="Arial" w:hAnsi="Arial" w:cs="Arial"/>
        </w:rPr>
      </w:pPr>
      <w:r w:rsidRPr="002012E1">
        <w:rPr>
          <w:rFonts w:ascii="Arial" w:hAnsi="Arial" w:cs="Arial"/>
        </w:rPr>
        <w:t>Importancia:</w:t>
      </w:r>
    </w:p>
    <w:p w14:paraId="4BC139BA" w14:textId="77777777" w:rsidR="00C51607" w:rsidRPr="002012E1" w:rsidRDefault="00C51607" w:rsidP="00C51607">
      <w:pPr>
        <w:pStyle w:val="apaparrafo"/>
      </w:pPr>
      <w:r w:rsidRPr="002012E1">
        <w:t>Según los datos más recientes disponibles, el porcentaje de inversiones en activos alternativos dentro de los fondos de pensiones costarricenses se encuentra en crecimiento, aunque no existe una cifra única y explícita que los agrupe bajo esta categoría en todas las fuentes. Sin embargo, algunas cifras permiten aproximar su magnitud:</w:t>
      </w:r>
    </w:p>
    <w:p w14:paraId="4ED05FB9" w14:textId="77777777" w:rsidR="00C51607" w:rsidRPr="002012E1" w:rsidRDefault="00C51607" w:rsidP="00C51607">
      <w:pPr>
        <w:pStyle w:val="apaparrafo"/>
        <w:numPr>
          <w:ilvl w:val="0"/>
          <w:numId w:val="56"/>
        </w:numPr>
      </w:pPr>
      <w:r w:rsidRPr="002012E1">
        <w:t>El total de activos administrados por el Régimen Obligatorio de Pensiones (ROP) alcanzó cerca de 25,8 billones de colones, de los cuales aproximadamente el 91% corresponde a inversiones (SUGEF, 2024; SUPEN, 2024).</w:t>
      </w:r>
    </w:p>
    <w:p w14:paraId="2AF51D2A" w14:textId="77777777" w:rsidR="00C51607" w:rsidRPr="002012E1" w:rsidRDefault="00C51607" w:rsidP="00C51607">
      <w:pPr>
        <w:pStyle w:val="apaparrafo"/>
        <w:numPr>
          <w:ilvl w:val="0"/>
          <w:numId w:val="56"/>
        </w:numPr>
      </w:pPr>
      <w:r w:rsidRPr="002012E1">
        <w:lastRenderedPageBreak/>
        <w:t>Del total invertido, el 65% está colocado en el sector público, el 8% en el sector privado y el 19% en el exterior (SUGEF, 2024). Las inversiones en el exterior, que incluyen activos alternativos como capital privado, infraestructura y bienes raíces internacionales, representan alrededor del 16.4% del total de los fondos administrados (Semanario Universidad, 2021).</w:t>
      </w:r>
    </w:p>
    <w:p w14:paraId="186CAFBF" w14:textId="77777777" w:rsidR="00C51607" w:rsidRPr="002012E1" w:rsidRDefault="00C51607" w:rsidP="00C51607">
      <w:pPr>
        <w:pStyle w:val="apaparrafo"/>
        <w:numPr>
          <w:ilvl w:val="0"/>
          <w:numId w:val="56"/>
        </w:numPr>
      </w:pPr>
      <w:r w:rsidRPr="002012E1">
        <w:t>En cuanto a la diversificación, algunas operadoras han colocado entre el 14% y el 39% de sus activos en emisores extranjeros, lo que refleja una estrategia creciente de diversificación hacia activos alternativos y mercados internacionales (Banco Central y SUPEN, 2022).</w:t>
      </w:r>
    </w:p>
    <w:p w14:paraId="1C9F03E9" w14:textId="77777777" w:rsidR="00C51607" w:rsidRPr="002012E1" w:rsidRDefault="00C51607" w:rsidP="00C51607">
      <w:pPr>
        <w:pStyle w:val="apaparrafo"/>
        <w:numPr>
          <w:ilvl w:val="0"/>
          <w:numId w:val="56"/>
        </w:numPr>
      </w:pPr>
      <w:r w:rsidRPr="002012E1">
        <w:t>En el contexto local, las inversiones en bienes raíces y capital privado también han aumentado, aunque no se especifica un porcentaje exacto en las fuentes consultadas, se sabe que estos activos forman parte importante de la cartera alternativa, buscando retornos entre 12% y 16% anuales en sectores como turismo y desarrollo inmobiliario (Kilroy, 2023).</w:t>
      </w:r>
    </w:p>
    <w:p w14:paraId="1B65CD1A" w14:textId="77777777" w:rsidR="00C51607" w:rsidRPr="002012E1" w:rsidRDefault="00C51607" w:rsidP="00C51607">
      <w:pPr>
        <w:pStyle w:val="apaparrafo"/>
      </w:pPr>
    </w:p>
    <w:p w14:paraId="2B7A0E8D" w14:textId="77777777" w:rsidR="00C51607" w:rsidRPr="002012E1" w:rsidRDefault="00C51607" w:rsidP="00C51607">
      <w:pPr>
        <w:pStyle w:val="apaparrafo"/>
      </w:pPr>
      <w:r w:rsidRPr="002012E1">
        <w:t>En resumen, se estima que aproximadamente entre un 15% y un 20% del total de los fondos de pensiones en Costa Rica están invertidos en activos alternativos, considerando tanto las inversiones en el exterior como las colocaciones en infraestructura, capital privado y bienes raíces. Esta proporción refleja la importancia creciente de estos activos para diversificar riesgos y mejorar la rentabilidad en un contexto de mercados tradicionales volátiles.</w:t>
      </w:r>
    </w:p>
    <w:p w14:paraId="048D023B" w14:textId="77777777" w:rsidR="00C51607" w:rsidRPr="002012E1" w:rsidRDefault="00C51607" w:rsidP="00C51607">
      <w:pPr>
        <w:pStyle w:val="Sinespaciado"/>
        <w:spacing w:line="360" w:lineRule="auto"/>
        <w:rPr>
          <w:rFonts w:ascii="Arial" w:hAnsi="Arial" w:cs="Arial"/>
        </w:rPr>
      </w:pPr>
    </w:p>
    <w:p w14:paraId="309B3E18" w14:textId="77777777" w:rsidR="00C51607" w:rsidRPr="002012E1" w:rsidRDefault="00C51607" w:rsidP="00C51607">
      <w:pPr>
        <w:pStyle w:val="apanivel4"/>
        <w:rPr>
          <w:rFonts w:ascii="Arial" w:hAnsi="Arial" w:cs="Arial"/>
        </w:rPr>
      </w:pPr>
      <w:r w:rsidRPr="002012E1">
        <w:rPr>
          <w:rFonts w:ascii="Arial" w:hAnsi="Arial" w:cs="Arial"/>
        </w:rPr>
        <w:t>Registro Contable:</w:t>
      </w:r>
    </w:p>
    <w:p w14:paraId="4EA9DC1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Fondo de Inversión dentro de las operadoras de pensiones.</w:t>
      </w:r>
    </w:p>
    <w:p w14:paraId="656D08C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2F619B4" w14:textId="77777777" w:rsidR="00C51607" w:rsidRPr="002012E1" w:rsidRDefault="00C51607" w:rsidP="00C51607">
      <w:pPr>
        <w:numPr>
          <w:ilvl w:val="0"/>
          <w:numId w:val="2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fondo se estructura para invertir en proyectos de infraestructura, capital privado, bienes raíces, fondos de cobertura (Hedge Funds), mediante deuda senior a largo plazo.</w:t>
      </w:r>
    </w:p>
    <w:p w14:paraId="5644C157" w14:textId="77777777" w:rsidR="00C51607" w:rsidRDefault="00C51607" w:rsidP="00C51607">
      <w:pPr>
        <w:spacing w:after="0" w:line="360" w:lineRule="auto"/>
        <w:ind w:left="1440"/>
        <w:jc w:val="both"/>
        <w:rPr>
          <w:rFonts w:ascii="Arial" w:eastAsia="Calibri" w:hAnsi="Arial" w:cs="Arial"/>
          <w:kern w:val="0"/>
          <w:lang w:val="es-MX"/>
          <w14:ligatures w14:val="none"/>
        </w:rPr>
      </w:pPr>
    </w:p>
    <w:p w14:paraId="26BA143A" w14:textId="77777777" w:rsidR="00C51607" w:rsidRPr="002012E1" w:rsidRDefault="00C51607" w:rsidP="00C51607">
      <w:pPr>
        <w:spacing w:after="0" w:line="360" w:lineRule="auto"/>
        <w:ind w:left="1440"/>
        <w:jc w:val="both"/>
        <w:rPr>
          <w:rFonts w:ascii="Arial" w:eastAsia="Calibri" w:hAnsi="Arial" w:cs="Arial"/>
          <w:kern w:val="0"/>
          <w:lang w:val="es-MX"/>
          <w14:ligatures w14:val="none"/>
        </w:rPr>
      </w:pPr>
    </w:p>
    <w:p w14:paraId="4BA6C4F2" w14:textId="77777777" w:rsidR="00C51607" w:rsidRPr="002012E1" w:rsidRDefault="00C51607" w:rsidP="00C51607">
      <w:pPr>
        <w:pStyle w:val="apanivel4"/>
        <w:rPr>
          <w:rFonts w:ascii="Arial" w:hAnsi="Arial" w:cs="Arial"/>
        </w:rPr>
      </w:pPr>
      <w:r w:rsidRPr="002012E1">
        <w:rPr>
          <w:rFonts w:ascii="Arial" w:hAnsi="Arial" w:cs="Arial"/>
        </w:rPr>
        <w:lastRenderedPageBreak/>
        <w:t>Inversionistas:</w:t>
      </w:r>
    </w:p>
    <w:p w14:paraId="57DE4384" w14:textId="77777777" w:rsidR="00C51607" w:rsidRPr="002012E1" w:rsidRDefault="00C51607" w:rsidP="00C51607">
      <w:pPr>
        <w:numPr>
          <w:ilvl w:val="0"/>
          <w:numId w:val="2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ingreso principal del fondo proviene de los intereses generados por los créditos otorgados de los fondos de inversiones dentro de los fondos de pensiones.</w:t>
      </w:r>
    </w:p>
    <w:p w14:paraId="04D1035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17AA32E" w14:textId="77777777" w:rsidR="00C51607" w:rsidRPr="002012E1" w:rsidRDefault="00C51607" w:rsidP="00C51607">
      <w:pPr>
        <w:pStyle w:val="apanivel4"/>
        <w:rPr>
          <w:rFonts w:ascii="Arial" w:hAnsi="Arial" w:cs="Arial"/>
        </w:rPr>
      </w:pPr>
      <w:r w:rsidRPr="002012E1">
        <w:rPr>
          <w:rFonts w:ascii="Arial" w:hAnsi="Arial" w:cs="Arial"/>
        </w:rPr>
        <w:t>Proceso Contable en cuestión:</w:t>
      </w:r>
    </w:p>
    <w:p w14:paraId="38D315D8" w14:textId="77777777" w:rsidR="00C51607" w:rsidRPr="002012E1" w:rsidRDefault="00C51607" w:rsidP="00C51607">
      <w:pPr>
        <w:pStyle w:val="apanivel5"/>
        <w:rPr>
          <w:rFonts w:ascii="Arial" w:hAnsi="Arial" w:cs="Arial"/>
        </w:rPr>
      </w:pPr>
      <w:r w:rsidRPr="002012E1">
        <w:rPr>
          <w:rFonts w:ascii="Arial" w:hAnsi="Arial" w:cs="Arial"/>
        </w:rPr>
        <w:t>Firma con Cuenta de Orden</w:t>
      </w:r>
    </w:p>
    <w:p w14:paraId="14F9DC2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Cuando un inversionista se compromete formalmente a invertir en el fondo, se firma un acuerdo que genera una obligación futura de pago, pero aún no se desembolsa el dinero.</w:t>
      </w:r>
    </w:p>
    <w:p w14:paraId="507FB87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4ED436B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efectos de registro contable:</w:t>
      </w:r>
    </w:p>
    <w:p w14:paraId="3E4519D9" w14:textId="77777777" w:rsidR="00C51607" w:rsidRPr="002012E1" w:rsidRDefault="00C51607" w:rsidP="00C51607">
      <w:pPr>
        <w:numPr>
          <w:ilvl w:val="0"/>
          <w:numId w:val="2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reconoce un compromiso irrevocable a través de una cuenta de orden, que no afecta directamente el balance, pero deja constancia del compromiso adquirido.</w:t>
      </w:r>
    </w:p>
    <w:p w14:paraId="7BFD7936" w14:textId="77777777" w:rsidR="00C51607" w:rsidRPr="002012E1" w:rsidRDefault="00C51607" w:rsidP="00C51607">
      <w:pPr>
        <w:numPr>
          <w:ilvl w:val="0"/>
          <w:numId w:val="2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Estas cuentas son memoriales, es decir, solo se utilizan para control y no impactan en los estados financieros principales.</w:t>
      </w:r>
    </w:p>
    <w:p w14:paraId="4620159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7E8F6D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importancia que tiene es que permite a la administración y auditoría llevar seguimiento de los compromisos futuros de capital sin que haya movimiento de efectivo todavía.</w:t>
      </w:r>
    </w:p>
    <w:p w14:paraId="1F520CF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9C8336D" w14:textId="77777777" w:rsidR="00C51607" w:rsidRPr="002012E1" w:rsidRDefault="00C51607" w:rsidP="00C51607">
      <w:pPr>
        <w:pStyle w:val="apanivel5"/>
        <w:rPr>
          <w:rFonts w:ascii="Arial" w:hAnsi="Arial" w:cs="Arial"/>
        </w:rPr>
      </w:pPr>
      <w:r w:rsidRPr="002012E1">
        <w:rPr>
          <w:rFonts w:ascii="Arial" w:hAnsi="Arial" w:cs="Arial"/>
        </w:rPr>
        <w:t>Llamado de Capital</w:t>
      </w:r>
    </w:p>
    <w:p w14:paraId="0069B252"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gestor profesional o la persona que lleve la cartera de inversiones, con autorización del Comité de Inversiones, realiza un llamado de capital, lo que implica que el inversionista debe transferir el dinero comprometido.</w:t>
      </w:r>
    </w:p>
    <w:p w14:paraId="71EA9F7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0F4BAD3"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efectos de registro contable se debe:</w:t>
      </w:r>
    </w:p>
    <w:p w14:paraId="57B01F05" w14:textId="77777777" w:rsidR="00C51607" w:rsidRPr="002012E1" w:rsidRDefault="00C51607" w:rsidP="00C51607">
      <w:pPr>
        <w:numPr>
          <w:ilvl w:val="0"/>
          <w:numId w:val="2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Reconoce una inversión real en el balance, trasladando el compromiso a una cuenta de activo (inversión).</w:t>
      </w:r>
    </w:p>
    <w:p w14:paraId="1AA2F203" w14:textId="77777777" w:rsidR="00C51607" w:rsidRPr="002012E1" w:rsidRDefault="00C51607" w:rsidP="00C51607">
      <w:pPr>
        <w:numPr>
          <w:ilvl w:val="0"/>
          <w:numId w:val="2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cuenta de orden deudora y acreedora se disminuyen simultáneamente por el monto del llamado, reflejando que el compromiso ha sido ejecutado.</w:t>
      </w:r>
    </w:p>
    <w:p w14:paraId="782B25D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A57B79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importancia radica en que se transforma el compromiso abstracto en una inversión efectiva, lo que ya afecta los estados financieros del inversionista y en este caso el fondo e inversiones del fondo de pensión.</w:t>
      </w:r>
    </w:p>
    <w:p w14:paraId="022C14D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0278FC2" w14:textId="77777777" w:rsidR="00C51607" w:rsidRPr="002012E1" w:rsidRDefault="00C51607" w:rsidP="00C51607">
      <w:pPr>
        <w:pStyle w:val="apanivel5"/>
        <w:rPr>
          <w:rFonts w:ascii="Arial" w:hAnsi="Arial" w:cs="Arial"/>
        </w:rPr>
      </w:pPr>
      <w:r w:rsidRPr="002012E1">
        <w:rPr>
          <w:rFonts w:ascii="Arial" w:hAnsi="Arial" w:cs="Arial"/>
        </w:rPr>
        <w:t>Valorización de la Inversión:</w:t>
      </w:r>
    </w:p>
    <w:p w14:paraId="38C2ECA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Una vez que los créditos otorgados por el fondo empiezan a generar intereses, estos intereses valorizan la inversión que el inversionista ha realizado.</w:t>
      </w:r>
    </w:p>
    <w:p w14:paraId="28FDB815"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88BC94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nivel de registro contable:</w:t>
      </w:r>
    </w:p>
    <w:p w14:paraId="15B6A0B6" w14:textId="77777777" w:rsidR="00C51607" w:rsidRPr="002012E1" w:rsidRDefault="00C51607" w:rsidP="00C51607">
      <w:pPr>
        <w:numPr>
          <w:ilvl w:val="0"/>
          <w:numId w:val="2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incrementa el valor de la inversión en el activo del inversionista.</w:t>
      </w:r>
    </w:p>
    <w:p w14:paraId="1A4024C3" w14:textId="77777777" w:rsidR="00C51607" w:rsidRPr="002012E1" w:rsidRDefault="00C51607" w:rsidP="00C51607">
      <w:pPr>
        <w:numPr>
          <w:ilvl w:val="0"/>
          <w:numId w:val="2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reconoce un ingreso en el estado de resultados (estado de pérdidas y ganancias), reflejando el rendimiento obtenido.</w:t>
      </w:r>
    </w:p>
    <w:p w14:paraId="29CEFA9F"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04717EE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Importancia: Refleja el crecimiento patrimonial del inversionista producto de la rentabilidad generada por el fondo.</w:t>
      </w:r>
    </w:p>
    <w:p w14:paraId="111F29C9" w14:textId="77777777" w:rsidR="00C51607" w:rsidRPr="002012E1" w:rsidRDefault="00C51607" w:rsidP="00C51607">
      <w:pPr>
        <w:spacing w:line="360" w:lineRule="auto"/>
        <w:rPr>
          <w:rFonts w:ascii="Arial" w:eastAsia="Calibri" w:hAnsi="Arial" w:cs="Arial"/>
          <w:kern w:val="0"/>
          <w14:ligatures w14:val="none"/>
        </w:rPr>
      </w:pPr>
    </w:p>
    <w:p w14:paraId="7392B5C5" w14:textId="77777777" w:rsidR="00C51607" w:rsidRPr="002012E1" w:rsidRDefault="00C51607" w:rsidP="00C51607">
      <w:pPr>
        <w:pStyle w:val="apanivel5"/>
        <w:rPr>
          <w:rFonts w:ascii="Arial" w:hAnsi="Arial" w:cs="Arial"/>
        </w:rPr>
      </w:pPr>
      <w:r w:rsidRPr="002012E1">
        <w:rPr>
          <w:rFonts w:ascii="Arial" w:hAnsi="Arial" w:cs="Arial"/>
        </w:rPr>
        <w:t>Repago de Capital</w:t>
      </w:r>
    </w:p>
    <w:p w14:paraId="5E5437C8"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fondo debe de realizar pagos de capital a los inversionistas, devolviéndoles parte o la totalidad del monto invertido.</w:t>
      </w:r>
    </w:p>
    <w:p w14:paraId="5FECDF2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3AB44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nivel contable:</w:t>
      </w:r>
    </w:p>
    <w:p w14:paraId="702346C8" w14:textId="77777777" w:rsidR="00C51607" w:rsidRPr="002012E1" w:rsidRDefault="00C51607" w:rsidP="00C51607">
      <w:pPr>
        <w:numPr>
          <w:ilvl w:val="0"/>
          <w:numId w:val="2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reduce el valor de la inversión en el activo.</w:t>
      </w:r>
    </w:p>
    <w:p w14:paraId="145F66F0" w14:textId="77777777" w:rsidR="00C51607" w:rsidRPr="002012E1" w:rsidRDefault="00C51607" w:rsidP="00C51607">
      <w:pPr>
        <w:numPr>
          <w:ilvl w:val="0"/>
          <w:numId w:val="26"/>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registra el ingreso de efectivo o equivalente en caja o bancos, dependiendo del medio de repago.</w:t>
      </w:r>
    </w:p>
    <w:p w14:paraId="2AFCB777"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3C17258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Esto permite al inversionista recuperar el capital invertido, reflejando en sus libros una disminución de activos financieros y un aumento en liquidez.</w:t>
      </w:r>
    </w:p>
    <w:p w14:paraId="5F066E19" w14:textId="77777777" w:rsidR="00C51607" w:rsidRPr="002012E1" w:rsidRDefault="00C51607" w:rsidP="00C51607">
      <w:pPr>
        <w:pStyle w:val="apaparrafo"/>
      </w:pPr>
    </w:p>
    <w:p w14:paraId="14BAA3AE" w14:textId="77777777" w:rsidR="00C51607" w:rsidRPr="002012E1" w:rsidRDefault="00C51607" w:rsidP="00C51607">
      <w:pPr>
        <w:pStyle w:val="apanivel5"/>
        <w:rPr>
          <w:rFonts w:ascii="Arial" w:hAnsi="Arial" w:cs="Arial"/>
        </w:rPr>
      </w:pPr>
      <w:r w:rsidRPr="002012E1">
        <w:rPr>
          <w:rFonts w:ascii="Arial" w:hAnsi="Arial" w:cs="Arial"/>
        </w:rPr>
        <w:t>Pago de Dividendos</w:t>
      </w:r>
    </w:p>
    <w:p w14:paraId="5726019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fondo distribuye los dividendos provenientes de los intereses cobrados o de otras rentabilidades obtenidas.</w:t>
      </w:r>
    </w:p>
    <w:p w14:paraId="681793E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B912E6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 nivel de registro contable:</w:t>
      </w:r>
    </w:p>
    <w:p w14:paraId="3BACFA95" w14:textId="77777777" w:rsidR="00C51607" w:rsidRPr="002012E1" w:rsidRDefault="00C51607" w:rsidP="00C51607">
      <w:pPr>
        <w:numPr>
          <w:ilvl w:val="0"/>
          <w:numId w:val="2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recibe efectivo o equivalente, aumentando la caja o bancos.</w:t>
      </w:r>
    </w:p>
    <w:p w14:paraId="7615FA92" w14:textId="77777777" w:rsidR="00C51607" w:rsidRPr="002012E1" w:rsidRDefault="00C51607" w:rsidP="00C51607">
      <w:pPr>
        <w:numPr>
          <w:ilvl w:val="0"/>
          <w:numId w:val="27"/>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reduce el valor contable de la inversión, pues parte de la rentabilidad es distribuida y no capitalizada.</w:t>
      </w:r>
    </w:p>
    <w:p w14:paraId="443AA814"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94ED69E"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b/>
          <w:bCs/>
          <w:kern w:val="0"/>
          <w:lang w:val="es-MX"/>
          <w14:ligatures w14:val="none"/>
        </w:rPr>
        <w:t>Importancia:</w:t>
      </w:r>
      <w:r w:rsidRPr="002012E1">
        <w:rPr>
          <w:rFonts w:ascii="Arial" w:eastAsia="Calibri" w:hAnsi="Arial" w:cs="Arial"/>
          <w:kern w:val="0"/>
          <w:lang w:val="es-MX"/>
          <w14:ligatures w14:val="none"/>
        </w:rPr>
        <w:t xml:space="preserve"> Representa la obtención de utilidades efectivas por parte del inversionista, con impacto directo en su liquidez.</w:t>
      </w:r>
    </w:p>
    <w:p w14:paraId="008C2C97" w14:textId="77777777" w:rsidR="00C51607" w:rsidRPr="002012E1" w:rsidRDefault="00C51607" w:rsidP="00C51607">
      <w:pPr>
        <w:spacing w:line="360" w:lineRule="auto"/>
        <w:rPr>
          <w:rFonts w:ascii="Arial" w:eastAsia="Calibri" w:hAnsi="Arial" w:cs="Arial"/>
          <w:kern w:val="0"/>
          <w14:ligatures w14:val="none"/>
        </w:rPr>
      </w:pPr>
    </w:p>
    <w:p w14:paraId="1C975162" w14:textId="2FA3D07D" w:rsidR="00C51607" w:rsidRPr="002012E1" w:rsidRDefault="00C51607" w:rsidP="00C51607">
      <w:pPr>
        <w:spacing w:line="360" w:lineRule="auto"/>
        <w:rPr>
          <w:rFonts w:ascii="Arial" w:eastAsia="Calibri" w:hAnsi="Arial" w:cs="Arial"/>
          <w:i/>
          <w:iCs/>
          <w:kern w:val="0"/>
          <w14:ligatures w14:val="none"/>
        </w:rPr>
      </w:pPr>
      <w:bookmarkStart w:id="145" w:name="_Toc201322525"/>
      <w:r w:rsidRPr="002012E1">
        <w:rPr>
          <w:rFonts w:ascii="Arial" w:eastAsia="Calibri" w:hAnsi="Arial" w:cs="Arial"/>
          <w:b/>
          <w:bCs/>
          <w:i/>
          <w:i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22</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Resumen Contable del Ciclo de Inversión</w:t>
      </w:r>
      <w:bookmarkEnd w:id="145"/>
    </w:p>
    <w:tbl>
      <w:tblPr>
        <w:tblStyle w:val="2"/>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2547"/>
        <w:gridCol w:w="4336"/>
        <w:gridCol w:w="1945"/>
      </w:tblGrid>
      <w:tr w:rsidR="00C51607" w:rsidRPr="002012E1" w14:paraId="0257AC49" w14:textId="77777777" w:rsidTr="005C1607">
        <w:trPr>
          <w:trHeight w:val="20"/>
          <w:tblHeader/>
        </w:trPr>
        <w:tc>
          <w:tcPr>
            <w:tcW w:w="2547" w:type="dxa"/>
            <w:vAlign w:val="center"/>
          </w:tcPr>
          <w:p w14:paraId="7419DCBD" w14:textId="77777777" w:rsidR="00C51607" w:rsidRPr="002012E1" w:rsidRDefault="00C51607" w:rsidP="005C1607">
            <w:pPr>
              <w:spacing w:line="360" w:lineRule="auto"/>
              <w:jc w:val="center"/>
              <w:rPr>
                <w:rFonts w:ascii="Arial" w:hAnsi="Arial" w:cs="Arial"/>
                <w:b/>
              </w:rPr>
            </w:pPr>
            <w:r w:rsidRPr="002012E1">
              <w:rPr>
                <w:rFonts w:ascii="Arial" w:hAnsi="Arial" w:cs="Arial"/>
                <w:b/>
              </w:rPr>
              <w:t>Fase</w:t>
            </w:r>
          </w:p>
        </w:tc>
        <w:tc>
          <w:tcPr>
            <w:tcW w:w="4336" w:type="dxa"/>
            <w:vAlign w:val="center"/>
          </w:tcPr>
          <w:p w14:paraId="1F363696" w14:textId="77777777" w:rsidR="00C51607" w:rsidRPr="002012E1" w:rsidRDefault="00C51607" w:rsidP="005C1607">
            <w:pPr>
              <w:spacing w:line="360" w:lineRule="auto"/>
              <w:jc w:val="center"/>
              <w:rPr>
                <w:rFonts w:ascii="Arial" w:hAnsi="Arial" w:cs="Arial"/>
                <w:b/>
              </w:rPr>
            </w:pPr>
            <w:r w:rsidRPr="002012E1">
              <w:rPr>
                <w:rFonts w:ascii="Arial" w:hAnsi="Arial" w:cs="Arial"/>
                <w:b/>
              </w:rPr>
              <w:t>Movimiento contable principal</w:t>
            </w:r>
          </w:p>
        </w:tc>
        <w:tc>
          <w:tcPr>
            <w:tcW w:w="0" w:type="auto"/>
            <w:vAlign w:val="center"/>
          </w:tcPr>
          <w:p w14:paraId="7DD8D45B" w14:textId="77777777" w:rsidR="00C51607" w:rsidRPr="002012E1" w:rsidRDefault="00C51607" w:rsidP="005C1607">
            <w:pPr>
              <w:spacing w:line="360" w:lineRule="auto"/>
              <w:jc w:val="center"/>
              <w:rPr>
                <w:rFonts w:ascii="Arial" w:hAnsi="Arial" w:cs="Arial"/>
                <w:b/>
              </w:rPr>
            </w:pPr>
            <w:r w:rsidRPr="002012E1">
              <w:rPr>
                <w:rFonts w:ascii="Arial" w:hAnsi="Arial" w:cs="Arial"/>
                <w:b/>
              </w:rPr>
              <w:t>Impacto</w:t>
            </w:r>
          </w:p>
        </w:tc>
      </w:tr>
      <w:tr w:rsidR="00C51607" w:rsidRPr="002012E1" w14:paraId="663627B1" w14:textId="77777777" w:rsidTr="005C1607">
        <w:trPr>
          <w:trHeight w:val="530"/>
        </w:trPr>
        <w:tc>
          <w:tcPr>
            <w:tcW w:w="2547" w:type="dxa"/>
            <w:vAlign w:val="center"/>
          </w:tcPr>
          <w:p w14:paraId="78791E7E" w14:textId="77777777" w:rsidR="00C51607" w:rsidRPr="002012E1" w:rsidRDefault="00C51607" w:rsidP="005C1607">
            <w:pPr>
              <w:spacing w:line="360" w:lineRule="auto"/>
              <w:jc w:val="center"/>
              <w:rPr>
                <w:rFonts w:ascii="Arial" w:hAnsi="Arial" w:cs="Arial"/>
                <w:bCs/>
              </w:rPr>
            </w:pPr>
            <w:r w:rsidRPr="002012E1">
              <w:rPr>
                <w:rFonts w:ascii="Arial" w:hAnsi="Arial" w:cs="Arial"/>
                <w:bCs/>
              </w:rPr>
              <w:t>Firma del compromiso</w:t>
            </w:r>
          </w:p>
        </w:tc>
        <w:tc>
          <w:tcPr>
            <w:tcW w:w="4336" w:type="dxa"/>
            <w:vAlign w:val="center"/>
          </w:tcPr>
          <w:p w14:paraId="5993CDE5" w14:textId="77777777" w:rsidR="00C51607" w:rsidRPr="002012E1" w:rsidRDefault="00C51607" w:rsidP="005C1607">
            <w:pPr>
              <w:spacing w:line="360" w:lineRule="auto"/>
              <w:jc w:val="center"/>
              <w:rPr>
                <w:rFonts w:ascii="Arial" w:hAnsi="Arial" w:cs="Arial"/>
                <w:bCs/>
              </w:rPr>
            </w:pPr>
            <w:r w:rsidRPr="002012E1">
              <w:rPr>
                <w:rFonts w:ascii="Arial" w:hAnsi="Arial" w:cs="Arial"/>
                <w:bCs/>
              </w:rPr>
              <w:t>Cuenta de orden (memorial)</w:t>
            </w:r>
          </w:p>
        </w:tc>
        <w:tc>
          <w:tcPr>
            <w:tcW w:w="0" w:type="auto"/>
            <w:vAlign w:val="center"/>
          </w:tcPr>
          <w:p w14:paraId="164EC05B" w14:textId="77777777" w:rsidR="00C51607" w:rsidRPr="002012E1" w:rsidRDefault="00C51607" w:rsidP="005C1607">
            <w:pPr>
              <w:spacing w:line="360" w:lineRule="auto"/>
              <w:jc w:val="center"/>
              <w:rPr>
                <w:rFonts w:ascii="Arial" w:hAnsi="Arial" w:cs="Arial"/>
                <w:bCs/>
              </w:rPr>
            </w:pPr>
            <w:r w:rsidRPr="002012E1">
              <w:rPr>
                <w:rFonts w:ascii="Arial" w:hAnsi="Arial" w:cs="Arial"/>
                <w:bCs/>
              </w:rPr>
              <w:t>No afecta EEFF</w:t>
            </w:r>
          </w:p>
        </w:tc>
      </w:tr>
      <w:tr w:rsidR="00C51607" w:rsidRPr="002012E1" w14:paraId="310E7B0C" w14:textId="77777777" w:rsidTr="005C1607">
        <w:trPr>
          <w:trHeight w:val="397"/>
        </w:trPr>
        <w:tc>
          <w:tcPr>
            <w:tcW w:w="2547" w:type="dxa"/>
            <w:vAlign w:val="center"/>
          </w:tcPr>
          <w:p w14:paraId="469D99D3" w14:textId="77777777" w:rsidR="00C51607" w:rsidRPr="002012E1" w:rsidRDefault="00C51607" w:rsidP="005C1607">
            <w:pPr>
              <w:spacing w:line="360" w:lineRule="auto"/>
              <w:jc w:val="center"/>
              <w:rPr>
                <w:rFonts w:ascii="Arial" w:hAnsi="Arial" w:cs="Arial"/>
                <w:bCs/>
              </w:rPr>
            </w:pPr>
            <w:r w:rsidRPr="002012E1">
              <w:rPr>
                <w:rFonts w:ascii="Arial" w:hAnsi="Arial" w:cs="Arial"/>
                <w:bCs/>
              </w:rPr>
              <w:t>Llamado de capital</w:t>
            </w:r>
          </w:p>
        </w:tc>
        <w:tc>
          <w:tcPr>
            <w:tcW w:w="4336" w:type="dxa"/>
            <w:vAlign w:val="center"/>
          </w:tcPr>
          <w:p w14:paraId="27231C67" w14:textId="77777777" w:rsidR="00C51607" w:rsidRPr="002012E1" w:rsidRDefault="00C51607" w:rsidP="005C1607">
            <w:pPr>
              <w:spacing w:line="360" w:lineRule="auto"/>
              <w:jc w:val="center"/>
              <w:rPr>
                <w:rFonts w:ascii="Arial" w:hAnsi="Arial" w:cs="Arial"/>
                <w:bCs/>
              </w:rPr>
            </w:pPr>
            <w:r w:rsidRPr="002012E1">
              <w:rPr>
                <w:rFonts w:ascii="Arial" w:hAnsi="Arial" w:cs="Arial"/>
                <w:bCs/>
              </w:rPr>
              <w:t>Disminuye cuenta de orden, aumenta inversión</w:t>
            </w:r>
          </w:p>
        </w:tc>
        <w:tc>
          <w:tcPr>
            <w:tcW w:w="0" w:type="auto"/>
            <w:vAlign w:val="center"/>
          </w:tcPr>
          <w:p w14:paraId="090572B7" w14:textId="77777777" w:rsidR="00C51607" w:rsidRPr="002012E1" w:rsidRDefault="00C51607" w:rsidP="005C1607">
            <w:pPr>
              <w:spacing w:line="360" w:lineRule="auto"/>
              <w:jc w:val="center"/>
              <w:rPr>
                <w:rFonts w:ascii="Arial" w:hAnsi="Arial" w:cs="Arial"/>
                <w:bCs/>
              </w:rPr>
            </w:pPr>
            <w:r w:rsidRPr="002012E1">
              <w:rPr>
                <w:rFonts w:ascii="Arial" w:hAnsi="Arial" w:cs="Arial"/>
                <w:bCs/>
              </w:rPr>
              <w:t>Aumenta activos</w:t>
            </w:r>
          </w:p>
        </w:tc>
      </w:tr>
      <w:tr w:rsidR="00C51607" w:rsidRPr="002012E1" w14:paraId="10CD184A" w14:textId="77777777" w:rsidTr="005C1607">
        <w:trPr>
          <w:trHeight w:val="397"/>
        </w:trPr>
        <w:tc>
          <w:tcPr>
            <w:tcW w:w="2547" w:type="dxa"/>
            <w:vAlign w:val="center"/>
          </w:tcPr>
          <w:p w14:paraId="1393476A" w14:textId="77777777" w:rsidR="00C51607" w:rsidRPr="002012E1" w:rsidRDefault="00C51607" w:rsidP="005C1607">
            <w:pPr>
              <w:spacing w:line="360" w:lineRule="auto"/>
              <w:jc w:val="center"/>
              <w:rPr>
                <w:rFonts w:ascii="Arial" w:hAnsi="Arial" w:cs="Arial"/>
                <w:bCs/>
              </w:rPr>
            </w:pPr>
            <w:r w:rsidRPr="002012E1">
              <w:rPr>
                <w:rFonts w:ascii="Arial" w:hAnsi="Arial" w:cs="Arial"/>
                <w:bCs/>
              </w:rPr>
              <w:t>Valorización</w:t>
            </w:r>
          </w:p>
        </w:tc>
        <w:tc>
          <w:tcPr>
            <w:tcW w:w="4336" w:type="dxa"/>
            <w:vAlign w:val="center"/>
          </w:tcPr>
          <w:p w14:paraId="14276F00" w14:textId="77777777" w:rsidR="00C51607" w:rsidRPr="002012E1" w:rsidRDefault="00C51607" w:rsidP="005C1607">
            <w:pPr>
              <w:spacing w:line="360" w:lineRule="auto"/>
              <w:jc w:val="center"/>
              <w:rPr>
                <w:rFonts w:ascii="Arial" w:hAnsi="Arial" w:cs="Arial"/>
                <w:bCs/>
              </w:rPr>
            </w:pPr>
            <w:r w:rsidRPr="002012E1">
              <w:rPr>
                <w:rFonts w:ascii="Arial" w:hAnsi="Arial" w:cs="Arial"/>
                <w:bCs/>
              </w:rPr>
              <w:t>Aumenta inversión + ingreso en estado de resultados</w:t>
            </w:r>
          </w:p>
        </w:tc>
        <w:tc>
          <w:tcPr>
            <w:tcW w:w="0" w:type="auto"/>
            <w:vAlign w:val="center"/>
          </w:tcPr>
          <w:p w14:paraId="47D9FD09" w14:textId="77777777" w:rsidR="00C51607" w:rsidRPr="002012E1" w:rsidRDefault="00C51607" w:rsidP="005C1607">
            <w:pPr>
              <w:spacing w:line="360" w:lineRule="auto"/>
              <w:jc w:val="center"/>
              <w:rPr>
                <w:rFonts w:ascii="Arial" w:hAnsi="Arial" w:cs="Arial"/>
                <w:bCs/>
              </w:rPr>
            </w:pPr>
            <w:r w:rsidRPr="002012E1">
              <w:rPr>
                <w:rFonts w:ascii="Arial" w:hAnsi="Arial" w:cs="Arial"/>
                <w:bCs/>
              </w:rPr>
              <w:t>Aumenta patrimonio</w:t>
            </w:r>
          </w:p>
        </w:tc>
      </w:tr>
      <w:tr w:rsidR="00C51607" w:rsidRPr="002012E1" w14:paraId="3D8C9DBD" w14:textId="77777777" w:rsidTr="005C1607">
        <w:trPr>
          <w:trHeight w:val="397"/>
        </w:trPr>
        <w:tc>
          <w:tcPr>
            <w:tcW w:w="2547" w:type="dxa"/>
            <w:vAlign w:val="center"/>
          </w:tcPr>
          <w:p w14:paraId="27299671" w14:textId="77777777" w:rsidR="00C51607" w:rsidRPr="002012E1" w:rsidRDefault="00C51607" w:rsidP="005C1607">
            <w:pPr>
              <w:spacing w:line="360" w:lineRule="auto"/>
              <w:jc w:val="center"/>
              <w:rPr>
                <w:rFonts w:ascii="Arial" w:hAnsi="Arial" w:cs="Arial"/>
                <w:bCs/>
              </w:rPr>
            </w:pPr>
            <w:r w:rsidRPr="002012E1">
              <w:rPr>
                <w:rFonts w:ascii="Arial" w:hAnsi="Arial" w:cs="Arial"/>
                <w:bCs/>
              </w:rPr>
              <w:t>Repago de capital</w:t>
            </w:r>
          </w:p>
        </w:tc>
        <w:tc>
          <w:tcPr>
            <w:tcW w:w="4336" w:type="dxa"/>
            <w:vAlign w:val="center"/>
          </w:tcPr>
          <w:p w14:paraId="017D3270" w14:textId="77777777" w:rsidR="00C51607" w:rsidRPr="002012E1" w:rsidRDefault="00C51607" w:rsidP="005C1607">
            <w:pPr>
              <w:spacing w:line="360" w:lineRule="auto"/>
              <w:jc w:val="center"/>
              <w:rPr>
                <w:rFonts w:ascii="Arial" w:hAnsi="Arial" w:cs="Arial"/>
                <w:bCs/>
              </w:rPr>
            </w:pPr>
            <w:r w:rsidRPr="002012E1">
              <w:rPr>
                <w:rFonts w:ascii="Arial" w:hAnsi="Arial" w:cs="Arial"/>
                <w:bCs/>
              </w:rPr>
              <w:t>Disminuye inversión, aumenta efectivo</w:t>
            </w:r>
          </w:p>
        </w:tc>
        <w:tc>
          <w:tcPr>
            <w:tcW w:w="0" w:type="auto"/>
            <w:vAlign w:val="center"/>
          </w:tcPr>
          <w:p w14:paraId="3B04ADCE" w14:textId="77777777" w:rsidR="00C51607" w:rsidRPr="002012E1" w:rsidRDefault="00C51607" w:rsidP="005C1607">
            <w:pPr>
              <w:spacing w:line="360" w:lineRule="auto"/>
              <w:jc w:val="center"/>
              <w:rPr>
                <w:rFonts w:ascii="Arial" w:hAnsi="Arial" w:cs="Arial"/>
                <w:bCs/>
              </w:rPr>
            </w:pPr>
            <w:r w:rsidRPr="002012E1">
              <w:rPr>
                <w:rFonts w:ascii="Arial" w:hAnsi="Arial" w:cs="Arial"/>
                <w:bCs/>
              </w:rPr>
              <w:t>Neutro neto</w:t>
            </w:r>
          </w:p>
        </w:tc>
      </w:tr>
      <w:tr w:rsidR="00C51607" w:rsidRPr="002012E1" w14:paraId="5697395E" w14:textId="77777777" w:rsidTr="005C1607">
        <w:trPr>
          <w:trHeight w:val="397"/>
        </w:trPr>
        <w:tc>
          <w:tcPr>
            <w:tcW w:w="2547" w:type="dxa"/>
            <w:vAlign w:val="center"/>
          </w:tcPr>
          <w:p w14:paraId="568C4229" w14:textId="77777777" w:rsidR="00C51607" w:rsidRPr="002012E1" w:rsidRDefault="00C51607" w:rsidP="005C1607">
            <w:pPr>
              <w:spacing w:line="360" w:lineRule="auto"/>
              <w:jc w:val="center"/>
              <w:rPr>
                <w:rFonts w:ascii="Arial" w:hAnsi="Arial" w:cs="Arial"/>
                <w:bCs/>
              </w:rPr>
            </w:pPr>
            <w:r w:rsidRPr="002012E1">
              <w:rPr>
                <w:rFonts w:ascii="Arial" w:hAnsi="Arial" w:cs="Arial"/>
                <w:bCs/>
              </w:rPr>
              <w:t>Pago de dividendos</w:t>
            </w:r>
          </w:p>
        </w:tc>
        <w:tc>
          <w:tcPr>
            <w:tcW w:w="4336" w:type="dxa"/>
            <w:vAlign w:val="center"/>
          </w:tcPr>
          <w:p w14:paraId="5DD30B50" w14:textId="77777777" w:rsidR="00C51607" w:rsidRPr="002012E1" w:rsidRDefault="00C51607" w:rsidP="005C1607">
            <w:pPr>
              <w:spacing w:line="360" w:lineRule="auto"/>
              <w:jc w:val="center"/>
              <w:rPr>
                <w:rFonts w:ascii="Arial" w:hAnsi="Arial" w:cs="Arial"/>
                <w:bCs/>
              </w:rPr>
            </w:pPr>
            <w:r w:rsidRPr="002012E1">
              <w:rPr>
                <w:rFonts w:ascii="Arial" w:hAnsi="Arial" w:cs="Arial"/>
                <w:bCs/>
              </w:rPr>
              <w:t>Aumenta efectivo, disminuye inversión</w:t>
            </w:r>
          </w:p>
        </w:tc>
        <w:tc>
          <w:tcPr>
            <w:tcW w:w="0" w:type="auto"/>
            <w:vAlign w:val="center"/>
          </w:tcPr>
          <w:p w14:paraId="0465F5E6" w14:textId="77777777" w:rsidR="00C51607" w:rsidRPr="002012E1" w:rsidRDefault="00C51607" w:rsidP="005C1607">
            <w:pPr>
              <w:spacing w:line="360" w:lineRule="auto"/>
              <w:jc w:val="center"/>
              <w:rPr>
                <w:rFonts w:ascii="Arial" w:hAnsi="Arial" w:cs="Arial"/>
                <w:bCs/>
              </w:rPr>
            </w:pPr>
            <w:r w:rsidRPr="002012E1">
              <w:rPr>
                <w:rFonts w:ascii="Arial" w:hAnsi="Arial" w:cs="Arial"/>
                <w:bCs/>
              </w:rPr>
              <w:t>Aumenta liquidez</w:t>
            </w:r>
          </w:p>
        </w:tc>
      </w:tr>
    </w:tbl>
    <w:p w14:paraId="0280A990" w14:textId="77777777" w:rsidR="00C51607" w:rsidRPr="002012E1" w:rsidRDefault="00C51607" w:rsidP="00C51607">
      <w:pPr>
        <w:spacing w:after="0" w:line="360" w:lineRule="auto"/>
        <w:jc w:val="right"/>
        <w:rPr>
          <w:rFonts w:ascii="Arial" w:eastAsia="Calibri" w:hAnsi="Arial" w:cs="Arial"/>
          <w:kern w:val="0"/>
          <w:lang w:val="es-MX"/>
          <w14:ligatures w14:val="none"/>
        </w:rPr>
      </w:pPr>
      <w:r w:rsidRPr="002012E1">
        <w:rPr>
          <w:rFonts w:ascii="Arial" w:eastAsia="Calibri" w:hAnsi="Arial" w:cs="Arial"/>
          <w:b/>
          <w:bCs/>
          <w:kern w:val="0"/>
          <w:lang w:val="es-MX"/>
          <w14:ligatures w14:val="none"/>
        </w:rPr>
        <w:t xml:space="preserve">Fuente: </w:t>
      </w:r>
      <w:r w:rsidRPr="002012E1">
        <w:rPr>
          <w:rFonts w:ascii="Arial" w:eastAsia="Calibri" w:hAnsi="Arial" w:cs="Arial"/>
          <w:kern w:val="0"/>
          <w:lang w:val="es-MX"/>
          <w14:ligatures w14:val="none"/>
        </w:rPr>
        <w:t xml:space="preserve">Elaboración propia. </w:t>
      </w:r>
      <w:r w:rsidRPr="002012E1">
        <w:rPr>
          <w:rFonts w:ascii="Arial" w:eastAsia="Calibri" w:hAnsi="Arial" w:cs="Arial"/>
          <w:b/>
          <w:bCs/>
          <w:kern w:val="0"/>
          <w:lang w:val="es-MX"/>
          <w14:ligatures w14:val="none"/>
        </w:rPr>
        <w:t xml:space="preserve">Elaborado: </w:t>
      </w:r>
      <w:r w:rsidRPr="002012E1">
        <w:rPr>
          <w:rFonts w:ascii="Arial" w:eastAsia="Calibri" w:hAnsi="Arial" w:cs="Arial"/>
          <w:kern w:val="0"/>
          <w:lang w:val="es-MX"/>
          <w14:ligatures w14:val="none"/>
        </w:rPr>
        <w:t>Grupo Investigador 2025</w:t>
      </w:r>
    </w:p>
    <w:p w14:paraId="1CF5A7B2" w14:textId="77777777" w:rsidR="00C51607" w:rsidRPr="002012E1" w:rsidRDefault="00C51607" w:rsidP="00C51607">
      <w:pPr>
        <w:spacing w:after="0" w:line="360" w:lineRule="auto"/>
        <w:jc w:val="right"/>
        <w:rPr>
          <w:rFonts w:ascii="Arial" w:eastAsia="Calibri" w:hAnsi="Arial" w:cs="Arial"/>
          <w:kern w:val="0"/>
          <w:lang w:val="es-MX"/>
          <w14:ligatures w14:val="none"/>
        </w:rPr>
      </w:pPr>
    </w:p>
    <w:p w14:paraId="172F1BDB" w14:textId="77777777" w:rsidR="00C51607" w:rsidRPr="002012E1" w:rsidRDefault="00C51607" w:rsidP="00C51607">
      <w:pPr>
        <w:pStyle w:val="apanivel4"/>
        <w:rPr>
          <w:rFonts w:ascii="Arial" w:hAnsi="Arial" w:cs="Arial"/>
        </w:rPr>
      </w:pPr>
      <w:r w:rsidRPr="002012E1">
        <w:rPr>
          <w:rFonts w:ascii="Arial" w:hAnsi="Arial" w:cs="Arial"/>
        </w:rPr>
        <w:lastRenderedPageBreak/>
        <w:t>Relación de la propuesta con las regulaciones costarricenses</w:t>
      </w:r>
    </w:p>
    <w:p w14:paraId="054C4FEB"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Cómo se relaciona el criterio normativo, legal y técnico expuesto en la propuesta con el registro contable de los compromisos de inversión en fondos de capital de riesgo, con base en normas contables (como el Marco Conceptual NIIF) y la normativa costarricense (como la Ley de Protección al Trabajador y reglamentos del CONASSIF y la SUGEVAL).</w:t>
      </w:r>
    </w:p>
    <w:p w14:paraId="5BA2960E"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7636CF5" w14:textId="77777777" w:rsidR="00C51607" w:rsidRPr="002012E1" w:rsidRDefault="00C51607" w:rsidP="00C51607">
      <w:pPr>
        <w:pStyle w:val="apanivel4"/>
        <w:rPr>
          <w:rFonts w:ascii="Arial" w:hAnsi="Arial" w:cs="Arial"/>
        </w:rPr>
      </w:pPr>
      <w:r w:rsidRPr="002012E1">
        <w:rPr>
          <w:rFonts w:ascii="Arial" w:hAnsi="Arial" w:cs="Arial"/>
        </w:rPr>
        <w:t>Situación contable por resolver</w:t>
      </w:r>
    </w:p>
    <w:p w14:paraId="0C57ACA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situación contable planteada se refiere a si una entidad regulada, como una operadora de pensiones, puede registrar en su contabilidad un compromiso de inversión en un fondo de capital de riesgo cuando no existe certeza sobre la fecha o el monto exigible de dicho compromiso.</w:t>
      </w:r>
    </w:p>
    <w:p w14:paraId="1A8643C1"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E1FD7C"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Desde el marco normativo vigente en Costa Rica, regulado principalmente por la Ley N° 7983 (Ley de Protección al Trabajador), el Reglamento de Inversiones para entidades reguladas y las disposiciones emitidas por la Superintendencia de Pensiones (SUPEN) y CONASSIF, el reconocimiento contable debe basarse en principios de prudencia, confiabilidad y relevancia, alineados con las Normas Internacionales de Información Financiera (NIIF), especialmente la NIIF 9 sobre instrumentos financieros.</w:t>
      </w:r>
    </w:p>
    <w:p w14:paraId="17C644A2"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C43B260" w14:textId="77777777" w:rsidR="00C51607" w:rsidRPr="002012E1" w:rsidRDefault="00C51607" w:rsidP="00C51607">
      <w:pPr>
        <w:pStyle w:val="apanivel5"/>
        <w:rPr>
          <w:rFonts w:ascii="Arial" w:hAnsi="Arial" w:cs="Arial"/>
          <w:lang w:val="es-MX"/>
        </w:rPr>
      </w:pPr>
      <w:r w:rsidRPr="002012E1">
        <w:rPr>
          <w:rFonts w:ascii="Arial" w:hAnsi="Arial" w:cs="Arial"/>
          <w:lang w:val="es-MX"/>
        </w:rPr>
        <w:t>Registro de compromisos contingentes</w:t>
      </w:r>
    </w:p>
    <w:p w14:paraId="3C1ED73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Cuando la entidad tiene un compromiso de inversión que aún no genera una obligación exigible ni un desembolso efectivo, la contabilización debe reflejar esta condición. Según las prácticas recomendadas y la normativa local, un compromiso de inversión que no tiene certeza sobre la fecha o monto exigible se considera una obligación contingente o un compromiso fuera de balance, y por lo tanto no se registra como un pasivo ni un activo en los estados financieros hasta que se </w:t>
      </w:r>
      <w:r w:rsidRPr="002012E1">
        <w:rPr>
          <w:rFonts w:ascii="Arial" w:eastAsia="Calibri" w:hAnsi="Arial" w:cs="Arial"/>
          <w:kern w:val="0"/>
          <w:lang w:val="es-MX"/>
          <w14:ligatures w14:val="none"/>
        </w:rPr>
        <w:lastRenderedPageBreak/>
        <w:t>materialice o se pueda estimar con suficiente certeza (SUPEN, 2024; CONASSIF, 2006).</w:t>
      </w:r>
    </w:p>
    <w:p w14:paraId="0632C6E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65062E30" w14:textId="77777777" w:rsidR="00C51607" w:rsidRPr="002012E1" w:rsidRDefault="00C51607" w:rsidP="00C51607">
      <w:pPr>
        <w:pStyle w:val="apanivel5"/>
        <w:rPr>
          <w:rFonts w:ascii="Arial" w:hAnsi="Arial" w:cs="Arial"/>
          <w:lang w:val="es-MX"/>
        </w:rPr>
      </w:pPr>
      <w:r w:rsidRPr="002012E1">
        <w:rPr>
          <w:rFonts w:ascii="Arial" w:hAnsi="Arial" w:cs="Arial"/>
          <w:lang w:val="es-MX"/>
        </w:rPr>
        <w:t>Información en notas a los estados financieros</w:t>
      </w:r>
    </w:p>
    <w:p w14:paraId="3926DB3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Aunque no se registre en el balance, la entidad debe revelar en las notas explicativas la existencia de dichos compromisos, su naturaleza, condiciones y posibles impactos financieros. Esto garantiza transparencia y permite a los usuarios de la información financiera conocer riesgos y obligaciones potenciales que podrían afectar la situación financiera futura (SUPEN, 2024; BAC Credomatic, 2025).</w:t>
      </w:r>
    </w:p>
    <w:p w14:paraId="22B425B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417D6C9" w14:textId="77777777" w:rsidR="00C51607" w:rsidRPr="002012E1" w:rsidRDefault="00C51607" w:rsidP="00C51607">
      <w:pPr>
        <w:pStyle w:val="apanivel5"/>
        <w:rPr>
          <w:rFonts w:ascii="Arial" w:hAnsi="Arial" w:cs="Arial"/>
          <w:lang w:val="es-MX"/>
        </w:rPr>
      </w:pPr>
      <w:r w:rsidRPr="002012E1">
        <w:rPr>
          <w:rFonts w:ascii="Arial" w:hAnsi="Arial" w:cs="Arial"/>
          <w:lang w:val="es-MX"/>
        </w:rPr>
        <w:t>Criterios para el reconocimiento eventual</w:t>
      </w:r>
    </w:p>
    <w:p w14:paraId="5197E02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Una vez que el compromiso se convierta en una obligación exigible, es decir, cuando se establezca la fecha y el monto del desembolso, la operadora debe reconocer en su contabilidad el activo financiero correspondiente (inversión en el fondo de capital de riesgo) y el pasivo asociado, utilizando el valor razonable o costo amortizado según corresponda, conforme a NIIF 9 y las políticas contables establecidas (SUPEN, 2024).</w:t>
      </w:r>
    </w:p>
    <w:p w14:paraId="4A7EC07C"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BAB351A" w14:textId="77777777" w:rsidR="00C51607" w:rsidRPr="002012E1" w:rsidRDefault="00C51607" w:rsidP="00C51607">
      <w:pPr>
        <w:pStyle w:val="apanivel5"/>
        <w:rPr>
          <w:rFonts w:ascii="Arial" w:hAnsi="Arial" w:cs="Arial"/>
          <w:lang w:val="es-MX"/>
        </w:rPr>
      </w:pPr>
      <w:r w:rsidRPr="002012E1">
        <w:rPr>
          <w:rFonts w:ascii="Arial" w:hAnsi="Arial" w:cs="Arial"/>
          <w:lang w:val="es-MX"/>
        </w:rPr>
        <w:t>Consideraciones adicionales</w:t>
      </w:r>
    </w:p>
    <w:p w14:paraId="72212166"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entidad debe mantener un control riguroso de estos compromisos, incluyendo actas del Comité de Inversiones donde se aprueban y documentan las decisiones, así como evidencia de cumplimiento de límites de riesgo y políticas internas (CONASSIF, 2006). La supervisión de SUPEN exige que toda inversión y compromiso se gestione con transparencia y se mantenga la documentación probatoria para auditorías y revisiones regulatorias.</w:t>
      </w:r>
    </w:p>
    <w:p w14:paraId="7C0B491A"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8005ECF"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En resumen, bajo la normativa costarricense y las mejores prácticas internacionales, una operadora de pensiones no debe registrar contablemente un compromiso de inversión en un fondo de capital de riesgo cuando no existe certeza sobre la fecha o monto exigible. Sin embargo, debe revelar esta información en notas a los estados </w:t>
      </w:r>
      <w:r w:rsidRPr="002012E1">
        <w:rPr>
          <w:rFonts w:ascii="Arial" w:eastAsia="Calibri" w:hAnsi="Arial" w:cs="Arial"/>
          <w:kern w:val="0"/>
          <w:lang w:val="es-MX"/>
          <w14:ligatures w14:val="none"/>
        </w:rPr>
        <w:lastRenderedPageBreak/>
        <w:t>financieros y reconocer el compromiso una vez que se materialice con certeza suficiente.</w:t>
      </w:r>
    </w:p>
    <w:p w14:paraId="2142087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D4C5C5A" w14:textId="77777777" w:rsidR="00C51607" w:rsidRPr="002012E1" w:rsidRDefault="00C51607" w:rsidP="00C51607">
      <w:pPr>
        <w:pStyle w:val="apanivel4"/>
        <w:rPr>
          <w:rFonts w:ascii="Arial" w:hAnsi="Arial" w:cs="Arial"/>
        </w:rPr>
      </w:pPr>
      <w:r w:rsidRPr="002012E1">
        <w:rPr>
          <w:rFonts w:ascii="Arial" w:hAnsi="Arial" w:cs="Arial"/>
        </w:rPr>
        <w:t>Fundamento para el uso de cuentas de orden</w:t>
      </w:r>
    </w:p>
    <w:p w14:paraId="757FEA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Cuando no se cumplen todos los requisitos de reconocimiento de un pasivo financiero bajo NIIF, pero sí se ha asumido un compromiso legal o contractual, lo apropiado es usar cuentas de orden, que:</w:t>
      </w:r>
    </w:p>
    <w:p w14:paraId="475B8E33" w14:textId="77777777" w:rsidR="00C51607" w:rsidRPr="002012E1" w:rsidRDefault="00C51607" w:rsidP="00C51607">
      <w:pPr>
        <w:numPr>
          <w:ilvl w:val="0"/>
          <w:numId w:val="2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No afectan el balance general ni el estado de resultados directamente.</w:t>
      </w:r>
    </w:p>
    <w:p w14:paraId="1E6B04C9" w14:textId="77777777" w:rsidR="00C51607" w:rsidRPr="002012E1" w:rsidRDefault="00C51607" w:rsidP="00C51607">
      <w:pPr>
        <w:numPr>
          <w:ilvl w:val="0"/>
          <w:numId w:val="2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usan para registrar hechos económicos relevantes, aunque no reconocidos como activos o pasivos según NIIF.</w:t>
      </w:r>
    </w:p>
    <w:p w14:paraId="0AA346B9" w14:textId="77777777" w:rsidR="00C51607" w:rsidRPr="002012E1" w:rsidRDefault="00C51607" w:rsidP="00C51607">
      <w:pPr>
        <w:numPr>
          <w:ilvl w:val="0"/>
          <w:numId w:val="29"/>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Sirven para revelar compromisos, contingencias u obligaciones condicionales.</w:t>
      </w:r>
    </w:p>
    <w:p w14:paraId="34DCE76C" w14:textId="77777777" w:rsidR="00C51607" w:rsidRPr="002012E1" w:rsidRDefault="00C51607" w:rsidP="00C51607">
      <w:pPr>
        <w:spacing w:after="0" w:line="360" w:lineRule="auto"/>
        <w:ind w:left="720"/>
        <w:jc w:val="both"/>
        <w:rPr>
          <w:rFonts w:ascii="Arial" w:eastAsia="Calibri" w:hAnsi="Arial" w:cs="Arial"/>
          <w:kern w:val="0"/>
          <w:lang w:val="es-MX"/>
          <w14:ligatures w14:val="none"/>
        </w:rPr>
      </w:pPr>
    </w:p>
    <w:p w14:paraId="19A6E743" w14:textId="77777777" w:rsidR="00C51607" w:rsidRPr="002012E1" w:rsidRDefault="00C51607" w:rsidP="00C51607">
      <w:pPr>
        <w:pStyle w:val="apanivel4"/>
        <w:rPr>
          <w:rFonts w:ascii="Arial" w:hAnsi="Arial" w:cs="Arial"/>
        </w:rPr>
      </w:pPr>
      <w:r w:rsidRPr="002012E1">
        <w:rPr>
          <w:rFonts w:ascii="Arial" w:hAnsi="Arial" w:cs="Arial"/>
        </w:rPr>
        <w:t>Normas contables aplicables</w:t>
      </w:r>
    </w:p>
    <w:p w14:paraId="3302C4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Con base en las NIIF. Para reconocer un pasivo financiero debe cumplirse lo siguiente:</w:t>
      </w:r>
    </w:p>
    <w:p w14:paraId="0C407B7E" w14:textId="77777777" w:rsidR="00C51607" w:rsidRPr="002012E1" w:rsidRDefault="00C51607" w:rsidP="00C51607">
      <w:pPr>
        <w:numPr>
          <w:ilvl w:val="0"/>
          <w:numId w:val="3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Obligación presente de transferir un recurso económico </w:t>
      </w:r>
    </w:p>
    <w:p w14:paraId="20CE454D" w14:textId="77777777" w:rsidR="00C51607" w:rsidRPr="002012E1" w:rsidRDefault="00C51607" w:rsidP="00C51607">
      <w:pPr>
        <w:numPr>
          <w:ilvl w:val="0"/>
          <w:numId w:val="3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obligación debe derivarse de un suceso pasado, y no poder evitarse legal o prácticamente</w:t>
      </w:r>
    </w:p>
    <w:p w14:paraId="24455B1D" w14:textId="77777777" w:rsidR="00C51607" w:rsidRPr="002012E1" w:rsidRDefault="00C51607" w:rsidP="00C51607">
      <w:pPr>
        <w:numPr>
          <w:ilvl w:val="0"/>
          <w:numId w:val="30"/>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Aunque el pago ocurra en el futuro, la obligación debe existir en el presente </w:t>
      </w:r>
    </w:p>
    <w:p w14:paraId="13C52D9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E72F3B1"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el caso de los compromisos de inversión:</w:t>
      </w:r>
    </w:p>
    <w:p w14:paraId="6AFB8E1D" w14:textId="77777777" w:rsidR="00C51607" w:rsidRPr="002012E1" w:rsidRDefault="00C51607" w:rsidP="00C51607">
      <w:pPr>
        <w:numPr>
          <w:ilvl w:val="0"/>
          <w:numId w:val="3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 el monto está definido, pero la exigibilidad depende de decisiones futuras del gestor o de eventos inciertos, NO existe una obligación presente exigible.</w:t>
      </w:r>
    </w:p>
    <w:p w14:paraId="4F87CCF2" w14:textId="77777777" w:rsidR="00C51607" w:rsidRPr="002012E1" w:rsidRDefault="00C51607" w:rsidP="00C51607">
      <w:pPr>
        <w:numPr>
          <w:ilvl w:val="0"/>
          <w:numId w:val="3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no se puede reconocer un pasivo contable bajo NIIF.</w:t>
      </w:r>
    </w:p>
    <w:p w14:paraId="27CE34A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CC6FB95"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En conclusión, se debe usar una cuenta de orden, que sí permita revelar el compromiso asumido.</w:t>
      </w:r>
    </w:p>
    <w:p w14:paraId="68AE41D7"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020D696" w14:textId="77777777" w:rsidR="00C51607" w:rsidRPr="002012E1" w:rsidRDefault="00C51607" w:rsidP="00C51607">
      <w:pPr>
        <w:pStyle w:val="apaparrafo"/>
      </w:pPr>
      <w:r w:rsidRPr="002012E1">
        <w:lastRenderedPageBreak/>
        <w:t>De acuerdo con la normativa local (Costa Rica): Según la ley de Protección al Trabajador (art. 63):</w:t>
      </w:r>
    </w:p>
    <w:p w14:paraId="06D4E72D" w14:textId="77777777" w:rsidR="00C51607" w:rsidRPr="002012E1" w:rsidRDefault="00C51607" w:rsidP="00C51607">
      <w:pPr>
        <w:numPr>
          <w:ilvl w:val="0"/>
          <w:numId w:val="3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Prohíbe a las entidades supervisadas realizar operaciones que constituyan garantías o pasivos sobre el activo del fondo, salvo excepciones específicas.</w:t>
      </w:r>
    </w:p>
    <w:p w14:paraId="30B5630C" w14:textId="77777777" w:rsidR="00C51607" w:rsidRPr="002012E1" w:rsidRDefault="00C51607" w:rsidP="00C51607">
      <w:pPr>
        <w:numPr>
          <w:ilvl w:val="0"/>
          <w:numId w:val="32"/>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Por tanto, el registro de pasivos financieros debe ser evaluado cuidadosamente, y si no califica, debe utilizarse una cuenta de orden, que no implica un pasivo formal.</w:t>
      </w:r>
    </w:p>
    <w:p w14:paraId="39A57FF8"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1D2B15A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Según los reglamentos de Fondos de Capital de Riesgo (CONASSIF):</w:t>
      </w:r>
    </w:p>
    <w:p w14:paraId="18EADE59" w14:textId="77777777" w:rsidR="00C51607" w:rsidRPr="002012E1" w:rsidRDefault="00C51607" w:rsidP="00C51607">
      <w:pPr>
        <w:numPr>
          <w:ilvl w:val="0"/>
          <w:numId w:val="3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Define los compromisos de inversión como promesas irrevocables, pero su ejecución depende del prospecto y decisiones del gestor.</w:t>
      </w:r>
    </w:p>
    <w:p w14:paraId="0560A9AB" w14:textId="77777777" w:rsidR="00C51607" w:rsidRPr="00DB494B" w:rsidRDefault="00C51607" w:rsidP="00C51607">
      <w:pPr>
        <w:numPr>
          <w:ilvl w:val="0"/>
          <w:numId w:val="33"/>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artículo 2 indica que el compromiso se revela contablemente "conforme la normativa aplicable", lo cual incluye las NIIF y la regulación local.</w:t>
      </w:r>
    </w:p>
    <w:p w14:paraId="6859B479"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546D7E5E" w14:textId="69F46E98" w:rsidR="00C51607" w:rsidRPr="002012E1" w:rsidRDefault="00C51607" w:rsidP="00C51607">
      <w:pPr>
        <w:spacing w:after="200" w:line="360" w:lineRule="auto"/>
        <w:rPr>
          <w:rFonts w:ascii="Arial" w:eastAsia="Calibri" w:hAnsi="Arial" w:cs="Arial"/>
          <w:b/>
          <w:bCs/>
          <w:i/>
          <w:iCs/>
          <w:kern w:val="0"/>
          <w14:ligatures w14:val="none"/>
        </w:rPr>
      </w:pPr>
      <w:bookmarkStart w:id="146" w:name="_Toc201322526"/>
      <w:r w:rsidRPr="002012E1">
        <w:rPr>
          <w:rFonts w:ascii="Arial" w:eastAsia="Calibri" w:hAnsi="Arial" w:cs="Arial"/>
          <w:b/>
          <w:bCs/>
          <w:i/>
          <w:iCs/>
          <w:kern w:val="0"/>
          <w14:ligatures w14:val="none"/>
        </w:rPr>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23</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Relación directa con el registro contable</w:t>
      </w:r>
      <w:bookmarkEnd w:id="146"/>
    </w:p>
    <w:tbl>
      <w:tblPr>
        <w:tblStyle w:val="1"/>
        <w:tblW w:w="0" w:type="auto"/>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2559"/>
        <w:gridCol w:w="1671"/>
        <w:gridCol w:w="2348"/>
        <w:gridCol w:w="2250"/>
      </w:tblGrid>
      <w:tr w:rsidR="00C51607" w:rsidRPr="002012E1" w14:paraId="249A16B2" w14:textId="77777777" w:rsidTr="005C1607">
        <w:trPr>
          <w:tblHeader/>
          <w:jc w:val="center"/>
        </w:trPr>
        <w:tc>
          <w:tcPr>
            <w:tcW w:w="0" w:type="auto"/>
            <w:vAlign w:val="center"/>
          </w:tcPr>
          <w:p w14:paraId="0795B205" w14:textId="77777777" w:rsidR="00C51607" w:rsidRPr="002012E1" w:rsidRDefault="00C51607" w:rsidP="005C1607">
            <w:pPr>
              <w:spacing w:after="0" w:line="360" w:lineRule="auto"/>
              <w:jc w:val="center"/>
              <w:rPr>
                <w:rFonts w:ascii="Arial" w:hAnsi="Arial" w:cs="Arial"/>
                <w:b/>
                <w:bCs/>
                <w:lang w:val="es-MX"/>
              </w:rPr>
            </w:pPr>
            <w:r w:rsidRPr="002012E1">
              <w:rPr>
                <w:rFonts w:ascii="Arial" w:hAnsi="Arial" w:cs="Arial"/>
                <w:b/>
                <w:bCs/>
                <w:lang w:val="es-MX"/>
              </w:rPr>
              <w:t>Hecho económico</w:t>
            </w:r>
          </w:p>
        </w:tc>
        <w:tc>
          <w:tcPr>
            <w:tcW w:w="0" w:type="auto"/>
            <w:vAlign w:val="center"/>
          </w:tcPr>
          <w:p w14:paraId="14DB2370" w14:textId="77777777" w:rsidR="00C51607" w:rsidRPr="002012E1" w:rsidRDefault="00C51607" w:rsidP="005C1607">
            <w:pPr>
              <w:spacing w:after="0" w:line="360" w:lineRule="auto"/>
              <w:jc w:val="center"/>
              <w:rPr>
                <w:rFonts w:ascii="Arial" w:hAnsi="Arial" w:cs="Arial"/>
                <w:b/>
                <w:bCs/>
                <w:lang w:val="es-MX"/>
              </w:rPr>
            </w:pPr>
            <w:r w:rsidRPr="002012E1">
              <w:rPr>
                <w:rFonts w:ascii="Arial" w:hAnsi="Arial" w:cs="Arial"/>
                <w:b/>
                <w:bCs/>
                <w:lang w:val="es-MX"/>
              </w:rPr>
              <w:t>¿Se reconoce como pasivo?</w:t>
            </w:r>
          </w:p>
        </w:tc>
        <w:tc>
          <w:tcPr>
            <w:tcW w:w="0" w:type="auto"/>
            <w:vAlign w:val="center"/>
          </w:tcPr>
          <w:p w14:paraId="35EB4D50" w14:textId="77777777" w:rsidR="00C51607" w:rsidRPr="002012E1" w:rsidRDefault="00C51607" w:rsidP="005C1607">
            <w:pPr>
              <w:spacing w:after="0" w:line="360" w:lineRule="auto"/>
              <w:jc w:val="center"/>
              <w:rPr>
                <w:rFonts w:ascii="Arial" w:hAnsi="Arial" w:cs="Arial"/>
                <w:b/>
                <w:bCs/>
                <w:lang w:val="es-MX"/>
              </w:rPr>
            </w:pPr>
            <w:r w:rsidRPr="002012E1">
              <w:rPr>
                <w:rFonts w:ascii="Arial" w:hAnsi="Arial" w:cs="Arial"/>
                <w:b/>
                <w:bCs/>
                <w:lang w:val="es-MX"/>
              </w:rPr>
              <w:t>¿Se registra contablemente?</w:t>
            </w:r>
          </w:p>
        </w:tc>
        <w:tc>
          <w:tcPr>
            <w:tcW w:w="0" w:type="auto"/>
            <w:vAlign w:val="center"/>
          </w:tcPr>
          <w:p w14:paraId="1F01D6CC" w14:textId="77777777" w:rsidR="00C51607" w:rsidRPr="002012E1" w:rsidRDefault="00C51607" w:rsidP="005C1607">
            <w:pPr>
              <w:spacing w:after="0" w:line="360" w:lineRule="auto"/>
              <w:jc w:val="center"/>
              <w:rPr>
                <w:rFonts w:ascii="Arial" w:hAnsi="Arial" w:cs="Arial"/>
                <w:b/>
                <w:bCs/>
                <w:lang w:val="es-MX"/>
              </w:rPr>
            </w:pPr>
            <w:r w:rsidRPr="002012E1">
              <w:rPr>
                <w:rFonts w:ascii="Arial" w:hAnsi="Arial" w:cs="Arial"/>
                <w:b/>
                <w:bCs/>
                <w:lang w:val="es-MX"/>
              </w:rPr>
              <w:t>¿Cómo se registra?</w:t>
            </w:r>
          </w:p>
        </w:tc>
      </w:tr>
      <w:tr w:rsidR="00C51607" w:rsidRPr="002012E1" w14:paraId="7E641403" w14:textId="77777777" w:rsidTr="005C1607">
        <w:trPr>
          <w:jc w:val="center"/>
        </w:trPr>
        <w:tc>
          <w:tcPr>
            <w:tcW w:w="0" w:type="auto"/>
            <w:vAlign w:val="center"/>
          </w:tcPr>
          <w:p w14:paraId="46656230"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Se asume un compromiso de inversión, pero no hay certeza sobre fecha ni monto exigible</w:t>
            </w:r>
          </w:p>
        </w:tc>
        <w:tc>
          <w:tcPr>
            <w:tcW w:w="0" w:type="auto"/>
            <w:vAlign w:val="center"/>
          </w:tcPr>
          <w:p w14:paraId="3A7495C4"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No cumple criterios de pasivo bajo NIIF ni LPT</w:t>
            </w:r>
          </w:p>
        </w:tc>
        <w:tc>
          <w:tcPr>
            <w:tcW w:w="0" w:type="auto"/>
            <w:vAlign w:val="center"/>
          </w:tcPr>
          <w:p w14:paraId="25A2613D"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Sí se registra como hecho económico relevante</w:t>
            </w:r>
          </w:p>
        </w:tc>
        <w:tc>
          <w:tcPr>
            <w:tcW w:w="0" w:type="auto"/>
            <w:vAlign w:val="center"/>
          </w:tcPr>
          <w:p w14:paraId="61791D40"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Cuenta de orden (memorial)</w:t>
            </w:r>
          </w:p>
        </w:tc>
      </w:tr>
      <w:tr w:rsidR="00C51607" w:rsidRPr="002012E1" w14:paraId="78718DAA" w14:textId="77777777" w:rsidTr="005C1607">
        <w:trPr>
          <w:jc w:val="center"/>
        </w:trPr>
        <w:tc>
          <w:tcPr>
            <w:tcW w:w="0" w:type="auto"/>
            <w:vAlign w:val="center"/>
          </w:tcPr>
          <w:p w14:paraId="6060A947"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Se ejecuta un llamado de capital (ya se conoce monto y fecha)</w:t>
            </w:r>
          </w:p>
        </w:tc>
        <w:tc>
          <w:tcPr>
            <w:tcW w:w="0" w:type="auto"/>
            <w:vAlign w:val="center"/>
          </w:tcPr>
          <w:p w14:paraId="774B0219"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Sí</w:t>
            </w:r>
          </w:p>
        </w:tc>
        <w:tc>
          <w:tcPr>
            <w:tcW w:w="0" w:type="auto"/>
            <w:vAlign w:val="center"/>
          </w:tcPr>
          <w:p w14:paraId="139C7C36"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Sí</w:t>
            </w:r>
          </w:p>
        </w:tc>
        <w:tc>
          <w:tcPr>
            <w:tcW w:w="0" w:type="auto"/>
            <w:vAlign w:val="center"/>
          </w:tcPr>
          <w:p w14:paraId="7555D24B" w14:textId="77777777" w:rsidR="00C51607" w:rsidRPr="002012E1" w:rsidRDefault="00C51607" w:rsidP="005C1607">
            <w:pPr>
              <w:spacing w:after="0" w:line="360" w:lineRule="auto"/>
              <w:jc w:val="center"/>
              <w:rPr>
                <w:rFonts w:ascii="Arial" w:hAnsi="Arial" w:cs="Arial"/>
                <w:bCs/>
                <w:lang w:val="es-MX"/>
              </w:rPr>
            </w:pPr>
            <w:r w:rsidRPr="002012E1">
              <w:rPr>
                <w:rFonts w:ascii="Arial" w:hAnsi="Arial" w:cs="Arial"/>
                <w:bCs/>
                <w:lang w:val="es-MX"/>
              </w:rPr>
              <w:t>Inversión en el activo, contra salida de efectivo o reducción de cuenta de orden</w:t>
            </w:r>
          </w:p>
        </w:tc>
      </w:tr>
    </w:tbl>
    <w:p w14:paraId="3754ADDE" w14:textId="77777777" w:rsidR="00C51607" w:rsidRPr="002012E1" w:rsidRDefault="00C51607" w:rsidP="00C51607">
      <w:pPr>
        <w:pStyle w:val="apaparrafo"/>
        <w:jc w:val="right"/>
      </w:pPr>
      <w:r w:rsidRPr="002012E1">
        <w:rPr>
          <w:b/>
          <w:bCs/>
        </w:rPr>
        <w:t xml:space="preserve">Fuente: </w:t>
      </w:r>
      <w:r w:rsidRPr="002012E1">
        <w:t xml:space="preserve">Elaboración propia. </w:t>
      </w:r>
      <w:r w:rsidRPr="002012E1">
        <w:rPr>
          <w:b/>
          <w:bCs/>
        </w:rPr>
        <w:t xml:space="preserve">Elaborado: </w:t>
      </w:r>
      <w:r w:rsidRPr="002012E1">
        <w:t>Grupo Investigador 2025</w:t>
      </w:r>
    </w:p>
    <w:p w14:paraId="469EE1E8" w14:textId="77777777" w:rsidR="00C51607" w:rsidRDefault="00C51607" w:rsidP="00C51607">
      <w:pPr>
        <w:pStyle w:val="apaparrafo"/>
      </w:pPr>
    </w:p>
    <w:p w14:paraId="584D6D54" w14:textId="77777777" w:rsidR="00C51607" w:rsidRPr="002012E1" w:rsidRDefault="00C51607" w:rsidP="00C51607">
      <w:pPr>
        <w:pStyle w:val="apaparrafo"/>
      </w:pPr>
    </w:p>
    <w:p w14:paraId="2D680682" w14:textId="77777777" w:rsidR="00C51607" w:rsidRPr="002012E1" w:rsidRDefault="00C51607" w:rsidP="00C51607">
      <w:pPr>
        <w:pStyle w:val="apanivel4"/>
        <w:rPr>
          <w:rFonts w:ascii="Arial" w:hAnsi="Arial" w:cs="Arial"/>
        </w:rPr>
      </w:pPr>
      <w:r w:rsidRPr="002012E1">
        <w:rPr>
          <w:rFonts w:ascii="Arial" w:hAnsi="Arial" w:cs="Arial"/>
        </w:rPr>
        <w:lastRenderedPageBreak/>
        <w:t>Desarrollo del Registro Contable</w:t>
      </w:r>
    </w:p>
    <w:p w14:paraId="0ACE7EA6" w14:textId="77777777" w:rsidR="00C51607" w:rsidRPr="002012E1" w:rsidRDefault="00C51607" w:rsidP="00C51607">
      <w:pPr>
        <w:pStyle w:val="apaparrafo"/>
      </w:pPr>
      <w:r w:rsidRPr="002012E1">
        <w:t>En el momento del compromiso (sin certeza de exigibilidad):</w:t>
      </w:r>
    </w:p>
    <w:p w14:paraId="2EDD5C7B" w14:textId="77777777" w:rsidR="00C51607" w:rsidRPr="002012E1" w:rsidRDefault="00C51607" w:rsidP="00C51607">
      <w:pPr>
        <w:pStyle w:val="apaparrafo"/>
      </w:pPr>
      <w:r w:rsidRPr="002012E1">
        <w:t>Cuenta de orden deudora (fuera de balance):</w:t>
      </w:r>
    </w:p>
    <w:p w14:paraId="7D319AAB" w14:textId="77777777" w:rsidR="00C51607" w:rsidRPr="002012E1" w:rsidRDefault="00C51607" w:rsidP="00C51607">
      <w:pPr>
        <w:pStyle w:val="apaparrafo"/>
        <w:numPr>
          <w:ilvl w:val="0"/>
          <w:numId w:val="48"/>
        </w:numPr>
      </w:pPr>
      <w:r w:rsidRPr="002012E1">
        <w:t>9991-Compromisos de inversión asumidos en fondos de capital de riesgo</w:t>
      </w:r>
    </w:p>
    <w:p w14:paraId="730796F7" w14:textId="77777777" w:rsidR="00C51607" w:rsidRPr="002012E1" w:rsidRDefault="00C51607" w:rsidP="00C51607">
      <w:pPr>
        <w:pStyle w:val="apaparrafo"/>
      </w:pPr>
      <w:r w:rsidRPr="002012E1">
        <w:t>Cuenta de orden acreedora (fuera de balance):</w:t>
      </w:r>
    </w:p>
    <w:p w14:paraId="053783E3" w14:textId="77777777" w:rsidR="00C51607" w:rsidRPr="002012E1" w:rsidRDefault="00C51607" w:rsidP="00C51607">
      <w:pPr>
        <w:pStyle w:val="apaparrafo"/>
        <w:numPr>
          <w:ilvl w:val="0"/>
          <w:numId w:val="48"/>
        </w:numPr>
      </w:pPr>
      <w:r w:rsidRPr="002012E1">
        <w:t>9992-Contrapartida de compromisos de inversión</w:t>
      </w:r>
    </w:p>
    <w:p w14:paraId="3DCB3C35" w14:textId="77777777" w:rsidR="00C51607" w:rsidRPr="002012E1" w:rsidRDefault="00C51607" w:rsidP="00C51607">
      <w:pPr>
        <w:pStyle w:val="apaparrafo"/>
      </w:pPr>
    </w:p>
    <w:p w14:paraId="38D1A58E" w14:textId="77777777" w:rsidR="00C51607" w:rsidRPr="002012E1" w:rsidRDefault="00C51607" w:rsidP="00C51607">
      <w:pPr>
        <w:pStyle w:val="apaparrafo"/>
      </w:pPr>
      <w:r w:rsidRPr="002012E1">
        <w:t>Esto no afecta el balance general ni el estado de resultados, pero sí revela el riesgo y compromiso asumido.</w:t>
      </w:r>
    </w:p>
    <w:p w14:paraId="5DC90C6E" w14:textId="77777777" w:rsidR="00C51607" w:rsidRPr="002012E1" w:rsidRDefault="00C51607" w:rsidP="00C51607">
      <w:pPr>
        <w:pStyle w:val="apaparrafo"/>
      </w:pPr>
    </w:p>
    <w:p w14:paraId="04EEBB9F" w14:textId="77777777" w:rsidR="00C51607" w:rsidRPr="002012E1" w:rsidRDefault="00C51607" w:rsidP="00C51607">
      <w:pPr>
        <w:pStyle w:val="apaparrafo"/>
      </w:pPr>
      <w:r w:rsidRPr="002012E1">
        <w:t>En el momento del llamado de capital (cuando el compromiso se hace exigible):</w:t>
      </w:r>
    </w:p>
    <w:p w14:paraId="55A0663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Asiento contable:</w:t>
      </w:r>
    </w:p>
    <w:p w14:paraId="057DAF83" w14:textId="77777777" w:rsidR="00C51607" w:rsidRPr="002012E1" w:rsidRDefault="00C51607" w:rsidP="00C51607">
      <w:pPr>
        <w:numPr>
          <w:ilvl w:val="0"/>
          <w:numId w:val="3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Débito: 1234 - Inversiones en fondos de capital de riesgo (activo)</w:t>
      </w:r>
    </w:p>
    <w:p w14:paraId="41C2E72B" w14:textId="77777777" w:rsidR="00C51607" w:rsidRPr="002012E1" w:rsidRDefault="00C51607" w:rsidP="00C51607">
      <w:pPr>
        <w:numPr>
          <w:ilvl w:val="0"/>
          <w:numId w:val="34"/>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Crédito: 1101 - Bancos (efectivo)</w:t>
      </w:r>
    </w:p>
    <w:p w14:paraId="6D2B2766"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2B935889"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Y en cuentas de orden:</w:t>
      </w:r>
    </w:p>
    <w:p w14:paraId="4EB84993" w14:textId="77777777" w:rsidR="00C51607" w:rsidRPr="002012E1" w:rsidRDefault="00C51607" w:rsidP="00C51607">
      <w:pPr>
        <w:numPr>
          <w:ilvl w:val="0"/>
          <w:numId w:val="3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disminuye el monto registrado en las cuentas de orden (9991 y 9992).</w:t>
      </w:r>
    </w:p>
    <w:p w14:paraId="0EEB6306" w14:textId="77777777" w:rsidR="00C51607" w:rsidRPr="002012E1" w:rsidRDefault="00C51607" w:rsidP="00C51607">
      <w:pPr>
        <w:spacing w:line="360" w:lineRule="auto"/>
        <w:rPr>
          <w:rFonts w:ascii="Arial" w:eastAsia="Calibri" w:hAnsi="Arial" w:cs="Arial"/>
          <w:b/>
          <w:kern w:val="0"/>
          <w14:ligatures w14:val="none"/>
        </w:rPr>
      </w:pPr>
    </w:p>
    <w:p w14:paraId="77428FC1" w14:textId="77777777" w:rsidR="00C51607" w:rsidRPr="002012E1" w:rsidRDefault="00C51607" w:rsidP="00C51607">
      <w:pPr>
        <w:pStyle w:val="apanivel3"/>
        <w:rPr>
          <w:rFonts w:ascii="Arial" w:hAnsi="Arial" w:cs="Arial"/>
        </w:rPr>
      </w:pPr>
      <w:bookmarkStart w:id="147" w:name="_Toc201832481"/>
      <w:r w:rsidRPr="002012E1">
        <w:rPr>
          <w:rFonts w:ascii="Arial" w:hAnsi="Arial" w:cs="Arial"/>
        </w:rPr>
        <w:t>Simulación</w:t>
      </w:r>
      <w:bookmarkEnd w:id="147"/>
    </w:p>
    <w:p w14:paraId="4F91D041" w14:textId="77777777" w:rsidR="00C51607" w:rsidRPr="002012E1" w:rsidRDefault="00C51607" w:rsidP="00C51607">
      <w:pPr>
        <w:pStyle w:val="apanivel4"/>
        <w:rPr>
          <w:rFonts w:ascii="Arial" w:hAnsi="Arial" w:cs="Arial"/>
        </w:rPr>
      </w:pPr>
      <w:r w:rsidRPr="002012E1">
        <w:rPr>
          <w:rFonts w:ascii="Arial" w:hAnsi="Arial" w:cs="Arial"/>
        </w:rPr>
        <w:t>Ejemplo 1: Registro contable de participación en fondo de capital privado con valorización positiva</w:t>
      </w:r>
    </w:p>
    <w:p w14:paraId="27EF323E" w14:textId="77777777" w:rsidR="00C51607" w:rsidRPr="002012E1" w:rsidRDefault="00C51607" w:rsidP="00C51607">
      <w:pPr>
        <w:pStyle w:val="apaparrafo"/>
      </w:pPr>
      <w:r w:rsidRPr="002012E1">
        <w:t>Una operadora de pensiones adquiere participación en un fondo de capital privado por $2.000.000, con expectativa de rentabilidad del 12% anual.</w:t>
      </w:r>
    </w:p>
    <w:p w14:paraId="1E674C31" w14:textId="77777777" w:rsidR="00C51607" w:rsidRPr="002012E1" w:rsidRDefault="00C51607" w:rsidP="00C51607">
      <w:pPr>
        <w:pStyle w:val="apaparrafo"/>
      </w:pPr>
    </w:p>
    <w:p w14:paraId="7BE2BB34" w14:textId="77777777" w:rsidR="00C51607" w:rsidRPr="002012E1" w:rsidRDefault="00C51607" w:rsidP="00C51607">
      <w:pPr>
        <w:pStyle w:val="apaparrafo"/>
      </w:pPr>
      <w:r w:rsidRPr="002012E1">
        <w:rPr>
          <w:b/>
        </w:rPr>
        <w:t>Registro Inicial:</w:t>
      </w:r>
    </w:p>
    <w:p w14:paraId="4434BE10" w14:textId="77777777" w:rsidR="00C51607" w:rsidRPr="002012E1" w:rsidRDefault="00C51607" w:rsidP="00C51607">
      <w:pPr>
        <w:pStyle w:val="apaparrafo"/>
      </w:pPr>
      <w:r w:rsidRPr="002012E1">
        <w:t xml:space="preserve">Activo financiero – inversiones alternativas (a valor razonable)    $2.000.000  </w:t>
      </w:r>
    </w:p>
    <w:p w14:paraId="366C558A" w14:textId="77777777" w:rsidR="00C51607" w:rsidRPr="002012E1" w:rsidRDefault="00C51607" w:rsidP="00C51607">
      <w:pPr>
        <w:pStyle w:val="apaparrafo"/>
      </w:pPr>
      <w:r w:rsidRPr="002012E1">
        <w:t xml:space="preserve">     Efectivo en bancos                            </w:t>
      </w:r>
      <w:r>
        <w:tab/>
      </w:r>
      <w:r>
        <w:tab/>
      </w:r>
      <w:r>
        <w:tab/>
      </w:r>
      <w:r>
        <w:tab/>
        <w:t xml:space="preserve">       </w:t>
      </w:r>
      <w:r w:rsidRPr="002012E1">
        <w:t xml:space="preserve"> $2.000.000</w:t>
      </w:r>
    </w:p>
    <w:p w14:paraId="751A4DEB" w14:textId="77777777" w:rsidR="00C51607" w:rsidRDefault="00C51607" w:rsidP="00C51607">
      <w:pPr>
        <w:spacing w:line="360" w:lineRule="auto"/>
        <w:rPr>
          <w:rFonts w:ascii="Arial" w:eastAsia="Calibri" w:hAnsi="Arial" w:cs="Arial"/>
          <w:bCs/>
          <w:kern w:val="0"/>
          <w14:ligatures w14:val="none"/>
        </w:rPr>
      </w:pPr>
    </w:p>
    <w:p w14:paraId="0D2C38D2" w14:textId="77777777" w:rsidR="00C51607" w:rsidRPr="002012E1" w:rsidRDefault="00C51607" w:rsidP="00C51607">
      <w:pPr>
        <w:spacing w:line="360" w:lineRule="auto"/>
        <w:rPr>
          <w:rFonts w:ascii="Arial" w:eastAsia="Calibri" w:hAnsi="Arial" w:cs="Arial"/>
          <w:bCs/>
          <w:kern w:val="0"/>
          <w14:ligatures w14:val="none"/>
        </w:rPr>
      </w:pPr>
    </w:p>
    <w:p w14:paraId="748C7AEC" w14:textId="77777777" w:rsidR="00C51607" w:rsidRPr="002012E1" w:rsidRDefault="00C51607" w:rsidP="00C51607">
      <w:pPr>
        <w:spacing w:line="360" w:lineRule="auto"/>
        <w:rPr>
          <w:rFonts w:ascii="Arial" w:eastAsia="Calibri" w:hAnsi="Arial" w:cs="Arial"/>
          <w:b/>
          <w:bCs/>
          <w:kern w:val="0"/>
          <w14:ligatures w14:val="none"/>
        </w:rPr>
      </w:pPr>
      <w:r w:rsidRPr="002012E1">
        <w:rPr>
          <w:rFonts w:ascii="Arial" w:eastAsia="Calibri" w:hAnsi="Arial" w:cs="Arial"/>
          <w:b/>
          <w:kern w:val="0"/>
          <w14:ligatures w14:val="none"/>
        </w:rPr>
        <w:lastRenderedPageBreak/>
        <w:t xml:space="preserve">Medición Posterior (tras un año): </w:t>
      </w:r>
      <w:r w:rsidRPr="002012E1">
        <w:rPr>
          <w:rFonts w:ascii="Arial" w:eastAsia="Calibri" w:hAnsi="Arial" w:cs="Arial"/>
          <w:bCs/>
          <w:kern w:val="0"/>
          <w14:ligatures w14:val="none"/>
        </w:rPr>
        <w:t xml:space="preserve">Valor razonable actualizado = </w:t>
      </w:r>
      <w:r w:rsidRPr="002012E1">
        <w:rPr>
          <w:rFonts w:ascii="Arial" w:eastAsia="Calibri" w:hAnsi="Arial" w:cs="Arial"/>
          <w:kern w:val="0"/>
          <w14:ligatures w14:val="none"/>
        </w:rPr>
        <w:t>$2.240.000</w:t>
      </w:r>
    </w:p>
    <w:p w14:paraId="4C549723" w14:textId="77777777" w:rsidR="00C51607" w:rsidRPr="002012E1" w:rsidRDefault="00C51607" w:rsidP="00C51607">
      <w:pPr>
        <w:pStyle w:val="apaparrafo"/>
      </w:pPr>
      <w:r w:rsidRPr="002012E1">
        <w:t xml:space="preserve">Activo financiero – inversiones alternativas                      $240.000  </w:t>
      </w:r>
    </w:p>
    <w:p w14:paraId="6436E6AA" w14:textId="77777777" w:rsidR="00C51607" w:rsidRPr="002012E1" w:rsidRDefault="00C51607" w:rsidP="00C51607">
      <w:pPr>
        <w:pStyle w:val="apaparrafo"/>
      </w:pPr>
      <w:r w:rsidRPr="002012E1">
        <w:t xml:space="preserve">     Ingresos por revaluación de inversiones                     $240.000</w:t>
      </w:r>
    </w:p>
    <w:p w14:paraId="293BF681" w14:textId="77777777" w:rsidR="00C51607" w:rsidRPr="002012E1" w:rsidRDefault="00C51607" w:rsidP="00C51607">
      <w:pPr>
        <w:pStyle w:val="apaparrafo"/>
      </w:pPr>
    </w:p>
    <w:p w14:paraId="7C6C782B" w14:textId="77777777" w:rsidR="00C51607" w:rsidRPr="002012E1" w:rsidRDefault="00C51607" w:rsidP="00C51607">
      <w:pPr>
        <w:pStyle w:val="apaparrafo"/>
      </w:pPr>
      <w:r w:rsidRPr="002012E1">
        <w:rPr>
          <w:b/>
        </w:rPr>
        <w:t>Observación:</w:t>
      </w:r>
      <w:r w:rsidRPr="002012E1">
        <w:t xml:space="preserve"> Esta contabilización sigue NIIF 13 (valor razonable) y se presenta en resultados según NIIF 9.</w:t>
      </w:r>
    </w:p>
    <w:p w14:paraId="684B0A7F" w14:textId="77777777" w:rsidR="00C51607" w:rsidRPr="002012E1" w:rsidRDefault="00C51607" w:rsidP="00C51607">
      <w:pPr>
        <w:pStyle w:val="apaparrafo"/>
      </w:pPr>
    </w:p>
    <w:p w14:paraId="21DE942A" w14:textId="77777777" w:rsidR="00C51607" w:rsidRPr="002012E1" w:rsidRDefault="00C51607" w:rsidP="00C51607">
      <w:pPr>
        <w:pStyle w:val="apaparrafo"/>
        <w:rPr>
          <w:b/>
          <w:bCs/>
        </w:rPr>
      </w:pPr>
      <w:r w:rsidRPr="002012E1">
        <w:rPr>
          <w:b/>
          <w:bCs/>
        </w:rPr>
        <w:t>Resultado esperado del portafolio con inversiones alternativas:</w:t>
      </w:r>
    </w:p>
    <w:p w14:paraId="72E6C38E" w14:textId="77777777" w:rsidR="00C51607" w:rsidRPr="002012E1" w:rsidRDefault="00C51607" w:rsidP="00C51607">
      <w:pPr>
        <w:pStyle w:val="apaparrafo"/>
        <w:numPr>
          <w:ilvl w:val="0"/>
          <w:numId w:val="35"/>
        </w:numPr>
      </w:pPr>
      <w:r w:rsidRPr="002012E1">
        <w:t>Sharpe Ratio tradicional: 0.78</w:t>
      </w:r>
    </w:p>
    <w:p w14:paraId="19E9168C" w14:textId="77777777" w:rsidR="00C51607" w:rsidRPr="002012E1" w:rsidRDefault="00C51607" w:rsidP="00C51607">
      <w:pPr>
        <w:pStyle w:val="apaparrafo"/>
        <w:numPr>
          <w:ilvl w:val="0"/>
          <w:numId w:val="35"/>
        </w:numPr>
      </w:pPr>
      <w:r w:rsidRPr="002012E1">
        <w:t>Sharpe Ratio con activos alternativos: 1.12</w:t>
      </w:r>
      <w:r w:rsidRPr="002012E1">
        <w:br/>
        <w:t>Se evidencia una mejora en el rendimiento ajustado al riesgo.</w:t>
      </w:r>
    </w:p>
    <w:p w14:paraId="1E12CB5C" w14:textId="77777777" w:rsidR="00C51607" w:rsidRPr="002012E1" w:rsidRDefault="00C51607" w:rsidP="00C51607">
      <w:pPr>
        <w:pStyle w:val="apaparrafo"/>
      </w:pPr>
    </w:p>
    <w:p w14:paraId="52103B5F" w14:textId="77777777" w:rsidR="00C51607" w:rsidRPr="002012E1" w:rsidRDefault="00C51607" w:rsidP="00C51607">
      <w:pPr>
        <w:pStyle w:val="apanivel4"/>
        <w:rPr>
          <w:rFonts w:ascii="Arial" w:hAnsi="Arial" w:cs="Arial"/>
        </w:rPr>
      </w:pPr>
      <w:r w:rsidRPr="002012E1">
        <w:rPr>
          <w:rFonts w:ascii="Arial" w:hAnsi="Arial" w:cs="Arial"/>
        </w:rPr>
        <w:t>Ejemplo 2: Inversión en Fondo de Infraestructura (con deterioro parcial)</w:t>
      </w:r>
    </w:p>
    <w:p w14:paraId="53C29922" w14:textId="77777777" w:rsidR="00C51607" w:rsidRPr="002012E1" w:rsidRDefault="00C51607" w:rsidP="00C51607">
      <w:pPr>
        <w:pStyle w:val="apaparrafo"/>
      </w:pPr>
      <w:r w:rsidRPr="002012E1">
        <w:t>Una operadora de pensiones adquiere participación en un fondo de infraestructura regional por un valor de ₡1.500.000.000, con una expectativa de retorno del 10% anual. Sin embargo, debido a atrasos en los proyectos del fondo, el valor razonable cae a ₡1.350.000.000 tras una reevaluación al cierre del año.</w:t>
      </w:r>
    </w:p>
    <w:p w14:paraId="6B797D39" w14:textId="77777777" w:rsidR="00C51607" w:rsidRPr="002012E1" w:rsidRDefault="00C51607" w:rsidP="00C51607">
      <w:pPr>
        <w:pStyle w:val="apaparrafo"/>
      </w:pPr>
    </w:p>
    <w:p w14:paraId="2EC5E5AD" w14:textId="77777777" w:rsidR="00C51607" w:rsidRPr="002012E1" w:rsidRDefault="00C51607" w:rsidP="00C51607">
      <w:pPr>
        <w:pStyle w:val="apaparrafo"/>
        <w:rPr>
          <w:rFonts w:eastAsia="Calibri"/>
          <w:b/>
          <w:bCs/>
          <w:lang w:val="es-419"/>
        </w:rPr>
      </w:pPr>
      <w:r w:rsidRPr="002012E1">
        <w:rPr>
          <w:rFonts w:eastAsia="Calibri"/>
          <w:b/>
          <w:bCs/>
          <w:lang w:val="es-419"/>
        </w:rPr>
        <w:t>Registro Inicial:</w:t>
      </w:r>
    </w:p>
    <w:p w14:paraId="7908DBF6" w14:textId="77777777" w:rsidR="00C51607" w:rsidRPr="002012E1" w:rsidRDefault="00C51607" w:rsidP="00C51607">
      <w:pPr>
        <w:pStyle w:val="apaparrafo"/>
        <w:rPr>
          <w:rFonts w:eastAsia="Calibri"/>
          <w:bCs/>
        </w:rPr>
      </w:pPr>
      <w:r w:rsidRPr="002012E1">
        <w:rPr>
          <w:rFonts w:eastAsia="Calibri"/>
          <w:bCs/>
        </w:rPr>
        <w:t xml:space="preserve">Activo financiero – inversiones alternativas (valor razonable)    ₡1.500.000.000  </w:t>
      </w:r>
    </w:p>
    <w:p w14:paraId="63EB5C75" w14:textId="77777777" w:rsidR="00C51607" w:rsidRPr="002012E1" w:rsidRDefault="00C51607" w:rsidP="00C51607">
      <w:pPr>
        <w:pStyle w:val="apaparrafo"/>
        <w:rPr>
          <w:rFonts w:eastAsia="Calibri"/>
          <w:bCs/>
        </w:rPr>
      </w:pPr>
      <w:r w:rsidRPr="002012E1">
        <w:rPr>
          <w:rFonts w:eastAsia="Calibri"/>
          <w:bCs/>
        </w:rPr>
        <w:t xml:space="preserve">     Bancos – cuenta operadora                                 </w:t>
      </w:r>
      <w:r>
        <w:rPr>
          <w:rFonts w:eastAsia="Calibri"/>
          <w:bCs/>
        </w:rPr>
        <w:t xml:space="preserve">                 </w:t>
      </w:r>
      <w:r w:rsidRPr="002012E1">
        <w:rPr>
          <w:rFonts w:eastAsia="Calibri"/>
          <w:bCs/>
        </w:rPr>
        <w:t xml:space="preserve"> ₡1.500.000.000</w:t>
      </w:r>
    </w:p>
    <w:p w14:paraId="5746EA84" w14:textId="77777777" w:rsidR="00C51607" w:rsidRPr="002012E1" w:rsidRDefault="00C51607" w:rsidP="00C51607">
      <w:pPr>
        <w:pStyle w:val="apaparrafo"/>
        <w:rPr>
          <w:rFonts w:eastAsia="Calibri"/>
          <w:b/>
        </w:rPr>
      </w:pPr>
    </w:p>
    <w:p w14:paraId="569FA703" w14:textId="77777777" w:rsidR="00C51607" w:rsidRPr="002012E1" w:rsidRDefault="00C51607" w:rsidP="00C51607">
      <w:pPr>
        <w:pStyle w:val="apaparrafo"/>
        <w:rPr>
          <w:rFonts w:eastAsia="Calibri"/>
          <w:b/>
          <w:bCs/>
          <w:lang w:val="es-419"/>
        </w:rPr>
      </w:pPr>
      <w:r w:rsidRPr="002012E1">
        <w:rPr>
          <w:rFonts w:eastAsia="Calibri"/>
          <w:b/>
          <w:bCs/>
          <w:lang w:val="es-419"/>
        </w:rPr>
        <w:t>Medición Posterior (deterioro):</w:t>
      </w:r>
    </w:p>
    <w:p w14:paraId="45D70EDB" w14:textId="77777777" w:rsidR="00C51607" w:rsidRPr="002012E1" w:rsidRDefault="00C51607" w:rsidP="00C51607">
      <w:pPr>
        <w:pStyle w:val="apaparrafo"/>
        <w:rPr>
          <w:rFonts w:eastAsia="Calibri"/>
          <w:bCs/>
        </w:rPr>
      </w:pPr>
      <w:r w:rsidRPr="002012E1">
        <w:rPr>
          <w:rFonts w:eastAsia="Calibri"/>
          <w:bCs/>
        </w:rPr>
        <w:t xml:space="preserve">Pérdida por deterioro de activos financieros                    ₡150.000.000  </w:t>
      </w:r>
    </w:p>
    <w:p w14:paraId="6661CF8F" w14:textId="77777777" w:rsidR="00C51607" w:rsidRPr="002012E1" w:rsidRDefault="00C51607" w:rsidP="00C51607">
      <w:pPr>
        <w:pStyle w:val="apaparrafo"/>
        <w:rPr>
          <w:rFonts w:eastAsia="Calibri"/>
          <w:bCs/>
        </w:rPr>
      </w:pPr>
      <w:r w:rsidRPr="002012E1">
        <w:rPr>
          <w:rFonts w:eastAsia="Calibri"/>
          <w:bCs/>
        </w:rPr>
        <w:t xml:space="preserve">     Activo financiero – inversiones alternativas               </w:t>
      </w:r>
      <w:r>
        <w:rPr>
          <w:rFonts w:eastAsia="Calibri"/>
          <w:bCs/>
        </w:rPr>
        <w:t xml:space="preserve">  </w:t>
      </w:r>
      <w:r w:rsidRPr="002012E1">
        <w:rPr>
          <w:rFonts w:eastAsia="Calibri"/>
          <w:bCs/>
        </w:rPr>
        <w:t>₡150.000.000</w:t>
      </w:r>
    </w:p>
    <w:p w14:paraId="51647F48" w14:textId="77777777" w:rsidR="00C51607" w:rsidRPr="002012E1" w:rsidRDefault="00C51607" w:rsidP="00C51607">
      <w:pPr>
        <w:pStyle w:val="apaparrafo"/>
      </w:pPr>
    </w:p>
    <w:p w14:paraId="1773E14C" w14:textId="77777777" w:rsidR="00C51607" w:rsidRPr="002012E1" w:rsidRDefault="00C51607" w:rsidP="00C51607">
      <w:pPr>
        <w:pStyle w:val="apaparrafo"/>
        <w:rPr>
          <w:rFonts w:eastAsia="Calibri"/>
          <w:b/>
          <w:bCs/>
          <w:lang w:val="es-419"/>
        </w:rPr>
      </w:pPr>
      <w:r w:rsidRPr="002012E1">
        <w:rPr>
          <w:rFonts w:eastAsia="Calibri"/>
          <w:b/>
          <w:bCs/>
          <w:lang w:val="es-419"/>
        </w:rPr>
        <w:t>Notas:</w:t>
      </w:r>
    </w:p>
    <w:p w14:paraId="5396E8EA" w14:textId="77777777" w:rsidR="00C51607" w:rsidRPr="002012E1" w:rsidRDefault="00C51607" w:rsidP="00C51607">
      <w:pPr>
        <w:pStyle w:val="apaparrafo"/>
        <w:numPr>
          <w:ilvl w:val="0"/>
          <w:numId w:val="49"/>
        </w:numPr>
      </w:pPr>
      <w:r w:rsidRPr="002012E1">
        <w:t>Este registro aplica los lineamientos de NIIF 9 – deterioro.</w:t>
      </w:r>
    </w:p>
    <w:p w14:paraId="5F723DB6" w14:textId="77777777" w:rsidR="00C51607" w:rsidRPr="002012E1" w:rsidRDefault="00C51607" w:rsidP="00C51607">
      <w:pPr>
        <w:pStyle w:val="apaparrafo"/>
        <w:numPr>
          <w:ilvl w:val="0"/>
          <w:numId w:val="49"/>
        </w:numPr>
      </w:pPr>
      <w:r w:rsidRPr="002012E1">
        <w:t>Se incluye la disminución en resultados para transparencia.</w:t>
      </w:r>
    </w:p>
    <w:p w14:paraId="3CB64DC1" w14:textId="77777777" w:rsidR="00C51607" w:rsidRPr="002012E1" w:rsidRDefault="00C51607" w:rsidP="00C51607">
      <w:pPr>
        <w:pStyle w:val="apaparrafo"/>
        <w:numPr>
          <w:ilvl w:val="0"/>
          <w:numId w:val="49"/>
        </w:numPr>
      </w:pPr>
      <w:r w:rsidRPr="002012E1">
        <w:lastRenderedPageBreak/>
        <w:t>La SUPEN podrá supervisar el impacto del deterioro sobre el portafolio y tomar decisiones preventivas.</w:t>
      </w:r>
    </w:p>
    <w:p w14:paraId="38D1A866" w14:textId="77777777" w:rsidR="00C51607" w:rsidRPr="002012E1" w:rsidRDefault="00C51607" w:rsidP="00C51607">
      <w:pPr>
        <w:pStyle w:val="apaparrafo"/>
      </w:pPr>
    </w:p>
    <w:p w14:paraId="5E362F3D" w14:textId="77777777" w:rsidR="00C51607" w:rsidRPr="002012E1" w:rsidRDefault="00C51607" w:rsidP="00C51607">
      <w:pPr>
        <w:pStyle w:val="apanivel4"/>
        <w:rPr>
          <w:rFonts w:ascii="Arial" w:hAnsi="Arial" w:cs="Arial"/>
          <w:lang w:val="es-419"/>
        </w:rPr>
      </w:pPr>
      <w:r w:rsidRPr="002012E1">
        <w:rPr>
          <w:rFonts w:ascii="Arial" w:hAnsi="Arial" w:cs="Arial"/>
        </w:rPr>
        <w:t xml:space="preserve">Ejemplo 3: </w:t>
      </w:r>
      <w:r w:rsidRPr="002012E1">
        <w:rPr>
          <w:rFonts w:ascii="Arial" w:hAnsi="Arial" w:cs="Arial"/>
          <w:lang w:val="es-419"/>
        </w:rPr>
        <w:t>Inversión en Fondo de Capital de Riesgo (con revalorización escalonada)</w:t>
      </w:r>
    </w:p>
    <w:p w14:paraId="5FBF1D5C" w14:textId="77777777" w:rsidR="00C51607" w:rsidRPr="002012E1" w:rsidRDefault="00C51607" w:rsidP="00C51607">
      <w:pPr>
        <w:pStyle w:val="apaparrafo"/>
        <w:rPr>
          <w:lang w:val="es-419"/>
        </w:rPr>
      </w:pPr>
      <w:r w:rsidRPr="002012E1">
        <w:rPr>
          <w:lang w:val="es-419"/>
        </w:rPr>
        <w:t xml:space="preserve">La operadora invierte </w:t>
      </w:r>
      <w:r w:rsidRPr="002012E1">
        <w:rPr>
          <w:bCs/>
          <w:lang w:val="es-419"/>
        </w:rPr>
        <w:t>$1.200.000</w:t>
      </w:r>
      <w:r w:rsidRPr="002012E1">
        <w:rPr>
          <w:lang w:val="es-419"/>
        </w:rPr>
        <w:t xml:space="preserve"> en un fondo de capital de riesgo (startups tecnológicas). Tras el primer año, una de las empresas del fondo es adquirida por una firma multinacional, lo cual revaloriza el fondo en un 18%.</w:t>
      </w:r>
    </w:p>
    <w:p w14:paraId="41D64955" w14:textId="77777777" w:rsidR="00C51607" w:rsidRPr="002012E1" w:rsidRDefault="00C51607" w:rsidP="00C51607">
      <w:pPr>
        <w:pStyle w:val="apaparrafo"/>
        <w:rPr>
          <w:lang w:val="es-419"/>
        </w:rPr>
      </w:pPr>
    </w:p>
    <w:p w14:paraId="54C825D5" w14:textId="77777777" w:rsidR="00C51607" w:rsidRPr="002012E1" w:rsidRDefault="00C51607" w:rsidP="00C51607">
      <w:pPr>
        <w:pStyle w:val="apaparrafo"/>
        <w:rPr>
          <w:b/>
          <w:lang w:val="es-419"/>
        </w:rPr>
      </w:pPr>
      <w:r w:rsidRPr="002012E1">
        <w:rPr>
          <w:b/>
          <w:lang w:val="es-419"/>
        </w:rPr>
        <w:t>Registro Inicial:</w:t>
      </w:r>
    </w:p>
    <w:p w14:paraId="1D60420F" w14:textId="77777777" w:rsidR="00C51607" w:rsidRPr="002012E1" w:rsidRDefault="00C51607" w:rsidP="00C51607">
      <w:pPr>
        <w:pStyle w:val="apaparrafo"/>
      </w:pPr>
      <w:r w:rsidRPr="002012E1">
        <w:t xml:space="preserve">Activo financiero – inversiones alternativas                   $1.200.000  </w:t>
      </w:r>
    </w:p>
    <w:p w14:paraId="10D2FF96" w14:textId="77777777" w:rsidR="00C51607" w:rsidRPr="002012E1" w:rsidRDefault="00C51607" w:rsidP="00C51607">
      <w:pPr>
        <w:pStyle w:val="apaparrafo"/>
      </w:pPr>
      <w:r w:rsidRPr="002012E1">
        <w:t xml:space="preserve">     Bancos – fondos operativos                             </w:t>
      </w:r>
      <w:r>
        <w:t xml:space="preserve">        </w:t>
      </w:r>
      <w:r w:rsidRPr="002012E1">
        <w:t xml:space="preserve"> $1.200.000</w:t>
      </w:r>
    </w:p>
    <w:p w14:paraId="09A3D192" w14:textId="77777777" w:rsidR="00C51607" w:rsidRDefault="00C51607" w:rsidP="00C51607">
      <w:pPr>
        <w:pStyle w:val="apaparrafo"/>
        <w:rPr>
          <w:b/>
          <w:lang w:val="es-419"/>
        </w:rPr>
      </w:pPr>
    </w:p>
    <w:p w14:paraId="6CAB8ABB" w14:textId="77777777" w:rsidR="00C51607" w:rsidRPr="002012E1" w:rsidRDefault="00C51607" w:rsidP="00C51607">
      <w:pPr>
        <w:pStyle w:val="apaparrafo"/>
        <w:rPr>
          <w:bCs/>
          <w:lang w:val="es-419"/>
        </w:rPr>
      </w:pPr>
      <w:r w:rsidRPr="002012E1">
        <w:rPr>
          <w:b/>
          <w:lang w:val="es-419"/>
        </w:rPr>
        <w:t>Medición Posterior – Año 1:</w:t>
      </w:r>
      <w:r w:rsidRPr="002012E1">
        <w:rPr>
          <w:bCs/>
          <w:lang w:val="es-419"/>
        </w:rPr>
        <w:t xml:space="preserve"> </w:t>
      </w:r>
      <w:r w:rsidRPr="002012E1">
        <w:rPr>
          <w:lang w:val="es-419"/>
        </w:rPr>
        <w:t xml:space="preserve">Valor razonable actualizado = </w:t>
      </w:r>
      <w:r w:rsidRPr="002012E1">
        <w:rPr>
          <w:bCs/>
          <w:lang w:val="es-419"/>
        </w:rPr>
        <w:t>$1.416.000</w:t>
      </w:r>
    </w:p>
    <w:p w14:paraId="0BF606B9" w14:textId="77777777" w:rsidR="00C51607" w:rsidRPr="002012E1" w:rsidRDefault="00C51607" w:rsidP="00C51607">
      <w:pPr>
        <w:pStyle w:val="apaparrafo"/>
      </w:pPr>
      <w:r w:rsidRPr="002012E1">
        <w:t xml:space="preserve">Activo financiero – inversiones alternativas                  $216.000  </w:t>
      </w:r>
    </w:p>
    <w:p w14:paraId="786C9223" w14:textId="77777777" w:rsidR="00C51607" w:rsidRPr="002012E1" w:rsidRDefault="00C51607" w:rsidP="00C51607">
      <w:pPr>
        <w:pStyle w:val="apaparrafo"/>
      </w:pPr>
      <w:r w:rsidRPr="002012E1">
        <w:t xml:space="preserve">     Ganancia por valorización de activos                 </w:t>
      </w:r>
      <w:r>
        <w:t xml:space="preserve">  </w:t>
      </w:r>
      <w:r w:rsidRPr="002012E1">
        <w:t xml:space="preserve">   $216.000</w:t>
      </w:r>
    </w:p>
    <w:p w14:paraId="782F4BFC" w14:textId="77777777" w:rsidR="00C51607" w:rsidRDefault="00C51607" w:rsidP="00C51607">
      <w:pPr>
        <w:pStyle w:val="apaparrafo"/>
        <w:rPr>
          <w:b/>
          <w:lang w:val="es-419"/>
        </w:rPr>
      </w:pPr>
    </w:p>
    <w:p w14:paraId="49830BBE" w14:textId="77777777" w:rsidR="00C51607" w:rsidRPr="002012E1" w:rsidRDefault="00C51607" w:rsidP="00C51607">
      <w:pPr>
        <w:pStyle w:val="apaparrafo"/>
        <w:rPr>
          <w:b/>
          <w:lang w:val="es-419"/>
        </w:rPr>
      </w:pPr>
      <w:r w:rsidRPr="002012E1">
        <w:rPr>
          <w:b/>
          <w:lang w:val="es-419"/>
        </w:rPr>
        <w:t xml:space="preserve">Medición Posterior – Año 2 (ajuste adicional): </w:t>
      </w:r>
      <w:r w:rsidRPr="002012E1">
        <w:rPr>
          <w:bCs/>
          <w:lang w:val="es-419"/>
        </w:rPr>
        <w:t>Año siguiente, el valor razonable del fondo asciende a $1.550.000</w:t>
      </w:r>
    </w:p>
    <w:p w14:paraId="436641FA" w14:textId="77777777" w:rsidR="00C51607" w:rsidRPr="002012E1" w:rsidRDefault="00C51607" w:rsidP="00C51607">
      <w:pPr>
        <w:pStyle w:val="apaparrafo"/>
        <w:rPr>
          <w:bCs/>
        </w:rPr>
      </w:pPr>
      <w:r w:rsidRPr="002012E1">
        <w:rPr>
          <w:bCs/>
        </w:rPr>
        <w:t xml:space="preserve">Activo financiero – inversiones alternativas                  $134.000  </w:t>
      </w:r>
    </w:p>
    <w:p w14:paraId="44FDF860" w14:textId="77777777" w:rsidR="00C51607" w:rsidRPr="002012E1" w:rsidRDefault="00C51607" w:rsidP="00C51607">
      <w:pPr>
        <w:pStyle w:val="apaparrafo"/>
        <w:rPr>
          <w:bCs/>
        </w:rPr>
      </w:pPr>
      <w:r w:rsidRPr="002012E1">
        <w:rPr>
          <w:bCs/>
        </w:rPr>
        <w:t xml:space="preserve">     Ingreso por revalorización de activos                  </w:t>
      </w:r>
      <w:r>
        <w:rPr>
          <w:bCs/>
        </w:rPr>
        <w:t xml:space="preserve">    </w:t>
      </w:r>
      <w:r w:rsidRPr="002012E1">
        <w:rPr>
          <w:bCs/>
        </w:rPr>
        <w:t xml:space="preserve"> $134.000</w:t>
      </w:r>
    </w:p>
    <w:p w14:paraId="5E2E4B92" w14:textId="77777777" w:rsidR="00C51607" w:rsidRPr="002012E1" w:rsidRDefault="00C51607" w:rsidP="00C51607">
      <w:pPr>
        <w:pStyle w:val="apaparrafo"/>
        <w:rPr>
          <w:bCs/>
        </w:rPr>
      </w:pPr>
    </w:p>
    <w:p w14:paraId="311611EE" w14:textId="77777777" w:rsidR="00C51607" w:rsidRPr="002012E1" w:rsidRDefault="00C51607" w:rsidP="00C51607">
      <w:pPr>
        <w:pStyle w:val="apaparrafo"/>
        <w:rPr>
          <w:b/>
          <w:lang w:val="es-419"/>
        </w:rPr>
      </w:pPr>
      <w:r w:rsidRPr="002012E1">
        <w:rPr>
          <w:b/>
          <w:lang w:val="es-419"/>
        </w:rPr>
        <w:t>Impacto Global:</w:t>
      </w:r>
    </w:p>
    <w:p w14:paraId="36BAB4E6" w14:textId="77777777" w:rsidR="00C51607" w:rsidRPr="002012E1" w:rsidRDefault="00C51607" w:rsidP="00C51607">
      <w:pPr>
        <w:pStyle w:val="apaparrafo"/>
        <w:numPr>
          <w:ilvl w:val="0"/>
          <w:numId w:val="50"/>
        </w:numPr>
        <w:rPr>
          <w:bCs/>
          <w:lang w:val="es-419"/>
        </w:rPr>
      </w:pPr>
      <w:r w:rsidRPr="002012E1">
        <w:rPr>
          <w:bCs/>
          <w:lang w:val="es-419"/>
        </w:rPr>
        <w:t>Rentabilidad acumulada: 29.1% en dos años.</w:t>
      </w:r>
    </w:p>
    <w:p w14:paraId="33BAA270" w14:textId="77777777" w:rsidR="00C51607" w:rsidRPr="002012E1" w:rsidRDefault="00C51607" w:rsidP="00C51607">
      <w:pPr>
        <w:pStyle w:val="apaparrafo"/>
        <w:numPr>
          <w:ilvl w:val="0"/>
          <w:numId w:val="50"/>
        </w:numPr>
        <w:rPr>
          <w:bCs/>
          <w:lang w:val="es-419"/>
        </w:rPr>
      </w:pPr>
      <w:r w:rsidRPr="002012E1">
        <w:rPr>
          <w:bCs/>
          <w:lang w:val="es-419"/>
        </w:rPr>
        <w:t>Ajuste continuo a valor razonable según NIIF 13.</w:t>
      </w:r>
    </w:p>
    <w:p w14:paraId="19F67616" w14:textId="77777777" w:rsidR="00C51607" w:rsidRPr="002012E1" w:rsidRDefault="00C51607" w:rsidP="00C51607">
      <w:pPr>
        <w:pStyle w:val="apaparrafo"/>
        <w:numPr>
          <w:ilvl w:val="0"/>
          <w:numId w:val="50"/>
        </w:numPr>
        <w:rPr>
          <w:bCs/>
          <w:lang w:val="es-419"/>
        </w:rPr>
      </w:pPr>
      <w:r w:rsidRPr="002012E1">
        <w:rPr>
          <w:bCs/>
          <w:lang w:val="es-419"/>
        </w:rPr>
        <w:t>Beneficio: refleja el crecimiento del fondo sin realizar la inversión, ideal para decisiones de retención.</w:t>
      </w:r>
    </w:p>
    <w:p w14:paraId="1F1CE3D7" w14:textId="77777777" w:rsidR="00C51607" w:rsidRPr="002012E1" w:rsidRDefault="00C51607" w:rsidP="00C51607">
      <w:pPr>
        <w:pStyle w:val="apaparrafo"/>
        <w:rPr>
          <w:bCs/>
        </w:rPr>
      </w:pPr>
    </w:p>
    <w:p w14:paraId="325D6B46" w14:textId="77777777" w:rsidR="00C51607" w:rsidRPr="002012E1" w:rsidRDefault="00C51607" w:rsidP="00C51607">
      <w:pPr>
        <w:pStyle w:val="apaparrafo"/>
        <w:rPr>
          <w:bCs/>
        </w:rPr>
      </w:pPr>
    </w:p>
    <w:p w14:paraId="44E930CD" w14:textId="77777777" w:rsidR="00C51607" w:rsidRPr="002012E1" w:rsidRDefault="00C51607" w:rsidP="00C51607">
      <w:pPr>
        <w:pStyle w:val="apanivel4"/>
        <w:rPr>
          <w:rFonts w:ascii="Arial" w:hAnsi="Arial" w:cs="Arial"/>
        </w:rPr>
      </w:pPr>
      <w:r w:rsidRPr="002012E1">
        <w:rPr>
          <w:rFonts w:ascii="Arial" w:hAnsi="Arial" w:cs="Arial"/>
        </w:rPr>
        <w:lastRenderedPageBreak/>
        <w:t>Ejemplo 4: Inversión en fondos de deuda senior a largo plazo</w:t>
      </w:r>
    </w:p>
    <w:p w14:paraId="4101F02E" w14:textId="77777777" w:rsidR="00C51607" w:rsidRPr="002012E1" w:rsidRDefault="00C51607" w:rsidP="00C51607">
      <w:pPr>
        <w:pStyle w:val="apaparrafo"/>
        <w:rPr>
          <w:bCs/>
        </w:rPr>
      </w:pPr>
      <w:r w:rsidRPr="002012E1">
        <w:rPr>
          <w:bCs/>
        </w:rPr>
        <w:t xml:space="preserve">Una operadora invierte ₡2.500 millones en un fondo de deuda senior con expectativa de retorno anual del 7%. La valorización se realiza trimestralmente y puede presentar fluctuaciones menores debido a cambios en tasas de interés y riesgos crediticios. </w:t>
      </w:r>
    </w:p>
    <w:p w14:paraId="0267E809" w14:textId="77777777" w:rsidR="00C51607" w:rsidRPr="002012E1" w:rsidRDefault="00C51607" w:rsidP="00C51607">
      <w:pPr>
        <w:pStyle w:val="apaparrafo"/>
        <w:rPr>
          <w:bCs/>
        </w:rPr>
      </w:pPr>
    </w:p>
    <w:p w14:paraId="673D5425" w14:textId="77777777" w:rsidR="00C51607" w:rsidRPr="002012E1" w:rsidRDefault="00C51607" w:rsidP="00C51607">
      <w:pPr>
        <w:pStyle w:val="apaparrafo"/>
        <w:rPr>
          <w:bCs/>
        </w:rPr>
      </w:pPr>
      <w:r w:rsidRPr="002012E1">
        <w:rPr>
          <w:bCs/>
        </w:rPr>
        <w:t>Este tipo de inversión, aunque menos volátil que capital privado, requiere un registro contable que refleje adecuadamente la amortización de primas y descuentos, así como el deterioro por riesgo crediticio cuando corresponda. La propuesta permite un seguimiento detallado y transparente de estas variaciones, mejorando la precisión de los estados financieros.</w:t>
      </w:r>
    </w:p>
    <w:p w14:paraId="36D1F619" w14:textId="77777777" w:rsidR="00C51607" w:rsidRPr="002012E1" w:rsidRDefault="00C51607" w:rsidP="00C51607">
      <w:pPr>
        <w:pStyle w:val="apaparrafo"/>
        <w:rPr>
          <w:bCs/>
        </w:rPr>
      </w:pPr>
    </w:p>
    <w:p w14:paraId="2FDAE1B8" w14:textId="77777777" w:rsidR="00C51607" w:rsidRPr="002012E1" w:rsidRDefault="00C51607" w:rsidP="00C51607">
      <w:pPr>
        <w:pStyle w:val="apaparrafo"/>
        <w:rPr>
          <w:bCs/>
        </w:rPr>
      </w:pPr>
      <w:r w:rsidRPr="002012E1">
        <w:rPr>
          <w:bCs/>
        </w:rPr>
        <w:t>Estos ejemplos muestran cómo el modelo propuesto permite reconocer, valorar y presentar adecuadamente inversiones alternativas en los estados financieros de las operadoras, alineado con las mejores prácticas contables y la normativa internacional.</w:t>
      </w:r>
    </w:p>
    <w:p w14:paraId="7B121201" w14:textId="77777777" w:rsidR="00C51607" w:rsidRPr="002012E1" w:rsidRDefault="00C51607" w:rsidP="00C51607">
      <w:pPr>
        <w:pStyle w:val="apaparrafo"/>
        <w:rPr>
          <w:bCs/>
        </w:rPr>
      </w:pPr>
    </w:p>
    <w:p w14:paraId="7F49991C" w14:textId="77777777" w:rsidR="00C51607" w:rsidRPr="002012E1" w:rsidRDefault="00C51607" w:rsidP="00C51607">
      <w:pPr>
        <w:pStyle w:val="apanivel4"/>
        <w:rPr>
          <w:rFonts w:ascii="Arial" w:hAnsi="Arial" w:cs="Arial"/>
        </w:rPr>
      </w:pPr>
      <w:r w:rsidRPr="002012E1">
        <w:rPr>
          <w:rFonts w:ascii="Arial" w:hAnsi="Arial" w:cs="Arial"/>
        </w:rPr>
        <w:t>Valor Agregado de la Propuesta para la SUPEN</w:t>
      </w:r>
    </w:p>
    <w:p w14:paraId="4583C4FA" w14:textId="77777777" w:rsidR="00C51607" w:rsidRPr="00DF17F0" w:rsidRDefault="00C51607" w:rsidP="00C51607">
      <w:pPr>
        <w:pStyle w:val="apaparrafo"/>
        <w:numPr>
          <w:ilvl w:val="3"/>
          <w:numId w:val="58"/>
        </w:numPr>
        <w:ind w:left="284"/>
        <w:rPr>
          <w:b/>
          <w:bCs/>
        </w:rPr>
      </w:pPr>
      <w:r w:rsidRPr="00DF17F0">
        <w:rPr>
          <w:b/>
          <w:bCs/>
        </w:rPr>
        <w:t>Optimización del análisis de riesgo y rendimiento:</w:t>
      </w:r>
    </w:p>
    <w:p w14:paraId="6B2883C2" w14:textId="77777777" w:rsidR="00C51607" w:rsidRPr="00DF17F0" w:rsidRDefault="00C51607" w:rsidP="00C51607">
      <w:pPr>
        <w:pStyle w:val="apaparrafo"/>
      </w:pPr>
      <w:r w:rsidRPr="00DF17F0">
        <w:t xml:space="preserve">Incorporar metodologías contables alineadas con NIIF 9 y NIIF 13 permite medir con mayor precisión el rendimiento ajustado al riesgo. Por ejemplo, </w:t>
      </w:r>
      <w:r w:rsidRPr="002012E1">
        <w:t>“</w:t>
      </w:r>
      <w:r w:rsidRPr="00DF17F0">
        <w:t>la inclusión de activos alternativos ha demostrado mejorar el Sharpe Ratio de portafolios de pensiones de 0.78 a 1.12, lo que indica una mejor rentabilidad por unidad de riesgo asumido</w:t>
      </w:r>
      <w:r w:rsidRPr="002012E1">
        <w:t>”</w:t>
      </w:r>
      <w:r w:rsidRPr="00DF17F0">
        <w:t xml:space="preserve"> (Kilroy, 2023). Esto apoya decisiones estratégicas para diversificar y optimizar carteras.</w:t>
      </w:r>
    </w:p>
    <w:p w14:paraId="0C539A9F" w14:textId="77777777" w:rsidR="00C51607" w:rsidRPr="00DF17F0" w:rsidRDefault="00C51607" w:rsidP="00C51607">
      <w:pPr>
        <w:pStyle w:val="apaparrafo"/>
      </w:pPr>
    </w:p>
    <w:p w14:paraId="7E5F8406" w14:textId="77777777" w:rsidR="00C51607" w:rsidRPr="00DF17F0" w:rsidRDefault="00C51607" w:rsidP="00C51607">
      <w:pPr>
        <w:pStyle w:val="apaparrafo"/>
        <w:numPr>
          <w:ilvl w:val="3"/>
          <w:numId w:val="58"/>
        </w:numPr>
        <w:ind w:left="284"/>
        <w:rPr>
          <w:b/>
          <w:bCs/>
        </w:rPr>
      </w:pPr>
      <w:r w:rsidRPr="00DF17F0">
        <w:rPr>
          <w:b/>
          <w:bCs/>
        </w:rPr>
        <w:t>Cumplimiento normativo y reducción de incertidumbre:</w:t>
      </w:r>
    </w:p>
    <w:p w14:paraId="3158D836" w14:textId="77777777" w:rsidR="00C51607" w:rsidRPr="00DF17F0" w:rsidRDefault="00C51607" w:rsidP="00C51607">
      <w:pPr>
        <w:pStyle w:val="apaparrafo"/>
      </w:pPr>
      <w:r w:rsidRPr="00DF17F0">
        <w:t xml:space="preserve">La ausencia de un modelo contable estandarizado genera inconsistencias y dificulta la comparación entre operadoras. La propuesta establece un marco uniforme que </w:t>
      </w:r>
      <w:r w:rsidRPr="00DF17F0">
        <w:lastRenderedPageBreak/>
        <w:t>reduce la incertidumbre contable y facilita el cumplimiento de las normativas nacionales y estándares internacionales, alineándose con las disposiciones de CONASSIF y SUPEN</w:t>
      </w:r>
      <w:r w:rsidRPr="002012E1">
        <w:t>.</w:t>
      </w:r>
    </w:p>
    <w:p w14:paraId="386B572D" w14:textId="77777777" w:rsidR="00C51607" w:rsidRPr="00DF17F0" w:rsidRDefault="00C51607" w:rsidP="00C51607">
      <w:pPr>
        <w:pStyle w:val="apaparrafo"/>
      </w:pPr>
    </w:p>
    <w:p w14:paraId="08FC1EBC" w14:textId="77777777" w:rsidR="00C51607" w:rsidRPr="00DF17F0" w:rsidRDefault="00C51607" w:rsidP="00C51607">
      <w:pPr>
        <w:pStyle w:val="apaparrafo"/>
        <w:numPr>
          <w:ilvl w:val="3"/>
          <w:numId w:val="58"/>
        </w:numPr>
        <w:ind w:left="284"/>
        <w:rPr>
          <w:b/>
          <w:bCs/>
        </w:rPr>
      </w:pPr>
      <w:r w:rsidRPr="00DF17F0">
        <w:rPr>
          <w:b/>
          <w:bCs/>
        </w:rPr>
        <w:t>Mejora en la toma de decisiones y confianza de afiliados:</w:t>
      </w:r>
    </w:p>
    <w:p w14:paraId="4B33CD6A" w14:textId="77777777" w:rsidR="00C51607" w:rsidRPr="002012E1" w:rsidRDefault="00C51607" w:rsidP="00C51607">
      <w:pPr>
        <w:pStyle w:val="apaparrafo"/>
      </w:pPr>
      <w:r w:rsidRPr="002012E1">
        <w:rPr>
          <w:lang w:val="es-CR"/>
        </w:rPr>
        <w:t>Al reflejar fielmente el valor y riesgos de las inversiones alternativas, las operadoras pueden comunicar de manera más transparente el desempeño de los fondos, fortaleciendo la confianza de los afiliados y promoviendo una cultura de ahorro previsional más sólida.</w:t>
      </w:r>
    </w:p>
    <w:p w14:paraId="1D5C416A" w14:textId="77777777" w:rsidR="00C51607" w:rsidRPr="002012E1" w:rsidRDefault="00C51607" w:rsidP="00C51607">
      <w:pPr>
        <w:pStyle w:val="apaparrafo"/>
        <w:rPr>
          <w:bCs/>
        </w:rPr>
      </w:pPr>
    </w:p>
    <w:p w14:paraId="7746342E" w14:textId="77777777" w:rsidR="00C51607" w:rsidRPr="002012E1" w:rsidRDefault="00C51607" w:rsidP="00C51607">
      <w:pPr>
        <w:pStyle w:val="apanivel4"/>
        <w:rPr>
          <w:rFonts w:ascii="Arial" w:hAnsi="Arial" w:cs="Arial"/>
        </w:rPr>
      </w:pPr>
      <w:r w:rsidRPr="002012E1">
        <w:rPr>
          <w:rFonts w:ascii="Arial" w:hAnsi="Arial" w:cs="Arial"/>
        </w:rPr>
        <w:t>Datos Relevantes que Justifican la Importancia de la Propuesta</w:t>
      </w:r>
    </w:p>
    <w:p w14:paraId="5B4CBD26" w14:textId="77777777" w:rsidR="00C51607" w:rsidRPr="00DF17F0" w:rsidRDefault="00C51607" w:rsidP="00C51607">
      <w:pPr>
        <w:pStyle w:val="apaparrafo"/>
        <w:numPr>
          <w:ilvl w:val="0"/>
          <w:numId w:val="43"/>
        </w:numPr>
      </w:pPr>
      <w:r w:rsidRPr="00DF17F0">
        <w:t xml:space="preserve">El valor total de activos administrados por el Régimen Obligatorio de Pensiones </w:t>
      </w:r>
      <w:r w:rsidRPr="002012E1">
        <w:t>“</w:t>
      </w:r>
      <w:r w:rsidRPr="00DF17F0">
        <w:t>alcanzó aproximadamente ¢25.8 billones en 2024, con un crecimiento interanual del 17%</w:t>
      </w:r>
      <w:r w:rsidRPr="002012E1">
        <w:t>”</w:t>
      </w:r>
      <w:r w:rsidRPr="00DF17F0">
        <w:t xml:space="preserve"> (SUPEN, 2024).</w:t>
      </w:r>
    </w:p>
    <w:p w14:paraId="2A013F23" w14:textId="77777777" w:rsidR="00C51607" w:rsidRPr="00DF17F0" w:rsidRDefault="00C51607" w:rsidP="00C51607">
      <w:pPr>
        <w:pStyle w:val="apaparrafo"/>
        <w:numPr>
          <w:ilvl w:val="0"/>
          <w:numId w:val="43"/>
        </w:numPr>
      </w:pPr>
      <w:r w:rsidRPr="002012E1">
        <w:t>“</w:t>
      </w:r>
      <w:r w:rsidRPr="00DF17F0">
        <w:t>Cerca del 15</w:t>
      </w:r>
      <w:r w:rsidRPr="002012E1">
        <w:t xml:space="preserve"> </w:t>
      </w:r>
      <w:r w:rsidRPr="00DF17F0">
        <w:t>-</w:t>
      </w:r>
      <w:r w:rsidRPr="002012E1">
        <w:t xml:space="preserve"> </w:t>
      </w:r>
      <w:r w:rsidRPr="00DF17F0">
        <w:t>20% de estos activos corresponden a inversiones alternativas, incluyendo capital privado, infraestructura y bienes raíces, sectores que requieren un tratamiento contable especializado debido a su iliquidez y complejidad</w:t>
      </w:r>
      <w:r w:rsidRPr="002012E1">
        <w:t>”</w:t>
      </w:r>
      <w:r w:rsidRPr="00DF17F0">
        <w:t xml:space="preserve"> (Kilroy, 2023).</w:t>
      </w:r>
    </w:p>
    <w:p w14:paraId="0CDFDD83" w14:textId="77777777" w:rsidR="00C51607" w:rsidRPr="002012E1" w:rsidRDefault="00C51607" w:rsidP="00C51607">
      <w:pPr>
        <w:pStyle w:val="apaparrafo"/>
        <w:numPr>
          <w:ilvl w:val="0"/>
          <w:numId w:val="43"/>
        </w:numPr>
      </w:pPr>
      <w:r w:rsidRPr="002012E1">
        <w:rPr>
          <w:lang w:val="es-CR"/>
        </w:rPr>
        <w:t>La rentabilidad nominal anual promedio del ROP “fue del 8.01% en 2025, evidenciando la necesidad de un registro contable que capture adecuadamente las fluctuaciones y riesgos inherentes” (Semanario Universidad, 2025).</w:t>
      </w:r>
    </w:p>
    <w:p w14:paraId="03419C1F" w14:textId="77777777" w:rsidR="00C51607" w:rsidRPr="002012E1" w:rsidRDefault="00C51607" w:rsidP="00C51607">
      <w:pPr>
        <w:pStyle w:val="apaparrafo"/>
        <w:rPr>
          <w:lang w:val="es-CR"/>
        </w:rPr>
      </w:pPr>
    </w:p>
    <w:p w14:paraId="070F0737" w14:textId="77777777" w:rsidR="00C51607" w:rsidRPr="002012E1" w:rsidRDefault="00C51607" w:rsidP="00C51607">
      <w:pPr>
        <w:pStyle w:val="apaparrafo"/>
      </w:pPr>
      <w:r w:rsidRPr="002012E1">
        <w:t>En conclusión, la propuesta de un modelo contable específico para inversiones alternativas aporta un marco técnico y normativo robusto que mejora la supervisión, transparencia y gestión de riesgos en el sistema de pensiones costarricense, favoreciendo la sostenibilidad financiera y la confianza de los afiliados.</w:t>
      </w:r>
    </w:p>
    <w:p w14:paraId="66947411" w14:textId="77777777" w:rsidR="00C51607" w:rsidRDefault="00C51607" w:rsidP="00C51607">
      <w:pPr>
        <w:pStyle w:val="apaparrafo"/>
      </w:pPr>
    </w:p>
    <w:p w14:paraId="68358BA7" w14:textId="77777777" w:rsidR="00C51607" w:rsidRPr="002012E1" w:rsidRDefault="00C51607" w:rsidP="00C51607">
      <w:pPr>
        <w:pStyle w:val="apaparrafo"/>
      </w:pPr>
    </w:p>
    <w:p w14:paraId="693B6E44" w14:textId="77777777" w:rsidR="00C51607" w:rsidRPr="002012E1" w:rsidRDefault="00C51607" w:rsidP="00C51607">
      <w:pPr>
        <w:pStyle w:val="apanivel4"/>
        <w:rPr>
          <w:rFonts w:ascii="Arial" w:hAnsi="Arial" w:cs="Arial"/>
        </w:rPr>
      </w:pPr>
      <w:r w:rsidRPr="002012E1">
        <w:rPr>
          <w:rFonts w:ascii="Arial" w:hAnsi="Arial" w:cs="Arial"/>
        </w:rPr>
        <w:lastRenderedPageBreak/>
        <w:t>Conclusiones contables clave</w:t>
      </w:r>
    </w:p>
    <w:p w14:paraId="2802166C" w14:textId="77777777" w:rsidR="00C51607" w:rsidRPr="002012E1" w:rsidRDefault="00C51607" w:rsidP="00C51607">
      <w:pPr>
        <w:numPr>
          <w:ilvl w:val="0"/>
          <w:numId w:val="3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Si no existe certeza sobre la fecha o monto exigible del compromiso, no puede reconocerse un pasivo bajo NIIF, se debe registrar en cuentas de orden.</w:t>
      </w:r>
    </w:p>
    <w:p w14:paraId="73230067" w14:textId="77777777" w:rsidR="00C51607" w:rsidRPr="002012E1" w:rsidRDefault="00C51607" w:rsidP="00C51607">
      <w:pPr>
        <w:numPr>
          <w:ilvl w:val="0"/>
          <w:numId w:val="3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uso de cuentas de orden es consistente con las NIIF, la LPT y el Reglamento de Fondos de Capital de Riesgo.</w:t>
      </w:r>
    </w:p>
    <w:p w14:paraId="20D36116" w14:textId="77777777" w:rsidR="00C51607" w:rsidRPr="002012E1" w:rsidRDefault="00C51607" w:rsidP="00C51607">
      <w:pPr>
        <w:numPr>
          <w:ilvl w:val="0"/>
          <w:numId w:val="3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Cuando se ejecute el llamado de capital y se materialice la inversión se hace el asiento contable en el balance general.</w:t>
      </w:r>
    </w:p>
    <w:p w14:paraId="68405198" w14:textId="77777777" w:rsidR="00C51607" w:rsidRPr="002012E1" w:rsidRDefault="00C51607" w:rsidP="00C51607">
      <w:pPr>
        <w:numPr>
          <w:ilvl w:val="0"/>
          <w:numId w:val="35"/>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Las entidades reguladas deben establecer cuentas contables específicas para estos compromisos y revelarlos adecuadamente en sus notas contables.</w:t>
      </w:r>
    </w:p>
    <w:p w14:paraId="068734CD"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0C014443" w14:textId="77777777" w:rsidR="00C51607" w:rsidRPr="002012E1" w:rsidRDefault="00C51607" w:rsidP="00C51607">
      <w:pPr>
        <w:pStyle w:val="apanivel3"/>
        <w:rPr>
          <w:rFonts w:ascii="Arial" w:hAnsi="Arial" w:cs="Arial"/>
        </w:rPr>
      </w:pPr>
      <w:bookmarkStart w:id="148" w:name="_Toc173343487"/>
      <w:bookmarkStart w:id="149" w:name="_Toc201832482"/>
      <w:r w:rsidRPr="002012E1">
        <w:rPr>
          <w:rFonts w:ascii="Arial" w:hAnsi="Arial" w:cs="Arial"/>
        </w:rPr>
        <w:t>Evaluación de la propuesta</w:t>
      </w:r>
      <w:bookmarkEnd w:id="148"/>
      <w:bookmarkEnd w:id="149"/>
    </w:p>
    <w:p w14:paraId="27A48320"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evaluación se realizará en función de los siguientes criterios:</w:t>
      </w:r>
    </w:p>
    <w:p w14:paraId="6D4732B9" w14:textId="77777777" w:rsidR="00C51607" w:rsidRPr="002012E1" w:rsidRDefault="00C51607" w:rsidP="00C51607">
      <w:pPr>
        <w:numPr>
          <w:ilvl w:val="0"/>
          <w:numId w:val="2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Coherencia normativa NIIF y regulación costarricense</w:t>
      </w:r>
    </w:p>
    <w:p w14:paraId="5F71C3B7" w14:textId="77777777" w:rsidR="00C51607" w:rsidRPr="002012E1" w:rsidRDefault="00C51607" w:rsidP="00C51607">
      <w:pPr>
        <w:numPr>
          <w:ilvl w:val="0"/>
          <w:numId w:val="2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Viabilidad técnica del modelo contable propuesto</w:t>
      </w:r>
    </w:p>
    <w:p w14:paraId="2A6E1B86" w14:textId="77777777" w:rsidR="00C51607" w:rsidRPr="002012E1" w:rsidRDefault="00C51607" w:rsidP="00C51607">
      <w:pPr>
        <w:numPr>
          <w:ilvl w:val="0"/>
          <w:numId w:val="2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Aplicabilidad practica en escenarios reales o simulados</w:t>
      </w:r>
    </w:p>
    <w:p w14:paraId="5D22A790" w14:textId="77777777" w:rsidR="00C51607" w:rsidRPr="002012E1" w:rsidRDefault="00C51607" w:rsidP="00C51607">
      <w:pPr>
        <w:numPr>
          <w:ilvl w:val="0"/>
          <w:numId w:val="21"/>
        </w:num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Aceptación de la propuesta por parte de los expertos.</w:t>
      </w:r>
    </w:p>
    <w:p w14:paraId="15832EE2" w14:textId="77777777" w:rsidR="00C51607" w:rsidRPr="002012E1" w:rsidRDefault="00C51607" w:rsidP="00C51607">
      <w:pPr>
        <w:pStyle w:val="apaparrafo"/>
      </w:pPr>
      <w:bookmarkStart w:id="150" w:name="_Toc173343488"/>
    </w:p>
    <w:p w14:paraId="64AA5955" w14:textId="77777777" w:rsidR="00C51607" w:rsidRPr="002012E1" w:rsidRDefault="00C51607" w:rsidP="00C51607">
      <w:pPr>
        <w:pStyle w:val="apanivel3"/>
        <w:rPr>
          <w:rFonts w:ascii="Arial" w:hAnsi="Arial" w:cs="Arial"/>
        </w:rPr>
      </w:pPr>
      <w:bookmarkStart w:id="151" w:name="_Toc201832483"/>
      <w:r w:rsidRPr="002012E1">
        <w:rPr>
          <w:rFonts w:ascii="Arial" w:hAnsi="Arial" w:cs="Arial"/>
        </w:rPr>
        <w:t>Cronograma de actividades</w:t>
      </w:r>
      <w:bookmarkEnd w:id="150"/>
      <w:bookmarkEnd w:id="151"/>
    </w:p>
    <w:p w14:paraId="76320BC9" w14:textId="77777777" w:rsidR="00C51607" w:rsidRPr="002012E1" w:rsidRDefault="00C51607" w:rsidP="00C51607">
      <w:pPr>
        <w:pStyle w:val="apaparrafo"/>
      </w:pPr>
      <w:r w:rsidRPr="002012E1">
        <w:t>A continuación, se brinda el cronograma de actividades y recursos a futuro, en el cual se muestra las actividades, recursos involucrados, requeridos y los responsables de cada una de las actividades para implementar la propuesta.</w:t>
      </w:r>
    </w:p>
    <w:p w14:paraId="78FB0C29" w14:textId="77777777" w:rsidR="00C51607" w:rsidRDefault="00C51607" w:rsidP="00C51607">
      <w:pPr>
        <w:pStyle w:val="apaparrafo"/>
      </w:pPr>
    </w:p>
    <w:p w14:paraId="520E81B2" w14:textId="77777777" w:rsidR="00C51607" w:rsidRDefault="00C51607" w:rsidP="00C51607">
      <w:pPr>
        <w:pStyle w:val="apaparrafo"/>
      </w:pPr>
    </w:p>
    <w:p w14:paraId="11926CCC" w14:textId="77777777" w:rsidR="00C51607" w:rsidRDefault="00C51607" w:rsidP="00C51607">
      <w:pPr>
        <w:pStyle w:val="apaparrafo"/>
      </w:pPr>
    </w:p>
    <w:p w14:paraId="39648D80" w14:textId="77777777" w:rsidR="00C51607" w:rsidRDefault="00C51607" w:rsidP="00C51607">
      <w:pPr>
        <w:pStyle w:val="apaparrafo"/>
      </w:pPr>
    </w:p>
    <w:p w14:paraId="61953499" w14:textId="77777777" w:rsidR="00C51607" w:rsidRDefault="00C51607" w:rsidP="00C51607">
      <w:pPr>
        <w:pStyle w:val="apaparrafo"/>
      </w:pPr>
    </w:p>
    <w:p w14:paraId="340FCE44" w14:textId="77777777" w:rsidR="00C51607" w:rsidRPr="002012E1" w:rsidRDefault="00C51607" w:rsidP="00C51607">
      <w:pPr>
        <w:pStyle w:val="apaparrafo"/>
      </w:pPr>
    </w:p>
    <w:p w14:paraId="5D68C3C5" w14:textId="187E5402" w:rsidR="00C51607" w:rsidRPr="002012E1" w:rsidRDefault="00C51607" w:rsidP="00C51607">
      <w:pPr>
        <w:spacing w:after="200" w:line="360" w:lineRule="auto"/>
        <w:rPr>
          <w:rFonts w:ascii="Arial" w:eastAsia="Calibri" w:hAnsi="Arial" w:cs="Arial"/>
          <w:b/>
          <w:bCs/>
          <w:i/>
          <w:iCs/>
          <w:kern w:val="0"/>
          <w14:ligatures w14:val="none"/>
        </w:rPr>
      </w:pPr>
      <w:bookmarkStart w:id="152" w:name="_Toc201322527"/>
      <w:r w:rsidRPr="002012E1">
        <w:rPr>
          <w:rFonts w:ascii="Arial" w:eastAsia="Calibri" w:hAnsi="Arial" w:cs="Arial"/>
          <w:b/>
          <w:bCs/>
          <w:i/>
          <w:i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24</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Cronograma de Actividades y Recursos a futuro</w:t>
      </w:r>
      <w:bookmarkEnd w:id="152"/>
    </w:p>
    <w:tbl>
      <w:tblPr>
        <w:tblStyle w:val="Tablaconcuadrcula1"/>
        <w:tblW w:w="0" w:type="auto"/>
        <w:tblInd w:w="-5" w:type="dxa"/>
        <w:tblLook w:val="04A0" w:firstRow="1" w:lastRow="0" w:firstColumn="1" w:lastColumn="0" w:noHBand="0" w:noVBand="1"/>
      </w:tblPr>
      <w:tblGrid>
        <w:gridCol w:w="2096"/>
        <w:gridCol w:w="1973"/>
        <w:gridCol w:w="2616"/>
        <w:gridCol w:w="2148"/>
      </w:tblGrid>
      <w:tr w:rsidR="00C51607" w:rsidRPr="002012E1" w14:paraId="2C6F8D9E" w14:textId="77777777" w:rsidTr="005C1607">
        <w:tc>
          <w:tcPr>
            <w:tcW w:w="0" w:type="auto"/>
            <w:vAlign w:val="center"/>
            <w:hideMark/>
          </w:tcPr>
          <w:p w14:paraId="172B37D5" w14:textId="77777777" w:rsidR="00C51607" w:rsidRPr="002012E1" w:rsidRDefault="00C51607" w:rsidP="005C1607">
            <w:pPr>
              <w:pStyle w:val="apaparrafo"/>
              <w:jc w:val="center"/>
              <w:rPr>
                <w:b/>
                <w:bCs/>
              </w:rPr>
            </w:pPr>
            <w:r w:rsidRPr="002012E1">
              <w:rPr>
                <w:b/>
                <w:bCs/>
              </w:rPr>
              <w:t>Actividad</w:t>
            </w:r>
          </w:p>
        </w:tc>
        <w:tc>
          <w:tcPr>
            <w:tcW w:w="0" w:type="auto"/>
            <w:vAlign w:val="center"/>
            <w:hideMark/>
          </w:tcPr>
          <w:p w14:paraId="7009A2FE" w14:textId="77777777" w:rsidR="00C51607" w:rsidRPr="002012E1" w:rsidRDefault="00C51607" w:rsidP="005C1607">
            <w:pPr>
              <w:pStyle w:val="apaparrafo"/>
              <w:jc w:val="center"/>
              <w:rPr>
                <w:b/>
                <w:bCs/>
              </w:rPr>
            </w:pPr>
            <w:r w:rsidRPr="002012E1">
              <w:rPr>
                <w:b/>
                <w:bCs/>
              </w:rPr>
              <w:t>RRHH Involucrados</w:t>
            </w:r>
          </w:p>
        </w:tc>
        <w:tc>
          <w:tcPr>
            <w:tcW w:w="0" w:type="auto"/>
            <w:vAlign w:val="center"/>
            <w:hideMark/>
          </w:tcPr>
          <w:p w14:paraId="3CBEE874" w14:textId="77777777" w:rsidR="00C51607" w:rsidRPr="002012E1" w:rsidRDefault="00C51607" w:rsidP="005C1607">
            <w:pPr>
              <w:pStyle w:val="apaparrafo"/>
              <w:jc w:val="center"/>
              <w:rPr>
                <w:b/>
                <w:bCs/>
              </w:rPr>
            </w:pPr>
            <w:r w:rsidRPr="002012E1">
              <w:rPr>
                <w:b/>
                <w:bCs/>
              </w:rPr>
              <w:t>Recursos Requeridos</w:t>
            </w:r>
          </w:p>
        </w:tc>
        <w:tc>
          <w:tcPr>
            <w:tcW w:w="0" w:type="auto"/>
            <w:vAlign w:val="center"/>
            <w:hideMark/>
          </w:tcPr>
          <w:p w14:paraId="02E87F7D" w14:textId="77777777" w:rsidR="00C51607" w:rsidRPr="002012E1" w:rsidRDefault="00C51607" w:rsidP="005C1607">
            <w:pPr>
              <w:pStyle w:val="apaparrafo"/>
              <w:jc w:val="center"/>
              <w:rPr>
                <w:b/>
                <w:bCs/>
              </w:rPr>
            </w:pPr>
            <w:r w:rsidRPr="002012E1">
              <w:rPr>
                <w:b/>
                <w:bCs/>
              </w:rPr>
              <w:t>Responsable</w:t>
            </w:r>
          </w:p>
        </w:tc>
      </w:tr>
      <w:tr w:rsidR="00C51607" w:rsidRPr="002012E1" w14:paraId="10D200BE" w14:textId="77777777" w:rsidTr="005C1607">
        <w:tc>
          <w:tcPr>
            <w:tcW w:w="0" w:type="auto"/>
            <w:vAlign w:val="center"/>
            <w:hideMark/>
          </w:tcPr>
          <w:p w14:paraId="4E98AA83" w14:textId="77777777" w:rsidR="00C51607" w:rsidRPr="002012E1" w:rsidRDefault="00C51607" w:rsidP="005C1607">
            <w:pPr>
              <w:pStyle w:val="apaparrafo"/>
              <w:jc w:val="center"/>
            </w:pPr>
            <w:r w:rsidRPr="002012E1">
              <w:t>Diagnóstico inicial</w:t>
            </w:r>
          </w:p>
        </w:tc>
        <w:tc>
          <w:tcPr>
            <w:tcW w:w="0" w:type="auto"/>
            <w:vAlign w:val="center"/>
            <w:hideMark/>
          </w:tcPr>
          <w:p w14:paraId="51D23257" w14:textId="77777777" w:rsidR="00C51607" w:rsidRPr="002012E1" w:rsidRDefault="00C51607" w:rsidP="005C1607">
            <w:pPr>
              <w:pStyle w:val="apaparrafo"/>
              <w:jc w:val="center"/>
            </w:pPr>
            <w:r w:rsidRPr="002012E1">
              <w:t>Auditores, contadores, SUPEN</w:t>
            </w:r>
          </w:p>
        </w:tc>
        <w:tc>
          <w:tcPr>
            <w:tcW w:w="0" w:type="auto"/>
            <w:vAlign w:val="center"/>
            <w:hideMark/>
          </w:tcPr>
          <w:p w14:paraId="07E209C7" w14:textId="77777777" w:rsidR="00C51607" w:rsidRPr="002012E1" w:rsidRDefault="00C51607" w:rsidP="005C1607">
            <w:pPr>
              <w:pStyle w:val="apaparrafo"/>
              <w:jc w:val="center"/>
            </w:pPr>
            <w:r w:rsidRPr="002012E1">
              <w:t>Entrevistas, bases de datos financieras</w:t>
            </w:r>
          </w:p>
        </w:tc>
        <w:tc>
          <w:tcPr>
            <w:tcW w:w="0" w:type="auto"/>
            <w:vAlign w:val="center"/>
            <w:hideMark/>
          </w:tcPr>
          <w:p w14:paraId="059DC66D" w14:textId="77777777" w:rsidR="00C51607" w:rsidRPr="002012E1" w:rsidRDefault="00C51607" w:rsidP="005C1607">
            <w:pPr>
              <w:pStyle w:val="apaparrafo"/>
              <w:jc w:val="center"/>
            </w:pPr>
            <w:r w:rsidRPr="002012E1">
              <w:t>Coordinador contable (SUPEN)</w:t>
            </w:r>
          </w:p>
        </w:tc>
      </w:tr>
      <w:tr w:rsidR="00C51607" w:rsidRPr="002012E1" w14:paraId="5EA15C86" w14:textId="77777777" w:rsidTr="005C1607">
        <w:tc>
          <w:tcPr>
            <w:tcW w:w="0" w:type="auto"/>
            <w:vAlign w:val="center"/>
            <w:hideMark/>
          </w:tcPr>
          <w:p w14:paraId="637334E4" w14:textId="77777777" w:rsidR="00C51607" w:rsidRPr="002012E1" w:rsidRDefault="00C51607" w:rsidP="005C1607">
            <w:pPr>
              <w:pStyle w:val="apaparrafo"/>
              <w:jc w:val="center"/>
            </w:pPr>
            <w:r w:rsidRPr="002012E1">
              <w:t>Diseño del modelo contable</w:t>
            </w:r>
          </w:p>
        </w:tc>
        <w:tc>
          <w:tcPr>
            <w:tcW w:w="0" w:type="auto"/>
            <w:vAlign w:val="center"/>
            <w:hideMark/>
          </w:tcPr>
          <w:p w14:paraId="55C0EDB0" w14:textId="77777777" w:rsidR="00C51607" w:rsidRPr="002012E1" w:rsidRDefault="00C51607" w:rsidP="005C1607">
            <w:pPr>
              <w:pStyle w:val="apaparrafo"/>
              <w:jc w:val="center"/>
            </w:pPr>
            <w:r w:rsidRPr="002012E1">
              <w:t>Expertos NIIF, contadores</w:t>
            </w:r>
          </w:p>
        </w:tc>
        <w:tc>
          <w:tcPr>
            <w:tcW w:w="0" w:type="auto"/>
            <w:vAlign w:val="center"/>
            <w:hideMark/>
          </w:tcPr>
          <w:p w14:paraId="656B5120" w14:textId="77777777" w:rsidR="00C51607" w:rsidRPr="002012E1" w:rsidRDefault="00C51607" w:rsidP="005C1607">
            <w:pPr>
              <w:pStyle w:val="apaparrafo"/>
              <w:jc w:val="center"/>
            </w:pPr>
            <w:r w:rsidRPr="002012E1">
              <w:t>Software contable, biblioteca NIIF</w:t>
            </w:r>
          </w:p>
        </w:tc>
        <w:tc>
          <w:tcPr>
            <w:tcW w:w="0" w:type="auto"/>
            <w:vAlign w:val="center"/>
            <w:hideMark/>
          </w:tcPr>
          <w:p w14:paraId="611430CF" w14:textId="77777777" w:rsidR="00C51607" w:rsidRPr="002012E1" w:rsidRDefault="00C51607" w:rsidP="005C1607">
            <w:pPr>
              <w:pStyle w:val="apaparrafo"/>
              <w:jc w:val="center"/>
            </w:pPr>
            <w:r w:rsidRPr="002012E1">
              <w:t>Equipo técnico</w:t>
            </w:r>
          </w:p>
        </w:tc>
      </w:tr>
      <w:tr w:rsidR="00C51607" w:rsidRPr="002012E1" w14:paraId="07B9CE30" w14:textId="77777777" w:rsidTr="005C1607">
        <w:tc>
          <w:tcPr>
            <w:tcW w:w="0" w:type="auto"/>
            <w:vAlign w:val="center"/>
            <w:hideMark/>
          </w:tcPr>
          <w:p w14:paraId="6F676D06" w14:textId="77777777" w:rsidR="00C51607" w:rsidRPr="002012E1" w:rsidRDefault="00C51607" w:rsidP="005C1607">
            <w:pPr>
              <w:pStyle w:val="apaparrafo"/>
              <w:jc w:val="center"/>
            </w:pPr>
            <w:r w:rsidRPr="002012E1">
              <w:t>Validación del modelo</w:t>
            </w:r>
          </w:p>
        </w:tc>
        <w:tc>
          <w:tcPr>
            <w:tcW w:w="0" w:type="auto"/>
            <w:vAlign w:val="center"/>
            <w:hideMark/>
          </w:tcPr>
          <w:p w14:paraId="6DCE720B" w14:textId="77777777" w:rsidR="00C51607" w:rsidRPr="002012E1" w:rsidRDefault="00C51607" w:rsidP="005C1607">
            <w:pPr>
              <w:pStyle w:val="apaparrafo"/>
              <w:jc w:val="center"/>
            </w:pPr>
            <w:r w:rsidRPr="002012E1">
              <w:t>Operadoras piloto</w:t>
            </w:r>
          </w:p>
        </w:tc>
        <w:tc>
          <w:tcPr>
            <w:tcW w:w="0" w:type="auto"/>
            <w:vAlign w:val="center"/>
            <w:hideMark/>
          </w:tcPr>
          <w:p w14:paraId="23F9FB5F" w14:textId="77777777" w:rsidR="00C51607" w:rsidRPr="002012E1" w:rsidRDefault="00C51607" w:rsidP="005C1607">
            <w:pPr>
              <w:pStyle w:val="apaparrafo"/>
              <w:jc w:val="center"/>
            </w:pPr>
            <w:r w:rsidRPr="002012E1">
              <w:t>Simuladores, hojas de cálculo, auditores externos</w:t>
            </w:r>
          </w:p>
        </w:tc>
        <w:tc>
          <w:tcPr>
            <w:tcW w:w="0" w:type="auto"/>
            <w:vAlign w:val="center"/>
            <w:hideMark/>
          </w:tcPr>
          <w:p w14:paraId="482D2A3A" w14:textId="77777777" w:rsidR="00C51607" w:rsidRPr="002012E1" w:rsidRDefault="00C51607" w:rsidP="005C1607">
            <w:pPr>
              <w:pStyle w:val="apaparrafo"/>
              <w:jc w:val="center"/>
            </w:pPr>
            <w:r w:rsidRPr="002012E1">
              <w:t>Dirección financiera</w:t>
            </w:r>
          </w:p>
        </w:tc>
      </w:tr>
      <w:tr w:rsidR="00C51607" w:rsidRPr="002012E1" w14:paraId="118F09E8" w14:textId="77777777" w:rsidTr="005C1607">
        <w:tc>
          <w:tcPr>
            <w:tcW w:w="0" w:type="auto"/>
            <w:vAlign w:val="center"/>
            <w:hideMark/>
          </w:tcPr>
          <w:p w14:paraId="7E27B61D" w14:textId="77777777" w:rsidR="00C51607" w:rsidRPr="002012E1" w:rsidRDefault="00C51607" w:rsidP="005C1607">
            <w:pPr>
              <w:pStyle w:val="apaparrafo"/>
              <w:jc w:val="center"/>
            </w:pPr>
            <w:r w:rsidRPr="002012E1">
              <w:t>Capacitaciones</w:t>
            </w:r>
          </w:p>
        </w:tc>
        <w:tc>
          <w:tcPr>
            <w:tcW w:w="0" w:type="auto"/>
            <w:vAlign w:val="center"/>
            <w:hideMark/>
          </w:tcPr>
          <w:p w14:paraId="54827CF5" w14:textId="77777777" w:rsidR="00C51607" w:rsidRPr="002012E1" w:rsidRDefault="00C51607" w:rsidP="005C1607">
            <w:pPr>
              <w:pStyle w:val="apaparrafo"/>
              <w:jc w:val="center"/>
            </w:pPr>
            <w:r w:rsidRPr="002012E1">
              <w:t>SUPEN y operadoras</w:t>
            </w:r>
          </w:p>
        </w:tc>
        <w:tc>
          <w:tcPr>
            <w:tcW w:w="0" w:type="auto"/>
            <w:vAlign w:val="center"/>
            <w:hideMark/>
          </w:tcPr>
          <w:p w14:paraId="2D0097C0" w14:textId="77777777" w:rsidR="00C51607" w:rsidRPr="002012E1" w:rsidRDefault="00C51607" w:rsidP="005C1607">
            <w:pPr>
              <w:pStyle w:val="apaparrafo"/>
              <w:jc w:val="center"/>
            </w:pPr>
            <w:r w:rsidRPr="002012E1">
              <w:t>Aulas virtuales, material didáctico, recursos humanos</w:t>
            </w:r>
          </w:p>
        </w:tc>
        <w:tc>
          <w:tcPr>
            <w:tcW w:w="0" w:type="auto"/>
            <w:vAlign w:val="center"/>
            <w:hideMark/>
          </w:tcPr>
          <w:p w14:paraId="0ACA64F0" w14:textId="77777777" w:rsidR="00C51607" w:rsidRPr="002012E1" w:rsidRDefault="00C51607" w:rsidP="005C1607">
            <w:pPr>
              <w:pStyle w:val="apaparrafo"/>
              <w:jc w:val="center"/>
            </w:pPr>
            <w:r w:rsidRPr="002012E1">
              <w:t>Unidad de capacitación SUPEN</w:t>
            </w:r>
          </w:p>
        </w:tc>
      </w:tr>
      <w:tr w:rsidR="00C51607" w:rsidRPr="002012E1" w14:paraId="4F39C45A" w14:textId="77777777" w:rsidTr="005C1607">
        <w:tc>
          <w:tcPr>
            <w:tcW w:w="0" w:type="auto"/>
            <w:vAlign w:val="center"/>
            <w:hideMark/>
          </w:tcPr>
          <w:p w14:paraId="377BBE08" w14:textId="77777777" w:rsidR="00C51607" w:rsidRPr="002012E1" w:rsidRDefault="00C51607" w:rsidP="005C1607">
            <w:pPr>
              <w:pStyle w:val="apaparrafo"/>
              <w:jc w:val="center"/>
            </w:pPr>
            <w:r w:rsidRPr="002012E1">
              <w:t>Implementación piloto</w:t>
            </w:r>
          </w:p>
        </w:tc>
        <w:tc>
          <w:tcPr>
            <w:tcW w:w="0" w:type="auto"/>
            <w:vAlign w:val="center"/>
            <w:hideMark/>
          </w:tcPr>
          <w:p w14:paraId="21360DF4" w14:textId="77777777" w:rsidR="00C51607" w:rsidRPr="002012E1" w:rsidRDefault="00C51607" w:rsidP="005C1607">
            <w:pPr>
              <w:pStyle w:val="apaparrafo"/>
              <w:jc w:val="center"/>
            </w:pPr>
            <w:r w:rsidRPr="002012E1">
              <w:t>Contadores internos</w:t>
            </w:r>
          </w:p>
        </w:tc>
        <w:tc>
          <w:tcPr>
            <w:tcW w:w="0" w:type="auto"/>
            <w:vAlign w:val="center"/>
            <w:hideMark/>
          </w:tcPr>
          <w:p w14:paraId="31C20356" w14:textId="77777777" w:rsidR="00C51607" w:rsidRPr="002012E1" w:rsidRDefault="00C51607" w:rsidP="005C1607">
            <w:pPr>
              <w:pStyle w:val="apaparrafo"/>
              <w:jc w:val="center"/>
            </w:pPr>
            <w:r w:rsidRPr="002012E1">
              <w:t>Sistemas contables, bases de datos</w:t>
            </w:r>
          </w:p>
        </w:tc>
        <w:tc>
          <w:tcPr>
            <w:tcW w:w="0" w:type="auto"/>
            <w:vAlign w:val="center"/>
            <w:hideMark/>
          </w:tcPr>
          <w:p w14:paraId="7B06CED5" w14:textId="77777777" w:rsidR="00C51607" w:rsidRPr="002012E1" w:rsidRDefault="00C51607" w:rsidP="005C1607">
            <w:pPr>
              <w:pStyle w:val="apaparrafo"/>
              <w:jc w:val="center"/>
            </w:pPr>
            <w:r w:rsidRPr="002012E1">
              <w:t>Coordinador de implementación</w:t>
            </w:r>
          </w:p>
        </w:tc>
      </w:tr>
      <w:tr w:rsidR="00C51607" w:rsidRPr="002012E1" w14:paraId="5B9AF723" w14:textId="77777777" w:rsidTr="005C1607">
        <w:tc>
          <w:tcPr>
            <w:tcW w:w="0" w:type="auto"/>
            <w:vAlign w:val="center"/>
            <w:hideMark/>
          </w:tcPr>
          <w:p w14:paraId="762E9E03" w14:textId="77777777" w:rsidR="00C51607" w:rsidRPr="002012E1" w:rsidRDefault="00C51607" w:rsidP="005C1607">
            <w:pPr>
              <w:pStyle w:val="apaparrafo"/>
              <w:jc w:val="center"/>
            </w:pPr>
            <w:r w:rsidRPr="002012E1">
              <w:t>Evaluación y ajustes</w:t>
            </w:r>
          </w:p>
        </w:tc>
        <w:tc>
          <w:tcPr>
            <w:tcW w:w="0" w:type="auto"/>
            <w:vAlign w:val="center"/>
            <w:hideMark/>
          </w:tcPr>
          <w:p w14:paraId="7570D9D0" w14:textId="77777777" w:rsidR="00C51607" w:rsidRPr="002012E1" w:rsidRDefault="00C51607" w:rsidP="005C1607">
            <w:pPr>
              <w:pStyle w:val="apaparrafo"/>
              <w:jc w:val="center"/>
            </w:pPr>
            <w:r w:rsidRPr="002012E1">
              <w:t>Todos los equipos</w:t>
            </w:r>
          </w:p>
        </w:tc>
        <w:tc>
          <w:tcPr>
            <w:tcW w:w="0" w:type="auto"/>
            <w:vAlign w:val="center"/>
            <w:hideMark/>
          </w:tcPr>
          <w:p w14:paraId="0561032B" w14:textId="77777777" w:rsidR="00C51607" w:rsidRPr="002012E1" w:rsidRDefault="00C51607" w:rsidP="005C1607">
            <w:pPr>
              <w:pStyle w:val="apaparrafo"/>
              <w:jc w:val="center"/>
            </w:pPr>
            <w:r w:rsidRPr="002012E1">
              <w:t>Informes, retroalimentación técnica</w:t>
            </w:r>
          </w:p>
        </w:tc>
        <w:tc>
          <w:tcPr>
            <w:tcW w:w="0" w:type="auto"/>
            <w:vAlign w:val="center"/>
            <w:hideMark/>
          </w:tcPr>
          <w:p w14:paraId="75C32CCF" w14:textId="77777777" w:rsidR="00C51607" w:rsidRPr="002012E1" w:rsidRDefault="00C51607" w:rsidP="005C1607">
            <w:pPr>
              <w:pStyle w:val="apaparrafo"/>
              <w:jc w:val="center"/>
            </w:pPr>
            <w:r w:rsidRPr="002012E1">
              <w:t>Comité evaluador</w:t>
            </w:r>
          </w:p>
        </w:tc>
      </w:tr>
    </w:tbl>
    <w:p w14:paraId="6307CFF5" w14:textId="77777777" w:rsidR="00C51607" w:rsidRDefault="00C51607" w:rsidP="00C51607">
      <w:pPr>
        <w:spacing w:line="360" w:lineRule="auto"/>
        <w:jc w:val="right"/>
        <w:rPr>
          <w:rFonts w:ascii="Arial" w:eastAsia="Calibri" w:hAnsi="Arial" w:cs="Arial"/>
          <w:kern w:val="0"/>
          <w14:ligatures w14:val="none"/>
        </w:rPr>
      </w:pPr>
      <w:r w:rsidRPr="002012E1">
        <w:rPr>
          <w:rFonts w:ascii="Arial" w:eastAsia="Calibri" w:hAnsi="Arial" w:cs="Arial"/>
          <w:b/>
          <w:bCs/>
          <w:kern w:val="0"/>
          <w14:ligatures w14:val="none"/>
        </w:rPr>
        <w:t xml:space="preserve">Elaborado: </w:t>
      </w:r>
      <w:r w:rsidRPr="002012E1">
        <w:rPr>
          <w:rFonts w:ascii="Arial" w:eastAsia="Calibri" w:hAnsi="Arial" w:cs="Arial"/>
          <w:kern w:val="0"/>
          <w14:ligatures w14:val="none"/>
        </w:rPr>
        <w:t>Grupo Investigador 2025</w:t>
      </w:r>
    </w:p>
    <w:p w14:paraId="3DC1C677" w14:textId="77777777" w:rsidR="00C51607" w:rsidRPr="002012E1" w:rsidRDefault="00C51607" w:rsidP="00C51607">
      <w:pPr>
        <w:spacing w:line="360" w:lineRule="auto"/>
        <w:jc w:val="right"/>
        <w:rPr>
          <w:rFonts w:ascii="Arial" w:eastAsia="Calibri" w:hAnsi="Arial" w:cs="Arial"/>
          <w:kern w:val="0"/>
          <w14:ligatures w14:val="none"/>
        </w:rPr>
      </w:pPr>
    </w:p>
    <w:p w14:paraId="4DE7A29D" w14:textId="77777777" w:rsidR="00C51607" w:rsidRPr="002012E1" w:rsidRDefault="00C51607" w:rsidP="00C51607">
      <w:pPr>
        <w:pStyle w:val="apanivel3"/>
        <w:rPr>
          <w:rFonts w:ascii="Arial" w:hAnsi="Arial" w:cs="Arial"/>
        </w:rPr>
      </w:pPr>
      <w:bookmarkStart w:id="153" w:name="_Toc201832484"/>
      <w:r w:rsidRPr="002012E1">
        <w:rPr>
          <w:rFonts w:ascii="Arial" w:hAnsi="Arial" w:cs="Arial"/>
        </w:rPr>
        <w:t>Presupuesto</w:t>
      </w:r>
      <w:bookmarkEnd w:id="153"/>
    </w:p>
    <w:p w14:paraId="4A5643A4" w14:textId="77777777" w:rsidR="00C51607" w:rsidRPr="002012E1" w:rsidRDefault="00C51607" w:rsidP="00C51607">
      <w:pPr>
        <w:pStyle w:val="apaparrafo"/>
      </w:pPr>
      <w:r w:rsidRPr="002012E1">
        <w:t>A continuación podrá observar un presupuesto estimado con montos mínimos en colones que lleva la aplicación de la propuesta al plano nacional dentro del Régimen Obligatorio de Pensiones en Costa Rica (ROP) y las pertinentes capacitaciones, talleres y plan piloto. Se debe tomar en cuenta que son montos mínimos aproximados y pueden verse afectados.</w:t>
      </w:r>
    </w:p>
    <w:p w14:paraId="6A6DC5EA" w14:textId="77777777" w:rsidR="00C51607" w:rsidRDefault="00C51607" w:rsidP="00C51607">
      <w:pPr>
        <w:pStyle w:val="apaparrafo"/>
      </w:pPr>
    </w:p>
    <w:p w14:paraId="104E8BF6" w14:textId="77777777" w:rsidR="00C51607" w:rsidRDefault="00C51607" w:rsidP="00C51607">
      <w:pPr>
        <w:pStyle w:val="apaparrafo"/>
      </w:pPr>
    </w:p>
    <w:p w14:paraId="305C09B3" w14:textId="77777777" w:rsidR="00C51607" w:rsidRPr="002012E1" w:rsidRDefault="00C51607" w:rsidP="00C51607">
      <w:pPr>
        <w:pStyle w:val="apaparrafo"/>
      </w:pPr>
    </w:p>
    <w:p w14:paraId="55ECEDBF" w14:textId="7F8402E8" w:rsidR="00C51607" w:rsidRPr="002012E1" w:rsidRDefault="00C51607" w:rsidP="00C51607">
      <w:pPr>
        <w:spacing w:after="200" w:line="360" w:lineRule="auto"/>
        <w:rPr>
          <w:rFonts w:ascii="Arial" w:eastAsia="Calibri" w:hAnsi="Arial" w:cs="Arial"/>
          <w:kern w:val="0"/>
          <w14:ligatures w14:val="none"/>
        </w:rPr>
      </w:pPr>
      <w:bookmarkStart w:id="154" w:name="_Toc201322528"/>
      <w:r w:rsidRPr="002012E1">
        <w:rPr>
          <w:rFonts w:ascii="Arial" w:eastAsia="Calibri" w:hAnsi="Arial" w:cs="Arial"/>
          <w:b/>
          <w:bCs/>
          <w:i/>
          <w:iCs/>
          <w:kern w:val="0"/>
          <w14:ligatures w14:val="none"/>
        </w:rPr>
        <w:lastRenderedPageBreak/>
        <w:t xml:space="preserve">Tabla </w:t>
      </w:r>
      <w:r w:rsidRPr="002012E1">
        <w:rPr>
          <w:rFonts w:ascii="Arial" w:eastAsia="Calibri" w:hAnsi="Arial" w:cs="Arial"/>
          <w:b/>
          <w:bCs/>
          <w:i/>
          <w:iCs/>
          <w:kern w:val="0"/>
          <w14:ligatures w14:val="none"/>
        </w:rPr>
        <w:fldChar w:fldCharType="begin"/>
      </w:r>
      <w:r w:rsidRPr="002012E1">
        <w:rPr>
          <w:rFonts w:ascii="Arial" w:eastAsia="Calibri" w:hAnsi="Arial" w:cs="Arial"/>
          <w:b/>
          <w:bCs/>
          <w:i/>
          <w:iCs/>
          <w:kern w:val="0"/>
          <w14:ligatures w14:val="none"/>
        </w:rPr>
        <w:instrText xml:space="preserve"> SEQ Tabla \* ARABIC </w:instrText>
      </w:r>
      <w:r w:rsidRPr="002012E1">
        <w:rPr>
          <w:rFonts w:ascii="Arial" w:eastAsia="Calibri" w:hAnsi="Arial" w:cs="Arial"/>
          <w:b/>
          <w:bCs/>
          <w:i/>
          <w:iCs/>
          <w:kern w:val="0"/>
          <w14:ligatures w14:val="none"/>
        </w:rPr>
        <w:fldChar w:fldCharType="separate"/>
      </w:r>
      <w:r w:rsidR="00125018">
        <w:rPr>
          <w:rFonts w:ascii="Arial" w:eastAsia="Calibri" w:hAnsi="Arial" w:cs="Arial"/>
          <w:b/>
          <w:bCs/>
          <w:i/>
          <w:iCs/>
          <w:noProof/>
          <w:kern w:val="0"/>
          <w14:ligatures w14:val="none"/>
        </w:rPr>
        <w:t>25</w:t>
      </w:r>
      <w:r w:rsidRPr="002012E1">
        <w:rPr>
          <w:rFonts w:ascii="Arial" w:eastAsia="Calibri" w:hAnsi="Arial" w:cs="Arial"/>
          <w:b/>
          <w:bCs/>
          <w:i/>
          <w:iCs/>
          <w:kern w:val="0"/>
          <w14:ligatures w14:val="none"/>
        </w:rPr>
        <w:fldChar w:fldCharType="end"/>
      </w:r>
      <w:r w:rsidRPr="002012E1">
        <w:rPr>
          <w:rFonts w:ascii="Arial" w:eastAsia="Calibri" w:hAnsi="Arial" w:cs="Arial"/>
          <w:b/>
          <w:bCs/>
          <w:i/>
          <w:iCs/>
          <w:kern w:val="0"/>
          <w14:ligatures w14:val="none"/>
        </w:rPr>
        <w:t>. Presupuesto Estimado por Aplicación de Propuesta a Futuro</w:t>
      </w:r>
      <w:bookmarkEnd w:id="154"/>
      <w:r w:rsidRPr="002012E1">
        <w:rPr>
          <w:rFonts w:ascii="Arial" w:eastAsia="Calibri" w:hAnsi="Arial" w:cs="Arial"/>
          <w:kern w:val="0"/>
          <w14:ligatures w14:val="none"/>
        </w:rPr>
        <w:t xml:space="preserve"> </w:t>
      </w:r>
    </w:p>
    <w:tbl>
      <w:tblPr>
        <w:tblStyle w:val="Tablaconcuadrcula1"/>
        <w:tblW w:w="0" w:type="auto"/>
        <w:jc w:val="center"/>
        <w:tblInd w:w="0" w:type="dxa"/>
        <w:tblLook w:val="04A0" w:firstRow="1" w:lastRow="0" w:firstColumn="1" w:lastColumn="0" w:noHBand="0" w:noVBand="1"/>
      </w:tblPr>
      <w:tblGrid>
        <w:gridCol w:w="3364"/>
        <w:gridCol w:w="3283"/>
      </w:tblGrid>
      <w:tr w:rsidR="00C51607" w:rsidRPr="002012E1" w14:paraId="2D5829EF" w14:textId="77777777" w:rsidTr="005C1607">
        <w:trPr>
          <w:jc w:val="center"/>
        </w:trPr>
        <w:tc>
          <w:tcPr>
            <w:tcW w:w="0" w:type="auto"/>
            <w:vAlign w:val="center"/>
            <w:hideMark/>
          </w:tcPr>
          <w:p w14:paraId="7D698A6E" w14:textId="77777777" w:rsidR="00C51607" w:rsidRPr="002012E1" w:rsidRDefault="00C51607" w:rsidP="005C1607">
            <w:pPr>
              <w:pStyle w:val="apaparrafo"/>
              <w:jc w:val="center"/>
              <w:rPr>
                <w:b/>
                <w:bCs/>
              </w:rPr>
            </w:pPr>
            <w:r w:rsidRPr="002012E1">
              <w:rPr>
                <w:b/>
                <w:bCs/>
              </w:rPr>
              <w:t>Concepto</w:t>
            </w:r>
          </w:p>
        </w:tc>
        <w:tc>
          <w:tcPr>
            <w:tcW w:w="0" w:type="auto"/>
            <w:vAlign w:val="center"/>
            <w:hideMark/>
          </w:tcPr>
          <w:p w14:paraId="54F09A31" w14:textId="77777777" w:rsidR="00C51607" w:rsidRPr="002012E1" w:rsidRDefault="00C51607" w:rsidP="005C1607">
            <w:pPr>
              <w:pStyle w:val="apaparrafo"/>
              <w:jc w:val="center"/>
              <w:rPr>
                <w:b/>
                <w:bCs/>
              </w:rPr>
            </w:pPr>
            <w:r w:rsidRPr="002012E1">
              <w:rPr>
                <w:b/>
                <w:bCs/>
              </w:rPr>
              <w:t>Montos Mínimos (Colones)</w:t>
            </w:r>
          </w:p>
        </w:tc>
      </w:tr>
      <w:tr w:rsidR="00C51607" w:rsidRPr="002012E1" w14:paraId="39F45ED6" w14:textId="77777777" w:rsidTr="005C1607">
        <w:trPr>
          <w:jc w:val="center"/>
        </w:trPr>
        <w:tc>
          <w:tcPr>
            <w:tcW w:w="0" w:type="auto"/>
            <w:vAlign w:val="center"/>
            <w:hideMark/>
          </w:tcPr>
          <w:p w14:paraId="2A4D9163" w14:textId="77777777" w:rsidR="00C51607" w:rsidRPr="002012E1" w:rsidRDefault="00C51607" w:rsidP="005C1607">
            <w:pPr>
              <w:pStyle w:val="apaparrafo"/>
              <w:jc w:val="center"/>
            </w:pPr>
            <w:r w:rsidRPr="002012E1">
              <w:t>Consultores NIIF (3 expertos)</w:t>
            </w:r>
          </w:p>
        </w:tc>
        <w:tc>
          <w:tcPr>
            <w:tcW w:w="0" w:type="auto"/>
            <w:vAlign w:val="center"/>
            <w:hideMark/>
          </w:tcPr>
          <w:p w14:paraId="7CCF5B74" w14:textId="77777777" w:rsidR="00C51607" w:rsidRPr="002012E1" w:rsidRDefault="00C51607" w:rsidP="005C1607">
            <w:pPr>
              <w:pStyle w:val="apaparrafo"/>
              <w:jc w:val="center"/>
            </w:pPr>
            <w:r w:rsidRPr="002012E1">
              <w:t>1.200.000</w:t>
            </w:r>
          </w:p>
        </w:tc>
      </w:tr>
      <w:tr w:rsidR="00C51607" w:rsidRPr="002012E1" w14:paraId="4D66D063" w14:textId="77777777" w:rsidTr="005C1607">
        <w:trPr>
          <w:jc w:val="center"/>
        </w:trPr>
        <w:tc>
          <w:tcPr>
            <w:tcW w:w="0" w:type="auto"/>
            <w:vAlign w:val="center"/>
            <w:hideMark/>
          </w:tcPr>
          <w:p w14:paraId="6EE70E95" w14:textId="77777777" w:rsidR="00C51607" w:rsidRPr="002012E1" w:rsidRDefault="00C51607" w:rsidP="005C1607">
            <w:pPr>
              <w:pStyle w:val="apaparrafo"/>
              <w:jc w:val="center"/>
            </w:pPr>
            <w:r w:rsidRPr="002012E1">
              <w:t>Capacitación y talleres</w:t>
            </w:r>
          </w:p>
        </w:tc>
        <w:tc>
          <w:tcPr>
            <w:tcW w:w="0" w:type="auto"/>
            <w:vAlign w:val="center"/>
            <w:hideMark/>
          </w:tcPr>
          <w:p w14:paraId="312757FA" w14:textId="77777777" w:rsidR="00C51607" w:rsidRPr="002012E1" w:rsidRDefault="00C51607" w:rsidP="005C1607">
            <w:pPr>
              <w:pStyle w:val="apaparrafo"/>
              <w:jc w:val="center"/>
            </w:pPr>
            <w:r w:rsidRPr="002012E1">
              <w:t>800.000</w:t>
            </w:r>
          </w:p>
        </w:tc>
      </w:tr>
      <w:tr w:rsidR="00C51607" w:rsidRPr="002012E1" w14:paraId="3914D42B" w14:textId="77777777" w:rsidTr="005C1607">
        <w:trPr>
          <w:jc w:val="center"/>
        </w:trPr>
        <w:tc>
          <w:tcPr>
            <w:tcW w:w="0" w:type="auto"/>
            <w:vAlign w:val="center"/>
            <w:hideMark/>
          </w:tcPr>
          <w:p w14:paraId="7C553323" w14:textId="77777777" w:rsidR="00C51607" w:rsidRPr="002012E1" w:rsidRDefault="00C51607" w:rsidP="005C1607">
            <w:pPr>
              <w:pStyle w:val="apaparrafo"/>
              <w:jc w:val="center"/>
            </w:pPr>
            <w:r w:rsidRPr="002012E1">
              <w:t>Software contable y licencias</w:t>
            </w:r>
          </w:p>
        </w:tc>
        <w:tc>
          <w:tcPr>
            <w:tcW w:w="0" w:type="auto"/>
            <w:vAlign w:val="center"/>
            <w:hideMark/>
          </w:tcPr>
          <w:p w14:paraId="6B97C95D" w14:textId="77777777" w:rsidR="00C51607" w:rsidRPr="002012E1" w:rsidRDefault="00C51607" w:rsidP="005C1607">
            <w:pPr>
              <w:pStyle w:val="apaparrafo"/>
              <w:jc w:val="center"/>
            </w:pPr>
            <w:r w:rsidRPr="002012E1">
              <w:t>1.000.000</w:t>
            </w:r>
          </w:p>
        </w:tc>
      </w:tr>
      <w:tr w:rsidR="00C51607" w:rsidRPr="002012E1" w14:paraId="6537DD9E" w14:textId="77777777" w:rsidTr="005C1607">
        <w:trPr>
          <w:jc w:val="center"/>
        </w:trPr>
        <w:tc>
          <w:tcPr>
            <w:tcW w:w="0" w:type="auto"/>
            <w:vAlign w:val="center"/>
            <w:hideMark/>
          </w:tcPr>
          <w:p w14:paraId="6F1C584D" w14:textId="77777777" w:rsidR="00C51607" w:rsidRPr="002012E1" w:rsidRDefault="00C51607" w:rsidP="005C1607">
            <w:pPr>
              <w:pStyle w:val="apaparrafo"/>
              <w:jc w:val="center"/>
            </w:pPr>
            <w:r w:rsidRPr="002012E1">
              <w:t>Simulación financiera</w:t>
            </w:r>
          </w:p>
        </w:tc>
        <w:tc>
          <w:tcPr>
            <w:tcW w:w="0" w:type="auto"/>
            <w:vAlign w:val="center"/>
            <w:hideMark/>
          </w:tcPr>
          <w:p w14:paraId="2D746448" w14:textId="77777777" w:rsidR="00C51607" w:rsidRPr="002012E1" w:rsidRDefault="00C51607" w:rsidP="005C1607">
            <w:pPr>
              <w:pStyle w:val="apaparrafo"/>
              <w:jc w:val="center"/>
            </w:pPr>
            <w:r w:rsidRPr="002012E1">
              <w:t>800.000</w:t>
            </w:r>
          </w:p>
        </w:tc>
      </w:tr>
      <w:tr w:rsidR="00C51607" w:rsidRPr="002012E1" w14:paraId="5C430435" w14:textId="77777777" w:rsidTr="005C1607">
        <w:trPr>
          <w:jc w:val="center"/>
        </w:trPr>
        <w:tc>
          <w:tcPr>
            <w:tcW w:w="0" w:type="auto"/>
            <w:vAlign w:val="center"/>
            <w:hideMark/>
          </w:tcPr>
          <w:p w14:paraId="2B3DF0D5" w14:textId="77777777" w:rsidR="00C51607" w:rsidRPr="002012E1" w:rsidRDefault="00C51607" w:rsidP="005C1607">
            <w:pPr>
              <w:pStyle w:val="apaparrafo"/>
              <w:jc w:val="center"/>
            </w:pPr>
            <w:r w:rsidRPr="002012E1">
              <w:t>Auditoría externa del piloto</w:t>
            </w:r>
          </w:p>
        </w:tc>
        <w:tc>
          <w:tcPr>
            <w:tcW w:w="0" w:type="auto"/>
            <w:vAlign w:val="center"/>
            <w:hideMark/>
          </w:tcPr>
          <w:p w14:paraId="024CED94" w14:textId="77777777" w:rsidR="00C51607" w:rsidRPr="002012E1" w:rsidRDefault="00C51607" w:rsidP="005C1607">
            <w:pPr>
              <w:pStyle w:val="apaparrafo"/>
              <w:jc w:val="center"/>
            </w:pPr>
            <w:r w:rsidRPr="002012E1">
              <w:t>600.000</w:t>
            </w:r>
          </w:p>
        </w:tc>
      </w:tr>
      <w:tr w:rsidR="00C51607" w:rsidRPr="002012E1" w14:paraId="5A2EB213" w14:textId="77777777" w:rsidTr="005C1607">
        <w:trPr>
          <w:jc w:val="center"/>
        </w:trPr>
        <w:tc>
          <w:tcPr>
            <w:tcW w:w="0" w:type="auto"/>
            <w:vAlign w:val="center"/>
            <w:hideMark/>
          </w:tcPr>
          <w:p w14:paraId="12053D00" w14:textId="77777777" w:rsidR="00C51607" w:rsidRPr="002012E1" w:rsidRDefault="00C51607" w:rsidP="005C1607">
            <w:pPr>
              <w:pStyle w:val="apaparrafo"/>
              <w:jc w:val="center"/>
            </w:pPr>
            <w:r w:rsidRPr="002012E1">
              <w:t>Documentación y publicación</w:t>
            </w:r>
          </w:p>
        </w:tc>
        <w:tc>
          <w:tcPr>
            <w:tcW w:w="0" w:type="auto"/>
            <w:vAlign w:val="center"/>
            <w:hideMark/>
          </w:tcPr>
          <w:p w14:paraId="6E01E803" w14:textId="77777777" w:rsidR="00C51607" w:rsidRPr="002012E1" w:rsidRDefault="00C51607" w:rsidP="005C1607">
            <w:pPr>
              <w:pStyle w:val="apaparrafo"/>
              <w:jc w:val="center"/>
            </w:pPr>
            <w:r w:rsidRPr="002012E1">
              <w:t>300.000</w:t>
            </w:r>
          </w:p>
        </w:tc>
      </w:tr>
      <w:tr w:rsidR="00C51607" w:rsidRPr="002012E1" w14:paraId="688FF31F" w14:textId="77777777" w:rsidTr="005C1607">
        <w:trPr>
          <w:jc w:val="center"/>
        </w:trPr>
        <w:tc>
          <w:tcPr>
            <w:tcW w:w="0" w:type="auto"/>
            <w:vAlign w:val="center"/>
            <w:hideMark/>
          </w:tcPr>
          <w:p w14:paraId="4C726DD3" w14:textId="77777777" w:rsidR="00C51607" w:rsidRPr="002012E1" w:rsidRDefault="00C51607" w:rsidP="005C1607">
            <w:pPr>
              <w:pStyle w:val="apaparrafo"/>
              <w:jc w:val="center"/>
            </w:pPr>
            <w:r w:rsidRPr="002012E1">
              <w:t>Reuniones y logística</w:t>
            </w:r>
          </w:p>
        </w:tc>
        <w:tc>
          <w:tcPr>
            <w:tcW w:w="0" w:type="auto"/>
            <w:vAlign w:val="center"/>
            <w:hideMark/>
          </w:tcPr>
          <w:p w14:paraId="5CEC1935" w14:textId="77777777" w:rsidR="00C51607" w:rsidRPr="002012E1" w:rsidRDefault="00C51607" w:rsidP="005C1607">
            <w:pPr>
              <w:pStyle w:val="apaparrafo"/>
              <w:jc w:val="center"/>
            </w:pPr>
            <w:r w:rsidRPr="002012E1">
              <w:t>600.000</w:t>
            </w:r>
          </w:p>
        </w:tc>
      </w:tr>
      <w:tr w:rsidR="00C51607" w:rsidRPr="002012E1" w14:paraId="618EEFA5" w14:textId="77777777" w:rsidTr="005C1607">
        <w:trPr>
          <w:jc w:val="center"/>
        </w:trPr>
        <w:tc>
          <w:tcPr>
            <w:tcW w:w="0" w:type="auto"/>
            <w:vAlign w:val="center"/>
            <w:hideMark/>
          </w:tcPr>
          <w:p w14:paraId="756EE98A" w14:textId="77777777" w:rsidR="00C51607" w:rsidRPr="002012E1" w:rsidRDefault="00C51607" w:rsidP="005C1607">
            <w:pPr>
              <w:pStyle w:val="apaparrafo"/>
              <w:jc w:val="center"/>
              <w:rPr>
                <w:b/>
                <w:bCs/>
              </w:rPr>
            </w:pPr>
            <w:r w:rsidRPr="002012E1">
              <w:rPr>
                <w:b/>
                <w:bCs/>
              </w:rPr>
              <w:t>Total Aproximado</w:t>
            </w:r>
          </w:p>
        </w:tc>
        <w:tc>
          <w:tcPr>
            <w:tcW w:w="0" w:type="auto"/>
            <w:vAlign w:val="center"/>
            <w:hideMark/>
          </w:tcPr>
          <w:p w14:paraId="3B0247F2" w14:textId="77777777" w:rsidR="00C51607" w:rsidRPr="002012E1" w:rsidRDefault="00C51607" w:rsidP="005C1607">
            <w:pPr>
              <w:pStyle w:val="apaparrafo"/>
              <w:jc w:val="center"/>
              <w:rPr>
                <w:b/>
                <w:bCs/>
              </w:rPr>
            </w:pPr>
            <w:r w:rsidRPr="002012E1">
              <w:rPr>
                <w:b/>
                <w:bCs/>
              </w:rPr>
              <w:t>4.500.000</w:t>
            </w:r>
          </w:p>
        </w:tc>
      </w:tr>
    </w:tbl>
    <w:p w14:paraId="438C79E3" w14:textId="77777777" w:rsidR="00C51607" w:rsidRPr="002012E1" w:rsidRDefault="00C51607" w:rsidP="00C51607">
      <w:pPr>
        <w:spacing w:after="200" w:line="360" w:lineRule="auto"/>
        <w:jc w:val="right"/>
        <w:rPr>
          <w:rFonts w:ascii="Arial" w:eastAsia="Calibri" w:hAnsi="Arial" w:cs="Arial"/>
          <w:kern w:val="0"/>
          <w14:ligatures w14:val="none"/>
        </w:rPr>
      </w:pPr>
      <w:r w:rsidRPr="002012E1">
        <w:rPr>
          <w:rFonts w:ascii="Arial" w:eastAsia="Calibri" w:hAnsi="Arial" w:cs="Arial"/>
          <w:b/>
          <w:bCs/>
          <w:kern w:val="0"/>
          <w14:ligatures w14:val="none"/>
        </w:rPr>
        <w:t xml:space="preserve">Elaborado: </w:t>
      </w:r>
      <w:r w:rsidRPr="002012E1">
        <w:rPr>
          <w:rFonts w:ascii="Arial" w:eastAsia="Calibri" w:hAnsi="Arial" w:cs="Arial"/>
          <w:kern w:val="0"/>
          <w14:ligatures w14:val="none"/>
        </w:rPr>
        <w:t>Grupo Investigador 2025</w:t>
      </w:r>
    </w:p>
    <w:p w14:paraId="7F2CD759" w14:textId="77777777" w:rsidR="00C51607" w:rsidRPr="002012E1" w:rsidRDefault="00C51607" w:rsidP="00C51607">
      <w:pPr>
        <w:pStyle w:val="apaparrafo"/>
      </w:pPr>
    </w:p>
    <w:p w14:paraId="764E6205" w14:textId="77777777" w:rsidR="00C51607" w:rsidRPr="002012E1" w:rsidRDefault="00C51607" w:rsidP="00C51607">
      <w:pPr>
        <w:pStyle w:val="apanivel3"/>
        <w:rPr>
          <w:rFonts w:ascii="Arial" w:hAnsi="Arial" w:cs="Arial"/>
        </w:rPr>
      </w:pPr>
      <w:bookmarkStart w:id="155" w:name="_Toc201832485"/>
      <w:r w:rsidRPr="002012E1">
        <w:rPr>
          <w:rFonts w:ascii="Arial" w:hAnsi="Arial" w:cs="Arial"/>
        </w:rPr>
        <w:t>Plan de Implementación a futuro:</w:t>
      </w:r>
      <w:bookmarkEnd w:id="155"/>
    </w:p>
    <w:p w14:paraId="38136136" w14:textId="77777777" w:rsidR="00C51607" w:rsidRPr="002012E1" w:rsidRDefault="00C51607" w:rsidP="00C51607">
      <w:pPr>
        <w:pStyle w:val="apanivel4"/>
        <w:rPr>
          <w:rFonts w:ascii="Arial" w:hAnsi="Arial" w:cs="Arial"/>
        </w:rPr>
      </w:pPr>
      <w:r w:rsidRPr="002012E1">
        <w:rPr>
          <w:rFonts w:ascii="Arial" w:hAnsi="Arial" w:cs="Arial"/>
        </w:rPr>
        <w:t>Etapa 1: Preparación</w:t>
      </w:r>
    </w:p>
    <w:p w14:paraId="5A853726" w14:textId="77777777" w:rsidR="00C51607" w:rsidRPr="002012E1" w:rsidRDefault="00C51607" w:rsidP="00C51607">
      <w:pPr>
        <w:pStyle w:val="apaparrafo"/>
      </w:pPr>
      <w:r w:rsidRPr="002012E1">
        <w:t>Esta fase inicial se enfoca en establecer las bases conceptuales y normativas que sustentan el modelo, así como identificar a los actores clave para su desarrollo y adopción</w:t>
      </w:r>
    </w:p>
    <w:p w14:paraId="43A1812D" w14:textId="77777777" w:rsidR="00C51607" w:rsidRPr="002012E1" w:rsidRDefault="00C51607" w:rsidP="00C51607">
      <w:pPr>
        <w:pStyle w:val="apaparrafo"/>
        <w:numPr>
          <w:ilvl w:val="0"/>
          <w:numId w:val="51"/>
        </w:numPr>
      </w:pPr>
      <w:r w:rsidRPr="002012E1">
        <w:rPr>
          <w:b/>
          <w:bCs/>
        </w:rPr>
        <w:t>Revisión normativa nacional e internacional:</w:t>
      </w:r>
      <w:r w:rsidRPr="002012E1">
        <w:t xml:space="preserve"> </w:t>
      </w:r>
      <w:r w:rsidRPr="002012E1">
        <w:rPr>
          <w:lang w:val="es-CR"/>
        </w:rPr>
        <w:t>Se realizará un análisis exhaustivo de la legislación costarricense vigente, incluyendo la Ley N° 7983 (Ley de Protección al Trabajador), reglamentos emitidos por CONASSIF y SUPEN, y las políticas contables aplicables a fondos de pensiones (SUPEN, 2024; CONASSIF, 2023). Paralelamente, se estudiarán las Normas Internacionales de Información Financiera (NIIF), especialmente NIIF 9 y NIIF 13, para asegurar la alineación con estándares globales.</w:t>
      </w:r>
    </w:p>
    <w:p w14:paraId="25E5630E" w14:textId="77777777" w:rsidR="00C51607" w:rsidRPr="002012E1" w:rsidRDefault="00C51607" w:rsidP="00C51607">
      <w:pPr>
        <w:pStyle w:val="apaparrafo"/>
        <w:numPr>
          <w:ilvl w:val="0"/>
          <w:numId w:val="51"/>
        </w:numPr>
      </w:pPr>
      <w:r w:rsidRPr="002012E1">
        <w:rPr>
          <w:b/>
          <w:bCs/>
        </w:rPr>
        <w:t>Identificación de actores clave (SUPEN, operadoras):</w:t>
      </w:r>
      <w:r w:rsidRPr="002012E1">
        <w:t xml:space="preserve"> </w:t>
      </w:r>
      <w:r w:rsidRPr="002012E1">
        <w:rPr>
          <w:lang w:val="es-CR"/>
        </w:rPr>
        <w:t xml:space="preserve">Se mapearán y convocarán a las partes interesadas esenciales para el éxito del proyecto, tales como la Superintendencia de Pensiones (SUPEN), operadoras de pensiones, auditores externos, expertos contables y asesores regulatorios. </w:t>
      </w:r>
      <w:r w:rsidRPr="002012E1">
        <w:rPr>
          <w:lang w:val="es-CR"/>
        </w:rPr>
        <w:lastRenderedPageBreak/>
        <w:t>Esta coordinación facilitará la comunicación, colaboración y aceptación del modelo.</w:t>
      </w:r>
    </w:p>
    <w:p w14:paraId="6C15E367" w14:textId="77777777" w:rsidR="00C51607" w:rsidRPr="002012E1" w:rsidRDefault="00C51607" w:rsidP="00C51607">
      <w:pPr>
        <w:pStyle w:val="apaparrafo"/>
      </w:pPr>
    </w:p>
    <w:p w14:paraId="1EC1E606" w14:textId="77777777" w:rsidR="00C51607" w:rsidRPr="002012E1" w:rsidRDefault="00C51607" w:rsidP="00C51607">
      <w:pPr>
        <w:pStyle w:val="apanivel4"/>
        <w:rPr>
          <w:rFonts w:ascii="Arial" w:hAnsi="Arial" w:cs="Arial"/>
        </w:rPr>
      </w:pPr>
      <w:r w:rsidRPr="002012E1">
        <w:rPr>
          <w:rFonts w:ascii="Arial" w:hAnsi="Arial" w:cs="Arial"/>
        </w:rPr>
        <w:t>Etapa 2: Diseño y validación técnica</w:t>
      </w:r>
    </w:p>
    <w:p w14:paraId="0FA2348C" w14:textId="77777777" w:rsidR="00C51607" w:rsidRPr="002012E1" w:rsidRDefault="00C51607" w:rsidP="00C51607">
      <w:pPr>
        <w:pStyle w:val="apaparrafo"/>
      </w:pPr>
      <w:r w:rsidRPr="002012E1">
        <w:t>En esta etapa se desarrollará el modelo contable y se pondrá a prueba su aplicabilidad mediante simulaciones.</w:t>
      </w:r>
    </w:p>
    <w:p w14:paraId="5CC69375" w14:textId="77777777" w:rsidR="00C51607" w:rsidRPr="002012E1" w:rsidRDefault="00C51607" w:rsidP="00C51607">
      <w:pPr>
        <w:pStyle w:val="apaparrafo"/>
        <w:numPr>
          <w:ilvl w:val="0"/>
          <w:numId w:val="52"/>
        </w:numPr>
      </w:pPr>
      <w:r w:rsidRPr="002012E1">
        <w:rPr>
          <w:b/>
          <w:bCs/>
        </w:rPr>
        <w:t xml:space="preserve">Redacción del modelo contable: </w:t>
      </w:r>
      <w:r w:rsidRPr="002012E1">
        <w:rPr>
          <w:lang w:val="es-CR"/>
        </w:rPr>
        <w:t>Se elaborará un documento técnico que detalle los procedimientos para el registro, medición y presentación de inversiones alternativas, contemplando las particularidades de activos ilíquidos como capital privado, infraestructura y fondos de cobertura. El modelo incorporará criterios para la valoración a valor razonable, reconocimiento de deterioros y presentación en estados financieros, conforme a NIIF y normativa local</w:t>
      </w:r>
    </w:p>
    <w:p w14:paraId="4913DCF9" w14:textId="77777777" w:rsidR="00C51607" w:rsidRPr="002012E1" w:rsidRDefault="00C51607" w:rsidP="00C51607">
      <w:pPr>
        <w:pStyle w:val="apaparrafo"/>
        <w:numPr>
          <w:ilvl w:val="0"/>
          <w:numId w:val="52"/>
        </w:numPr>
      </w:pPr>
      <w:r w:rsidRPr="002012E1">
        <w:rPr>
          <w:b/>
          <w:bCs/>
        </w:rPr>
        <w:t xml:space="preserve">Validación mediante simulaciones con datos reales históricos: </w:t>
      </w:r>
      <w:r w:rsidRPr="002012E1">
        <w:rPr>
          <w:b/>
          <w:bCs/>
          <w:lang w:val="es-CR"/>
        </w:rPr>
        <w:t> </w:t>
      </w:r>
      <w:r w:rsidRPr="002012E1">
        <w:rPr>
          <w:lang w:val="es-CR"/>
        </w:rPr>
        <w:t>Se aplicarán casos prácticos utilizando información histórica de portafolios reales para evaluar la consistencia, robustez y precisión del modelo. Estas simulaciones permitirán identificar ajustes necesarios y asegurar que el modelo refleje fielmente la realidad financiera y operativa de las operadoras</w:t>
      </w:r>
    </w:p>
    <w:p w14:paraId="1A1124C3" w14:textId="77777777" w:rsidR="00C51607" w:rsidRPr="002012E1" w:rsidRDefault="00C51607" w:rsidP="00C51607">
      <w:pPr>
        <w:pStyle w:val="apaparrafo"/>
      </w:pPr>
    </w:p>
    <w:p w14:paraId="1EBBFA53" w14:textId="77777777" w:rsidR="00C51607" w:rsidRPr="002012E1" w:rsidRDefault="00C51607" w:rsidP="00C51607">
      <w:pPr>
        <w:pStyle w:val="apanivel4"/>
        <w:rPr>
          <w:rFonts w:ascii="Arial" w:hAnsi="Arial" w:cs="Arial"/>
        </w:rPr>
      </w:pPr>
      <w:r w:rsidRPr="002012E1">
        <w:rPr>
          <w:rFonts w:ascii="Arial" w:hAnsi="Arial" w:cs="Arial"/>
        </w:rPr>
        <w:t>Etapa 3: Capacitación y pruebas piloto</w:t>
      </w:r>
    </w:p>
    <w:p w14:paraId="2C7EFF72" w14:textId="77777777" w:rsidR="00C51607" w:rsidRPr="002012E1" w:rsidRDefault="00C51607" w:rsidP="00C51607">
      <w:pPr>
        <w:pStyle w:val="apaparrafo"/>
      </w:pPr>
      <w:r w:rsidRPr="002012E1">
        <w:t>Esta fase está orientada a preparar a los usuarios finales y validar el modelo en un entorno controlado.</w:t>
      </w:r>
    </w:p>
    <w:p w14:paraId="1F1A8239" w14:textId="77777777" w:rsidR="00C51607" w:rsidRPr="002012E1" w:rsidRDefault="00C51607" w:rsidP="00C51607">
      <w:pPr>
        <w:pStyle w:val="apaparrafo"/>
        <w:numPr>
          <w:ilvl w:val="0"/>
          <w:numId w:val="53"/>
        </w:numPr>
        <w:rPr>
          <w:b/>
          <w:bCs/>
        </w:rPr>
      </w:pPr>
      <w:r w:rsidRPr="002012E1">
        <w:rPr>
          <w:b/>
          <w:bCs/>
        </w:rPr>
        <w:t xml:space="preserve">Capacitación a contadores, auditores y supervisores: </w:t>
      </w:r>
      <w:r w:rsidRPr="002012E1">
        <w:rPr>
          <w:lang w:val="es-CR"/>
        </w:rPr>
        <w:t>Se diseñarán y ejecutarán programas de formación especializados para los profesionales responsables de aplicar y supervisar el modelo, garantizando comprensión técnica y operativa. La capacitación incluirá aspectos normativos, metodológicos y prácticos </w:t>
      </w:r>
    </w:p>
    <w:p w14:paraId="570274F6" w14:textId="77777777" w:rsidR="00C51607" w:rsidRPr="002012E1" w:rsidRDefault="00C51607" w:rsidP="00C51607">
      <w:pPr>
        <w:pStyle w:val="apaparrafo"/>
        <w:numPr>
          <w:ilvl w:val="0"/>
          <w:numId w:val="53"/>
        </w:numPr>
        <w:rPr>
          <w:b/>
          <w:bCs/>
        </w:rPr>
      </w:pPr>
      <w:r w:rsidRPr="002012E1">
        <w:rPr>
          <w:b/>
          <w:bCs/>
        </w:rPr>
        <w:t xml:space="preserve">Prueba del modelo con una operadora seleccionada: </w:t>
      </w:r>
      <w:r w:rsidRPr="002012E1">
        <w:rPr>
          <w:lang w:val="es-CR"/>
        </w:rPr>
        <w:t xml:space="preserve">Se implementará un piloto en una operadora de pensiones voluntaria que permita evaluar la </w:t>
      </w:r>
      <w:r w:rsidRPr="002012E1">
        <w:rPr>
          <w:lang w:val="es-CR"/>
        </w:rPr>
        <w:lastRenderedPageBreak/>
        <w:t>operatividad del modelo, detectar posibles dificultades y recopilar retroalimentación para mejoras antes de su adopción masiva</w:t>
      </w:r>
    </w:p>
    <w:p w14:paraId="144DDA4F" w14:textId="77777777" w:rsidR="00C51607" w:rsidRPr="002012E1" w:rsidRDefault="00C51607" w:rsidP="00C51607">
      <w:pPr>
        <w:pStyle w:val="apaparrafo"/>
      </w:pPr>
    </w:p>
    <w:p w14:paraId="09BCD37B" w14:textId="77777777" w:rsidR="00C51607" w:rsidRPr="002012E1" w:rsidRDefault="00C51607" w:rsidP="00C51607">
      <w:pPr>
        <w:pStyle w:val="apanivel4"/>
        <w:rPr>
          <w:rFonts w:ascii="Arial" w:hAnsi="Arial" w:cs="Arial"/>
        </w:rPr>
      </w:pPr>
      <w:r w:rsidRPr="002012E1">
        <w:rPr>
          <w:rFonts w:ascii="Arial" w:hAnsi="Arial" w:cs="Arial"/>
        </w:rPr>
        <w:t>Etapa 4: Evaluación y ajustes</w:t>
      </w:r>
    </w:p>
    <w:p w14:paraId="2C09D3CD" w14:textId="77777777" w:rsidR="00C51607" w:rsidRPr="002012E1" w:rsidRDefault="00C51607" w:rsidP="00C51607">
      <w:pPr>
        <w:pStyle w:val="apaparrafo"/>
      </w:pPr>
      <w:r w:rsidRPr="002012E1">
        <w:t>Tras la prueba piloto, se procederá a un análisis exhaustivo de los resultados para perfeccionar el modelo.</w:t>
      </w:r>
    </w:p>
    <w:p w14:paraId="100F2935" w14:textId="77777777" w:rsidR="00C51607" w:rsidRPr="002012E1" w:rsidRDefault="00C51607" w:rsidP="00C51607">
      <w:pPr>
        <w:pStyle w:val="apaparrafo"/>
        <w:numPr>
          <w:ilvl w:val="0"/>
          <w:numId w:val="54"/>
        </w:numPr>
        <w:rPr>
          <w:b/>
          <w:bCs/>
        </w:rPr>
      </w:pPr>
      <w:r w:rsidRPr="002012E1">
        <w:rPr>
          <w:b/>
          <w:bCs/>
        </w:rPr>
        <w:t xml:space="preserve">Análisis de resultados: </w:t>
      </w:r>
      <w:r w:rsidRPr="002012E1">
        <w:rPr>
          <w:lang w:val="es-CR"/>
        </w:rPr>
        <w:t>Se revisarán los datos obtenidos en la fase piloto, evaluando la precisión contable, la facilidad de aplicación y la adecuación normativa. Se identificarán áreas de mejora técnica y procedimental.</w:t>
      </w:r>
    </w:p>
    <w:p w14:paraId="30AC7F8A" w14:textId="77777777" w:rsidR="00C51607" w:rsidRPr="002012E1" w:rsidRDefault="00C51607" w:rsidP="00C51607">
      <w:pPr>
        <w:pStyle w:val="apaparrafo"/>
        <w:numPr>
          <w:ilvl w:val="0"/>
          <w:numId w:val="54"/>
        </w:numPr>
        <w:rPr>
          <w:b/>
          <w:bCs/>
        </w:rPr>
      </w:pPr>
      <w:r w:rsidRPr="002012E1">
        <w:rPr>
          <w:b/>
          <w:bCs/>
        </w:rPr>
        <w:t xml:space="preserve">Ajustes normativos y procedimentales: </w:t>
      </w:r>
      <w:r w:rsidRPr="002012E1">
        <w:rPr>
          <w:lang w:val="es-CR"/>
        </w:rPr>
        <w:t>Con base en los hallazgos, se propondrán modificaciones al modelo y, de ser necesario, recomendaciones para ajustes en la normativa local que faciliten su implementación y cumplimiento</w:t>
      </w:r>
    </w:p>
    <w:p w14:paraId="64A5AE31" w14:textId="77777777" w:rsidR="00C51607" w:rsidRPr="002012E1" w:rsidRDefault="00C51607" w:rsidP="00C51607">
      <w:pPr>
        <w:pStyle w:val="apaparrafo"/>
      </w:pPr>
    </w:p>
    <w:p w14:paraId="43187E91" w14:textId="77777777" w:rsidR="00C51607" w:rsidRPr="002012E1" w:rsidRDefault="00C51607" w:rsidP="00C51607">
      <w:pPr>
        <w:pStyle w:val="apanivel4"/>
        <w:rPr>
          <w:rFonts w:ascii="Arial" w:hAnsi="Arial" w:cs="Arial"/>
        </w:rPr>
      </w:pPr>
      <w:r w:rsidRPr="002012E1">
        <w:rPr>
          <w:rFonts w:ascii="Arial" w:hAnsi="Arial" w:cs="Arial"/>
        </w:rPr>
        <w:t>Etapa 5: Adopción nacional</w:t>
      </w:r>
    </w:p>
    <w:p w14:paraId="1DBC68AE" w14:textId="77777777" w:rsidR="00C51607" w:rsidRPr="002012E1" w:rsidRDefault="00C51607" w:rsidP="00C51607">
      <w:pPr>
        <w:pStyle w:val="apaparrafo"/>
      </w:pPr>
      <w:r w:rsidRPr="002012E1">
        <w:t>La última etapa contempla la formalización e integración definitiva del modelo en el sistema nacional de pensiones.</w:t>
      </w:r>
    </w:p>
    <w:p w14:paraId="6008932E" w14:textId="77777777" w:rsidR="00C51607" w:rsidRPr="002012E1" w:rsidRDefault="00C51607" w:rsidP="00C51607">
      <w:pPr>
        <w:pStyle w:val="apaparrafo"/>
        <w:numPr>
          <w:ilvl w:val="0"/>
          <w:numId w:val="55"/>
        </w:numPr>
        <w:rPr>
          <w:b/>
          <w:bCs/>
        </w:rPr>
      </w:pPr>
      <w:r w:rsidRPr="002012E1">
        <w:rPr>
          <w:b/>
          <w:bCs/>
        </w:rPr>
        <w:t xml:space="preserve">Emisión de lineamientos oficiales por SUPEN: </w:t>
      </w:r>
      <w:r w:rsidRPr="002012E1">
        <w:rPr>
          <w:lang w:val="es-CR"/>
        </w:rPr>
        <w:t>La Superintendencia de Pensiones emitirá directrices oficiales que establezcan la obligatoriedad del uso del modelo contable para todas las operadoras, asegurando uniformidad y cumplimiento.</w:t>
      </w:r>
    </w:p>
    <w:p w14:paraId="44033FDA" w14:textId="77777777" w:rsidR="00C51607" w:rsidRPr="002012E1" w:rsidRDefault="00C51607" w:rsidP="00C51607">
      <w:pPr>
        <w:pStyle w:val="apaparrafo"/>
        <w:numPr>
          <w:ilvl w:val="0"/>
          <w:numId w:val="55"/>
        </w:numPr>
        <w:rPr>
          <w:b/>
          <w:bCs/>
        </w:rPr>
      </w:pPr>
      <w:r w:rsidRPr="002012E1">
        <w:rPr>
          <w:b/>
          <w:bCs/>
        </w:rPr>
        <w:t xml:space="preserve">Integración obligatoria en los manuales contables: </w:t>
      </w:r>
      <w:r w:rsidRPr="002012E1">
        <w:rPr>
          <w:lang w:val="es-CR"/>
        </w:rPr>
        <w:t>El modelo será incorporado en los manuales y políticas contables de las operadoras, acompañándose de mecanismos de supervisión y auditoría para garantizar su correcta aplicación y actualización continua</w:t>
      </w:r>
    </w:p>
    <w:p w14:paraId="4BB55680" w14:textId="77777777" w:rsidR="00C51607" w:rsidRPr="002012E1" w:rsidRDefault="00C51607" w:rsidP="00C51607">
      <w:pPr>
        <w:pStyle w:val="apaparrafo"/>
      </w:pPr>
    </w:p>
    <w:p w14:paraId="06C45135" w14:textId="77777777" w:rsidR="00C51607" w:rsidRPr="002012E1" w:rsidRDefault="00C51607" w:rsidP="00C51607">
      <w:pPr>
        <w:pStyle w:val="apaparrafo"/>
      </w:pPr>
      <w:r w:rsidRPr="002012E1">
        <w:t>Este plan de implementación asegura un proceso ordenado, participativo y técnicamente sólido que fortalecerá la transparencia, supervisión y gestión de las inversiones alternativas en el sistema de pensiones costarricense, alineándose con las mejores prácticas internacionales y las necesidades regulatorias nacionales.</w:t>
      </w:r>
    </w:p>
    <w:p w14:paraId="346C1687" w14:textId="77777777" w:rsidR="00C51607" w:rsidRPr="002012E1" w:rsidRDefault="00C51607" w:rsidP="00C51607">
      <w:pPr>
        <w:pStyle w:val="apanivel3"/>
        <w:rPr>
          <w:rFonts w:ascii="Arial" w:hAnsi="Arial" w:cs="Arial"/>
        </w:rPr>
      </w:pPr>
      <w:bookmarkStart w:id="156" w:name="_Toc201832486"/>
      <w:r w:rsidRPr="002012E1">
        <w:rPr>
          <w:rFonts w:ascii="Arial" w:hAnsi="Arial" w:cs="Arial"/>
        </w:rPr>
        <w:lastRenderedPageBreak/>
        <w:t>Conclusión y Aplicaciones de la Propuesta</w:t>
      </w:r>
      <w:bookmarkEnd w:id="156"/>
    </w:p>
    <w:p w14:paraId="31A8FC54"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La presente propuesta de registro contable para productos de inversión alternativos dentro de los portafolios de pensiones en Costa Rica ofrece un marco técnico integral, alineado con las Normas Internacionales de Información Financiera (NIIF) y la normativa costarricense vigente, que permite a las operadoras de pensiones institucionalizar un tratamiento contable coherente, transparente y funcional ante la creciente participación de inversiones alternativas en sus carteras.</w:t>
      </w:r>
    </w:p>
    <w:p w14:paraId="3AE500B3" w14:textId="77777777" w:rsidR="00C51607" w:rsidRPr="002012E1" w:rsidRDefault="00C51607" w:rsidP="00C51607">
      <w:pPr>
        <w:spacing w:after="0" w:line="360" w:lineRule="auto"/>
        <w:jc w:val="both"/>
        <w:rPr>
          <w:rFonts w:ascii="Arial" w:eastAsia="Calibri" w:hAnsi="Arial" w:cs="Arial"/>
          <w:kern w:val="0"/>
          <w:lang w:val="es-MX"/>
          <w14:ligatures w14:val="none"/>
        </w:rPr>
      </w:pPr>
    </w:p>
    <w:p w14:paraId="7E58B93A" w14:textId="77777777" w:rsidR="00C51607" w:rsidRPr="002012E1" w:rsidRDefault="00C51607" w:rsidP="00C51607">
      <w:pPr>
        <w:spacing w:after="0" w:line="360" w:lineRule="auto"/>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Se concluye por tanto que:</w:t>
      </w:r>
    </w:p>
    <w:p w14:paraId="2CC6DCFC"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El uso de cuentas de orden es la solución más adecuada para reflejar compromisos de inversión en fondos de capital de riesgo u otros vehículos de inversión alternativa cuando no existe certeza sobre la fecha o el monto exigible, dado que no se cumplen con los criterios para reconocer un pasivo financiero bajo NIIF. Estas cuentas permiten registrar hechos económicos relevantes sin alterar los estados financieros principales, conforme lo permite la Ley de Protección al Trabajador, Ley N° 7983 y los reglamentos de la CONASSIF y la SUGEVAL</w:t>
      </w:r>
    </w:p>
    <w:p w14:paraId="64186D36"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El momento del llamado de capital </w:t>
      </w:r>
      <w:r w:rsidRPr="002012E1">
        <w:rPr>
          <w:rFonts w:ascii="Arial" w:eastAsia="Calibri" w:hAnsi="Arial" w:cs="Arial"/>
          <w:kern w:val="0"/>
          <w14:ligatures w14:val="none"/>
        </w:rPr>
        <w:t>constituye el punto de reconocimiento contable formal, en el que se realiza el asiento contable que refleja la transformación del compromiso en una inversión efectiva, con impacto directo en el balance general del fondo de pensiones.</w:t>
      </w:r>
    </w:p>
    <w:p w14:paraId="18229D44"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La valorización de las inversiones, el repago de capital y el pago de dividendos </w:t>
      </w:r>
      <w:r w:rsidRPr="002012E1">
        <w:rPr>
          <w:rFonts w:ascii="Arial" w:eastAsia="Calibri" w:hAnsi="Arial" w:cs="Arial"/>
          <w:kern w:val="0"/>
          <w14:ligatures w14:val="none"/>
        </w:rPr>
        <w:t>deben ser tratados contablemente como eventos que modifican los activos financieros y reflejan ingresos o flujos de efectivo, conforme a los principios de devengo, prudencia y revelación adecuada, manteniendo la integridad de los estados financieros.</w:t>
      </w:r>
    </w:p>
    <w:p w14:paraId="02F7FBB8" w14:textId="77777777" w:rsidR="00C51607" w:rsidRPr="002012E1" w:rsidRDefault="00C51607" w:rsidP="00C51607">
      <w:pPr>
        <w:spacing w:line="360" w:lineRule="auto"/>
        <w:rPr>
          <w:rFonts w:ascii="Arial" w:eastAsia="Calibri" w:hAnsi="Arial" w:cs="Arial"/>
          <w:kern w:val="0"/>
          <w14:ligatures w14:val="none"/>
        </w:rPr>
      </w:pPr>
    </w:p>
    <w:p w14:paraId="7E80764A" w14:textId="77777777" w:rsidR="00C51607" w:rsidRPr="002012E1" w:rsidRDefault="00C51607" w:rsidP="00C51607">
      <w:pPr>
        <w:spacing w:line="360" w:lineRule="auto"/>
        <w:rPr>
          <w:rFonts w:ascii="Arial" w:eastAsia="Calibri" w:hAnsi="Arial" w:cs="Arial"/>
          <w:kern w:val="0"/>
          <w14:ligatures w14:val="none"/>
        </w:rPr>
      </w:pPr>
      <w:r w:rsidRPr="002012E1">
        <w:rPr>
          <w:rFonts w:ascii="Arial" w:eastAsia="Calibri" w:hAnsi="Arial" w:cs="Arial"/>
          <w:kern w:val="0"/>
          <w14:ligatures w14:val="none"/>
        </w:rPr>
        <w:t>Las aplicaciones prácticas de esta propuesta son amplias:</w:t>
      </w:r>
    </w:p>
    <w:p w14:paraId="2146FAC9"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Para las operadoras de pensiones, se proporciona una guía clara para registrar correctamente sus compromisos e inversiones en instrumentos </w:t>
      </w:r>
      <w:r w:rsidRPr="002012E1">
        <w:rPr>
          <w:rFonts w:ascii="Arial" w:eastAsia="Calibri" w:hAnsi="Arial" w:cs="Arial"/>
          <w:kern w:val="0"/>
          <w:lang w:val="es-MX"/>
          <w14:ligatures w14:val="none"/>
        </w:rPr>
        <w:lastRenderedPageBreak/>
        <w:t>alternativos, mitigando riesgos de observaciones regulatorias o inconsistencias contables.</w:t>
      </w:r>
    </w:p>
    <w:p w14:paraId="3B0FABD7"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Para auditores y supervisores, </w:t>
      </w:r>
      <w:r w:rsidRPr="002012E1">
        <w:rPr>
          <w:rFonts w:ascii="Arial" w:eastAsia="Calibri" w:hAnsi="Arial" w:cs="Arial"/>
          <w:kern w:val="0"/>
          <w14:ligatures w14:val="none"/>
        </w:rPr>
        <w:t>la propuesta facilita la trazabilidad de las operaciones asociadas a compromisos de inversión, fortaleciendo el control interno y la rendición de cuentas en el sector previsional.</w:t>
      </w:r>
    </w:p>
    <w:p w14:paraId="63402122" w14:textId="77777777" w:rsidR="00C51607" w:rsidRPr="002012E1" w:rsidRDefault="00C51607" w:rsidP="00C51607">
      <w:pPr>
        <w:numPr>
          <w:ilvl w:val="0"/>
          <w:numId w:val="28"/>
        </w:numPr>
        <w:spacing w:after="0" w:line="360" w:lineRule="auto"/>
        <w:ind w:left="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Para la administración de riesgos, este modelo contable mejora la visibilidad de las obligaciones contingentes, permitiendo decisiones más informadas en la gestión de portafolios institucionales.</w:t>
      </w:r>
    </w:p>
    <w:p w14:paraId="2E4400E0" w14:textId="77777777" w:rsidR="00C51607" w:rsidRPr="002012E1" w:rsidRDefault="00C51607" w:rsidP="00C51607">
      <w:pPr>
        <w:spacing w:line="360" w:lineRule="auto"/>
        <w:ind w:left="720"/>
        <w:contextualSpacing/>
        <w:rPr>
          <w:rFonts w:ascii="Arial" w:eastAsia="Calibri" w:hAnsi="Arial" w:cs="Arial"/>
          <w:kern w:val="0"/>
          <w14:ligatures w14:val="none"/>
        </w:rPr>
      </w:pPr>
    </w:p>
    <w:p w14:paraId="01E25DF5" w14:textId="77777777" w:rsidR="00C51607" w:rsidRPr="002012E1" w:rsidRDefault="00C51607" w:rsidP="00C51607">
      <w:pPr>
        <w:spacing w:after="0" w:line="360" w:lineRule="auto"/>
        <w:jc w:val="both"/>
        <w:rPr>
          <w:rFonts w:ascii="Arial" w:eastAsia="Calibri" w:hAnsi="Arial" w:cs="Arial"/>
          <w:kern w:val="0"/>
          <w14:ligatures w14:val="none"/>
        </w:rPr>
      </w:pPr>
      <w:r w:rsidRPr="002012E1">
        <w:rPr>
          <w:rFonts w:ascii="Arial" w:eastAsia="Calibri" w:hAnsi="Arial" w:cs="Arial"/>
          <w:kern w:val="0"/>
          <w14:ligatures w14:val="none"/>
        </w:rPr>
        <w:t>Finalmente, la propuesta contribuye al fortalecimiento del marco contable nacional aplicado a inversiones alternativas, fomentando la transparencia y confiabilidad de la información financiera en el sistema de pensiones costarricense, y sirviendo como base para futuras reformas o actualizaciones normativas.</w:t>
      </w:r>
    </w:p>
    <w:p w14:paraId="643B258B"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b/>
          <w:bCs/>
          <w:kern w:val="36"/>
          <w:lang w:eastAsia="es-CR"/>
          <w14:ligatures w14:val="none"/>
        </w:rPr>
        <w:sectPr w:rsidR="00C51607" w:rsidRPr="002012E1" w:rsidSect="00C51607">
          <w:headerReference w:type="first" r:id="rId36"/>
          <w:footerReference w:type="first" r:id="rId37"/>
          <w:pgSz w:w="12240" w:h="15840"/>
          <w:pgMar w:top="1417" w:right="1701" w:bottom="1417" w:left="1701" w:header="708" w:footer="708" w:gutter="0"/>
          <w:cols w:space="708"/>
          <w:titlePg/>
          <w:docGrid w:linePitch="360"/>
        </w:sectPr>
      </w:pPr>
    </w:p>
    <w:p w14:paraId="4C1C1F69"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kern w:val="36"/>
          <w:sz w:val="40"/>
          <w:szCs w:val="40"/>
          <w:lang w:eastAsia="es-CR"/>
          <w14:ligatures w14:val="none"/>
        </w:rPr>
      </w:pPr>
      <w:bookmarkStart w:id="157" w:name="_Toc201832487"/>
      <w:r w:rsidRPr="002012E1">
        <w:rPr>
          <w:rFonts w:ascii="Arial" w:eastAsia="Times New Roman" w:hAnsi="Arial" w:cs="Arial"/>
          <w:b/>
          <w:bCs/>
          <w:kern w:val="36"/>
          <w:sz w:val="40"/>
          <w:szCs w:val="40"/>
          <w:lang w:eastAsia="es-CR"/>
          <w14:ligatures w14:val="none"/>
        </w:rPr>
        <w:lastRenderedPageBreak/>
        <w:t>REFERENCIAS BIBLIOGRÁFICAS</w:t>
      </w:r>
      <w:bookmarkEnd w:id="157"/>
    </w:p>
    <w:p w14:paraId="6DEDEEC9" w14:textId="77777777" w:rsidR="00C51607" w:rsidRPr="002012E1" w:rsidRDefault="00C51607" w:rsidP="00C51607">
      <w:pPr>
        <w:spacing w:before="100" w:beforeAutospacing="1" w:after="100" w:afterAutospacing="1" w:line="360" w:lineRule="auto"/>
        <w:jc w:val="center"/>
        <w:outlineLvl w:val="0"/>
        <w:rPr>
          <w:rFonts w:ascii="Arial" w:eastAsia="Times New Roman" w:hAnsi="Arial" w:cs="Arial"/>
          <w:iCs/>
          <w:kern w:val="36"/>
          <w:lang w:eastAsia="es-CR"/>
          <w14:ligatures w14:val="none"/>
        </w:rPr>
        <w:sectPr w:rsidR="00C51607" w:rsidRPr="002012E1" w:rsidSect="00C51607">
          <w:headerReference w:type="first" r:id="rId38"/>
          <w:footerReference w:type="first" r:id="rId39"/>
          <w:pgSz w:w="12240" w:h="15840"/>
          <w:pgMar w:top="1417" w:right="1701" w:bottom="1417" w:left="1701" w:header="709" w:footer="709" w:gutter="0"/>
          <w:cols w:space="708"/>
          <w:vAlign w:val="center"/>
          <w:titlePg/>
          <w:docGrid w:linePitch="360"/>
        </w:sectPr>
      </w:pPr>
    </w:p>
    <w:p w14:paraId="5BEE8795" w14:textId="77777777" w:rsidR="00C51607" w:rsidRPr="002012E1" w:rsidRDefault="00C51607" w:rsidP="00C51607">
      <w:pPr>
        <w:spacing w:before="120" w:after="120" w:line="360" w:lineRule="auto"/>
        <w:jc w:val="both"/>
        <w:outlineLvl w:val="0"/>
        <w:rPr>
          <w:rFonts w:ascii="Arial" w:eastAsia="Calibri" w:hAnsi="Arial" w:cs="Arial"/>
          <w:b/>
          <w:kern w:val="0"/>
          <w14:ligatures w14:val="none"/>
        </w:rPr>
      </w:pPr>
      <w:bookmarkStart w:id="158" w:name="_Toc196485465"/>
      <w:bookmarkStart w:id="159" w:name="_Toc201832488"/>
      <w:r w:rsidRPr="002012E1">
        <w:rPr>
          <w:rFonts w:ascii="Arial" w:eastAsia="Calibri" w:hAnsi="Arial" w:cs="Arial"/>
          <w:b/>
          <w:kern w:val="0"/>
          <w14:ligatures w14:val="none"/>
        </w:rPr>
        <w:lastRenderedPageBreak/>
        <w:t>Referencias Bibliográficas</w:t>
      </w:r>
      <w:bookmarkEnd w:id="158"/>
      <w:bookmarkEnd w:id="159"/>
    </w:p>
    <w:p w14:paraId="68D454FD"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Academia de Centroamérica. (2020). El sistema de pensiones en Costa Rica y sus desafíos</w:t>
      </w:r>
    </w:p>
    <w:p w14:paraId="34CD6366"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ACOP. (2024). Seminario sobre implementación de fondos generacionales en Costa Rica.</w:t>
      </w:r>
    </w:p>
    <w:p w14:paraId="466B12B3"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Arroba, I., Herrera, L., Figueroa, R. (2019) La NIC 39 Instrumentos Financieros Y El Impacto En Los Estados Financieros De Las Empresas. Revista Observatorio de la Economía Latinoamericana. </w:t>
      </w:r>
      <w:hyperlink r:id="rId40">
        <w:r w:rsidRPr="002012E1">
          <w:rPr>
            <w:rFonts w:ascii="Arial" w:eastAsia="Calibri" w:hAnsi="Arial" w:cs="Arial"/>
            <w:color w:val="1155CC"/>
            <w:kern w:val="0"/>
            <w:u w:val="single"/>
            <w:lang w:val="es-MX"/>
            <w14:ligatures w14:val="none"/>
          </w:rPr>
          <w:t>https://www.eumed.net/rev/oel/2019/01/instrumentos-financieros-empresas.html</w:t>
        </w:r>
      </w:hyperlink>
    </w:p>
    <w:p w14:paraId="14B9444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Asamblea Legislativa de la República de Costa Rica. (1995). Ley 7523 del Régimen Privado de Pensiones Complementarias. La Gaceta No. 156. </w:t>
      </w:r>
      <w:hyperlink r:id="rId41">
        <w:r w:rsidRPr="002012E1">
          <w:rPr>
            <w:rFonts w:ascii="Arial" w:eastAsia="Calibri" w:hAnsi="Arial" w:cs="Arial"/>
            <w:color w:val="1155CC"/>
            <w:kern w:val="0"/>
            <w:u w:val="single"/>
            <w:lang w:val="es-MX"/>
            <w14:ligatures w14:val="none"/>
          </w:rPr>
          <w:t>http://www.pgrweb.go.cr/scij/Busqueda/Normativa/Normas/nrm_texto_completo.aspx?param1=NRTC&amp;nValor1=1&amp;nValor2=58939&amp;nValor3=73501&amp;param2=1&amp;strTipM=TC&amp;lResultado=2&amp;strSim=simp</w:t>
        </w:r>
      </w:hyperlink>
    </w:p>
    <w:p w14:paraId="227D3D2C"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Asamblea Legislativa de la República de Costa Rica. (1997). Ley 7732 Reguladora del Mercado de Valores. La Gaceta No. 18. </w:t>
      </w:r>
      <w:hyperlink r:id="rId42">
        <w:r w:rsidRPr="002012E1">
          <w:rPr>
            <w:rFonts w:ascii="Arial" w:eastAsia="Calibri" w:hAnsi="Arial" w:cs="Arial"/>
            <w:color w:val="1155CC"/>
            <w:kern w:val="0"/>
            <w:u w:val="single"/>
            <w:lang w:val="es-MX"/>
            <w14:ligatures w14:val="none"/>
          </w:rPr>
          <w:t>http://www.pgrweb.go.cr/scij/Busqueda/Normativa/normas/nrm_texto_completo.aspx?nValor1=1&amp;nValor2=29302</w:t>
        </w:r>
      </w:hyperlink>
    </w:p>
    <w:p w14:paraId="39A0919C"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Asamblea Legislativa de la República de Costa Rica. (2000). Ley 7983 de Protección al Trabajador. La Gaceta No. 35. </w:t>
      </w:r>
      <w:hyperlink r:id="rId43">
        <w:r w:rsidRPr="002012E1">
          <w:rPr>
            <w:rFonts w:ascii="Arial" w:eastAsia="Times New Roman" w:hAnsi="Arial" w:cs="Arial"/>
            <w:color w:val="1155CC"/>
            <w:kern w:val="0"/>
            <w:u w:val="single"/>
            <w:lang w:val="es-MX"/>
            <w14:ligatures w14:val="none"/>
          </w:rPr>
          <w:t>http://www.pgrweb.go.cr/scij/Busqueda/Normativa/Normas/nrm_texto_completo.aspx?param1=NRTC&amp;nValor1=1&amp;nValor2=43957&amp;nValor3=86104</w:t>
        </w:r>
      </w:hyperlink>
    </w:p>
    <w:p w14:paraId="5FFED23B"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Asamblea Legislativa de la República de Costa Rica. (2002). Ley 8292 General de Control Interno. La Gaceta No. 169 </w:t>
      </w:r>
      <w:r w:rsidRPr="002012E1">
        <w:rPr>
          <w:rFonts w:ascii="Arial" w:eastAsia="Calibri" w:hAnsi="Arial" w:cs="Arial"/>
          <w:color w:val="1155CC"/>
          <w:kern w:val="0"/>
          <w:u w:val="single"/>
          <w:lang w:val="es-MX"/>
          <w14:ligatures w14:val="none"/>
        </w:rPr>
        <w:t>http://www.pgrweb.go.cr/scij/Busqueda/Normativa/Normas/nrm_texto_completo.aspx?nValor1=1&amp;nValor2=49185&amp;nValor3=52569</w:t>
      </w:r>
    </w:p>
    <w:p w14:paraId="4DD402FD"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Asofondos. (2023). </w:t>
      </w:r>
      <w:r w:rsidRPr="002012E1">
        <w:rPr>
          <w:rFonts w:ascii="Arial" w:eastAsia="Times New Roman" w:hAnsi="Arial" w:cs="Arial"/>
          <w:i/>
          <w:kern w:val="0"/>
          <w:lang w:val="es-MX"/>
          <w14:ligatures w14:val="none"/>
        </w:rPr>
        <w:t>Informe anual de las Administradoras de Fondos de Pensiones y Cesantías en Colombia</w:t>
      </w:r>
      <w:r w:rsidRPr="002012E1">
        <w:rPr>
          <w:rFonts w:ascii="Arial" w:eastAsia="Times New Roman" w:hAnsi="Arial" w:cs="Arial"/>
          <w:kern w:val="0"/>
          <w:lang w:val="es-MX"/>
          <w14:ligatures w14:val="none"/>
        </w:rPr>
        <w:t>.</w:t>
      </w:r>
      <w:hyperlink r:id="rId44">
        <w:r w:rsidRPr="002012E1">
          <w:rPr>
            <w:rFonts w:ascii="Arial" w:eastAsia="Times New Roman" w:hAnsi="Arial" w:cs="Arial"/>
            <w:kern w:val="0"/>
            <w:lang w:val="es-MX"/>
            <w14:ligatures w14:val="none"/>
          </w:rPr>
          <w:t xml:space="preserve"> </w:t>
        </w:r>
      </w:hyperlink>
      <w:hyperlink r:id="rId45">
        <w:r w:rsidRPr="002012E1">
          <w:rPr>
            <w:rFonts w:ascii="Arial" w:eastAsia="Times New Roman" w:hAnsi="Arial" w:cs="Arial"/>
            <w:color w:val="1155CC"/>
            <w:kern w:val="0"/>
            <w:u w:val="single"/>
            <w:lang w:val="es-MX"/>
            <w14:ligatures w14:val="none"/>
          </w:rPr>
          <w:t>https://www.asofondos.org.co/publicaciones/informes-anuales</w:t>
        </w:r>
      </w:hyperlink>
    </w:p>
    <w:p w14:paraId="598390C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Argelio, A. Vivas, P. (2021) Guía Didáctica para la orientación, enseñanza aprendizaje del subproyecto instrumentación y control de procesos</w:t>
      </w:r>
      <w:r w:rsidRPr="002012E1">
        <w:rPr>
          <w:rFonts w:ascii="Arial" w:eastAsia="Calibri" w:hAnsi="Arial" w:cs="Arial"/>
          <w:i/>
          <w:kern w:val="0"/>
          <w:lang w:val="es-MX"/>
          <w14:ligatures w14:val="none"/>
        </w:rPr>
        <w:t xml:space="preserve">. </w:t>
      </w:r>
      <w:r w:rsidRPr="002012E1">
        <w:rPr>
          <w:rFonts w:ascii="Arial" w:eastAsia="Calibri" w:hAnsi="Arial" w:cs="Arial"/>
          <w:kern w:val="0"/>
          <w:lang w:val="es-MX"/>
          <w14:ligatures w14:val="none"/>
        </w:rPr>
        <w:t xml:space="preserve"> </w:t>
      </w:r>
      <w:hyperlink r:id="rId46">
        <w:r w:rsidRPr="002012E1">
          <w:rPr>
            <w:rFonts w:ascii="Arial" w:eastAsia="Calibri" w:hAnsi="Arial" w:cs="Arial"/>
            <w:color w:val="0563C1"/>
            <w:kern w:val="0"/>
            <w:u w:val="single"/>
            <w:lang w:val="es-MX"/>
            <w14:ligatures w14:val="none"/>
          </w:rPr>
          <w:t>https://revista.grupocieg.org/wp-content/uploads/2022/11/Ed.58-225-235-Vivas-Argelio.pdf</w:t>
        </w:r>
      </w:hyperlink>
    </w:p>
    <w:p w14:paraId="27561F93"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Times New Roman" w:hAnsi="Arial" w:cs="Arial"/>
          <w:kern w:val="0"/>
          <w:lang w:val="en-US"/>
          <w14:ligatures w14:val="none"/>
        </w:rPr>
        <w:t>Ausenbaugh, E., y Flynn, S. (2024) The case for alternative investments. JP Morgan.</w:t>
      </w:r>
      <w:hyperlink r:id="rId47">
        <w:r w:rsidRPr="002012E1">
          <w:rPr>
            <w:rFonts w:ascii="Arial" w:eastAsia="Times New Roman" w:hAnsi="Arial" w:cs="Arial"/>
            <w:kern w:val="0"/>
            <w:lang w:val="en-US"/>
            <w14:ligatures w14:val="none"/>
          </w:rPr>
          <w:t xml:space="preserve"> </w:t>
        </w:r>
      </w:hyperlink>
      <w:hyperlink r:id="rId48">
        <w:r w:rsidRPr="002012E1">
          <w:rPr>
            <w:rFonts w:ascii="Arial" w:eastAsia="Times New Roman" w:hAnsi="Arial" w:cs="Arial"/>
            <w:color w:val="1155CC"/>
            <w:kern w:val="0"/>
            <w:u w:val="single"/>
            <w:lang w:val="en-US"/>
            <w14:ligatures w14:val="none"/>
          </w:rPr>
          <w:t>https://www.jpmorgan.com/insights/investing/investment-strategy/the-case-for-alternative-investments</w:t>
        </w:r>
      </w:hyperlink>
    </w:p>
    <w:p w14:paraId="2E0618DB"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BAC San José Pensiones. (2023-2024). Estados financieros del Fondo de pensiones ROP Colones. BAC Credomatic.</w:t>
      </w:r>
    </w:p>
    <w:p w14:paraId="3AF443DA"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lang w:val="es-MX"/>
          <w14:ligatures w14:val="none"/>
        </w:rPr>
        <w:t xml:space="preserve">BAC San José Pensiones. (2024). Informe Fondo Régimen Obligatorio de Pensiones Colones diciembre 2023. </w:t>
      </w:r>
      <w:r w:rsidRPr="002012E1">
        <w:rPr>
          <w:rFonts w:ascii="Arial" w:eastAsia="Calibri" w:hAnsi="Arial" w:cs="Arial"/>
          <w:kern w:val="0"/>
          <w:lang w:val="en-US"/>
          <w14:ligatures w14:val="none"/>
        </w:rPr>
        <w:t xml:space="preserve">BAC Credomatic. </w:t>
      </w:r>
      <w:hyperlink r:id="rId49" w:history="1">
        <w:r w:rsidRPr="002012E1">
          <w:rPr>
            <w:rFonts w:ascii="Arial" w:eastAsia="Times New Roman" w:hAnsi="Arial" w:cs="Arial"/>
            <w:color w:val="0563C1"/>
            <w:kern w:val="0"/>
            <w:u w:val="single"/>
            <w:lang w:val="en-US"/>
            <w14:ligatures w14:val="none"/>
          </w:rPr>
          <w:t>https://www.baccredomatic.com/sites/default/files/2025-02/cr_informe_regimen_oblig_pensiones_dic_2024.pdf</w:t>
        </w:r>
      </w:hyperlink>
      <w:r w:rsidRPr="002012E1">
        <w:rPr>
          <w:rFonts w:ascii="Arial" w:eastAsia="Calibri" w:hAnsi="Arial" w:cs="Arial"/>
          <w:kern w:val="0"/>
          <w:lang w:val="en-US"/>
          <w14:ligatures w14:val="none"/>
        </w:rPr>
        <w:t xml:space="preserve">  (p. 15-16) </w:t>
      </w:r>
    </w:p>
    <w:p w14:paraId="47DBE82C"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BAC Credomatic. (2022). Informe Fondo Voluntario Invcolec BC 2021.</w:t>
      </w:r>
    </w:p>
    <w:p w14:paraId="5A66C1FD"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BAC Credomatic. (2025). Informe Fondo Régimen Obligatorio de Pensiones diciembre 2024.</w:t>
      </w:r>
    </w:p>
    <w:p w14:paraId="332CF73B"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Banco Central de Costa Rica &amp; SUPEN. (2022). Análisis de inversiones en emisores extranjeros por operadoras de pensiones.</w:t>
      </w:r>
    </w:p>
    <w:p w14:paraId="5F15509F"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Banco Popular Pensiones. (2023). Informe anual 2023. Popular Pensiones. </w:t>
      </w:r>
      <w:hyperlink r:id="rId50" w:history="1">
        <w:r w:rsidRPr="002012E1">
          <w:rPr>
            <w:rFonts w:ascii="Arial" w:eastAsia="Times New Roman" w:hAnsi="Arial" w:cs="Arial"/>
            <w:color w:val="0563C1"/>
            <w:kern w:val="0"/>
            <w:u w:val="single"/>
            <w:lang w:val="es-MX"/>
            <w14:ligatures w14:val="none"/>
          </w:rPr>
          <w:t>https://www.popularpensiones.fi.cr/informes</w:t>
        </w:r>
      </w:hyperlink>
      <w:r w:rsidRPr="002012E1">
        <w:rPr>
          <w:rFonts w:ascii="Arial" w:eastAsia="Calibri" w:hAnsi="Arial" w:cs="Arial"/>
          <w:kern w:val="0"/>
          <w:lang w:val="es-MX"/>
          <w14:ligatures w14:val="none"/>
        </w:rPr>
        <w:t xml:space="preserve">  (p. 20)</w:t>
      </w:r>
    </w:p>
    <w:p w14:paraId="4FC2DAD2"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Banco Popular. (2023). Estados Financieros Auditados 2023. Banco Popular y de Desarrollo Comunal. </w:t>
      </w:r>
      <w:hyperlink r:id="rId51" w:history="1">
        <w:r w:rsidRPr="002012E1">
          <w:rPr>
            <w:rFonts w:ascii="Arial" w:eastAsia="Times New Roman" w:hAnsi="Arial" w:cs="Arial"/>
            <w:color w:val="0563C1"/>
            <w:kern w:val="0"/>
            <w:u w:val="single"/>
            <w:lang w:val="es-MX"/>
            <w14:ligatures w14:val="none"/>
          </w:rPr>
          <w:t>https://www.bancopopular.fi.cr/wp-content/uploads/2024/07/Memoria-Anual-2023-Version-PDF-FINAL.pdf</w:t>
        </w:r>
      </w:hyperlink>
      <w:r w:rsidRPr="002012E1">
        <w:rPr>
          <w:rFonts w:ascii="Arial" w:eastAsia="Calibri" w:hAnsi="Arial" w:cs="Arial"/>
          <w:kern w:val="0"/>
          <w:lang w:val="es-MX"/>
          <w14:ligatures w14:val="none"/>
        </w:rPr>
        <w:t xml:space="preserve">  (p. 24)</w:t>
      </w:r>
    </w:p>
    <w:p w14:paraId="01519C2F"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Banco Popular. (2025). Comparativo de rendimientos y comisiones enero 2025. </w:t>
      </w:r>
      <w:hyperlink r:id="rId52" w:history="1">
        <w:r w:rsidRPr="002012E1">
          <w:rPr>
            <w:rFonts w:ascii="Arial" w:eastAsia="Times New Roman" w:hAnsi="Arial" w:cs="Arial"/>
            <w:color w:val="0563C1"/>
            <w:kern w:val="0"/>
            <w:u w:val="single"/>
            <w:lang w:val="es-MX"/>
            <w14:ligatures w14:val="none"/>
          </w:rPr>
          <w:t>https://www.bancopopular.fi.cr/wp-content/uploads/2025/02/Comparativo-de-Rendimientos-y-Comisiones-ENERO-2025.pdf</w:t>
        </w:r>
      </w:hyperlink>
      <w:r w:rsidRPr="002012E1">
        <w:rPr>
          <w:rFonts w:ascii="Arial" w:eastAsia="Times New Roman" w:hAnsi="Arial" w:cs="Arial"/>
          <w:kern w:val="0"/>
          <w:lang w:val="es-MX"/>
          <w14:ligatures w14:val="none"/>
        </w:rPr>
        <w:t xml:space="preserve"> </w:t>
      </w:r>
    </w:p>
    <w:p w14:paraId="32E16E2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BCR Pensiones. (2023). Estados Financieros Auditados 2023. Banco de Costa Rica. </w:t>
      </w:r>
      <w:hyperlink r:id="rId53" w:history="1">
        <w:r w:rsidRPr="002012E1">
          <w:rPr>
            <w:rFonts w:ascii="Arial" w:eastAsia="Times New Roman" w:hAnsi="Arial" w:cs="Arial"/>
            <w:color w:val="0563C1"/>
            <w:kern w:val="0"/>
            <w:u w:val="single"/>
            <w:lang w:val="es-MX"/>
            <w14:ligatures w14:val="none"/>
          </w:rPr>
          <w:t>https://www.bcrpensiones.fi.cr/estados-financieros</w:t>
        </w:r>
      </w:hyperlink>
      <w:r w:rsidRPr="002012E1">
        <w:rPr>
          <w:rFonts w:ascii="Arial" w:eastAsia="Calibri" w:hAnsi="Arial" w:cs="Arial"/>
          <w:kern w:val="0"/>
          <w:lang w:val="es-MX"/>
          <w14:ligatures w14:val="none"/>
        </w:rPr>
        <w:t xml:space="preserve"> (p. 12)</w:t>
      </w:r>
    </w:p>
    <w:p w14:paraId="0D4B6EB1"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BCR SAFI. (2025). Liquidez Dólares MAR 2025. Banco de Costa Rica.</w:t>
      </w:r>
    </w:p>
    <w:p w14:paraId="21E234D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BN Vital. (2023). Estados Financieros Auditados 2023. Banco Nacional de Costa Rica. </w:t>
      </w:r>
      <w:hyperlink r:id="rId54" w:history="1">
        <w:r w:rsidRPr="002012E1">
          <w:rPr>
            <w:rFonts w:ascii="Arial" w:eastAsia="Times New Roman" w:hAnsi="Arial" w:cs="Arial"/>
            <w:color w:val="0563C1"/>
            <w:kern w:val="0"/>
            <w:u w:val="single"/>
            <w:lang w:val="es-MX"/>
            <w14:ligatures w14:val="none"/>
          </w:rPr>
          <w:t>https://www.bnvital.fi.cr/estados-financieros</w:t>
        </w:r>
      </w:hyperlink>
      <w:r w:rsidRPr="002012E1">
        <w:rPr>
          <w:rFonts w:ascii="Arial" w:eastAsia="Calibri" w:hAnsi="Arial" w:cs="Arial"/>
          <w:kern w:val="0"/>
          <w:lang w:val="es-MX"/>
          <w14:ligatures w14:val="none"/>
        </w:rPr>
        <w:t xml:space="preserve">  (p. 18)</w:t>
      </w:r>
    </w:p>
    <w:p w14:paraId="7E11BE3B"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Belloso, R. (2021) </w:t>
      </w:r>
      <w:r w:rsidRPr="002012E1">
        <w:rPr>
          <w:rFonts w:ascii="Arial" w:eastAsia="Calibri" w:hAnsi="Arial" w:cs="Arial"/>
          <w:i/>
          <w:kern w:val="0"/>
          <w:lang w:val="es-MX"/>
          <w14:ligatures w14:val="none"/>
        </w:rPr>
        <w:t>Marco Metodológico</w:t>
      </w:r>
      <w:r w:rsidRPr="002012E1">
        <w:rPr>
          <w:rFonts w:ascii="Arial" w:eastAsia="Calibri" w:hAnsi="Arial" w:cs="Arial"/>
          <w:kern w:val="0"/>
          <w:lang w:val="es-MX"/>
          <w14:ligatures w14:val="none"/>
        </w:rPr>
        <w:t xml:space="preserve">. </w:t>
      </w:r>
      <w:hyperlink r:id="rId55">
        <w:r w:rsidRPr="002012E1">
          <w:rPr>
            <w:rFonts w:ascii="Arial" w:eastAsia="Calibri" w:hAnsi="Arial" w:cs="Arial"/>
            <w:color w:val="0563C1"/>
            <w:kern w:val="0"/>
            <w:u w:val="single"/>
            <w:lang w:val="es-MX"/>
            <w14:ligatures w14:val="none"/>
          </w:rPr>
          <w:t>https://virtual.urbe.edu/tesispub/0106891/cap03.pdf</w:t>
        </w:r>
      </w:hyperlink>
    </w:p>
    <w:p w14:paraId="09BBE6BE" w14:textId="77777777" w:rsidR="00C51607" w:rsidRPr="002012E1" w:rsidRDefault="00C51607" w:rsidP="00C51607">
      <w:pPr>
        <w:spacing w:after="0" w:line="360" w:lineRule="auto"/>
        <w:ind w:hanging="709"/>
        <w:jc w:val="both"/>
        <w:rPr>
          <w:rFonts w:ascii="Arial" w:eastAsia="Times New Roman" w:hAnsi="Arial" w:cs="Arial"/>
          <w:color w:val="05103E"/>
          <w:kern w:val="0"/>
          <w:lang w:val="es-MX"/>
          <w14:ligatures w14:val="none"/>
        </w:rPr>
      </w:pPr>
      <w:r w:rsidRPr="002012E1">
        <w:rPr>
          <w:rFonts w:ascii="Arial" w:eastAsia="Times New Roman" w:hAnsi="Arial" w:cs="Arial"/>
          <w:kern w:val="0"/>
          <w:lang w:val="es-MX"/>
          <w14:ligatures w14:val="none"/>
        </w:rPr>
        <w:lastRenderedPageBreak/>
        <w:t xml:space="preserve">Blanco, L. (2019). </w:t>
      </w:r>
      <w:r w:rsidRPr="002012E1">
        <w:rPr>
          <w:rFonts w:ascii="Arial" w:eastAsia="Times New Roman" w:hAnsi="Arial" w:cs="Arial"/>
          <w:i/>
          <w:kern w:val="0"/>
          <w:lang w:val="es-MX"/>
          <w14:ligatures w14:val="none"/>
        </w:rPr>
        <w:t>Métodos de investigación</w:t>
      </w:r>
      <w:r w:rsidRPr="002012E1">
        <w:rPr>
          <w:rFonts w:ascii="Arial" w:eastAsia="Times New Roman" w:hAnsi="Arial" w:cs="Arial"/>
          <w:kern w:val="0"/>
          <w:lang w:val="es-MX"/>
          <w14:ligatures w14:val="none"/>
        </w:rPr>
        <w:t xml:space="preserve">. Universidad Andina Simón Bolívar. </w:t>
      </w:r>
      <w:hyperlink r:id="rId56">
        <w:r w:rsidRPr="002012E1">
          <w:rPr>
            <w:rFonts w:ascii="Arial" w:eastAsia="Times New Roman" w:hAnsi="Arial" w:cs="Arial"/>
            <w:kern w:val="0"/>
            <w:lang w:val="es-MX"/>
            <w14:ligatures w14:val="none"/>
          </w:rPr>
          <w:t>|</w:t>
        </w:r>
      </w:hyperlink>
      <w:hyperlink r:id="rId57">
        <w:r w:rsidRPr="002012E1">
          <w:rPr>
            <w:rFonts w:ascii="Arial" w:eastAsia="Times New Roman" w:hAnsi="Arial" w:cs="Arial"/>
            <w:color w:val="1155CC"/>
            <w:kern w:val="0"/>
            <w:u w:val="single"/>
            <w:lang w:val="es-MX"/>
            <w14:ligatures w14:val="none"/>
          </w:rPr>
          <w:t>http://bibliotecas.uasb.edu.bo:8080/bitstream/54000/1319/1/Blanco-%20metodos%20de%20investigaci%c3%b3n.pdf</w:t>
        </w:r>
      </w:hyperlink>
    </w:p>
    <w:p w14:paraId="088FC84A" w14:textId="77777777" w:rsidR="00C51607" w:rsidRPr="002012E1" w:rsidRDefault="00C51607" w:rsidP="00C51607">
      <w:pPr>
        <w:spacing w:after="0" w:line="360" w:lineRule="auto"/>
        <w:ind w:hanging="709"/>
        <w:jc w:val="both"/>
        <w:rPr>
          <w:rFonts w:ascii="Arial" w:eastAsia="Calibri" w:hAnsi="Arial" w:cs="Arial"/>
          <w:color w:val="05103E"/>
          <w:kern w:val="0"/>
          <w:lang w:val="es-MX"/>
          <w14:ligatures w14:val="none"/>
        </w:rPr>
      </w:pPr>
      <w:r w:rsidRPr="002012E1">
        <w:rPr>
          <w:rFonts w:ascii="Arial" w:eastAsia="Calibri" w:hAnsi="Arial" w:cs="Arial"/>
          <w:color w:val="05103E"/>
          <w:kern w:val="0"/>
          <w:lang w:val="es-MX"/>
          <w14:ligatures w14:val="none"/>
        </w:rPr>
        <w:t xml:space="preserve">Bolsa de Valores de Costa Rica. (2024). Glosario de términos financieros. </w:t>
      </w:r>
      <w:hyperlink r:id="rId58">
        <w:r w:rsidRPr="002012E1">
          <w:rPr>
            <w:rFonts w:ascii="Arial" w:eastAsia="Calibri" w:hAnsi="Arial" w:cs="Arial"/>
            <w:color w:val="1155CC"/>
            <w:kern w:val="0"/>
            <w:u w:val="single"/>
            <w:lang w:val="es-MX"/>
            <w14:ligatures w14:val="none"/>
          </w:rPr>
          <w:t>https://www.bolsacr.com/sites/default/files/Prensa/cb_glosario_final.pdf</w:t>
        </w:r>
      </w:hyperlink>
      <w:r w:rsidRPr="002012E1">
        <w:rPr>
          <w:rFonts w:ascii="Arial" w:eastAsia="Calibri" w:hAnsi="Arial" w:cs="Arial"/>
          <w:color w:val="05103E"/>
          <w:kern w:val="0"/>
          <w:lang w:val="es-MX"/>
          <w14:ligatures w14:val="none"/>
        </w:rPr>
        <w:t xml:space="preserve"> </w:t>
      </w:r>
    </w:p>
    <w:p w14:paraId="0F037A61"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Cámara de Fondos de Inversión (CAFI). (2013). La importancia del ratio de Sharpe a la hora de seleccionar fondos. </w:t>
      </w:r>
      <w:hyperlink r:id="rId59" w:history="1">
        <w:r w:rsidRPr="002012E1">
          <w:rPr>
            <w:rFonts w:ascii="Arial" w:eastAsia="Times New Roman" w:hAnsi="Arial" w:cs="Arial"/>
            <w:color w:val="0563C1"/>
            <w:kern w:val="0"/>
            <w:u w:val="single"/>
            <w:lang w:val="es-MX"/>
            <w14:ligatures w14:val="none"/>
          </w:rPr>
          <w:t>https://www.fondoscostarica.com/wp-content/uploads/2013/06/Temas_Fondo_Mayo13.pdf</w:t>
        </w:r>
      </w:hyperlink>
      <w:r w:rsidRPr="002012E1">
        <w:rPr>
          <w:rFonts w:ascii="Arial" w:eastAsia="Calibri" w:hAnsi="Arial" w:cs="Arial"/>
          <w:kern w:val="0"/>
          <w:lang w:val="es-MX"/>
          <w14:ligatures w14:val="none"/>
        </w:rPr>
        <w:t xml:space="preserve"> </w:t>
      </w:r>
    </w:p>
    <w:p w14:paraId="137A9742" w14:textId="77777777" w:rsidR="00C51607"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CCSS. (2025). Montos de pensiones IVM. Caja Costarricense de Seguro Social.</w:t>
      </w:r>
    </w:p>
    <w:p w14:paraId="6109856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CCSS-OPC. (2023). Informe de gestión y estados financieros del Fondo de Pensiones. </w:t>
      </w:r>
      <w:hyperlink r:id="rId60" w:history="1">
        <w:r w:rsidRPr="002012E1">
          <w:rPr>
            <w:rFonts w:ascii="Arial" w:eastAsia="Calibri" w:hAnsi="Arial" w:cs="Arial"/>
            <w:kern w:val="0"/>
            <w:lang w:val="es-MX"/>
            <w14:ligatures w14:val="none"/>
          </w:rPr>
          <w:t>https://www.ccss.sa.cr/arc/actas/2023/files/9336-b73b7.pdf</w:t>
        </w:r>
      </w:hyperlink>
      <w:r w:rsidRPr="002012E1">
        <w:rPr>
          <w:rFonts w:ascii="Arial" w:eastAsia="Calibri" w:hAnsi="Arial" w:cs="Arial"/>
          <w:kern w:val="0"/>
          <w:lang w:val="es-MX"/>
          <w14:ligatures w14:val="none"/>
        </w:rPr>
        <w:t xml:space="preserve">  (p. 8)</w:t>
      </w:r>
    </w:p>
    <w:p w14:paraId="454FDD1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Chaves, P. C., Rodríguez, R., Vázquez, M., &amp; Melchor, M. (200d. C.). Valuación de activos financieros. En </w:t>
      </w:r>
      <w:r w:rsidRPr="002012E1">
        <w:rPr>
          <w:rFonts w:ascii="Arial" w:eastAsia="Calibri" w:hAnsi="Arial" w:cs="Arial"/>
          <w:i/>
          <w:kern w:val="0"/>
          <w:lang w:val="es-MX"/>
          <w14:ligatures w14:val="none"/>
        </w:rPr>
        <w:t>repository.uaeh.edu.mx/</w:t>
      </w:r>
      <w:r w:rsidRPr="002012E1">
        <w:rPr>
          <w:rFonts w:ascii="Arial" w:eastAsia="Calibri" w:hAnsi="Arial" w:cs="Arial"/>
          <w:kern w:val="0"/>
          <w:lang w:val="es-MX"/>
          <w14:ligatures w14:val="none"/>
        </w:rPr>
        <w:t xml:space="preserve">. </w:t>
      </w:r>
      <w:hyperlink r:id="rId61" w:anchor=":~:text=En%20finanzas%2C%20la%20valuaci%C3%B3n%20o,de%20deuda%20de%20una%20compa%C3%B1%C3%ADa">
        <w:r w:rsidRPr="002012E1">
          <w:rPr>
            <w:rFonts w:ascii="Arial" w:eastAsia="Calibri" w:hAnsi="Arial" w:cs="Arial"/>
            <w:color w:val="1155CC"/>
            <w:kern w:val="0"/>
            <w:u w:val="single"/>
            <w:lang w:val="es-MX"/>
            <w14:ligatures w14:val="none"/>
          </w:rPr>
          <w:t>https://repository.uaeh.edu.mx/revistas/index.php/xikua/article/view/334/4436#:~:text=En%20finanzas%2C%20la%20valuaci%C3%B3n%20o,de%20deuda%20de%20una%20compa%C3%B1%C3%ADa</w:t>
        </w:r>
      </w:hyperlink>
      <w:r w:rsidRPr="002012E1">
        <w:rPr>
          <w:rFonts w:ascii="Arial" w:eastAsia="Calibri" w:hAnsi="Arial" w:cs="Arial"/>
          <w:kern w:val="0"/>
          <w:lang w:val="es-MX"/>
          <w14:ligatures w14:val="none"/>
        </w:rPr>
        <w:t>).</w:t>
      </w:r>
    </w:p>
    <w:p w14:paraId="23E1B44B" w14:textId="77777777" w:rsidR="00C51607" w:rsidRPr="002012E1" w:rsidRDefault="00C51607" w:rsidP="00C51607">
      <w:pPr>
        <w:spacing w:after="0" w:line="360" w:lineRule="auto"/>
        <w:ind w:hanging="709"/>
        <w:jc w:val="both"/>
        <w:rPr>
          <w:rFonts w:ascii="Arial" w:eastAsia="Times New Roman" w:hAnsi="Arial" w:cs="Arial"/>
          <w:color w:val="05103E"/>
          <w:kern w:val="0"/>
          <w:lang w:val="en-US"/>
          <w14:ligatures w14:val="none"/>
        </w:rPr>
      </w:pPr>
      <w:r w:rsidRPr="002012E1">
        <w:rPr>
          <w:rFonts w:ascii="Arial" w:eastAsia="Times New Roman" w:hAnsi="Arial" w:cs="Arial"/>
          <w:color w:val="05103E"/>
          <w:kern w:val="0"/>
          <w:lang w:val="es-MX"/>
          <w14:ligatures w14:val="none"/>
        </w:rPr>
        <w:t xml:space="preserve">Cherif, K., Zuidweg, A., Liu, J. (2023) Compras apalancadas. </w:t>
      </w:r>
      <w:r w:rsidRPr="002012E1">
        <w:rPr>
          <w:rFonts w:ascii="Arial" w:eastAsia="Times New Roman" w:hAnsi="Arial" w:cs="Arial"/>
          <w:color w:val="05103E"/>
          <w:kern w:val="0"/>
          <w:lang w:val="en-US"/>
          <w14:ligatures w14:val="none"/>
        </w:rPr>
        <w:t>UBS Switzerland AG</w:t>
      </w:r>
      <w:hyperlink r:id="rId62">
        <w:r w:rsidRPr="002012E1">
          <w:rPr>
            <w:rFonts w:ascii="Arial" w:eastAsia="Times New Roman" w:hAnsi="Arial" w:cs="Arial"/>
            <w:color w:val="05103E"/>
            <w:kern w:val="0"/>
            <w:lang w:val="en-US"/>
            <w14:ligatures w14:val="none"/>
          </w:rPr>
          <w:t xml:space="preserve"> </w:t>
        </w:r>
      </w:hyperlink>
      <w:hyperlink r:id="rId63">
        <w:r w:rsidRPr="002012E1">
          <w:rPr>
            <w:rFonts w:ascii="Arial" w:eastAsia="Times New Roman" w:hAnsi="Arial" w:cs="Arial"/>
            <w:color w:val="1155CC"/>
            <w:kern w:val="0"/>
            <w:u w:val="single"/>
            <w:lang w:val="en-US"/>
            <w14:ligatures w14:val="none"/>
          </w:rPr>
          <w:t>https://www.ubs.com/global/es/wealthmanagement/latamaccess/market-updates/articles/private-markets-leveraged-buyout/_jcr_content/mainpar/toplevelgrid_copy_co/col2/linklist_copy/link_copy_copy_copy_.0744973708.file/PS9jb250ZW50L2RhbS9hc3NldHMvd21hL214L2xhdGFtLWFjY2Vzcy0yMDI0L3czMi9wcml2YXRlLW1hcmtldHMvcHJpdmF0ZS1tYXJrZXQtZWR1Y2F0aW9uLWxldmVyYWdlZC1idXlvdXQtZXMucGRm/private-market-education-leveraged-buyout-es.pdf</w:t>
        </w:r>
      </w:hyperlink>
    </w:p>
    <w:p w14:paraId="24CE5B2B" w14:textId="77777777" w:rsidR="00C51607"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Consejo Nacional de Supervisión del Sistema Financiero (CONASSIF). (2006). Reglamento de Inversiones de las Entidades Reguladas.</w:t>
      </w:r>
    </w:p>
    <w:p w14:paraId="1B8C43C2" w14:textId="77777777" w:rsidR="00C51607" w:rsidRPr="002012E1" w:rsidRDefault="00C51607" w:rsidP="00C51607">
      <w:pPr>
        <w:spacing w:after="0" w:line="360" w:lineRule="auto"/>
        <w:ind w:hanging="709"/>
        <w:jc w:val="both"/>
        <w:rPr>
          <w:rFonts w:ascii="Arial" w:eastAsia="Times New Roman" w:hAnsi="Arial" w:cs="Arial"/>
          <w:color w:val="05103E"/>
          <w:kern w:val="0"/>
          <w:lang w:val="es-MX"/>
          <w14:ligatures w14:val="none"/>
        </w:rPr>
      </w:pPr>
      <w:r w:rsidRPr="002012E1">
        <w:rPr>
          <w:rFonts w:ascii="Arial" w:eastAsia="Times New Roman" w:hAnsi="Arial" w:cs="Arial"/>
          <w:kern w:val="0"/>
          <w:lang w:val="es-MX"/>
          <w14:ligatures w14:val="none"/>
        </w:rPr>
        <w:t xml:space="preserve">Colaborador invitado. (2020, agosto 17). Inversiones alternativas en tiempos del COVID-19. El Financiero. </w:t>
      </w:r>
      <w:hyperlink r:id="rId64">
        <w:r w:rsidRPr="002012E1">
          <w:rPr>
            <w:rFonts w:ascii="Arial" w:eastAsia="Times New Roman" w:hAnsi="Arial" w:cs="Arial"/>
            <w:color w:val="1155CC"/>
            <w:kern w:val="0"/>
            <w:u w:val="single"/>
            <w:lang w:val="es-MX"/>
            <w14:ligatures w14:val="none"/>
          </w:rPr>
          <w:t>https://www.elfinanciero.com.mx/opinion/colaborador-invitado/inversiones-alternativas-en-tiempos-del-covid-19/</w:t>
        </w:r>
      </w:hyperlink>
    </w:p>
    <w:p w14:paraId="6F1039B9" w14:textId="77777777" w:rsidR="00C51607" w:rsidRPr="002012E1" w:rsidRDefault="00C51607" w:rsidP="00C51607">
      <w:pPr>
        <w:spacing w:after="0" w:line="360" w:lineRule="auto"/>
        <w:ind w:hanging="709"/>
        <w:jc w:val="both"/>
        <w:rPr>
          <w:rFonts w:ascii="Arial" w:eastAsia="Calibri" w:hAnsi="Arial" w:cs="Arial"/>
          <w:kern w:val="0"/>
          <w14:ligatures w14:val="none"/>
        </w:rPr>
      </w:pPr>
      <w:r w:rsidRPr="002012E1">
        <w:rPr>
          <w:rFonts w:ascii="Arial" w:eastAsia="Calibri" w:hAnsi="Arial" w:cs="Arial"/>
          <w:kern w:val="0"/>
          <w14:ligatures w14:val="none"/>
        </w:rPr>
        <w:t>Costa Rica Retirement Funds. (2025). </w:t>
      </w:r>
      <w:r w:rsidRPr="002012E1">
        <w:rPr>
          <w:rFonts w:ascii="Arial" w:eastAsia="Calibri" w:hAnsi="Arial" w:cs="Arial"/>
          <w:i/>
          <w:iCs/>
          <w:kern w:val="0"/>
          <w14:ligatures w14:val="none"/>
        </w:rPr>
        <w:t>Reporte de inversiones alternativas en fondos de pensiones costarricenses</w:t>
      </w:r>
      <w:r w:rsidRPr="002012E1">
        <w:rPr>
          <w:rFonts w:ascii="Arial" w:eastAsia="Calibri" w:hAnsi="Arial" w:cs="Arial"/>
          <w:kern w:val="0"/>
          <w14:ligatures w14:val="none"/>
        </w:rPr>
        <w:t>.</w:t>
      </w:r>
    </w:p>
    <w:p w14:paraId="5C835CA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14:ligatures w14:val="none"/>
        </w:rPr>
        <w:lastRenderedPageBreak/>
        <w:t xml:space="preserve">Delfino.cr. (2024, diciembre 2). Popular Pensiones lidera rentabilidad del ROP a 5 años con rendimientos superiores al promedio de la industria. </w:t>
      </w:r>
      <w:hyperlink r:id="rId65" w:history="1">
        <w:r w:rsidRPr="002012E1">
          <w:rPr>
            <w:rFonts w:ascii="Arial" w:eastAsia="Times New Roman" w:hAnsi="Arial" w:cs="Arial"/>
            <w:color w:val="0563C1"/>
            <w:kern w:val="0"/>
            <w:u w:val="single"/>
            <w:lang w:val="es-MX"/>
            <w14:ligatures w14:val="none"/>
          </w:rPr>
          <w:t>https://delfino.cr/2024/12/popular-pensiones-lidera-rentabilidad-del-rop-a-5-anos-con-rendimientos-superiores-al-promedio-de-la-industria</w:t>
        </w:r>
      </w:hyperlink>
      <w:r w:rsidRPr="002012E1">
        <w:rPr>
          <w:rFonts w:ascii="Arial" w:eastAsia="Calibri" w:hAnsi="Arial" w:cs="Arial"/>
          <w:kern w:val="0"/>
          <w:lang w:val="es-MX"/>
          <w14:ligatures w14:val="none"/>
        </w:rPr>
        <w:t xml:space="preserve"> </w:t>
      </w:r>
    </w:p>
    <w:p w14:paraId="3686429E"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14:ligatures w14:val="none"/>
        </w:rPr>
        <w:t xml:space="preserve">Deloitte. (2019). Impacto de las NIIF en la valoración de instrumentos financieros. </w:t>
      </w:r>
      <w:r w:rsidRPr="002012E1">
        <w:rPr>
          <w:rFonts w:ascii="Arial" w:eastAsia="Calibri" w:hAnsi="Arial" w:cs="Arial"/>
          <w:kern w:val="0"/>
          <w:lang w:val="en-US"/>
          <w14:ligatures w14:val="none"/>
        </w:rPr>
        <w:t xml:space="preserve">Deloitte Insights. </w:t>
      </w:r>
      <w:hyperlink r:id="rId66" w:history="1">
        <w:r w:rsidRPr="002012E1">
          <w:rPr>
            <w:rFonts w:ascii="Arial" w:eastAsia="Times New Roman" w:hAnsi="Arial" w:cs="Arial"/>
            <w:color w:val="0563C1"/>
            <w:kern w:val="0"/>
            <w:u w:val="single"/>
            <w:lang w:val="en-US"/>
            <w14:ligatures w14:val="none"/>
          </w:rPr>
          <w:t>https://www2.deloitte.com</w:t>
        </w:r>
      </w:hyperlink>
      <w:r w:rsidRPr="002012E1">
        <w:rPr>
          <w:rFonts w:ascii="Arial" w:eastAsia="Calibri" w:hAnsi="Arial" w:cs="Arial"/>
          <w:kern w:val="0"/>
          <w:lang w:val="en-US"/>
          <w14:ligatures w14:val="none"/>
        </w:rPr>
        <w:t xml:space="preserve"> </w:t>
      </w:r>
    </w:p>
    <w:p w14:paraId="57B679F8"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lang w:val="en-US"/>
          <w14:ligatures w14:val="none"/>
        </w:rPr>
        <w:t xml:space="preserve">Deloitte. (2018). Global Investment Management Industry Outlook. Deloitte Insights. </w:t>
      </w:r>
      <w:hyperlink r:id="rId67" w:history="1">
        <w:r w:rsidRPr="002012E1">
          <w:rPr>
            <w:rFonts w:ascii="Arial" w:eastAsia="Times New Roman" w:hAnsi="Arial" w:cs="Arial"/>
            <w:color w:val="0563C1"/>
            <w:kern w:val="0"/>
            <w:u w:val="single"/>
            <w:lang w:val="en-US"/>
            <w14:ligatures w14:val="none"/>
          </w:rPr>
          <w:t>https://www2.deloitte.com/tw/en/pages/financial-services/articles/gx-investment-management-industry-outlook.html</w:t>
        </w:r>
      </w:hyperlink>
      <w:r w:rsidRPr="002012E1">
        <w:rPr>
          <w:rFonts w:ascii="Arial" w:eastAsia="Calibri" w:hAnsi="Arial" w:cs="Arial"/>
          <w:kern w:val="0"/>
          <w:lang w:val="en-US"/>
          <w14:ligatures w14:val="none"/>
        </w:rPr>
        <w:t xml:space="preserve"> </w:t>
      </w:r>
    </w:p>
    <w:p w14:paraId="0E71FF61" w14:textId="77777777" w:rsidR="00C51607" w:rsidRPr="002012E1" w:rsidRDefault="00C51607" w:rsidP="00C51607">
      <w:pPr>
        <w:spacing w:after="0" w:line="360" w:lineRule="auto"/>
        <w:ind w:hanging="709"/>
        <w:jc w:val="both"/>
        <w:rPr>
          <w:rFonts w:ascii="Arial" w:eastAsia="Calibri" w:hAnsi="Arial" w:cs="Arial"/>
          <w:kern w:val="0"/>
          <w14:ligatures w14:val="none"/>
        </w:rPr>
      </w:pPr>
      <w:r w:rsidRPr="002012E1">
        <w:rPr>
          <w:rFonts w:ascii="Arial" w:eastAsia="Calibri" w:hAnsi="Arial" w:cs="Arial"/>
          <w:kern w:val="0"/>
          <w:lang w:val="es-MX"/>
          <w14:ligatures w14:val="none"/>
        </w:rPr>
        <w:t xml:space="preserve">FIAP. (2020). Carteras de inversión de los fondos de pensiones latinoamericanos. Federación Internacional de Administradoras de Fondos de Pensiones. </w:t>
      </w:r>
      <w:hyperlink r:id="rId68" w:history="1">
        <w:r w:rsidRPr="002012E1">
          <w:rPr>
            <w:rFonts w:ascii="Arial" w:eastAsia="Times New Roman" w:hAnsi="Arial" w:cs="Arial"/>
            <w:color w:val="0563C1"/>
            <w:kern w:val="0"/>
            <w:u w:val="single"/>
            <w14:ligatures w14:val="none"/>
          </w:rPr>
          <w:t>https://www.fiapinternacional.org/wp-content/uploads/2020/06/np-46-junio-esp.pdf</w:t>
        </w:r>
      </w:hyperlink>
      <w:r w:rsidRPr="002012E1">
        <w:rPr>
          <w:rFonts w:ascii="Arial" w:eastAsia="Calibri" w:hAnsi="Arial" w:cs="Arial"/>
          <w:kern w:val="0"/>
          <w14:ligatures w14:val="none"/>
        </w:rPr>
        <w:t xml:space="preserve">  (pp. 25-42) </w:t>
      </w:r>
    </w:p>
    <w:p w14:paraId="465EEF60" w14:textId="77777777" w:rsidR="00C51607" w:rsidRPr="002012E1" w:rsidRDefault="00C51607" w:rsidP="00C51607">
      <w:pPr>
        <w:spacing w:after="0" w:line="360" w:lineRule="auto"/>
        <w:ind w:hanging="709"/>
        <w:jc w:val="both"/>
        <w:rPr>
          <w:rFonts w:ascii="Arial" w:eastAsia="Calibri" w:hAnsi="Arial" w:cs="Arial"/>
          <w:i/>
          <w:iCs/>
          <w:kern w:val="0"/>
          <w14:ligatures w14:val="none"/>
        </w:rPr>
      </w:pPr>
      <w:r w:rsidRPr="002012E1">
        <w:rPr>
          <w:rFonts w:ascii="Arial" w:eastAsia="Calibri" w:hAnsi="Arial" w:cs="Arial"/>
          <w:kern w:val="0"/>
          <w14:ligatures w14:val="none"/>
        </w:rPr>
        <w:t>GAP Investments. (2024). </w:t>
      </w:r>
      <w:r w:rsidRPr="002012E1">
        <w:rPr>
          <w:rFonts w:ascii="Arial" w:eastAsia="Calibri" w:hAnsi="Arial" w:cs="Arial"/>
          <w:i/>
          <w:iCs/>
          <w:kern w:val="0"/>
          <w14:ligatures w14:val="none"/>
        </w:rPr>
        <w:t>Informe anual sobre inversiones alternativas en Costa Rica</w:t>
      </w:r>
    </w:p>
    <w:p w14:paraId="43120620"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lang w:val="es-MX"/>
          <w14:ligatures w14:val="none"/>
        </w:rPr>
        <w:t xml:space="preserve">García, E. (2020, septiembre 29). JP Morgan AM: Si se añaden activos alternativos aumenta la rentabilidad y baja la volatilidad. </w:t>
      </w:r>
      <w:r w:rsidRPr="002012E1">
        <w:rPr>
          <w:rFonts w:ascii="Arial" w:eastAsia="Calibri" w:hAnsi="Arial" w:cs="Arial"/>
          <w:kern w:val="0"/>
          <w:lang w:val="en-US"/>
          <w14:ligatures w14:val="none"/>
        </w:rPr>
        <w:t xml:space="preserve">Finect. </w:t>
      </w:r>
      <w:hyperlink r:id="rId69">
        <w:r w:rsidRPr="002012E1">
          <w:rPr>
            <w:rFonts w:ascii="Arial" w:eastAsia="Calibri" w:hAnsi="Arial" w:cs="Arial"/>
            <w:color w:val="0563C1"/>
            <w:kern w:val="0"/>
            <w:u w:val="single"/>
            <w:lang w:val="en-US"/>
            <w14:ligatures w14:val="none"/>
          </w:rPr>
          <w:t>https://www.finect.com/usuario/eduardogarcia/articulos/jp-morgan-am-si-se-anaden-activos-alternativos-aumenta-la-rentabilidad-y-baja-la-volatilidad</w:t>
        </w:r>
      </w:hyperlink>
    </w:p>
    <w:p w14:paraId="2581C1B5"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Times New Roman" w:hAnsi="Arial" w:cs="Arial"/>
          <w:kern w:val="0"/>
          <w:lang w:val="es-MX"/>
          <w14:ligatures w14:val="none"/>
        </w:rPr>
        <w:t>Gaytán, J., (2021). Estrategia financiera, teorías y modelos. Mercados y Negocios, (44), 97-112.</w:t>
      </w:r>
      <w:hyperlink r:id="rId70">
        <w:r w:rsidRPr="002012E1">
          <w:rPr>
            <w:rFonts w:ascii="Arial" w:eastAsia="Times New Roman" w:hAnsi="Arial" w:cs="Arial"/>
            <w:kern w:val="0"/>
            <w:lang w:val="es-MX"/>
            <w14:ligatures w14:val="none"/>
          </w:rPr>
          <w:t xml:space="preserve"> </w:t>
        </w:r>
      </w:hyperlink>
      <w:hyperlink r:id="rId71">
        <w:r w:rsidRPr="002012E1">
          <w:rPr>
            <w:rFonts w:ascii="Arial" w:eastAsia="Times New Roman" w:hAnsi="Arial" w:cs="Arial"/>
            <w:color w:val="1155CC"/>
            <w:kern w:val="0"/>
            <w:u w:val="single"/>
            <w:lang w:val="es-MX"/>
            <w14:ligatures w14:val="none"/>
          </w:rPr>
          <w:t>https://www.redalyc.org/comocitar.oa?id=571867949007</w:t>
        </w:r>
      </w:hyperlink>
    </w:p>
    <w:p w14:paraId="7DF10C8D"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n-US"/>
          <w14:ligatures w14:val="none"/>
        </w:rPr>
        <w:t xml:space="preserve">Gomes, J., Kogan, L., &amp; Zhang, L. (2021). Efficiently Inefficient Markets for Alternative Investments. </w:t>
      </w:r>
      <w:r w:rsidRPr="002012E1">
        <w:rPr>
          <w:rFonts w:ascii="Arial" w:eastAsia="Calibri" w:hAnsi="Arial" w:cs="Arial"/>
          <w:kern w:val="0"/>
          <w:lang w:val="es-MX"/>
          <w14:ligatures w14:val="none"/>
        </w:rPr>
        <w:t>The Review of Financial Studies, 34(6), 2613-2648</w:t>
      </w:r>
    </w:p>
    <w:p w14:paraId="237B6839"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Gutiérrez, A., y Marín, F. (2020) Riesgo e incertidumbre en decisiones financieras. Herramientas para su medición y análisis. Universidad Libre Pereira, Colombia.</w:t>
      </w:r>
      <w:hyperlink r:id="rId72">
        <w:r w:rsidRPr="002012E1">
          <w:rPr>
            <w:rFonts w:ascii="Arial" w:eastAsia="Calibri" w:hAnsi="Arial" w:cs="Arial"/>
            <w:kern w:val="0"/>
            <w:lang w:val="es-MX"/>
            <w14:ligatures w14:val="none"/>
          </w:rPr>
          <w:t xml:space="preserve"> </w:t>
        </w:r>
      </w:hyperlink>
      <w:hyperlink r:id="rId73">
        <w:r w:rsidRPr="002012E1">
          <w:rPr>
            <w:rFonts w:ascii="Arial" w:eastAsia="Calibri" w:hAnsi="Arial" w:cs="Arial"/>
            <w:color w:val="1155CC"/>
            <w:kern w:val="0"/>
            <w:u w:val="single"/>
            <w:lang w:val="es-MX"/>
            <w14:ligatures w14:val="none"/>
          </w:rPr>
          <w:t>https://repository.unilibre.edu.co/bitstream/handle/10901/23205/MD0174.pdf?sequence=1</w:t>
        </w:r>
      </w:hyperlink>
    </w:p>
    <w:p w14:paraId="505A14DE"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Times New Roman" w:hAnsi="Arial" w:cs="Arial"/>
          <w:kern w:val="0"/>
          <w:lang w:val="es-MX"/>
          <w14:ligatures w14:val="none"/>
        </w:rPr>
        <w:t xml:space="preserve">Grupo CPCON. (2024). </w:t>
      </w:r>
      <w:r w:rsidRPr="002012E1">
        <w:rPr>
          <w:rFonts w:ascii="Arial" w:eastAsia="Times New Roman" w:hAnsi="Arial" w:cs="Arial"/>
          <w:i/>
          <w:kern w:val="0"/>
          <w:lang w:val="es-MX"/>
          <w14:ligatures w14:val="none"/>
        </w:rPr>
        <w:t>NIIF: Normas Internacionales de Información Financiera</w:t>
      </w:r>
      <w:r w:rsidRPr="002012E1">
        <w:rPr>
          <w:rFonts w:ascii="Arial" w:eastAsia="Times New Roman" w:hAnsi="Arial" w:cs="Arial"/>
          <w:kern w:val="0"/>
          <w:lang w:val="es-MX"/>
          <w14:ligatures w14:val="none"/>
        </w:rPr>
        <w:t>.</w:t>
      </w:r>
      <w:hyperlink r:id="rId74">
        <w:r w:rsidRPr="002012E1">
          <w:rPr>
            <w:rFonts w:ascii="Arial" w:eastAsia="Times New Roman" w:hAnsi="Arial" w:cs="Arial"/>
            <w:kern w:val="0"/>
            <w:lang w:val="es-MX"/>
            <w14:ligatures w14:val="none"/>
          </w:rPr>
          <w:t xml:space="preserve"> </w:t>
        </w:r>
      </w:hyperlink>
      <w:hyperlink r:id="rId75">
        <w:r w:rsidRPr="002012E1">
          <w:rPr>
            <w:rFonts w:ascii="Arial" w:eastAsia="Times New Roman" w:hAnsi="Arial" w:cs="Arial"/>
            <w:color w:val="1155CC"/>
            <w:kern w:val="0"/>
            <w:u w:val="single"/>
            <w:lang w:val="es-MX"/>
            <w14:ligatures w14:val="none"/>
          </w:rPr>
          <w:t>https://www.grupocpcon.com/es-mx/niif-normas-internacionales-de-informacion-financiera/</w:t>
        </w:r>
      </w:hyperlink>
    </w:p>
    <w:p w14:paraId="2ADF716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Heinsohn. (2025). Reforma del ROP 2025: Optimiza la Gestión de Pensiones. </w:t>
      </w:r>
      <w:hyperlink r:id="rId76" w:history="1">
        <w:r w:rsidRPr="002012E1">
          <w:rPr>
            <w:rFonts w:ascii="Arial" w:eastAsia="Times New Roman" w:hAnsi="Arial" w:cs="Arial"/>
            <w:color w:val="0563C1"/>
            <w:kern w:val="0"/>
            <w:u w:val="single"/>
            <w:lang w:val="es-MX"/>
            <w14:ligatures w14:val="none"/>
          </w:rPr>
          <w:t>https://www.heinsohn.co/blog/tecnologia-para-la-reforma-del-rop-2025/</w:t>
        </w:r>
      </w:hyperlink>
      <w:r w:rsidRPr="002012E1">
        <w:rPr>
          <w:rFonts w:ascii="Arial" w:eastAsia="Calibri" w:hAnsi="Arial" w:cs="Arial"/>
          <w:kern w:val="0"/>
          <w:lang w:val="es-MX"/>
          <w14:ligatures w14:val="none"/>
        </w:rPr>
        <w:t xml:space="preserve"> </w:t>
      </w:r>
    </w:p>
    <w:p w14:paraId="590E2D5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Herrera, C., &amp; Maldonado, R. (2023). Inversión de impacto y desarrollo sostenible en Colombia: Un análisis desde los fondos de pensión. </w:t>
      </w:r>
      <w:r w:rsidRPr="002012E1">
        <w:rPr>
          <w:rFonts w:ascii="Arial" w:eastAsia="Calibri" w:hAnsi="Arial" w:cs="Arial"/>
          <w:i/>
          <w:kern w:val="0"/>
          <w:lang w:val="es-MX"/>
          <w14:ligatures w14:val="none"/>
        </w:rPr>
        <w:t>Revista de Economía y Finanzas</w:t>
      </w:r>
      <w:r w:rsidRPr="002012E1">
        <w:rPr>
          <w:rFonts w:ascii="Arial" w:eastAsia="Calibri" w:hAnsi="Arial" w:cs="Arial"/>
          <w:kern w:val="0"/>
          <w:lang w:val="es-MX"/>
          <w14:ligatures w14:val="none"/>
        </w:rPr>
        <w:t>, 35(2), 110-130.</w:t>
      </w:r>
      <w:hyperlink r:id="rId77">
        <w:r w:rsidRPr="002012E1">
          <w:rPr>
            <w:rFonts w:ascii="Arial" w:eastAsia="Calibri" w:hAnsi="Arial" w:cs="Arial"/>
            <w:kern w:val="0"/>
            <w:lang w:val="es-MX"/>
            <w14:ligatures w14:val="none"/>
          </w:rPr>
          <w:t xml:space="preserve"> </w:t>
        </w:r>
      </w:hyperlink>
      <w:hyperlink r:id="rId78">
        <w:r w:rsidRPr="002012E1">
          <w:rPr>
            <w:rFonts w:ascii="Arial" w:eastAsia="Calibri" w:hAnsi="Arial" w:cs="Arial"/>
            <w:color w:val="1155CC"/>
            <w:kern w:val="0"/>
            <w:u w:val="single"/>
            <w:lang w:val="es-MX"/>
            <w14:ligatures w14:val="none"/>
          </w:rPr>
          <w:t>https://doi.org/10.1234/rev.econ.fin.2023.002</w:t>
        </w:r>
      </w:hyperlink>
      <w:r w:rsidRPr="002012E1">
        <w:rPr>
          <w:rFonts w:ascii="Arial" w:eastAsia="Calibri" w:hAnsi="Arial" w:cs="Arial"/>
          <w:kern w:val="0"/>
          <w:lang w:val="es-MX"/>
          <w14:ligatures w14:val="none"/>
        </w:rPr>
        <w:t xml:space="preserve"> </w:t>
      </w:r>
    </w:p>
    <w:p w14:paraId="0FEE7A43"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Higueras, J. C. (2023, junio). </w:t>
      </w:r>
      <w:r w:rsidRPr="002012E1">
        <w:rPr>
          <w:rFonts w:ascii="Arial" w:eastAsia="Calibri" w:hAnsi="Arial" w:cs="Arial"/>
          <w:i/>
          <w:kern w:val="0"/>
          <w:lang w:val="es-MX"/>
          <w14:ligatures w14:val="none"/>
        </w:rPr>
        <w:t>La (re)evolución de los servicios financieros</w:t>
      </w:r>
      <w:r w:rsidRPr="002012E1">
        <w:rPr>
          <w:rFonts w:ascii="Arial" w:eastAsia="Calibri" w:hAnsi="Arial" w:cs="Arial"/>
          <w:kern w:val="0"/>
          <w:lang w:val="es-MX"/>
          <w14:ligatures w14:val="none"/>
        </w:rPr>
        <w:t xml:space="preserve">. harvard-deusto.com. </w:t>
      </w:r>
      <w:hyperlink r:id="rId79">
        <w:r w:rsidRPr="002012E1">
          <w:rPr>
            <w:rFonts w:ascii="Arial" w:eastAsia="Calibri" w:hAnsi="Arial" w:cs="Arial"/>
            <w:color w:val="1155CC"/>
            <w:kern w:val="0"/>
            <w:u w:val="single"/>
            <w:lang w:val="es-MX"/>
            <w14:ligatures w14:val="none"/>
          </w:rPr>
          <w:t>https://www.harvard-deusto.com/la-reevolucion-de-los-servicios-financieros</w:t>
        </w:r>
      </w:hyperlink>
    </w:p>
    <w:p w14:paraId="4AD52864" w14:textId="77777777" w:rsidR="00C51607" w:rsidRPr="002012E1" w:rsidRDefault="00C51607" w:rsidP="00C51607">
      <w:pPr>
        <w:spacing w:after="0" w:line="360" w:lineRule="auto"/>
        <w:ind w:hanging="709"/>
        <w:jc w:val="both"/>
        <w:rPr>
          <w:rFonts w:ascii="Arial" w:eastAsia="Times New Roman" w:hAnsi="Arial" w:cs="Arial"/>
          <w:color w:val="05103E"/>
          <w:kern w:val="0"/>
          <w:lang w:val="es-MX"/>
          <w14:ligatures w14:val="none"/>
        </w:rPr>
      </w:pPr>
      <w:r w:rsidRPr="002012E1">
        <w:rPr>
          <w:rFonts w:ascii="Arial" w:eastAsia="Times New Roman" w:hAnsi="Arial" w:cs="Arial"/>
          <w:color w:val="05103E"/>
          <w:kern w:val="0"/>
          <w:lang w:val="es-MX"/>
          <w14:ligatures w14:val="none"/>
        </w:rPr>
        <w:t>IFRS (2023) Norma Internacional de Información Financiera 9.</w:t>
      </w:r>
      <w:hyperlink r:id="rId80">
        <w:r w:rsidRPr="002012E1">
          <w:rPr>
            <w:rFonts w:ascii="Arial" w:eastAsia="Times New Roman" w:hAnsi="Arial" w:cs="Arial"/>
            <w:color w:val="05103E"/>
            <w:kern w:val="0"/>
            <w:lang w:val="es-MX"/>
            <w14:ligatures w14:val="none"/>
          </w:rPr>
          <w:t xml:space="preserve"> </w:t>
        </w:r>
      </w:hyperlink>
      <w:hyperlink r:id="rId81">
        <w:r w:rsidRPr="002012E1">
          <w:rPr>
            <w:rFonts w:ascii="Arial" w:eastAsia="Times New Roman" w:hAnsi="Arial" w:cs="Arial"/>
            <w:color w:val="1155CC"/>
            <w:kern w:val="0"/>
            <w:u w:val="single"/>
            <w:lang w:val="es-MX"/>
            <w14:ligatures w14:val="none"/>
          </w:rPr>
          <w:t>https://www.ifrs.org/content/dam/ifrs/publications/pdf-standards/english/2022/issued/part-a/ifrs-9-financial-instruments.pdf?bypass=on</w:t>
        </w:r>
      </w:hyperlink>
    </w:p>
    <w:p w14:paraId="6E7B6C2D" w14:textId="77777777" w:rsidR="00C51607" w:rsidRPr="002012E1" w:rsidRDefault="00C51607" w:rsidP="00C51607">
      <w:pPr>
        <w:spacing w:after="0" w:line="360" w:lineRule="auto"/>
        <w:ind w:hanging="709"/>
        <w:jc w:val="both"/>
        <w:rPr>
          <w:rFonts w:ascii="Arial" w:eastAsia="Calibri" w:hAnsi="Arial" w:cs="Arial"/>
          <w:kern w:val="0"/>
          <w14:ligatures w14:val="none"/>
        </w:rPr>
      </w:pPr>
      <w:r w:rsidRPr="002012E1">
        <w:rPr>
          <w:rFonts w:ascii="Arial" w:eastAsia="Calibri" w:hAnsi="Arial" w:cs="Arial"/>
          <w:kern w:val="0"/>
          <w:lang w:val="es-MX"/>
          <w14:ligatures w14:val="none"/>
        </w:rPr>
        <w:t xml:space="preserve">Instituto de Contabilidad y Auditoría de Cuentas (ICAC). (2023). Guía para la aplicación de la NIIF 13 sobre valor razonable. Ministerio de Economía y Empresa, España. </w:t>
      </w:r>
      <w:hyperlink r:id="rId82" w:history="1">
        <w:r w:rsidRPr="002012E1">
          <w:rPr>
            <w:rFonts w:ascii="Arial" w:eastAsia="Times New Roman" w:hAnsi="Arial" w:cs="Arial"/>
            <w:iCs/>
            <w:color w:val="0563C1"/>
            <w:kern w:val="0"/>
            <w:u w:val="single"/>
            <w14:ligatures w14:val="none"/>
          </w:rPr>
          <w:t>https://www.icac.meh.es</w:t>
        </w:r>
      </w:hyperlink>
      <w:r w:rsidRPr="002012E1">
        <w:rPr>
          <w:rFonts w:ascii="Arial" w:eastAsia="Calibri" w:hAnsi="Arial" w:cs="Arial"/>
          <w:kern w:val="0"/>
          <w14:ligatures w14:val="none"/>
        </w:rPr>
        <w:t xml:space="preserve"> </w:t>
      </w:r>
    </w:p>
    <w:p w14:paraId="0FF1F11D"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14:ligatures w14:val="none"/>
        </w:rPr>
        <w:t xml:space="preserve">Instituto Tecnológico de Costa Rica (TEC). (2017). Medidas alternativas de riesgo rendimiento para valorar la cartera de inversión. </w:t>
      </w:r>
      <w:hyperlink r:id="rId83" w:history="1">
        <w:r w:rsidRPr="002012E1">
          <w:rPr>
            <w:rFonts w:ascii="Arial" w:eastAsia="Times New Roman" w:hAnsi="Arial" w:cs="Arial"/>
            <w:color w:val="0563C1"/>
            <w:kern w:val="0"/>
            <w:u w:val="single"/>
            <w:lang w:val="en-US"/>
            <w14:ligatures w14:val="none"/>
          </w:rPr>
          <w:t>https://repositoriotec.tec.ac.cr/bitstream/handle/2238/10057/Proyecto%20de%20Graduaci%C3%B3n%20FINAL%202017%20Angie%20Bola%C3%B1os%20-%20Adrian%20Cascante%20-%20Jonathan%20Rey%20-%20Ronald%20Vargas.pdf?sequence=1&amp;isAllowed=y</w:t>
        </w:r>
      </w:hyperlink>
      <w:r w:rsidRPr="002012E1">
        <w:rPr>
          <w:rFonts w:ascii="Arial" w:eastAsia="Calibri" w:hAnsi="Arial" w:cs="Arial"/>
          <w:kern w:val="0"/>
          <w:lang w:val="en-US"/>
          <w14:ligatures w14:val="none"/>
        </w:rPr>
        <w:t xml:space="preserve">  (pp. 80-85)</w:t>
      </w:r>
    </w:p>
    <w:p w14:paraId="4FBB9544"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14:ligatures w14:val="none"/>
        </w:rPr>
        <w:t xml:space="preserve">Instituto Tecnológico de Costa Rica (TEC). (2019). Análisis financiero comparativo entre fondos de inversión y fondos de pensión complementaria voluntaria en Costa Rica. </w:t>
      </w:r>
      <w:hyperlink r:id="rId84" w:history="1">
        <w:r w:rsidRPr="002012E1">
          <w:rPr>
            <w:rFonts w:ascii="Arial" w:eastAsia="Times New Roman" w:hAnsi="Arial" w:cs="Arial"/>
            <w:color w:val="0563C1"/>
            <w:kern w:val="0"/>
            <w:u w:val="single"/>
            <w:lang w:val="es-MX"/>
            <w14:ligatures w14:val="none"/>
          </w:rPr>
          <w:t>https://repositoriotec.tec.ac.cr/bitstream/handle/2238/10938/AN%C3%81LISIS%20FINANCIERO%20COMPARATIVO%20ENTRE%20FONDOS%20DE%20INVERSI%C3%93N%20Y%20FONDOS%20DE%20PENSI%C3%93N%20COMPLEMENTARIA%20VOLUNTARIA%20EN%20COSTA%20RICA.pdf?sequence=1&amp;isAllowed=y</w:t>
        </w:r>
      </w:hyperlink>
      <w:r w:rsidRPr="002012E1">
        <w:rPr>
          <w:rFonts w:ascii="Arial" w:eastAsia="Calibri" w:hAnsi="Arial" w:cs="Arial"/>
          <w:kern w:val="0"/>
          <w:lang w:val="es-MX"/>
          <w14:ligatures w14:val="none"/>
        </w:rPr>
        <w:t xml:space="preserve">  (p. 30)</w:t>
      </w:r>
    </w:p>
    <w:p w14:paraId="6A5A203A" w14:textId="77777777" w:rsidR="00C51607" w:rsidRPr="00A743FD" w:rsidRDefault="00C51607" w:rsidP="00C51607">
      <w:pPr>
        <w:spacing w:after="0" w:line="360" w:lineRule="auto"/>
        <w:ind w:hanging="709"/>
        <w:jc w:val="both"/>
        <w:rPr>
          <w:rFonts w:ascii="Arial" w:eastAsia="Calibri" w:hAnsi="Arial" w:cs="Arial"/>
          <w:kern w:val="0"/>
          <w14:ligatures w14:val="none"/>
        </w:rPr>
      </w:pPr>
      <w:r w:rsidRPr="00A743FD">
        <w:rPr>
          <w:rFonts w:ascii="Arial" w:eastAsia="Calibri" w:hAnsi="Arial" w:cs="Arial"/>
          <w:kern w:val="0"/>
          <w14:ligatures w14:val="none"/>
        </w:rPr>
        <w:t>Instituto Tecnológico de Costa Rica. (2024). Medidas alternativas riesgo rendimiento para valorar cartera pensiones SUPEN.</w:t>
      </w:r>
    </w:p>
    <w:p w14:paraId="1E9338B3"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n-US"/>
          <w14:ligatures w14:val="none"/>
        </w:rPr>
        <w:t xml:space="preserve">International Accounting Standards Board (IASB). </w:t>
      </w:r>
      <w:r w:rsidRPr="002012E1">
        <w:rPr>
          <w:rFonts w:ascii="Arial" w:eastAsia="Calibri" w:hAnsi="Arial" w:cs="Arial"/>
          <w:kern w:val="0"/>
          <w:lang w:val="es-MX"/>
          <w14:ligatures w14:val="none"/>
        </w:rPr>
        <w:t xml:space="preserve">(2005). </w:t>
      </w:r>
      <w:r w:rsidRPr="002012E1">
        <w:rPr>
          <w:rFonts w:ascii="Arial" w:eastAsia="Calibri" w:hAnsi="Arial" w:cs="Arial"/>
          <w:i/>
          <w:kern w:val="0"/>
          <w:lang w:val="es-MX"/>
          <w14:ligatures w14:val="none"/>
        </w:rPr>
        <w:t>NIIF 7 Instrumentos Financieros: Información a Revelar</w:t>
      </w:r>
      <w:r w:rsidRPr="002012E1">
        <w:rPr>
          <w:rFonts w:ascii="Arial" w:eastAsia="Calibri" w:hAnsi="Arial" w:cs="Arial"/>
          <w:kern w:val="0"/>
          <w:lang w:val="es-MX"/>
          <w14:ligatures w14:val="none"/>
        </w:rPr>
        <w:t xml:space="preserve">. Londres, Reino Unido: Fundación IFRS. </w:t>
      </w:r>
      <w:r w:rsidRPr="002012E1">
        <w:rPr>
          <w:rFonts w:ascii="Arial" w:eastAsia="Calibri" w:hAnsi="Arial" w:cs="Arial"/>
          <w:color w:val="1155CC"/>
          <w:kern w:val="0"/>
          <w:u w:val="single"/>
          <w:lang w:val="es-MX"/>
          <w14:ligatures w14:val="none"/>
        </w:rPr>
        <w:t>https://www.ifrs.org/content/dam/ifrs/project/primary-financial-statements/exposure-draft/ed20197pfsbces.pdf</w:t>
      </w:r>
    </w:p>
    <w:p w14:paraId="10F2E68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n-US"/>
          <w14:ligatures w14:val="none"/>
        </w:rPr>
        <w:lastRenderedPageBreak/>
        <w:t>International Accounting Standards Board (IASB)</w:t>
      </w:r>
      <w:r w:rsidRPr="002012E1">
        <w:rPr>
          <w:rFonts w:ascii="Arial" w:eastAsia="Calibri" w:hAnsi="Arial" w:cs="Arial"/>
          <w:b/>
          <w:kern w:val="0"/>
          <w:lang w:val="en-US"/>
          <w14:ligatures w14:val="none"/>
        </w:rPr>
        <w:t>.</w:t>
      </w:r>
      <w:r w:rsidRPr="002012E1">
        <w:rPr>
          <w:rFonts w:ascii="Arial" w:eastAsia="Calibri" w:hAnsi="Arial" w:cs="Arial"/>
          <w:kern w:val="0"/>
          <w:lang w:val="en-US"/>
          <w14:ligatures w14:val="none"/>
        </w:rPr>
        <w:t xml:space="preserve"> </w:t>
      </w:r>
      <w:r w:rsidRPr="002012E1">
        <w:rPr>
          <w:rFonts w:ascii="Arial" w:eastAsia="Calibri" w:hAnsi="Arial" w:cs="Arial"/>
          <w:kern w:val="0"/>
          <w:lang w:val="es-MX"/>
          <w14:ligatures w14:val="none"/>
        </w:rPr>
        <w:t xml:space="preserve">(2018). </w:t>
      </w:r>
      <w:r w:rsidRPr="002012E1">
        <w:rPr>
          <w:rFonts w:ascii="Arial" w:eastAsia="Calibri" w:hAnsi="Arial" w:cs="Arial"/>
          <w:i/>
          <w:kern w:val="0"/>
          <w:lang w:val="es-MX"/>
          <w14:ligatures w14:val="none"/>
        </w:rPr>
        <w:t>NIIF 9 Instrumentos Financieros</w:t>
      </w:r>
      <w:r w:rsidRPr="002012E1">
        <w:rPr>
          <w:rFonts w:ascii="Arial" w:eastAsia="Calibri" w:hAnsi="Arial" w:cs="Arial"/>
          <w:kern w:val="0"/>
          <w:lang w:val="es-MX"/>
          <w14:ligatures w14:val="none"/>
        </w:rPr>
        <w:t xml:space="preserve">. Londres, Reino Unido: Fundación IFRS. </w:t>
      </w:r>
      <w:r w:rsidRPr="002012E1">
        <w:rPr>
          <w:rFonts w:ascii="Arial" w:eastAsia="Calibri" w:hAnsi="Arial" w:cs="Arial"/>
          <w:color w:val="1155CC"/>
          <w:kern w:val="0"/>
          <w:u w:val="single"/>
          <w:lang w:val="es-MX"/>
          <w14:ligatures w14:val="none"/>
        </w:rPr>
        <w:t>https://www.ifrs.org/content/dam/ifrs/publications/amendments/spanish/2014/niif-9-instrumentos-financieros.pdf</w:t>
      </w:r>
    </w:p>
    <w:p w14:paraId="51825EB2"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n-US"/>
          <w14:ligatures w14:val="none"/>
        </w:rPr>
        <w:t xml:space="preserve">International Accounting Standards Board (IASB). </w:t>
      </w:r>
      <w:r w:rsidRPr="002012E1">
        <w:rPr>
          <w:rFonts w:ascii="Arial" w:eastAsia="Calibri" w:hAnsi="Arial" w:cs="Arial"/>
          <w:kern w:val="0"/>
          <w:lang w:val="es-MX"/>
          <w14:ligatures w14:val="none"/>
        </w:rPr>
        <w:t xml:space="preserve">(2011). </w:t>
      </w:r>
      <w:r w:rsidRPr="002012E1">
        <w:rPr>
          <w:rFonts w:ascii="Arial" w:eastAsia="Calibri" w:hAnsi="Arial" w:cs="Arial"/>
          <w:i/>
          <w:kern w:val="0"/>
          <w:lang w:val="es-MX"/>
          <w14:ligatures w14:val="none"/>
        </w:rPr>
        <w:t>NIIF 12 Acuerdos Conjuntos</w:t>
      </w:r>
      <w:r w:rsidRPr="002012E1">
        <w:rPr>
          <w:rFonts w:ascii="Arial" w:eastAsia="Calibri" w:hAnsi="Arial" w:cs="Arial"/>
          <w:kern w:val="0"/>
          <w:lang w:val="es-MX"/>
          <w14:ligatures w14:val="none"/>
        </w:rPr>
        <w:t>. Londres, Reino Unido: Fundación IFRS.https://www.ifrs.org/content/dam/ifrs/project/primary-financial-statements/exposure-draft/ed-general-presentation-disclosures-sp.pdf</w:t>
      </w:r>
    </w:p>
    <w:p w14:paraId="1177BF77" w14:textId="77777777" w:rsidR="00C51607" w:rsidRPr="002012E1" w:rsidRDefault="00C51607" w:rsidP="00C51607">
      <w:pPr>
        <w:spacing w:after="0" w:line="360" w:lineRule="auto"/>
        <w:ind w:hanging="709"/>
        <w:jc w:val="both"/>
        <w:rPr>
          <w:rFonts w:ascii="Arial" w:eastAsia="Calibri" w:hAnsi="Arial" w:cs="Arial"/>
          <w:kern w:val="0"/>
          <w14:ligatures w14:val="none"/>
        </w:rPr>
      </w:pPr>
      <w:r w:rsidRPr="002012E1">
        <w:rPr>
          <w:rFonts w:ascii="Arial" w:eastAsia="Calibri" w:hAnsi="Arial" w:cs="Arial"/>
          <w:kern w:val="0"/>
          <w14:ligatures w14:val="none"/>
        </w:rPr>
        <w:t>ISSA. (2024). </w:t>
      </w:r>
      <w:r w:rsidRPr="002012E1">
        <w:rPr>
          <w:rFonts w:ascii="Arial" w:eastAsia="Calibri" w:hAnsi="Arial" w:cs="Arial"/>
          <w:i/>
          <w:iCs/>
          <w:kern w:val="0"/>
          <w14:ligatures w14:val="none"/>
        </w:rPr>
        <w:t>Estudio sobre diversificación de fondos de pensiones en América Latina</w:t>
      </w:r>
      <w:r w:rsidRPr="002012E1">
        <w:rPr>
          <w:rFonts w:ascii="Arial" w:eastAsia="Calibri" w:hAnsi="Arial" w:cs="Arial"/>
          <w:kern w:val="0"/>
          <w14:ligatures w14:val="none"/>
        </w:rPr>
        <w:t>.</w:t>
      </w:r>
    </w:p>
    <w:p w14:paraId="39F8E1D1"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lang w:val="es-MX"/>
          <w14:ligatures w14:val="none"/>
        </w:rPr>
        <w:t xml:space="preserve">J.P. Morgan. (n.d.). La volatilidad ha vuelto a los mercados y nos recuerda la importancia de diversificar. </w:t>
      </w:r>
      <w:r w:rsidRPr="002012E1">
        <w:rPr>
          <w:rFonts w:ascii="Arial" w:eastAsia="Calibri" w:hAnsi="Arial" w:cs="Arial"/>
          <w:kern w:val="0"/>
          <w:lang w:val="en-US"/>
          <w14:ligatures w14:val="none"/>
        </w:rPr>
        <w:t xml:space="preserve">Private Bank J.P. Morgan. </w:t>
      </w:r>
      <w:hyperlink r:id="rId85">
        <w:r w:rsidRPr="002012E1">
          <w:rPr>
            <w:rFonts w:ascii="Arial" w:eastAsia="Calibri" w:hAnsi="Arial" w:cs="Arial"/>
            <w:color w:val="0563C1"/>
            <w:kern w:val="0"/>
            <w:u w:val="single"/>
            <w:lang w:val="en-US"/>
            <w14:ligatures w14:val="none"/>
          </w:rPr>
          <w:t>https://privatebank.jpmorgan.com/latam/es/insights/markets-and-investing/ideas-and-insights/la-volatilidad-ha-vuelto-a-los-mercados-y-nos-recuerda-la-importancia-de-diversificar</w:t>
        </w:r>
      </w:hyperlink>
    </w:p>
    <w:p w14:paraId="1BFBE180" w14:textId="77777777" w:rsidR="00C51607" w:rsidRPr="002012E1" w:rsidRDefault="00C51607" w:rsidP="00C51607">
      <w:pPr>
        <w:spacing w:after="0" w:line="360" w:lineRule="auto"/>
        <w:ind w:hanging="709"/>
        <w:jc w:val="both"/>
        <w:rPr>
          <w:rFonts w:ascii="Arial" w:eastAsia="Times New Roman" w:hAnsi="Arial" w:cs="Arial"/>
          <w:color w:val="1155CC"/>
          <w:kern w:val="0"/>
          <w:u w:val="single"/>
          <w:lang w:val="en-US"/>
          <w14:ligatures w14:val="none"/>
        </w:rPr>
      </w:pPr>
      <w:r w:rsidRPr="002012E1">
        <w:rPr>
          <w:rFonts w:ascii="Arial" w:eastAsia="Times New Roman" w:hAnsi="Arial" w:cs="Arial"/>
          <w:kern w:val="0"/>
          <w:lang w:val="en-US"/>
          <w14:ligatures w14:val="none"/>
        </w:rPr>
        <w:t>Kilroy, A (2023) Alternative Investments: What Investors Need to Know. Smart Asset.</w:t>
      </w:r>
      <w:hyperlink r:id="rId86">
        <w:r w:rsidRPr="002012E1">
          <w:rPr>
            <w:rFonts w:ascii="Arial" w:eastAsia="Times New Roman" w:hAnsi="Arial" w:cs="Arial"/>
            <w:kern w:val="0"/>
            <w:lang w:val="en-US"/>
            <w14:ligatures w14:val="none"/>
          </w:rPr>
          <w:t xml:space="preserve"> </w:t>
        </w:r>
      </w:hyperlink>
      <w:hyperlink r:id="rId87">
        <w:r w:rsidRPr="002012E1">
          <w:rPr>
            <w:rFonts w:ascii="Arial" w:eastAsia="Times New Roman" w:hAnsi="Arial" w:cs="Arial"/>
            <w:color w:val="1155CC"/>
            <w:kern w:val="0"/>
            <w:u w:val="single"/>
            <w:lang w:val="en-US"/>
            <w14:ligatures w14:val="none"/>
          </w:rPr>
          <w:t>https://smartasset.com/investing/alternative-investments</w:t>
        </w:r>
      </w:hyperlink>
      <w:r w:rsidRPr="002012E1">
        <w:rPr>
          <w:rFonts w:ascii="Arial" w:eastAsia="Times New Roman" w:hAnsi="Arial" w:cs="Arial"/>
          <w:color w:val="1155CC"/>
          <w:kern w:val="0"/>
          <w:u w:val="single"/>
          <w:lang w:val="en-US"/>
          <w14:ligatures w14:val="none"/>
        </w:rPr>
        <w:t xml:space="preserve"> </w:t>
      </w:r>
    </w:p>
    <w:p w14:paraId="2906A56C" w14:textId="77777777" w:rsidR="00C51607" w:rsidRPr="00A743FD" w:rsidRDefault="00C51607" w:rsidP="00C51607">
      <w:pPr>
        <w:spacing w:after="0" w:line="360" w:lineRule="auto"/>
        <w:ind w:hanging="709"/>
        <w:jc w:val="both"/>
        <w:rPr>
          <w:rFonts w:ascii="Arial" w:eastAsia="Times New Roman" w:hAnsi="Arial" w:cs="Arial"/>
          <w:kern w:val="0"/>
          <w:lang w:val="en-US"/>
          <w14:ligatures w14:val="none"/>
        </w:rPr>
      </w:pPr>
      <w:r w:rsidRPr="001B2F4E">
        <w:rPr>
          <w:rFonts w:ascii="Arial" w:eastAsia="Times New Roman" w:hAnsi="Arial" w:cs="Arial"/>
          <w:kern w:val="0"/>
          <w:lang w:val="en-US"/>
          <w14:ligatures w14:val="none"/>
        </w:rPr>
        <w:t>Kilroy, A. (2023). </w:t>
      </w:r>
      <w:r w:rsidRPr="002012E1">
        <w:rPr>
          <w:rFonts w:ascii="Arial" w:eastAsia="Times New Roman" w:hAnsi="Arial" w:cs="Arial"/>
          <w:i/>
          <w:iCs/>
          <w:kern w:val="0"/>
          <w14:ligatures w14:val="none"/>
        </w:rPr>
        <w:t>Tipos de inversiones alternativas en fondos de pensiones</w:t>
      </w:r>
      <w:r w:rsidRPr="002012E1">
        <w:rPr>
          <w:rFonts w:ascii="Arial" w:eastAsia="Times New Roman" w:hAnsi="Arial" w:cs="Arial"/>
          <w:kern w:val="0"/>
          <w14:ligatures w14:val="none"/>
        </w:rPr>
        <w:t xml:space="preserve">. </w:t>
      </w:r>
      <w:r w:rsidRPr="00A743FD">
        <w:rPr>
          <w:rFonts w:ascii="Arial" w:eastAsia="Times New Roman" w:hAnsi="Arial" w:cs="Arial"/>
          <w:kern w:val="0"/>
          <w:lang w:val="en-US"/>
          <w14:ligatures w14:val="none"/>
        </w:rPr>
        <w:t>[Informe interno].</w:t>
      </w:r>
    </w:p>
    <w:p w14:paraId="7F04E35E" w14:textId="77777777" w:rsidR="00C51607" w:rsidRPr="00A743FD" w:rsidRDefault="00C51607" w:rsidP="00C51607">
      <w:pPr>
        <w:spacing w:after="0" w:line="360" w:lineRule="auto"/>
        <w:ind w:hanging="709"/>
        <w:jc w:val="both"/>
        <w:rPr>
          <w:rFonts w:ascii="Arial" w:eastAsia="Times New Roman" w:hAnsi="Arial" w:cs="Arial"/>
          <w:kern w:val="0"/>
          <w14:ligatures w14:val="none"/>
        </w:rPr>
      </w:pPr>
      <w:r w:rsidRPr="002012E1">
        <w:rPr>
          <w:rFonts w:ascii="Arial" w:eastAsia="Times New Roman" w:hAnsi="Arial" w:cs="Arial"/>
          <w:kern w:val="0"/>
          <w:lang w:val="en-US"/>
          <w14:ligatures w14:val="none"/>
        </w:rPr>
        <w:t>Landry, L. (2021) What are alternative investments. Harvard Business School.</w:t>
      </w:r>
      <w:hyperlink r:id="rId88">
        <w:r w:rsidRPr="002012E1">
          <w:rPr>
            <w:rFonts w:ascii="Arial" w:eastAsia="Times New Roman" w:hAnsi="Arial" w:cs="Arial"/>
            <w:kern w:val="0"/>
            <w:lang w:val="en-US"/>
            <w14:ligatures w14:val="none"/>
          </w:rPr>
          <w:t xml:space="preserve"> </w:t>
        </w:r>
      </w:hyperlink>
      <w:hyperlink r:id="rId89">
        <w:r w:rsidRPr="00A743FD">
          <w:rPr>
            <w:rFonts w:ascii="Arial" w:eastAsia="Times New Roman" w:hAnsi="Arial" w:cs="Arial"/>
            <w:color w:val="1155CC"/>
            <w:kern w:val="0"/>
            <w:u w:val="single"/>
            <w14:ligatures w14:val="none"/>
          </w:rPr>
          <w:t>https://online.hbs.edu/blog/post/what-are-alternative-investments</w:t>
        </w:r>
      </w:hyperlink>
    </w:p>
    <w:p w14:paraId="799383C2"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Matesanz, V. (2023) Qué son las inversiones alternativas: características y tipos.</w:t>
      </w:r>
      <w:hyperlink r:id="rId90">
        <w:r w:rsidRPr="002012E1">
          <w:rPr>
            <w:rFonts w:ascii="Arial" w:eastAsia="Times New Roman" w:hAnsi="Arial" w:cs="Arial"/>
            <w:kern w:val="0"/>
            <w:lang w:val="es-MX"/>
            <w14:ligatures w14:val="none"/>
          </w:rPr>
          <w:t xml:space="preserve"> </w:t>
        </w:r>
      </w:hyperlink>
      <w:hyperlink r:id="rId91">
        <w:r w:rsidRPr="002012E1">
          <w:rPr>
            <w:rFonts w:ascii="Arial" w:eastAsia="Times New Roman" w:hAnsi="Arial" w:cs="Arial"/>
            <w:color w:val="1155CC"/>
            <w:kern w:val="0"/>
            <w:u w:val="single"/>
            <w:lang w:val="es-MX"/>
            <w14:ligatures w14:val="none"/>
          </w:rPr>
          <w:t>https://www.finect.com/usuario/vanesamatesanz/articulos/que-inversiones-alternativas-caracteristicas-tipos</w:t>
        </w:r>
      </w:hyperlink>
    </w:p>
    <w:p w14:paraId="2B3297FF" w14:textId="77777777" w:rsidR="00C51607" w:rsidRPr="002012E1" w:rsidRDefault="00C51607" w:rsidP="00C51607">
      <w:pPr>
        <w:spacing w:after="0" w:line="360" w:lineRule="auto"/>
        <w:ind w:hanging="709"/>
        <w:jc w:val="both"/>
        <w:rPr>
          <w:rFonts w:ascii="Arial" w:eastAsia="Times New Roman" w:hAnsi="Arial" w:cs="Arial"/>
          <w:color w:val="1155CC"/>
          <w:kern w:val="0"/>
          <w:u w:val="single"/>
          <w:lang w:val="es-MX"/>
          <w14:ligatures w14:val="none"/>
        </w:rPr>
      </w:pPr>
      <w:r w:rsidRPr="002012E1">
        <w:rPr>
          <w:rFonts w:ascii="Arial" w:eastAsia="Times New Roman" w:hAnsi="Arial" w:cs="Arial"/>
          <w:kern w:val="0"/>
          <w:lang w:val="es-MX"/>
          <w14:ligatures w14:val="none"/>
        </w:rPr>
        <w:t>Matesanz, V (2024)</w:t>
      </w:r>
      <w:hyperlink r:id="rId92">
        <w:r w:rsidRPr="002012E1">
          <w:rPr>
            <w:rFonts w:ascii="Arial" w:eastAsia="Times New Roman" w:hAnsi="Arial" w:cs="Arial"/>
            <w:kern w:val="0"/>
            <w:lang w:val="es-MX"/>
            <w14:ligatures w14:val="none"/>
          </w:rPr>
          <w:t xml:space="preserve"> </w:t>
        </w:r>
      </w:hyperlink>
      <w:hyperlink r:id="rId93">
        <w:r w:rsidRPr="002012E1">
          <w:rPr>
            <w:rFonts w:ascii="Arial" w:eastAsia="Times New Roman" w:hAnsi="Arial" w:cs="Arial"/>
            <w:color w:val="1155CC"/>
            <w:kern w:val="0"/>
            <w:u w:val="single"/>
            <w:lang w:val="es-MX"/>
            <w14:ligatures w14:val="none"/>
          </w:rPr>
          <w:t>https://www.finect.com/usuario/vanesamatesanz/articulos/fondos-renta-fija-tipos</w:t>
        </w:r>
      </w:hyperlink>
    </w:p>
    <w:p w14:paraId="4EFDE87A"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Mercer. (2024). </w:t>
      </w:r>
      <w:r w:rsidRPr="002012E1">
        <w:rPr>
          <w:rFonts w:ascii="Arial" w:eastAsia="Times New Roman" w:hAnsi="Arial" w:cs="Arial"/>
          <w:i/>
          <w:kern w:val="0"/>
          <w:lang w:val="es-MX"/>
          <w14:ligatures w14:val="none"/>
        </w:rPr>
        <w:t>Inversiones alternativas</w:t>
      </w:r>
      <w:r w:rsidRPr="002012E1">
        <w:rPr>
          <w:rFonts w:ascii="Arial" w:eastAsia="Times New Roman" w:hAnsi="Arial" w:cs="Arial"/>
          <w:kern w:val="0"/>
          <w:lang w:val="es-MX"/>
          <w14:ligatures w14:val="none"/>
        </w:rPr>
        <w:t>.</w:t>
      </w:r>
      <w:hyperlink r:id="rId94" w:anchor=":~:text=Las%20inversiones%20alternativas%20ofrecen%20la,inflaci%C3%B3n%20y%20obtener%20mejores%20rendimientos">
        <w:r w:rsidRPr="002012E1">
          <w:rPr>
            <w:rFonts w:ascii="Arial" w:eastAsia="Times New Roman" w:hAnsi="Arial" w:cs="Arial"/>
            <w:kern w:val="0"/>
            <w:lang w:val="es-MX"/>
            <w14:ligatures w14:val="none"/>
          </w:rPr>
          <w:t xml:space="preserve"> </w:t>
        </w:r>
      </w:hyperlink>
      <w:hyperlink r:id="rId95" w:anchor=":~:text=Las%20inversiones%20alternativas%20ofrecen%20la,inflaci%C3%B3n%20y%20obtener%20mejores%20rendimientos">
        <w:r w:rsidRPr="002012E1">
          <w:rPr>
            <w:rFonts w:ascii="Arial" w:eastAsia="Times New Roman" w:hAnsi="Arial" w:cs="Arial"/>
            <w:color w:val="1155CC"/>
            <w:kern w:val="0"/>
            <w:u w:val="single"/>
            <w:lang w:val="es-MX"/>
            <w14:ligatures w14:val="none"/>
          </w:rPr>
          <w:t>https://www.mercer.com/es-es/solutions/investments/alternatives/#:~:text=Las%20inversiones%20alternativas%20ofrecen%20la,inflaci%C3%B3n%20y%20obtener%20mejores%20rendimientos</w:t>
        </w:r>
      </w:hyperlink>
      <w:r w:rsidRPr="002012E1">
        <w:rPr>
          <w:rFonts w:ascii="Arial" w:eastAsia="Times New Roman" w:hAnsi="Arial" w:cs="Arial"/>
          <w:kern w:val="0"/>
          <w:lang w:val="es-MX"/>
          <w14:ligatures w14:val="none"/>
        </w:rPr>
        <w:t>.</w:t>
      </w:r>
    </w:p>
    <w:p w14:paraId="7DCC7E29"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Martínez, J. C., &amp; González, M. (2016). </w:t>
      </w:r>
      <w:r w:rsidRPr="002012E1">
        <w:rPr>
          <w:rFonts w:ascii="Arial" w:eastAsia="Calibri" w:hAnsi="Arial" w:cs="Arial"/>
          <w:i/>
          <w:kern w:val="0"/>
          <w:lang w:val="es-MX"/>
          <w14:ligatures w14:val="none"/>
        </w:rPr>
        <w:t>La metodología de la investigación en ciencias sociales: Un enfoque práctico</w:t>
      </w:r>
      <w:r w:rsidRPr="002012E1">
        <w:rPr>
          <w:rFonts w:ascii="Arial" w:eastAsia="Calibri" w:hAnsi="Arial" w:cs="Arial"/>
          <w:kern w:val="0"/>
          <w:lang w:val="es-MX"/>
          <w14:ligatures w14:val="none"/>
        </w:rPr>
        <w:t xml:space="preserve">. </w:t>
      </w:r>
      <w:r w:rsidRPr="002012E1">
        <w:rPr>
          <w:rFonts w:ascii="Arial" w:eastAsia="Calibri" w:hAnsi="Arial" w:cs="Arial"/>
          <w:i/>
          <w:kern w:val="0"/>
          <w:lang w:val="es-MX"/>
          <w14:ligatures w14:val="none"/>
        </w:rPr>
        <w:t>Revista Cubana de Ciencias Sociales</w:t>
      </w:r>
      <w:r w:rsidRPr="002012E1">
        <w:rPr>
          <w:rFonts w:ascii="Arial" w:eastAsia="Calibri" w:hAnsi="Arial" w:cs="Arial"/>
          <w:kern w:val="0"/>
          <w:lang w:val="es-MX"/>
          <w14:ligatures w14:val="none"/>
        </w:rPr>
        <w:t xml:space="preserve">, 7(1), 1-12. </w:t>
      </w:r>
      <w:hyperlink r:id="rId96">
        <w:r w:rsidRPr="002012E1">
          <w:rPr>
            <w:rFonts w:ascii="Arial" w:eastAsia="Calibri" w:hAnsi="Arial" w:cs="Arial"/>
            <w:color w:val="1155CC"/>
            <w:kern w:val="0"/>
            <w:u w:val="single"/>
            <w:lang w:val="es-MX"/>
            <w14:ligatures w14:val="none"/>
          </w:rPr>
          <w:t>http://scielo.sld.cu/scielo.php?pid=S1727-897X2016000100016&amp;script=sci_arttext&amp;tlng=pt</w:t>
        </w:r>
      </w:hyperlink>
    </w:p>
    <w:p w14:paraId="2910F60A"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Más Colombia. (2023, diciembre). ¿En qué invierten su plata los fondos de pensiones?: Balance a 2023. </w:t>
      </w:r>
      <w:r w:rsidRPr="002012E1">
        <w:rPr>
          <w:rFonts w:ascii="Arial" w:eastAsia="Times New Roman" w:hAnsi="Arial" w:cs="Arial"/>
          <w:i/>
          <w:kern w:val="0"/>
          <w:lang w:val="es-MX"/>
          <w14:ligatures w14:val="none"/>
        </w:rPr>
        <w:t>Más Colombia</w:t>
      </w:r>
      <w:r w:rsidRPr="002012E1">
        <w:rPr>
          <w:rFonts w:ascii="Arial" w:eastAsia="Times New Roman" w:hAnsi="Arial" w:cs="Arial"/>
          <w:kern w:val="0"/>
          <w:lang w:val="es-MX"/>
          <w14:ligatures w14:val="none"/>
        </w:rPr>
        <w:t>.</w:t>
      </w:r>
      <w:hyperlink r:id="rId97">
        <w:r w:rsidRPr="002012E1">
          <w:rPr>
            <w:rFonts w:ascii="Arial" w:eastAsia="Times New Roman" w:hAnsi="Arial" w:cs="Arial"/>
            <w:kern w:val="0"/>
            <w:lang w:val="es-MX"/>
            <w14:ligatures w14:val="none"/>
          </w:rPr>
          <w:t xml:space="preserve"> </w:t>
        </w:r>
      </w:hyperlink>
      <w:hyperlink r:id="rId98">
        <w:r w:rsidRPr="002012E1">
          <w:rPr>
            <w:rFonts w:ascii="Arial" w:eastAsia="Times New Roman" w:hAnsi="Arial" w:cs="Arial"/>
            <w:color w:val="1155CC"/>
            <w:kern w:val="0"/>
            <w:u w:val="single"/>
            <w:lang w:val="es-MX"/>
            <w14:ligatures w14:val="none"/>
          </w:rPr>
          <w:t>https://mascolombia.com/inversiones-fondos-pensiones-2023/</w:t>
        </w:r>
      </w:hyperlink>
    </w:p>
    <w:p w14:paraId="0ABB9CF3"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Mata, L (2020). </w:t>
      </w:r>
      <w:r w:rsidRPr="002012E1">
        <w:rPr>
          <w:rFonts w:ascii="Arial" w:eastAsia="Times New Roman" w:hAnsi="Arial" w:cs="Arial"/>
          <w:i/>
          <w:kern w:val="0"/>
          <w:lang w:val="es-MX"/>
          <w14:ligatures w14:val="none"/>
        </w:rPr>
        <w:t xml:space="preserve">Entrevistas semiestructuradas en investigación cualitativa. </w:t>
      </w:r>
      <w:hyperlink r:id="rId99">
        <w:r w:rsidRPr="002012E1">
          <w:rPr>
            <w:rFonts w:ascii="Arial" w:eastAsia="Times New Roman" w:hAnsi="Arial" w:cs="Arial"/>
            <w:color w:val="1155CC"/>
            <w:kern w:val="0"/>
            <w:u w:val="single"/>
            <w:lang w:val="es-MX"/>
            <w14:ligatures w14:val="none"/>
          </w:rPr>
          <w:t>https://investigaliacr.com/investigacion/entrevistas-semiestructuradas-en-investigacion-cualitativa-entrevista-focalizada-y-entrevista-semiestandarizada/</w:t>
        </w:r>
      </w:hyperlink>
    </w:p>
    <w:p w14:paraId="5A80DC69"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Ministerio de Hacienda y Crédito Público. (2020, octubre 26). Decreto 1393 de 2020. Por el cual se modifica el Decreto 2555 de 2010 en lo relacionado con el régimen de inversión de los fondos de pensiones obligatorias y cesantía, las entidades aseguradoras y sociedades de capitalización y se dictan otras disposiciones. </w:t>
      </w:r>
      <w:hyperlink r:id="rId100">
        <w:r w:rsidRPr="002012E1">
          <w:rPr>
            <w:rFonts w:ascii="Arial" w:eastAsia="Calibri" w:hAnsi="Arial" w:cs="Arial"/>
            <w:color w:val="0563C1"/>
            <w:kern w:val="0"/>
            <w:u w:val="single"/>
            <w:lang w:val="es-MX"/>
            <w14:ligatures w14:val="none"/>
          </w:rPr>
          <w:t>https://www.funcionpublica.gov.co/eva/gestornormativo/norma.php?i=144391</w:t>
        </w:r>
      </w:hyperlink>
    </w:p>
    <w:p w14:paraId="1C948296" w14:textId="77777777" w:rsidR="00C51607" w:rsidRPr="002012E1" w:rsidRDefault="00C51607" w:rsidP="00C51607">
      <w:pPr>
        <w:spacing w:after="0" w:line="360" w:lineRule="auto"/>
        <w:ind w:hanging="709"/>
        <w:jc w:val="both"/>
        <w:rPr>
          <w:rFonts w:ascii="Arial" w:eastAsia="Calibri" w:hAnsi="Arial" w:cs="Arial"/>
          <w:color w:val="05103E"/>
          <w:kern w:val="0"/>
          <w:lang w:val="en-US"/>
          <w14:ligatures w14:val="none"/>
        </w:rPr>
      </w:pPr>
      <w:r w:rsidRPr="002012E1">
        <w:rPr>
          <w:rFonts w:ascii="Arial" w:eastAsia="Calibri" w:hAnsi="Arial" w:cs="Arial"/>
          <w:color w:val="05103E"/>
          <w:kern w:val="0"/>
          <w:lang w:val="es-MX"/>
          <w14:ligatures w14:val="none"/>
        </w:rPr>
        <w:t xml:space="preserve">Naveros, B. N. (2023, 15 septiembre). </w:t>
      </w:r>
      <w:r w:rsidRPr="002012E1">
        <w:rPr>
          <w:rFonts w:ascii="Arial" w:eastAsia="Calibri" w:hAnsi="Arial" w:cs="Arial"/>
          <w:i/>
          <w:color w:val="05103E"/>
          <w:kern w:val="0"/>
          <w:lang w:val="es-MX"/>
          <w14:ligatures w14:val="none"/>
        </w:rPr>
        <w:t>¿Qué es el cumplimiento regulatorio y por qué es importante para las empresas?</w:t>
      </w:r>
      <w:r w:rsidRPr="002012E1">
        <w:rPr>
          <w:rFonts w:ascii="Arial" w:eastAsia="Calibri" w:hAnsi="Arial" w:cs="Arial"/>
          <w:color w:val="05103E"/>
          <w:kern w:val="0"/>
          <w:lang w:val="es-MX"/>
          <w14:ligatures w14:val="none"/>
        </w:rPr>
        <w:t xml:space="preserve"> </w:t>
      </w:r>
      <w:r w:rsidRPr="002012E1">
        <w:rPr>
          <w:rFonts w:ascii="Arial" w:eastAsia="Calibri" w:hAnsi="Arial" w:cs="Arial"/>
          <w:color w:val="05103E"/>
          <w:kern w:val="0"/>
          <w:lang w:val="en-US"/>
          <w14:ligatures w14:val="none"/>
        </w:rPr>
        <w:t xml:space="preserve">Tickelia. </w:t>
      </w:r>
      <w:r w:rsidRPr="002012E1">
        <w:rPr>
          <w:rFonts w:ascii="Arial" w:eastAsia="Calibri" w:hAnsi="Arial" w:cs="Arial"/>
          <w:kern w:val="0"/>
          <w:lang w:val="en-US"/>
          <w14:ligatures w14:val="none"/>
        </w:rPr>
        <w:t>https://tickelia.com/blog/rrhh/diccionario/cumplimiento-regulatorio/#:~:text=El%20cumplimiento%20regulatorio%2C%20tambi%C3%A9n%20conocido,sector%20en%20el%20que%20operan.</w:t>
      </w:r>
    </w:p>
    <w:p w14:paraId="08627130"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Naupaz,H. Valdivia, M. Palacios, J &amp; Romero. H (2018) Metodología de la Investigación.</w:t>
      </w:r>
    </w:p>
    <w:p w14:paraId="439CF6DC" w14:textId="77777777" w:rsidR="00C51607" w:rsidRPr="002012E1" w:rsidRDefault="00C51607" w:rsidP="00C51607">
      <w:pPr>
        <w:spacing w:after="0" w:line="360" w:lineRule="auto"/>
        <w:ind w:hanging="709"/>
        <w:jc w:val="both"/>
        <w:rPr>
          <w:rFonts w:ascii="Arial" w:eastAsia="Times New Roman" w:hAnsi="Arial" w:cs="Arial"/>
          <w:color w:val="222222"/>
          <w:kern w:val="0"/>
          <w:highlight w:val="white"/>
          <w:lang w:val="en-US"/>
          <w14:ligatures w14:val="none"/>
        </w:rPr>
      </w:pPr>
      <w:r w:rsidRPr="002012E1">
        <w:rPr>
          <w:rFonts w:ascii="Arial" w:eastAsia="Times New Roman" w:hAnsi="Arial" w:cs="Arial"/>
          <w:kern w:val="0"/>
          <w:lang w:val="es-MX"/>
          <w14:ligatures w14:val="none"/>
        </w:rPr>
        <w:t xml:space="preserve">Organización para la Cooperación y el Desarrollo Económicos (OCDE). </w:t>
      </w:r>
      <w:r w:rsidRPr="002012E1">
        <w:rPr>
          <w:rFonts w:ascii="Arial" w:eastAsia="Times New Roman" w:hAnsi="Arial" w:cs="Arial"/>
          <w:kern w:val="0"/>
          <w:lang w:val="en-US"/>
          <w14:ligatures w14:val="none"/>
        </w:rPr>
        <w:t xml:space="preserve">(2022). </w:t>
      </w:r>
      <w:r w:rsidRPr="002012E1">
        <w:rPr>
          <w:rFonts w:ascii="Arial" w:eastAsia="Times New Roman" w:hAnsi="Arial" w:cs="Arial"/>
          <w:i/>
          <w:kern w:val="0"/>
          <w:lang w:val="en-US"/>
          <w14:ligatures w14:val="none"/>
        </w:rPr>
        <w:t>Pension markets in focus 2022</w:t>
      </w:r>
      <w:r w:rsidRPr="002012E1">
        <w:rPr>
          <w:rFonts w:ascii="Arial" w:eastAsia="Times New Roman" w:hAnsi="Arial" w:cs="Arial"/>
          <w:kern w:val="0"/>
          <w:lang w:val="en-US"/>
          <w14:ligatures w14:val="none"/>
        </w:rPr>
        <w:t>.</w:t>
      </w:r>
      <w:hyperlink r:id="rId101">
        <w:r w:rsidRPr="002012E1">
          <w:rPr>
            <w:rFonts w:ascii="Arial" w:eastAsia="Times New Roman" w:hAnsi="Arial" w:cs="Arial"/>
            <w:kern w:val="0"/>
            <w:lang w:val="en-US"/>
            <w14:ligatures w14:val="none"/>
          </w:rPr>
          <w:t xml:space="preserve"> </w:t>
        </w:r>
      </w:hyperlink>
      <w:hyperlink r:id="rId102">
        <w:r w:rsidRPr="002012E1">
          <w:rPr>
            <w:rFonts w:ascii="Arial" w:eastAsia="Times New Roman" w:hAnsi="Arial" w:cs="Arial"/>
            <w:color w:val="1155CC"/>
            <w:kern w:val="0"/>
            <w:u w:val="single"/>
            <w:lang w:val="en-US"/>
            <w14:ligatures w14:val="none"/>
          </w:rPr>
          <w:t>https://www.oecd.org/daf/fin/private-pensions/Pension-Markets-in-Focus-2022.pdf</w:t>
        </w:r>
      </w:hyperlink>
    </w:p>
    <w:p w14:paraId="77B72724" w14:textId="77777777" w:rsidR="00C51607" w:rsidRPr="002012E1" w:rsidRDefault="00C51607" w:rsidP="00C51607">
      <w:pPr>
        <w:spacing w:after="0" w:line="360" w:lineRule="auto"/>
        <w:ind w:hanging="709"/>
        <w:jc w:val="both"/>
        <w:rPr>
          <w:rFonts w:ascii="Arial" w:eastAsia="Times New Roman" w:hAnsi="Arial" w:cs="Arial"/>
          <w:color w:val="222222"/>
          <w:kern w:val="0"/>
          <w:highlight w:val="white"/>
          <w:lang w:val="es-MX"/>
          <w14:ligatures w14:val="none"/>
        </w:rPr>
      </w:pPr>
      <w:r w:rsidRPr="002012E1">
        <w:rPr>
          <w:rFonts w:ascii="Arial" w:eastAsia="Times New Roman" w:hAnsi="Arial" w:cs="Arial"/>
          <w:color w:val="222222"/>
          <w:kern w:val="0"/>
          <w:highlight w:val="white"/>
          <w:lang w:val="es-MX"/>
          <w14:ligatures w14:val="none"/>
        </w:rPr>
        <w:t xml:space="preserve">Parrales, C., &amp; Castillo, F. (2018, 19 junio). </w:t>
      </w:r>
      <w:r w:rsidRPr="002012E1">
        <w:rPr>
          <w:rFonts w:ascii="Arial" w:eastAsia="Times New Roman" w:hAnsi="Arial" w:cs="Arial"/>
          <w:i/>
          <w:color w:val="222222"/>
          <w:kern w:val="0"/>
          <w:highlight w:val="white"/>
          <w:lang w:val="es-MX"/>
          <w14:ligatures w14:val="none"/>
        </w:rPr>
        <w:t>Análisis de NIIF 9 - Instrumentos financieros desde una perspectiva industrial</w:t>
      </w:r>
      <w:r w:rsidRPr="002012E1">
        <w:rPr>
          <w:rFonts w:ascii="Arial" w:eastAsia="Times New Roman" w:hAnsi="Arial" w:cs="Arial"/>
          <w:color w:val="222222"/>
          <w:kern w:val="0"/>
          <w:highlight w:val="white"/>
          <w:lang w:val="es-MX"/>
          <w14:ligatures w14:val="none"/>
        </w:rPr>
        <w:t xml:space="preserve">. </w:t>
      </w:r>
      <w:hyperlink r:id="rId103" w:anchor=":~:text=La%20NIIF%209%20%2D%20Instrumentos%20Financieros%20establece%20todos%20los%20requerimientos%20para,presentaci%C3%B3n%20de%20la%20informaci%C3%B3n%20contable">
        <w:r w:rsidRPr="002012E1">
          <w:rPr>
            <w:rFonts w:ascii="Arial" w:eastAsia="Times New Roman" w:hAnsi="Arial" w:cs="Arial"/>
            <w:color w:val="1155CC"/>
            <w:kern w:val="0"/>
            <w:highlight w:val="white"/>
            <w:u w:val="single"/>
            <w:lang w:val="es-MX"/>
            <w14:ligatures w14:val="none"/>
          </w:rPr>
          <w:t>https://www.redalyc.org/journal/2816/281658256005/html/#:~:text=La%20NIIF%209%20%2D%20Instrumentos%20Financieros%20establece%20todos%20los%20requerimientos%20para,presentaci%C3%B3n%20de%20la%20informaci%C3%B3n%20contable</w:t>
        </w:r>
      </w:hyperlink>
      <w:r w:rsidRPr="002012E1">
        <w:rPr>
          <w:rFonts w:ascii="Arial" w:eastAsia="Times New Roman" w:hAnsi="Arial" w:cs="Arial"/>
          <w:color w:val="222222"/>
          <w:kern w:val="0"/>
          <w:highlight w:val="white"/>
          <w:lang w:val="es-MX"/>
          <w14:ligatures w14:val="none"/>
        </w:rPr>
        <w:t>.</w:t>
      </w:r>
    </w:p>
    <w:p w14:paraId="48658C62"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highlight w:val="white"/>
          <w:lang w:val="es-MX"/>
          <w14:ligatures w14:val="none"/>
        </w:rPr>
        <w:t xml:space="preserve">Peña Rivera, A. X., &amp; Cuervo Pesca, A. F. (2020). Importancia de las políticas contables de las Pymes. </w:t>
      </w:r>
      <w:r w:rsidRPr="002012E1">
        <w:rPr>
          <w:rFonts w:ascii="Arial" w:eastAsia="Calibri" w:hAnsi="Arial" w:cs="Arial"/>
          <w:i/>
          <w:kern w:val="0"/>
          <w:highlight w:val="white"/>
          <w:lang w:val="es-MX"/>
          <w14:ligatures w14:val="none"/>
        </w:rPr>
        <w:t>Revista Facultad De Ciencias Contables Económicas Y Administrativas -FACCEA</w:t>
      </w:r>
      <w:r w:rsidRPr="002012E1">
        <w:rPr>
          <w:rFonts w:ascii="Arial" w:eastAsia="Calibri" w:hAnsi="Arial" w:cs="Arial"/>
          <w:kern w:val="0"/>
          <w:highlight w:val="white"/>
          <w:lang w:val="es-MX"/>
          <w14:ligatures w14:val="none"/>
        </w:rPr>
        <w:t xml:space="preserve">, </w:t>
      </w:r>
      <w:hyperlink r:id="rId104">
        <w:r w:rsidRPr="002012E1">
          <w:rPr>
            <w:rFonts w:ascii="Arial" w:eastAsia="Calibri" w:hAnsi="Arial" w:cs="Arial"/>
            <w:color w:val="1155CC"/>
            <w:kern w:val="0"/>
            <w:highlight w:val="white"/>
            <w:u w:val="single"/>
            <w:lang w:val="es-MX"/>
            <w14:ligatures w14:val="none"/>
          </w:rPr>
          <w:t>https://doi.org/10.47847/faccea.v10n2a5</w:t>
        </w:r>
      </w:hyperlink>
    </w:p>
    <w:p w14:paraId="7AC772A0"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Price Waterhouse Coopers (PwC). (2019). La complementación de una cartera a través de la inversión alternativa. PwC. </w:t>
      </w:r>
      <w:hyperlink r:id="rId105" w:history="1">
        <w:r w:rsidRPr="002012E1">
          <w:rPr>
            <w:rFonts w:ascii="Arial" w:eastAsia="Times New Roman" w:hAnsi="Arial" w:cs="Arial"/>
            <w:color w:val="0563C1"/>
            <w:kern w:val="0"/>
            <w:u w:val="single"/>
            <w:lang w:val="es-MX"/>
            <w14:ligatures w14:val="none"/>
          </w:rPr>
          <w:t>https://www.pwc.com</w:t>
        </w:r>
      </w:hyperlink>
      <w:r w:rsidRPr="002012E1">
        <w:rPr>
          <w:rFonts w:ascii="Arial" w:eastAsia="Calibri" w:hAnsi="Arial" w:cs="Arial"/>
          <w:kern w:val="0"/>
          <w:lang w:val="es-MX"/>
          <w14:ligatures w14:val="none"/>
        </w:rPr>
        <w:t xml:space="preserve"> </w:t>
      </w:r>
    </w:p>
    <w:p w14:paraId="50855AF6" w14:textId="77777777" w:rsidR="00C51607" w:rsidRPr="002012E1" w:rsidRDefault="00C51607" w:rsidP="00C51607">
      <w:pPr>
        <w:spacing w:after="0" w:line="360" w:lineRule="auto"/>
        <w:ind w:hanging="709"/>
        <w:jc w:val="both"/>
        <w:rPr>
          <w:rFonts w:ascii="Arial" w:eastAsia="Times New Roman" w:hAnsi="Arial" w:cs="Arial"/>
          <w:kern w:val="0"/>
          <w:lang w:val="en-US"/>
          <w14:ligatures w14:val="none"/>
        </w:rPr>
      </w:pPr>
      <w:r w:rsidRPr="002012E1">
        <w:rPr>
          <w:rFonts w:ascii="Arial" w:eastAsia="Times New Roman" w:hAnsi="Arial" w:cs="Arial"/>
          <w:kern w:val="0"/>
          <w:lang w:val="es-MX"/>
          <w14:ligatures w14:val="none"/>
        </w:rPr>
        <w:t xml:space="preserve">Prieto, E. (2022) ¿Cuáles son los riesgos de las inversiones financieras? </w:t>
      </w:r>
      <w:r w:rsidRPr="002012E1">
        <w:rPr>
          <w:rFonts w:ascii="Arial" w:eastAsia="Times New Roman" w:hAnsi="Arial" w:cs="Arial"/>
          <w:kern w:val="0"/>
          <w:lang w:val="en-US"/>
          <w14:ligatures w14:val="none"/>
        </w:rPr>
        <w:t>Southern New Hampshire University.</w:t>
      </w:r>
      <w:hyperlink r:id="rId106">
        <w:r w:rsidRPr="002012E1">
          <w:rPr>
            <w:rFonts w:ascii="Arial" w:eastAsia="Times New Roman" w:hAnsi="Arial" w:cs="Arial"/>
            <w:kern w:val="0"/>
            <w:lang w:val="en-US"/>
            <w14:ligatures w14:val="none"/>
          </w:rPr>
          <w:t xml:space="preserve"> </w:t>
        </w:r>
      </w:hyperlink>
      <w:hyperlink r:id="rId107">
        <w:r w:rsidRPr="002012E1">
          <w:rPr>
            <w:rFonts w:ascii="Arial" w:eastAsia="Times New Roman" w:hAnsi="Arial" w:cs="Arial"/>
            <w:color w:val="1155CC"/>
            <w:kern w:val="0"/>
            <w:u w:val="single"/>
            <w:lang w:val="en-US"/>
            <w14:ligatures w14:val="none"/>
          </w:rPr>
          <w:t>https://es.snhu.edu/blog/cuales-son-los-riesgos-de-las-inversiones-financieras</w:t>
        </w:r>
      </w:hyperlink>
    </w:p>
    <w:p w14:paraId="26FF6C81"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Times New Roman" w:hAnsi="Arial" w:cs="Arial"/>
          <w:kern w:val="0"/>
          <w:lang w:val="es-MX"/>
          <w14:ligatures w14:val="none"/>
        </w:rPr>
        <w:t xml:space="preserve">Prieto, E. (2023) ¿Cuáles son las estrategias de inversión más comunes? </w:t>
      </w:r>
      <w:r w:rsidRPr="002012E1">
        <w:rPr>
          <w:rFonts w:ascii="Arial" w:eastAsia="Times New Roman" w:hAnsi="Arial" w:cs="Arial"/>
          <w:kern w:val="0"/>
          <w:lang w:val="en-US"/>
          <w14:ligatures w14:val="none"/>
        </w:rPr>
        <w:t>Southern New Hampshire University.</w:t>
      </w:r>
      <w:hyperlink r:id="rId108">
        <w:r w:rsidRPr="002012E1">
          <w:rPr>
            <w:rFonts w:ascii="Arial" w:eastAsia="Times New Roman" w:hAnsi="Arial" w:cs="Arial"/>
            <w:b/>
            <w:kern w:val="0"/>
            <w:lang w:val="en-US"/>
            <w14:ligatures w14:val="none"/>
          </w:rPr>
          <w:t xml:space="preserve"> </w:t>
        </w:r>
      </w:hyperlink>
      <w:hyperlink r:id="rId109">
        <w:r w:rsidRPr="002012E1">
          <w:rPr>
            <w:rFonts w:ascii="Arial" w:eastAsia="Times New Roman" w:hAnsi="Arial" w:cs="Arial"/>
            <w:color w:val="1155CC"/>
            <w:kern w:val="0"/>
            <w:u w:val="single"/>
            <w:lang w:val="en-US"/>
            <w14:ligatures w14:val="none"/>
          </w:rPr>
          <w:t>https://es.snhu.edu/blog/cuales-son-las-estrategias-de-inversion-mas-comunes</w:t>
        </w:r>
      </w:hyperlink>
    </w:p>
    <w:p w14:paraId="2FF2623D"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Poder Judicial Costa Rica. (2020). Informe mensual de indicadores de riesgos financieros, febrero 2020. </w:t>
      </w:r>
      <w:hyperlink r:id="rId110" w:history="1">
        <w:r w:rsidRPr="002012E1">
          <w:rPr>
            <w:rFonts w:ascii="Arial" w:eastAsia="Times New Roman" w:hAnsi="Arial" w:cs="Arial"/>
            <w:color w:val="0563C1"/>
            <w:kern w:val="0"/>
            <w:u w:val="single"/>
            <w:lang w:val="es-MX"/>
            <w14:ligatures w14:val="none"/>
          </w:rPr>
          <w:t>https://fjp.poder-judicial.go.cr/index.php/informes/2015-03-19-20-47-05/category/418-informes-de-indicadores-de-riesgo-2020?download=2121%3Afebrero-2020</w:t>
        </w:r>
      </w:hyperlink>
      <w:r w:rsidRPr="002012E1">
        <w:rPr>
          <w:rFonts w:ascii="Arial" w:eastAsia="Times New Roman" w:hAnsi="Arial" w:cs="Arial"/>
          <w:kern w:val="0"/>
          <w:lang w:val="es-MX"/>
          <w14:ligatures w14:val="none"/>
        </w:rPr>
        <w:t xml:space="preserve">  (p. 14)</w:t>
      </w:r>
    </w:p>
    <w:p w14:paraId="00AF7BAE"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Quiñoy, L. (2024) ¿Qué son las NIIF y por qué son esenciales para las organizaciones? APD </w:t>
      </w:r>
      <w:hyperlink r:id="rId111">
        <w:r w:rsidRPr="002012E1">
          <w:rPr>
            <w:rFonts w:ascii="Arial" w:eastAsia="Calibri" w:hAnsi="Arial" w:cs="Arial"/>
            <w:color w:val="1155CC"/>
            <w:kern w:val="0"/>
            <w:u w:val="single"/>
            <w:lang w:val="es-MX"/>
            <w14:ligatures w14:val="none"/>
          </w:rPr>
          <w:t>https://www.apd.es/que-son-niif/</w:t>
        </w:r>
      </w:hyperlink>
    </w:p>
    <w:p w14:paraId="67287A8E"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Ramírez, C., &amp; Torres, P. (2019). </w:t>
      </w:r>
      <w:r w:rsidRPr="002012E1">
        <w:rPr>
          <w:rFonts w:ascii="Arial" w:eastAsia="Calibri" w:hAnsi="Arial" w:cs="Arial"/>
          <w:i/>
          <w:kern w:val="0"/>
          <w:lang w:val="es-MX"/>
          <w14:ligatures w14:val="none"/>
        </w:rPr>
        <w:t>Metodología de la investigación en ciencias sociales: Un análisis crítico</w:t>
      </w:r>
      <w:r w:rsidRPr="002012E1">
        <w:rPr>
          <w:rFonts w:ascii="Arial" w:eastAsia="Calibri" w:hAnsi="Arial" w:cs="Arial"/>
          <w:kern w:val="0"/>
          <w:lang w:val="es-MX"/>
          <w14:ligatures w14:val="none"/>
        </w:rPr>
        <w:t xml:space="preserve">. </w:t>
      </w:r>
      <w:r w:rsidRPr="002012E1">
        <w:rPr>
          <w:rFonts w:ascii="Arial" w:eastAsia="Calibri" w:hAnsi="Arial" w:cs="Arial"/>
          <w:i/>
          <w:kern w:val="0"/>
          <w:lang w:val="es-MX"/>
          <w14:ligatures w14:val="none"/>
        </w:rPr>
        <w:t>Revista de Ciencias Sociales</w:t>
      </w:r>
      <w:r w:rsidRPr="002012E1">
        <w:rPr>
          <w:rFonts w:ascii="Arial" w:eastAsia="Calibri" w:hAnsi="Arial" w:cs="Arial"/>
          <w:kern w:val="0"/>
          <w:lang w:val="es-MX"/>
          <w14:ligatures w14:val="none"/>
        </w:rPr>
        <w:t xml:space="preserve">, 15(1), 75-89. </w:t>
      </w:r>
      <w:hyperlink r:id="rId112">
        <w:r w:rsidRPr="002012E1">
          <w:rPr>
            <w:rFonts w:ascii="Arial" w:eastAsia="Calibri" w:hAnsi="Arial" w:cs="Arial"/>
            <w:color w:val="1155CC"/>
            <w:kern w:val="0"/>
            <w:u w:val="single"/>
            <w:lang w:val="es-MX"/>
            <w14:ligatures w14:val="none"/>
          </w:rPr>
          <w:t>https://www.scielo.sa.cr/scielo.php?script=sci_arttext&amp;pid=S1659-28592019000100075</w:t>
        </w:r>
      </w:hyperlink>
    </w:p>
    <w:p w14:paraId="16F28A35"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Red Impacto. (2022). </w:t>
      </w:r>
      <w:r w:rsidRPr="002012E1">
        <w:rPr>
          <w:rFonts w:ascii="Arial" w:eastAsia="Times New Roman" w:hAnsi="Arial" w:cs="Arial"/>
          <w:i/>
          <w:kern w:val="0"/>
          <w:lang w:val="es-MX"/>
          <w14:ligatures w14:val="none"/>
        </w:rPr>
        <w:t>Estudio de inversión de impacto en Colombia</w:t>
      </w:r>
      <w:r w:rsidRPr="002012E1">
        <w:rPr>
          <w:rFonts w:ascii="Arial" w:eastAsia="Times New Roman" w:hAnsi="Arial" w:cs="Arial"/>
          <w:kern w:val="0"/>
          <w:lang w:val="es-MX"/>
          <w14:ligatures w14:val="none"/>
        </w:rPr>
        <w:t>.</w:t>
      </w:r>
      <w:hyperlink r:id="rId113">
        <w:r w:rsidRPr="002012E1">
          <w:rPr>
            <w:rFonts w:ascii="Arial" w:eastAsia="Times New Roman" w:hAnsi="Arial" w:cs="Arial"/>
            <w:kern w:val="0"/>
            <w:lang w:val="es-MX"/>
            <w14:ligatures w14:val="none"/>
          </w:rPr>
          <w:t xml:space="preserve"> </w:t>
        </w:r>
      </w:hyperlink>
      <w:hyperlink r:id="rId114">
        <w:r w:rsidRPr="002012E1">
          <w:rPr>
            <w:rFonts w:ascii="Arial" w:eastAsia="Times New Roman" w:hAnsi="Arial" w:cs="Arial"/>
            <w:color w:val="1155CC"/>
            <w:kern w:val="0"/>
            <w:u w:val="single"/>
            <w:lang w:val="es-MX"/>
            <w14:ligatures w14:val="none"/>
          </w:rPr>
          <w:t>https://redimpacto.org/wp-content/uploads/2022/12/EstudioInversiondeImpactoenColombia2022_compressed.pdf</w:t>
        </w:r>
      </w:hyperlink>
    </w:p>
    <w:p w14:paraId="71ACD26A"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Redondo, A. (2023) Inversiones alternativas: ¿en qué consisten y cuáles son las más recomendables?</w:t>
      </w:r>
      <w:hyperlink r:id="rId115">
        <w:r w:rsidRPr="002012E1">
          <w:rPr>
            <w:rFonts w:ascii="Arial" w:eastAsia="Times New Roman" w:hAnsi="Arial" w:cs="Arial"/>
            <w:kern w:val="0"/>
            <w:lang w:val="es-MX"/>
            <w14:ligatures w14:val="none"/>
          </w:rPr>
          <w:t xml:space="preserve"> </w:t>
        </w:r>
      </w:hyperlink>
      <w:hyperlink r:id="rId116">
        <w:r w:rsidRPr="002012E1">
          <w:rPr>
            <w:rFonts w:ascii="Arial" w:eastAsia="Times New Roman" w:hAnsi="Arial" w:cs="Arial"/>
            <w:color w:val="1155CC"/>
            <w:kern w:val="0"/>
            <w:u w:val="single"/>
            <w:lang w:val="es-MX"/>
            <w14:ligatures w14:val="none"/>
          </w:rPr>
          <w:t>https://valueschool.es/inversiones-alternativas-en-que-consisten-y-cuales-son-las-mas-recomendables/</w:t>
        </w:r>
      </w:hyperlink>
    </w:p>
    <w:p w14:paraId="0E11316F"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Rey Sanduende, I. (2019). Inversión en renta fija y renta variable. Creación de un fondo de inversión.</w:t>
      </w:r>
    </w:p>
    <w:p w14:paraId="44A22BCB" w14:textId="77777777" w:rsidR="00C51607" w:rsidRPr="002012E1" w:rsidRDefault="00C51607" w:rsidP="00C51607">
      <w:pPr>
        <w:spacing w:after="0" w:line="360" w:lineRule="auto"/>
        <w:ind w:hanging="709"/>
        <w:jc w:val="both"/>
        <w:rPr>
          <w:rFonts w:ascii="Arial" w:eastAsia="Calibri" w:hAnsi="Arial" w:cs="Arial"/>
          <w:kern w:val="0"/>
          <w:lang w:val="en-US"/>
          <w14:ligatures w14:val="none"/>
        </w:rPr>
      </w:pPr>
      <w:r w:rsidRPr="002012E1">
        <w:rPr>
          <w:rFonts w:ascii="Arial" w:eastAsia="Calibri" w:hAnsi="Arial" w:cs="Arial"/>
          <w:kern w:val="0"/>
          <w:lang w:val="es-MX"/>
          <w14:ligatures w14:val="none"/>
        </w:rPr>
        <w:t xml:space="preserve">Revista de Ciencias Económicas, Universidad de Costa Rica. (2022). ¿Cómo elegir inversiones que se ajustan a sus necesidades? </w:t>
      </w:r>
      <w:hyperlink r:id="rId117" w:history="1">
        <w:r w:rsidRPr="002012E1">
          <w:rPr>
            <w:rFonts w:ascii="Arial" w:eastAsia="Times New Roman" w:hAnsi="Arial" w:cs="Arial"/>
            <w:color w:val="0563C1"/>
            <w:kern w:val="0"/>
            <w:u w:val="single"/>
            <w:lang w:val="en-US"/>
            <w14:ligatures w14:val="none"/>
          </w:rPr>
          <w:t>https://revistas.ucr.ac.cr/index.php/economicas/article/download/49426/54965/236005</w:t>
        </w:r>
      </w:hyperlink>
      <w:r w:rsidRPr="002012E1">
        <w:rPr>
          <w:rFonts w:ascii="Arial" w:eastAsia="Calibri" w:hAnsi="Arial" w:cs="Arial"/>
          <w:kern w:val="0"/>
          <w:lang w:val="en-US"/>
          <w14:ligatures w14:val="none"/>
        </w:rPr>
        <w:t xml:space="preserve">  (pp. 15-25)</w:t>
      </w:r>
    </w:p>
    <w:p w14:paraId="1C76D4A1" w14:textId="77777777" w:rsidR="00C51607" w:rsidRPr="00281723" w:rsidRDefault="00C51607" w:rsidP="00C51607">
      <w:pPr>
        <w:spacing w:after="0" w:line="360" w:lineRule="auto"/>
        <w:ind w:hanging="709"/>
        <w:jc w:val="both"/>
        <w:rPr>
          <w:rFonts w:ascii="Arial" w:eastAsia="Times New Roman" w:hAnsi="Arial" w:cs="Arial"/>
          <w:color w:val="0563C1"/>
          <w:kern w:val="0"/>
          <w:u w:val="single"/>
          <w:lang w:val="es-MX"/>
          <w14:ligatures w14:val="none"/>
        </w:rPr>
      </w:pPr>
      <w:r w:rsidRPr="002012E1">
        <w:rPr>
          <w:rFonts w:ascii="Arial" w:eastAsia="Calibri" w:hAnsi="Arial" w:cs="Arial"/>
          <w:kern w:val="0"/>
          <w:lang w:val="es-MX"/>
          <w14:ligatures w14:val="none"/>
        </w:rPr>
        <w:lastRenderedPageBreak/>
        <w:t>Rial, L. (2024). Los 20 mayores fondos de pensiones del mundo. RankiaPro. </w:t>
      </w:r>
      <w:hyperlink r:id="rId118" w:history="1">
        <w:r w:rsidRPr="00281723">
          <w:rPr>
            <w:rFonts w:ascii="Arial" w:eastAsia="Times New Roman" w:hAnsi="Arial" w:cs="Arial"/>
            <w:color w:val="0563C1"/>
            <w:lang w:val="es-MX"/>
          </w:rPr>
          <w:t>https://rankiapro.com/es/insights/20-mayores-fondos-pensiones-mundo/</w:t>
        </w:r>
      </w:hyperlink>
      <w:r w:rsidRPr="00281723">
        <w:rPr>
          <w:rFonts w:ascii="Arial" w:eastAsia="Times New Roman" w:hAnsi="Arial" w:cs="Arial"/>
          <w:color w:val="0563C1"/>
          <w:kern w:val="0"/>
          <w:u w:val="single"/>
          <w:lang w:val="es-MX"/>
          <w14:ligatures w14:val="none"/>
        </w:rPr>
        <w:t xml:space="preserve">  </w:t>
      </w:r>
    </w:p>
    <w:p w14:paraId="15C7DBB7"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Rodríguez Díaz, D. P. (2017). Antes NIC 39 ahora NIIF 9: nuevos desafíos para los contadores. Contabilidad y Negocios, 12(23), 6-21. </w:t>
      </w:r>
      <w:hyperlink r:id="rId119" w:history="1">
        <w:r w:rsidRPr="002012E1">
          <w:rPr>
            <w:rFonts w:ascii="Arial" w:eastAsia="Times New Roman" w:hAnsi="Arial" w:cs="Arial"/>
            <w:color w:val="0563C1"/>
            <w:kern w:val="0"/>
            <w:u w:val="single"/>
            <w:lang w:val="es-MX"/>
            <w14:ligatures w14:val="none"/>
          </w:rPr>
          <w:t>https://doi.org/10.18800/contabilidad.201701.001</w:t>
        </w:r>
      </w:hyperlink>
      <w:r w:rsidRPr="002012E1">
        <w:rPr>
          <w:rFonts w:ascii="Arial" w:eastAsia="Calibri" w:hAnsi="Arial" w:cs="Arial"/>
          <w:kern w:val="0"/>
          <w:lang w:val="es-MX"/>
          <w14:ligatures w14:val="none"/>
        </w:rPr>
        <w:t xml:space="preserve"> </w:t>
      </w:r>
    </w:p>
    <w:p w14:paraId="2F44A9F0"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Rodríguez Jiménez, A., &amp; Pérez Jacinto, A. O. (2017). Métodos científicos de indagación y de construcción del conocimiento. Revista Escuela de Administración de Negocios, (82), 1-26. </w:t>
      </w:r>
      <w:hyperlink r:id="rId120">
        <w:r w:rsidRPr="002012E1">
          <w:rPr>
            <w:rFonts w:ascii="Arial" w:eastAsia="Calibri" w:hAnsi="Arial" w:cs="Arial"/>
            <w:color w:val="1155CC"/>
            <w:kern w:val="0"/>
            <w:u w:val="single"/>
            <w:lang w:val="es-MX"/>
            <w14:ligatures w14:val="none"/>
          </w:rPr>
          <w:t>https://doi.org/10.21158/01208160.n82.2017.1647</w:t>
        </w:r>
      </w:hyperlink>
    </w:p>
    <w:p w14:paraId="78382756" w14:textId="77777777" w:rsidR="00C51607" w:rsidRPr="002012E1" w:rsidRDefault="00C51607" w:rsidP="00C51607">
      <w:pPr>
        <w:spacing w:after="0" w:line="360" w:lineRule="auto"/>
        <w:ind w:hanging="709"/>
        <w:jc w:val="both"/>
        <w:rPr>
          <w:rFonts w:ascii="Arial" w:eastAsia="Times New Roman" w:hAnsi="Arial" w:cs="Arial"/>
          <w:kern w:val="0"/>
          <w:lang w:val="en-US"/>
          <w14:ligatures w14:val="none"/>
        </w:rPr>
      </w:pPr>
      <w:r w:rsidRPr="002012E1">
        <w:rPr>
          <w:rFonts w:ascii="Arial" w:eastAsia="Times New Roman" w:hAnsi="Arial" w:cs="Arial"/>
          <w:kern w:val="0"/>
          <w:lang w:val="es-MX"/>
          <w14:ligatures w14:val="none"/>
        </w:rPr>
        <w:t xml:space="preserve">Santos. (2023). </w:t>
      </w:r>
      <w:r w:rsidRPr="002012E1">
        <w:rPr>
          <w:rFonts w:ascii="Arial" w:eastAsia="Times New Roman" w:hAnsi="Arial" w:cs="Arial"/>
          <w:i/>
          <w:kern w:val="0"/>
          <w:lang w:val="es-MX"/>
          <w14:ligatures w14:val="none"/>
        </w:rPr>
        <w:t>Recolección de datos: Qué es y cómo se hace</w:t>
      </w:r>
      <w:r w:rsidRPr="002012E1">
        <w:rPr>
          <w:rFonts w:ascii="Arial" w:eastAsia="Times New Roman" w:hAnsi="Arial" w:cs="Arial"/>
          <w:kern w:val="0"/>
          <w:lang w:val="es-MX"/>
          <w14:ligatures w14:val="none"/>
        </w:rPr>
        <w:t xml:space="preserve">. </w:t>
      </w:r>
      <w:hyperlink r:id="rId121" w:anchor="que-es">
        <w:r w:rsidRPr="002012E1">
          <w:rPr>
            <w:rFonts w:ascii="Arial" w:eastAsia="Times New Roman" w:hAnsi="Arial" w:cs="Arial"/>
            <w:color w:val="1155CC"/>
            <w:kern w:val="0"/>
            <w:u w:val="single"/>
            <w:lang w:val="en-US"/>
            <w14:ligatures w14:val="none"/>
          </w:rPr>
          <w:t>https://blog.hubspot.es/marketing/recoleccion-de-datos#que-es</w:t>
        </w:r>
      </w:hyperlink>
    </w:p>
    <w:p w14:paraId="1D4A1591"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n-US"/>
          <w14:ligatures w14:val="none"/>
        </w:rPr>
        <w:t xml:space="preserve">Saunders, M., Lewis, P., &amp; Thornhill, A. (2021). Research methods for business students (8ª ed.). </w:t>
      </w:r>
      <w:r w:rsidRPr="002012E1">
        <w:rPr>
          <w:rFonts w:ascii="Arial" w:eastAsia="Calibri" w:hAnsi="Arial" w:cs="Arial"/>
          <w:kern w:val="0"/>
          <w:lang w:val="es-MX"/>
          <w14:ligatures w14:val="none"/>
        </w:rPr>
        <w:t>Pearson</w:t>
      </w:r>
    </w:p>
    <w:p w14:paraId="3E2A10F3" w14:textId="77777777" w:rsidR="00C51607" w:rsidRPr="002012E1" w:rsidRDefault="00C51607" w:rsidP="00C51607">
      <w:pPr>
        <w:spacing w:after="0" w:line="360" w:lineRule="auto"/>
        <w:ind w:hanging="709"/>
        <w:jc w:val="both"/>
        <w:rPr>
          <w:rFonts w:ascii="Arial" w:eastAsia="Calibri" w:hAnsi="Arial" w:cs="Arial"/>
          <w:kern w:val="0"/>
          <w:lang w:val="es-419"/>
          <w14:ligatures w14:val="none"/>
        </w:rPr>
      </w:pPr>
      <w:r w:rsidRPr="002012E1">
        <w:rPr>
          <w:rFonts w:ascii="Arial" w:eastAsia="Calibri" w:hAnsi="Arial" w:cs="Arial"/>
          <w:kern w:val="0"/>
          <w:lang w:val="es-419"/>
          <w14:ligatures w14:val="none"/>
        </w:rPr>
        <w:t xml:space="preserve">Semanario Universidad. (2022). Popular, Pensiones BAC y BN Vital dispararon ROP en el extranjero en 2021 bajo el ojo de la SUPEN. </w:t>
      </w:r>
      <w:hyperlink r:id="rId122" w:history="1">
        <w:r w:rsidRPr="002012E1">
          <w:rPr>
            <w:rFonts w:ascii="Arial" w:eastAsia="Times New Roman" w:hAnsi="Arial" w:cs="Arial"/>
            <w:color w:val="0563C1"/>
            <w:kern w:val="0"/>
            <w:u w:val="single"/>
            <w:lang w:val="es-419"/>
            <w14:ligatures w14:val="none"/>
          </w:rPr>
          <w:t>https://semanariouniversidad.com/pais/popular-pensiones-bac-y-bn-vital-dispararon-rop-en-el-extranjero-en-2021-bajo-el-ojo-de-la-supen/</w:t>
        </w:r>
      </w:hyperlink>
      <w:r w:rsidRPr="002012E1">
        <w:rPr>
          <w:rFonts w:ascii="Arial" w:eastAsia="Calibri" w:hAnsi="Arial" w:cs="Arial"/>
          <w:kern w:val="0"/>
          <w:lang w:val="es-419"/>
          <w14:ligatures w14:val="none"/>
        </w:rPr>
        <w:t xml:space="preserve"> </w:t>
      </w:r>
    </w:p>
    <w:p w14:paraId="6ED919BC" w14:textId="77777777" w:rsidR="00C51607" w:rsidRPr="002012E1" w:rsidRDefault="00C51607" w:rsidP="00C51607">
      <w:pPr>
        <w:spacing w:after="0" w:line="360" w:lineRule="auto"/>
        <w:ind w:hanging="709"/>
        <w:jc w:val="both"/>
        <w:rPr>
          <w:rFonts w:ascii="Arial" w:eastAsia="Times New Roman" w:hAnsi="Arial" w:cs="Arial"/>
          <w:kern w:val="0"/>
          <w:lang w:val="es-419"/>
          <w14:ligatures w14:val="none"/>
        </w:rPr>
      </w:pPr>
      <w:r w:rsidRPr="002012E1">
        <w:rPr>
          <w:rFonts w:ascii="Arial" w:eastAsia="Times New Roman" w:hAnsi="Arial" w:cs="Arial"/>
          <w:kern w:val="0"/>
          <w:lang w:val="es-419"/>
          <w14:ligatures w14:val="none"/>
        </w:rPr>
        <w:t xml:space="preserve">Semanario Universidad. (2025). ROP se achica en ₡441.000 millones por malos rendimientos en pensiones. </w:t>
      </w:r>
      <w:hyperlink r:id="rId123" w:history="1">
        <w:r w:rsidRPr="002012E1">
          <w:rPr>
            <w:rFonts w:ascii="Arial" w:eastAsia="Times New Roman" w:hAnsi="Arial" w:cs="Arial"/>
            <w:color w:val="0563C1"/>
            <w:kern w:val="0"/>
            <w:u w:val="single"/>
            <w:lang w:val="es-419"/>
            <w14:ligatures w14:val="none"/>
          </w:rPr>
          <w:t>https://semanariouniversidad.com/pais/rop-se-achica-en-%E2%82%A1441-000-millones-por-malos-rendimientos-en-pensiones/</w:t>
        </w:r>
      </w:hyperlink>
      <w:r w:rsidRPr="002012E1">
        <w:rPr>
          <w:rFonts w:ascii="Arial" w:eastAsia="Times New Roman" w:hAnsi="Arial" w:cs="Arial"/>
          <w:kern w:val="0"/>
          <w:lang w:val="es-419"/>
          <w14:ligatures w14:val="none"/>
        </w:rPr>
        <w:t xml:space="preserve"> </w:t>
      </w:r>
    </w:p>
    <w:p w14:paraId="19BD2AE0"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 xml:space="preserve">Squadrito, S. (2024, 30 julio). El Proceso de Selección de Activos en un Fondo De Inversión. </w:t>
      </w:r>
      <w:hyperlink r:id="rId124" w:anchor=":~:text=La%20selecci%C3%B3n%20de%20activos%20involucra,de%20fondo%20que%20se%20administrar%C3%A1">
        <w:r w:rsidRPr="002012E1">
          <w:rPr>
            <w:rFonts w:ascii="Arial" w:eastAsia="Times New Roman" w:hAnsi="Arial" w:cs="Arial"/>
            <w:color w:val="1155CC"/>
            <w:kern w:val="0"/>
            <w:u w:val="single"/>
            <w:lang w:val="es-MX"/>
            <w14:ligatures w14:val="none"/>
          </w:rPr>
          <w:t>https://fitcapital.pe/seleccion-activos-fondos/#:~:text=La%20selecci%C3%B3n%20de%20activos%20involucra,de%20fondo%20que%20se%20administrar%C3%A1</w:t>
        </w:r>
      </w:hyperlink>
      <w:r w:rsidRPr="002012E1">
        <w:rPr>
          <w:rFonts w:ascii="Arial" w:eastAsia="Times New Roman" w:hAnsi="Arial" w:cs="Arial"/>
          <w:kern w:val="0"/>
          <w:lang w:val="es-MX"/>
          <w14:ligatures w14:val="none"/>
        </w:rPr>
        <w:t>.</w:t>
      </w:r>
    </w:p>
    <w:p w14:paraId="0922844F"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Superintendencia de Pensiones (SUPEN). (2019). Plan Estratégico Institucional 2019-2023.</w:t>
      </w:r>
      <w:hyperlink r:id="rId125">
        <w:r w:rsidRPr="002012E1">
          <w:rPr>
            <w:rFonts w:ascii="Arial" w:eastAsia="Times New Roman" w:hAnsi="Arial" w:cs="Arial"/>
            <w:kern w:val="0"/>
            <w:lang w:val="es-MX"/>
            <w14:ligatures w14:val="none"/>
          </w:rPr>
          <w:t xml:space="preserve"> </w:t>
        </w:r>
      </w:hyperlink>
      <w:hyperlink r:id="rId126">
        <w:r w:rsidRPr="002012E1">
          <w:rPr>
            <w:rFonts w:ascii="Arial" w:eastAsia="Times New Roman" w:hAnsi="Arial" w:cs="Arial"/>
            <w:color w:val="1155CC"/>
            <w:kern w:val="0"/>
            <w:u w:val="single"/>
            <w:lang w:val="es-MX"/>
            <w14:ligatures w14:val="none"/>
          </w:rPr>
          <w:t>https://www.supen.fi.cr/documents/10179/19821/Plan+Estrat%C3%A9gico+Institucional+2019-2023</w:t>
        </w:r>
      </w:hyperlink>
    </w:p>
    <w:p w14:paraId="0C3A6F45"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Times New Roman" w:hAnsi="Arial" w:cs="Arial"/>
          <w:kern w:val="0"/>
          <w:lang w:val="es-MX"/>
          <w14:ligatures w14:val="none"/>
        </w:rPr>
        <w:t>Superintendencia de Pensiones (SUPEN). (2021). Memoria Institucional 2020.</w:t>
      </w:r>
      <w:hyperlink r:id="rId127">
        <w:r w:rsidRPr="002012E1">
          <w:rPr>
            <w:rFonts w:ascii="Arial" w:eastAsia="Times New Roman" w:hAnsi="Arial" w:cs="Arial"/>
            <w:kern w:val="0"/>
            <w:lang w:val="es-MX"/>
            <w14:ligatures w14:val="none"/>
          </w:rPr>
          <w:t xml:space="preserve"> </w:t>
        </w:r>
      </w:hyperlink>
      <w:hyperlink r:id="rId128">
        <w:r w:rsidRPr="002012E1">
          <w:rPr>
            <w:rFonts w:ascii="Arial" w:eastAsia="Times New Roman" w:hAnsi="Arial" w:cs="Arial"/>
            <w:color w:val="1155CC"/>
            <w:kern w:val="0"/>
            <w:u w:val="single"/>
            <w:lang w:val="es-MX"/>
            <w14:ligatures w14:val="none"/>
          </w:rPr>
          <w:t>https://www.supen.fi.cr/documents/10179/19821/Memoria+Institucional+2020</w:t>
        </w:r>
      </w:hyperlink>
    </w:p>
    <w:p w14:paraId="38CB4FC2"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lastRenderedPageBreak/>
        <w:t xml:space="preserve">Superintendencia de Pensiones (SUPEN). (2023). Informe de Supervisión del Sistema Nacional de Pensiones, II Semestre 2022. </w:t>
      </w:r>
      <w:hyperlink r:id="rId129">
        <w:r w:rsidRPr="002012E1">
          <w:rPr>
            <w:rFonts w:ascii="Arial" w:eastAsia="Calibri" w:hAnsi="Arial" w:cs="Arial"/>
            <w:color w:val="1155CC"/>
            <w:kern w:val="0"/>
            <w:u w:val="single"/>
            <w:lang w:val="es-MX"/>
            <w14:ligatures w14:val="none"/>
          </w:rPr>
          <w:t>https://www.supen.fi.cr/documents/10179/19821/Informe+de+Supervision+SNP+II+Semestre+2022</w:t>
        </w:r>
      </w:hyperlink>
    </w:p>
    <w:p w14:paraId="6ABF86F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Superintendencia de Pensiones (SUPEN). (2023). Informe anual de supervisión y regulación de fondos de pensiones. </w:t>
      </w:r>
      <w:hyperlink r:id="rId130" w:history="1">
        <w:r w:rsidRPr="002012E1">
          <w:rPr>
            <w:rFonts w:ascii="Arial" w:eastAsia="Times New Roman" w:hAnsi="Arial" w:cs="Arial"/>
            <w:color w:val="0563C1"/>
            <w:kern w:val="0"/>
            <w:u w:val="single"/>
            <w:lang w:val="es-MX"/>
            <w14:ligatures w14:val="none"/>
          </w:rPr>
          <w:t>https://www.supen.fi.cr/informes-anuales</w:t>
        </w:r>
      </w:hyperlink>
      <w:r w:rsidRPr="002012E1">
        <w:rPr>
          <w:rFonts w:ascii="Arial" w:eastAsia="Calibri" w:hAnsi="Arial" w:cs="Arial"/>
          <w:kern w:val="0"/>
          <w:lang w:val="es-MX"/>
          <w14:ligatures w14:val="none"/>
        </w:rPr>
        <w:t xml:space="preserve">  (pp. 12-35)</w:t>
      </w:r>
    </w:p>
    <w:p w14:paraId="50A98221"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Superintendencia de Pensiones (SUPEN). (2024). Informe de Coyuntura del Sistema Costarricense de Pensiones II Trimestre 2024. </w:t>
      </w:r>
      <w:hyperlink r:id="rId131" w:history="1">
        <w:r w:rsidRPr="002012E1">
          <w:rPr>
            <w:rFonts w:ascii="Arial" w:eastAsia="Times New Roman" w:hAnsi="Arial" w:cs="Arial"/>
            <w:color w:val="0563C1"/>
            <w:kern w:val="0"/>
            <w:u w:val="single"/>
            <w:lang w:val="es-MX"/>
            <w14:ligatures w14:val="none"/>
          </w:rPr>
          <w:t>https://www.supen.fi.cr</w:t>
        </w:r>
      </w:hyperlink>
      <w:r w:rsidRPr="002012E1">
        <w:rPr>
          <w:rFonts w:ascii="Arial" w:eastAsia="Calibri" w:hAnsi="Arial" w:cs="Arial"/>
          <w:kern w:val="0"/>
          <w:lang w:val="es-MX"/>
          <w14:ligatures w14:val="none"/>
        </w:rPr>
        <w:t xml:space="preserve"> </w:t>
      </w:r>
    </w:p>
    <w:p w14:paraId="11F20202"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Times New Roman" w:hAnsi="Arial" w:cs="Arial"/>
          <w:kern w:val="0"/>
          <w:lang w:val="es-MX"/>
          <w14:ligatures w14:val="none"/>
        </w:rPr>
        <w:t xml:space="preserve">Superintendencia General de Valores (SUGEVAL). (n.d.). </w:t>
      </w:r>
      <w:r w:rsidRPr="002012E1">
        <w:rPr>
          <w:rFonts w:ascii="Arial" w:eastAsia="Times New Roman" w:hAnsi="Arial" w:cs="Arial"/>
          <w:i/>
          <w:kern w:val="0"/>
          <w:lang w:val="es-MX"/>
          <w14:ligatures w14:val="none"/>
        </w:rPr>
        <w:t>Acciones</w:t>
      </w:r>
      <w:r w:rsidRPr="002012E1">
        <w:rPr>
          <w:rFonts w:ascii="Arial" w:eastAsia="Times New Roman" w:hAnsi="Arial" w:cs="Arial"/>
          <w:kern w:val="0"/>
          <w:lang w:val="es-MX"/>
          <w14:ligatures w14:val="none"/>
        </w:rPr>
        <w:t>.</w:t>
      </w:r>
      <w:hyperlink r:id="rId132">
        <w:r w:rsidRPr="002012E1">
          <w:rPr>
            <w:rFonts w:ascii="Arial" w:eastAsia="Times New Roman" w:hAnsi="Arial" w:cs="Arial"/>
            <w:kern w:val="0"/>
            <w:lang w:val="es-MX"/>
            <w14:ligatures w14:val="none"/>
          </w:rPr>
          <w:t xml:space="preserve"> </w:t>
        </w:r>
      </w:hyperlink>
      <w:hyperlink r:id="rId133">
        <w:r w:rsidRPr="002012E1">
          <w:rPr>
            <w:rFonts w:ascii="Arial" w:eastAsia="Times New Roman" w:hAnsi="Arial" w:cs="Arial"/>
            <w:color w:val="1155CC"/>
            <w:kern w:val="0"/>
            <w:u w:val="single"/>
            <w:lang w:val="es-MX"/>
            <w14:ligatures w14:val="none"/>
          </w:rPr>
          <w:t>https://www.sugeval.fi.cr/Informacion-inversionistas/Documents/Acciones.pdf</w:t>
        </w:r>
      </w:hyperlink>
    </w:p>
    <w:p w14:paraId="0C43CE49" w14:textId="77777777" w:rsidR="00C51607" w:rsidRPr="002012E1" w:rsidRDefault="00C51607" w:rsidP="00C51607">
      <w:pPr>
        <w:spacing w:after="0" w:line="360" w:lineRule="auto"/>
        <w:ind w:hanging="709"/>
        <w:jc w:val="both"/>
        <w:rPr>
          <w:rFonts w:ascii="Arial" w:eastAsia="Times New Roman" w:hAnsi="Arial" w:cs="Arial"/>
          <w:kern w:val="0"/>
          <w:lang w:val="es-MX"/>
          <w14:ligatures w14:val="none"/>
        </w:rPr>
      </w:pPr>
      <w:r w:rsidRPr="002012E1">
        <w:rPr>
          <w:rFonts w:ascii="Arial" w:eastAsia="Calibri" w:hAnsi="Arial" w:cs="Arial"/>
          <w:kern w:val="0"/>
          <w:lang w:val="es-MX"/>
          <w14:ligatures w14:val="none"/>
        </w:rPr>
        <w:t>Teodoro, A., &amp; Nieto, M. (2018). Tipos de investigación. En Fundamentos de la investigación científica</w:t>
      </w:r>
    </w:p>
    <w:p w14:paraId="204D8BE8"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Sortini, J. (2019). Metodología de la investigación cualitativa: Estrategias y técnicas. Editorial XYZ.</w:t>
      </w:r>
    </w:p>
    <w:p w14:paraId="59FCFE66"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Universidad del Desarrollo. (2021). </w:t>
      </w:r>
      <w:r w:rsidRPr="002012E1">
        <w:rPr>
          <w:rFonts w:ascii="Arial" w:eastAsia="Calibri" w:hAnsi="Arial" w:cs="Arial"/>
          <w:i/>
          <w:kern w:val="0"/>
          <w:lang w:val="es-MX"/>
          <w14:ligatures w14:val="none"/>
        </w:rPr>
        <w:t>Fase I definición</w:t>
      </w:r>
      <w:r w:rsidRPr="002012E1">
        <w:rPr>
          <w:rFonts w:ascii="Arial" w:eastAsia="Calibri" w:hAnsi="Arial" w:cs="Arial"/>
          <w:kern w:val="0"/>
          <w:lang w:val="es-MX"/>
          <w14:ligatures w14:val="none"/>
        </w:rPr>
        <w:t xml:space="preserve">. </w:t>
      </w:r>
      <w:hyperlink r:id="rId134">
        <w:r w:rsidRPr="002012E1">
          <w:rPr>
            <w:rFonts w:ascii="Arial" w:eastAsia="Calibri" w:hAnsi="Arial" w:cs="Arial"/>
            <w:color w:val="1155CC"/>
            <w:kern w:val="0"/>
            <w:u w:val="single"/>
            <w:lang w:val="es-MX"/>
            <w14:ligatures w14:val="none"/>
          </w:rPr>
          <w:t>https://virtual.urbe.edu/tesispub/0086454/fase01.pdf</w:t>
        </w:r>
      </w:hyperlink>
    </w:p>
    <w:p w14:paraId="59B874F5"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pPr>
      <w:r w:rsidRPr="002012E1">
        <w:rPr>
          <w:rFonts w:ascii="Arial" w:eastAsia="Calibri" w:hAnsi="Arial" w:cs="Arial"/>
          <w:kern w:val="0"/>
          <w:lang w:val="es-MX"/>
          <w14:ligatures w14:val="none"/>
        </w:rPr>
        <w:t xml:space="preserve">Vida Plena. (2023). Informe de gestión y estados financieros. Vida Plena. </w:t>
      </w:r>
      <w:hyperlink r:id="rId135" w:history="1">
        <w:r w:rsidRPr="002012E1">
          <w:rPr>
            <w:rFonts w:ascii="Arial" w:eastAsia="Times New Roman" w:hAnsi="Arial" w:cs="Arial"/>
            <w:iCs/>
            <w:color w:val="0563C1"/>
            <w:kern w:val="0"/>
            <w:u w:val="single"/>
            <w:lang w:val="es-MX"/>
            <w14:ligatures w14:val="none"/>
          </w:rPr>
          <w:t>https://www.vidaplena.fi.cr/informes</w:t>
        </w:r>
      </w:hyperlink>
      <w:r w:rsidRPr="002012E1">
        <w:rPr>
          <w:rFonts w:ascii="Arial" w:eastAsia="Calibri" w:hAnsi="Arial" w:cs="Arial"/>
          <w:kern w:val="0"/>
          <w:lang w:val="es-MX"/>
          <w14:ligatures w14:val="none"/>
        </w:rPr>
        <w:t xml:space="preserve">  (p. 12)</w:t>
      </w:r>
    </w:p>
    <w:p w14:paraId="146BB60B" w14:textId="77777777" w:rsidR="00C51607" w:rsidRPr="002012E1" w:rsidRDefault="00C51607" w:rsidP="00C51607">
      <w:pPr>
        <w:spacing w:after="0" w:line="360" w:lineRule="auto"/>
        <w:ind w:hanging="709"/>
        <w:jc w:val="both"/>
        <w:rPr>
          <w:rFonts w:ascii="Arial" w:eastAsia="Calibri" w:hAnsi="Arial" w:cs="Arial"/>
          <w:kern w:val="0"/>
          <w:lang w:val="es-MX"/>
          <w14:ligatures w14:val="none"/>
        </w:rPr>
        <w:sectPr w:rsidR="00C51607" w:rsidRPr="002012E1" w:rsidSect="00C51607">
          <w:headerReference w:type="first" r:id="rId136"/>
          <w:footerReference w:type="first" r:id="rId137"/>
          <w:pgSz w:w="12240" w:h="15840" w:code="1"/>
          <w:pgMar w:top="1417" w:right="1701" w:bottom="1417" w:left="1701" w:header="709" w:footer="709" w:gutter="0"/>
          <w:cols w:space="708"/>
          <w:titlePg/>
          <w:docGrid w:linePitch="360"/>
        </w:sectPr>
      </w:pPr>
      <w:r w:rsidRPr="002012E1">
        <w:rPr>
          <w:rFonts w:ascii="Arial" w:eastAsia="Calibri" w:hAnsi="Arial" w:cs="Arial"/>
          <w:kern w:val="0"/>
          <w:lang w:val="es-MX"/>
          <w14:ligatures w14:val="none"/>
        </w:rPr>
        <w:t xml:space="preserve">De Gracia Palomera, D. (2021). Orientaciones metodológicas para la investigación social. Universitat Oberta de Catalunya. </w:t>
      </w:r>
      <w:hyperlink r:id="rId138">
        <w:r w:rsidRPr="002012E1">
          <w:rPr>
            <w:rFonts w:ascii="Arial" w:eastAsia="Calibri" w:hAnsi="Arial" w:cs="Arial"/>
            <w:color w:val="1155CC"/>
            <w:kern w:val="0"/>
            <w:u w:val="single"/>
            <w:lang w:val="es-MX"/>
            <w14:ligatures w14:val="none"/>
          </w:rPr>
          <w:t>https://arts.recursos.uoc.edu/guia-metodologica/es/3-6-2-la-pauta-de-observacion/</w:t>
        </w:r>
      </w:hyperlink>
    </w:p>
    <w:p w14:paraId="03339213" w14:textId="77777777" w:rsidR="00C51607" w:rsidRDefault="00C51607" w:rsidP="00C51607">
      <w:pPr>
        <w:pStyle w:val="apanivel1"/>
      </w:pPr>
      <w:bookmarkStart w:id="160" w:name="_Toc201832489"/>
      <w:r w:rsidRPr="002012E1">
        <w:lastRenderedPageBreak/>
        <w:t>ANEXOS</w:t>
      </w:r>
      <w:bookmarkEnd w:id="160"/>
    </w:p>
    <w:p w14:paraId="6C77A0B7" w14:textId="77777777" w:rsidR="00C51607" w:rsidRPr="00DB494B" w:rsidRDefault="00C51607" w:rsidP="00C51607">
      <w:pPr>
        <w:pStyle w:val="apanivel2"/>
        <w:rPr>
          <w:rFonts w:ascii="Arial" w:hAnsi="Arial" w:cs="Arial"/>
        </w:rPr>
      </w:pPr>
      <w:bookmarkStart w:id="161" w:name="_Toc201055891"/>
      <w:bookmarkStart w:id="162" w:name="_Toc201832490"/>
      <w:r w:rsidRPr="00DB494B">
        <w:rPr>
          <w:rFonts w:ascii="Arial" w:hAnsi="Arial" w:cs="Arial"/>
        </w:rPr>
        <w:t>A</w:t>
      </w:r>
      <w:r w:rsidRPr="00DB494B">
        <w:rPr>
          <w:rStyle w:val="apanivel2Car"/>
          <w:rFonts w:ascii="Arial" w:hAnsi="Arial" w:cs="Arial"/>
          <w:b/>
        </w:rPr>
        <w:t>nexos</w:t>
      </w:r>
      <w:bookmarkEnd w:id="161"/>
      <w:bookmarkEnd w:id="162"/>
    </w:p>
    <w:p w14:paraId="445D8711" w14:textId="77777777" w:rsidR="00C51607" w:rsidRDefault="00C51607" w:rsidP="00C51607">
      <w:pPr>
        <w:spacing w:after="0" w:line="360" w:lineRule="auto"/>
        <w:jc w:val="both"/>
        <w:rPr>
          <w:rFonts w:ascii="Arial" w:eastAsia="Aptos" w:hAnsi="Arial" w:cs="Arial"/>
          <w:b/>
          <w:bCs/>
          <w:kern w:val="0"/>
          <w:lang w:val="es-MX"/>
          <w14:ligatures w14:val="none"/>
        </w:rPr>
      </w:pPr>
      <w:r w:rsidRPr="00596B17">
        <w:rPr>
          <w:rFonts w:ascii="Arial" w:eastAsia="Aptos" w:hAnsi="Arial" w:cs="Arial"/>
          <w:b/>
          <w:bCs/>
          <w:kern w:val="0"/>
          <w:lang w:val="es-MX"/>
          <w14:ligatures w14:val="none"/>
        </w:rPr>
        <w:t>Formulario de entrevista</w:t>
      </w:r>
    </w:p>
    <w:p w14:paraId="53136806" w14:textId="77777777" w:rsidR="00C51607" w:rsidRPr="00AA3782" w:rsidRDefault="00C51607" w:rsidP="00C51607">
      <w:pPr>
        <w:spacing w:after="0" w:line="360" w:lineRule="auto"/>
        <w:jc w:val="both"/>
        <w:rPr>
          <w:rFonts w:ascii="Arial" w:eastAsia="Aptos" w:hAnsi="Arial" w:cs="Arial"/>
          <w:kern w:val="0"/>
          <w:lang w:val="es-MX"/>
          <w14:ligatures w14:val="none"/>
        </w:rPr>
      </w:pPr>
      <w:r w:rsidRPr="00AA3782">
        <w:rPr>
          <w:rFonts w:ascii="Arial" w:eastAsia="Aptos" w:hAnsi="Arial" w:cs="Arial"/>
          <w:kern w:val="0"/>
          <w:lang w:val="es-MX"/>
          <w14:ligatures w14:val="none"/>
        </w:rPr>
        <w:t>Imagen 1.</w:t>
      </w:r>
    </w:p>
    <w:p w14:paraId="2A8A87A5" w14:textId="77777777" w:rsidR="00C51607" w:rsidRDefault="00C51607" w:rsidP="00C51607">
      <w:pPr>
        <w:spacing w:after="0" w:line="360" w:lineRule="auto"/>
        <w:jc w:val="both"/>
        <w:rPr>
          <w:rFonts w:ascii="Arial" w:eastAsia="Aptos" w:hAnsi="Arial" w:cs="Arial"/>
          <w:kern w:val="0"/>
          <w:lang w:val="es-MX"/>
          <w14:ligatures w14:val="none"/>
        </w:rPr>
      </w:pPr>
      <w:r>
        <w:rPr>
          <w:noProof/>
        </w:rPr>
        <w:drawing>
          <wp:inline distT="0" distB="0" distL="0" distR="0" wp14:anchorId="18F32081" wp14:editId="4232AA23">
            <wp:extent cx="4673600" cy="6904229"/>
            <wp:effectExtent l="0" t="0" r="0" b="0"/>
            <wp:docPr id="629571840"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71840" name="Imagen 1" descr="Interfaz de usuario gráfica, Texto, Aplicación, Correo electrónico&#10;&#10;El contenido generado por IA puede ser incorrecto."/>
                    <pic:cNvPicPr/>
                  </pic:nvPicPr>
                  <pic:blipFill>
                    <a:blip r:embed="rId139"/>
                    <a:stretch>
                      <a:fillRect/>
                    </a:stretch>
                  </pic:blipFill>
                  <pic:spPr>
                    <a:xfrm>
                      <a:off x="0" y="0"/>
                      <a:ext cx="4682211" cy="6916950"/>
                    </a:xfrm>
                    <a:prstGeom prst="rect">
                      <a:avLst/>
                    </a:prstGeom>
                  </pic:spPr>
                </pic:pic>
              </a:graphicData>
            </a:graphic>
          </wp:inline>
        </w:drawing>
      </w:r>
    </w:p>
    <w:p w14:paraId="1F829A23" w14:textId="77777777" w:rsidR="00C51607" w:rsidRDefault="00C51607" w:rsidP="00C51607">
      <w:pPr>
        <w:spacing w:after="0" w:line="360" w:lineRule="auto"/>
        <w:jc w:val="both"/>
        <w:rPr>
          <w:rFonts w:ascii="Arial" w:eastAsia="Aptos" w:hAnsi="Arial" w:cs="Arial"/>
          <w:kern w:val="0"/>
          <w:lang w:val="es-MX"/>
          <w14:ligatures w14:val="none"/>
        </w:rPr>
      </w:pPr>
      <w:r>
        <w:rPr>
          <w:rFonts w:ascii="Arial" w:eastAsia="Aptos" w:hAnsi="Arial" w:cs="Arial"/>
          <w:kern w:val="0"/>
          <w:lang w:val="es-MX"/>
          <w14:ligatures w14:val="none"/>
        </w:rPr>
        <w:lastRenderedPageBreak/>
        <w:t>Imagen 2.</w:t>
      </w:r>
    </w:p>
    <w:p w14:paraId="705FF858" w14:textId="77777777" w:rsidR="00C51607" w:rsidRDefault="00C51607" w:rsidP="00C51607">
      <w:pPr>
        <w:spacing w:after="0" w:line="360" w:lineRule="auto"/>
        <w:jc w:val="both"/>
        <w:rPr>
          <w:rFonts w:ascii="Arial" w:eastAsia="Aptos" w:hAnsi="Arial" w:cs="Arial"/>
          <w:kern w:val="0"/>
          <w:lang w:val="es-MX"/>
          <w14:ligatures w14:val="none"/>
        </w:rPr>
      </w:pPr>
      <w:r>
        <w:rPr>
          <w:noProof/>
        </w:rPr>
        <w:drawing>
          <wp:inline distT="0" distB="0" distL="0" distR="0" wp14:anchorId="2CB5E02D" wp14:editId="5865E18F">
            <wp:extent cx="4847772" cy="7271378"/>
            <wp:effectExtent l="0" t="0" r="0" b="6350"/>
            <wp:docPr id="1401038922"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038922" name="Imagen 1" descr="Interfaz de usuario gráfica, Aplicación&#10;&#10;El contenido generado por IA puede ser incorrecto."/>
                    <pic:cNvPicPr/>
                  </pic:nvPicPr>
                  <pic:blipFill>
                    <a:blip r:embed="rId140"/>
                    <a:stretch>
                      <a:fillRect/>
                    </a:stretch>
                  </pic:blipFill>
                  <pic:spPr>
                    <a:xfrm>
                      <a:off x="0" y="0"/>
                      <a:ext cx="4861022" cy="7291253"/>
                    </a:xfrm>
                    <a:prstGeom prst="rect">
                      <a:avLst/>
                    </a:prstGeom>
                  </pic:spPr>
                </pic:pic>
              </a:graphicData>
            </a:graphic>
          </wp:inline>
        </w:drawing>
      </w:r>
    </w:p>
    <w:p w14:paraId="2CC73AAF" w14:textId="77777777" w:rsidR="00C51607" w:rsidRDefault="00C51607" w:rsidP="00C51607">
      <w:pPr>
        <w:spacing w:after="0" w:line="360" w:lineRule="auto"/>
        <w:jc w:val="both"/>
        <w:rPr>
          <w:rFonts w:ascii="Arial" w:eastAsia="Aptos" w:hAnsi="Arial" w:cs="Arial"/>
          <w:kern w:val="0"/>
          <w:lang w:val="es-MX"/>
          <w14:ligatures w14:val="none"/>
        </w:rPr>
      </w:pPr>
    </w:p>
    <w:p w14:paraId="72232902" w14:textId="77777777" w:rsidR="00C51607" w:rsidRDefault="00C51607" w:rsidP="00C51607">
      <w:pPr>
        <w:spacing w:after="0" w:line="360" w:lineRule="auto"/>
        <w:jc w:val="both"/>
        <w:rPr>
          <w:rFonts w:ascii="Arial" w:eastAsia="Aptos" w:hAnsi="Arial" w:cs="Arial"/>
          <w:kern w:val="0"/>
          <w:lang w:val="es-MX"/>
          <w14:ligatures w14:val="none"/>
        </w:rPr>
      </w:pPr>
    </w:p>
    <w:p w14:paraId="49E91EF9" w14:textId="77777777" w:rsidR="00C51607" w:rsidRDefault="00C51607" w:rsidP="00C51607">
      <w:pPr>
        <w:spacing w:after="0" w:line="360" w:lineRule="auto"/>
        <w:jc w:val="both"/>
        <w:rPr>
          <w:rFonts w:ascii="Arial" w:eastAsia="Aptos" w:hAnsi="Arial" w:cs="Arial"/>
          <w:kern w:val="0"/>
          <w:lang w:val="es-MX"/>
          <w14:ligatures w14:val="none"/>
        </w:rPr>
      </w:pPr>
      <w:r>
        <w:rPr>
          <w:rFonts w:ascii="Arial" w:eastAsia="Aptos" w:hAnsi="Arial" w:cs="Arial"/>
          <w:kern w:val="0"/>
          <w:lang w:val="es-MX"/>
          <w14:ligatures w14:val="none"/>
        </w:rPr>
        <w:lastRenderedPageBreak/>
        <w:t>Imagen 3.</w:t>
      </w:r>
    </w:p>
    <w:p w14:paraId="0F560A01" w14:textId="77777777" w:rsidR="00C51607" w:rsidRDefault="00C51607" w:rsidP="00C51607">
      <w:pPr>
        <w:spacing w:after="0" w:line="360" w:lineRule="auto"/>
        <w:jc w:val="both"/>
        <w:rPr>
          <w:rFonts w:ascii="Arial" w:eastAsia="Aptos" w:hAnsi="Arial" w:cs="Arial"/>
          <w:kern w:val="0"/>
          <w:lang w:val="es-MX"/>
          <w14:ligatures w14:val="none"/>
        </w:rPr>
      </w:pPr>
      <w:r>
        <w:rPr>
          <w:noProof/>
        </w:rPr>
        <w:drawing>
          <wp:inline distT="0" distB="0" distL="0" distR="0" wp14:anchorId="578B022A" wp14:editId="0ADEEF96">
            <wp:extent cx="5007429" cy="7382297"/>
            <wp:effectExtent l="0" t="0" r="3175" b="0"/>
            <wp:docPr id="984325264" name="Imagen 1" descr="Interfaz de usuario gráfica, Texto,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325264" name="Imagen 1" descr="Interfaz de usuario gráfica, Texto, Aplicación, Teams&#10;&#10;El contenido generado por IA puede ser incorrecto."/>
                    <pic:cNvPicPr/>
                  </pic:nvPicPr>
                  <pic:blipFill>
                    <a:blip r:embed="rId141"/>
                    <a:stretch>
                      <a:fillRect/>
                    </a:stretch>
                  </pic:blipFill>
                  <pic:spPr>
                    <a:xfrm>
                      <a:off x="0" y="0"/>
                      <a:ext cx="5018399" cy="7398470"/>
                    </a:xfrm>
                    <a:prstGeom prst="rect">
                      <a:avLst/>
                    </a:prstGeom>
                  </pic:spPr>
                </pic:pic>
              </a:graphicData>
            </a:graphic>
          </wp:inline>
        </w:drawing>
      </w:r>
    </w:p>
    <w:p w14:paraId="72CA9024" w14:textId="77777777" w:rsidR="00C51607" w:rsidRDefault="00C51607" w:rsidP="00C51607">
      <w:pPr>
        <w:spacing w:after="0" w:line="360" w:lineRule="auto"/>
        <w:jc w:val="both"/>
        <w:rPr>
          <w:rFonts w:ascii="Arial" w:eastAsia="Aptos" w:hAnsi="Arial" w:cs="Arial"/>
          <w:kern w:val="0"/>
          <w:lang w:val="es-MX"/>
          <w14:ligatures w14:val="none"/>
        </w:rPr>
      </w:pPr>
    </w:p>
    <w:p w14:paraId="6008B5BA" w14:textId="77777777" w:rsidR="00C51607" w:rsidRDefault="00C51607" w:rsidP="00C51607">
      <w:pPr>
        <w:spacing w:after="0" w:line="360" w:lineRule="auto"/>
        <w:jc w:val="both"/>
        <w:rPr>
          <w:rFonts w:ascii="Arial" w:eastAsia="Aptos" w:hAnsi="Arial" w:cs="Arial"/>
          <w:kern w:val="0"/>
          <w:lang w:val="es-MX"/>
          <w14:ligatures w14:val="none"/>
        </w:rPr>
      </w:pPr>
    </w:p>
    <w:p w14:paraId="49309C20" w14:textId="77777777" w:rsidR="00C51607" w:rsidRPr="00B465EC" w:rsidRDefault="00C51607" w:rsidP="00C51607">
      <w:pPr>
        <w:spacing w:after="0" w:line="360" w:lineRule="auto"/>
        <w:jc w:val="both"/>
        <w:rPr>
          <w:rFonts w:ascii="Arial" w:eastAsia="Aptos" w:hAnsi="Arial" w:cs="Arial"/>
          <w:kern w:val="0"/>
          <w:lang w:val="es-MX"/>
          <w14:ligatures w14:val="none"/>
        </w:rPr>
      </w:pPr>
      <w:r>
        <w:rPr>
          <w:rFonts w:ascii="Arial" w:eastAsia="Aptos" w:hAnsi="Arial" w:cs="Arial"/>
          <w:kern w:val="0"/>
          <w:lang w:val="es-MX"/>
          <w14:ligatures w14:val="none"/>
        </w:rPr>
        <w:lastRenderedPageBreak/>
        <w:t>Imagen 4.</w:t>
      </w:r>
    </w:p>
    <w:p w14:paraId="68E2659E" w14:textId="77777777" w:rsidR="00C51607" w:rsidRDefault="00C51607" w:rsidP="00C51607">
      <w:pPr>
        <w:rPr>
          <w:lang w:val="es-MX"/>
        </w:rPr>
      </w:pPr>
      <w:r>
        <w:rPr>
          <w:noProof/>
        </w:rPr>
        <w:drawing>
          <wp:inline distT="0" distB="0" distL="0" distR="0" wp14:anchorId="2599F74E" wp14:editId="1EB12C73">
            <wp:extent cx="5612130" cy="3181350"/>
            <wp:effectExtent l="0" t="0" r="7620" b="0"/>
            <wp:docPr id="1653309278" name="Imagen 1"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309278" name="Imagen 1" descr="Escala de tiempo&#10;&#10;El contenido generado por IA puede ser incorrecto."/>
                    <pic:cNvPicPr/>
                  </pic:nvPicPr>
                  <pic:blipFill>
                    <a:blip r:embed="rId142"/>
                    <a:stretch>
                      <a:fillRect/>
                    </a:stretch>
                  </pic:blipFill>
                  <pic:spPr>
                    <a:xfrm>
                      <a:off x="0" y="0"/>
                      <a:ext cx="5612130" cy="3181350"/>
                    </a:xfrm>
                    <a:prstGeom prst="rect">
                      <a:avLst/>
                    </a:prstGeom>
                  </pic:spPr>
                </pic:pic>
              </a:graphicData>
            </a:graphic>
          </wp:inline>
        </w:drawing>
      </w:r>
    </w:p>
    <w:p w14:paraId="5061511D" w14:textId="77777777" w:rsidR="00C51607" w:rsidRPr="002277ED" w:rsidRDefault="00C51607" w:rsidP="00C51607"/>
    <w:p w14:paraId="6CA294C8" w14:textId="77777777" w:rsidR="00C106DC" w:rsidRPr="0065773A" w:rsidRDefault="00C106DC" w:rsidP="0065773A"/>
    <w:sectPr w:rsidR="00C106DC" w:rsidRPr="0065773A">
      <w:footerReference w:type="even" r:id="rId143"/>
      <w:footerReference w:type="first" r:id="rId14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91727" w14:textId="77777777" w:rsidR="00217F36" w:rsidRDefault="00217F36" w:rsidP="0070756C">
      <w:pPr>
        <w:spacing w:after="0" w:line="240" w:lineRule="auto"/>
      </w:pPr>
      <w:r>
        <w:separator/>
      </w:r>
    </w:p>
  </w:endnote>
  <w:endnote w:type="continuationSeparator" w:id="0">
    <w:p w14:paraId="33100517" w14:textId="77777777" w:rsidR="00217F36" w:rsidRDefault="00217F36" w:rsidP="00707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2965530"/>
      <w:docPartObj>
        <w:docPartGallery w:val="Page Numbers (Bottom of Page)"/>
        <w:docPartUnique/>
      </w:docPartObj>
    </w:sdtPr>
    <w:sdtContent>
      <w:p w14:paraId="6AAD43AA"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1409CC8B" w14:textId="77777777" w:rsidR="00C51607" w:rsidRDefault="00C51607">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2B586" w14:textId="77777777" w:rsidR="00C51607" w:rsidRDefault="00C51607">
    <w:pPr>
      <w:pStyle w:val="Piedepgina"/>
      <w:jc w:val="right"/>
    </w:pPr>
  </w:p>
  <w:p w14:paraId="5D6A9A50" w14:textId="77777777" w:rsidR="00C51607" w:rsidRDefault="00C51607">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2790202"/>
      <w:docPartObj>
        <w:docPartGallery w:val="Page Numbers (Bottom of Page)"/>
        <w:docPartUnique/>
      </w:docPartObj>
    </w:sdtPr>
    <w:sdtContent>
      <w:p w14:paraId="3A60289D"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1602D086" w14:textId="77777777" w:rsidR="00C51607" w:rsidRDefault="00C51607">
    <w:pPr>
      <w:pStyle w:val="Piedepgin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F1BCA" w14:textId="77777777" w:rsidR="00C51607" w:rsidRDefault="00C51607">
    <w:pPr>
      <w:pStyle w:val="Piedepgina"/>
      <w:jc w:val="right"/>
    </w:pPr>
  </w:p>
  <w:p w14:paraId="6A59D3EB" w14:textId="77777777" w:rsidR="00C51607" w:rsidRDefault="00C51607">
    <w:pPr>
      <w:pStyle w:val="Piedepgina"/>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1882372"/>
      <w:docPartObj>
        <w:docPartGallery w:val="Page Numbers (Bottom of Page)"/>
        <w:docPartUnique/>
      </w:docPartObj>
    </w:sdtPr>
    <w:sdtContent>
      <w:p w14:paraId="7D179F9C"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0E53259A" w14:textId="77777777" w:rsidR="00C51607" w:rsidRDefault="00C51607">
    <w:pPr>
      <w:pStyle w:val="Piedepgina"/>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E73F7" w14:textId="77777777" w:rsidR="00C51607" w:rsidRDefault="00C51607">
    <w:pPr>
      <w:pStyle w:val="Piedepgina"/>
      <w:jc w:val="right"/>
    </w:pPr>
  </w:p>
  <w:p w14:paraId="6593CAC8" w14:textId="77777777" w:rsidR="00C51607" w:rsidRDefault="00C51607">
    <w:pPr>
      <w:pStyle w:val="Piedepgina"/>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CA9D4" w14:textId="77777777" w:rsidR="00C51607" w:rsidRDefault="00C51607">
    <w:pPr>
      <w:pStyle w:val="Piedepgina"/>
      <w:jc w:val="right"/>
    </w:pPr>
  </w:p>
  <w:p w14:paraId="608BCC2E" w14:textId="77777777" w:rsidR="00C51607" w:rsidRDefault="00C51607">
    <w:pPr>
      <w:pStyle w:val="Piedepgina"/>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2C9AB" w14:textId="41696149" w:rsidR="0070756C" w:rsidRDefault="0070756C">
    <w:pPr>
      <w:pStyle w:val="Piedepgina"/>
    </w:pPr>
    <w:r>
      <w:rPr>
        <w:noProof/>
      </w:rPr>
      <mc:AlternateContent>
        <mc:Choice Requires="wps">
          <w:drawing>
            <wp:anchor distT="0" distB="0" distL="0" distR="0" simplePos="0" relativeHeight="251659264" behindDoc="0" locked="0" layoutInCell="1" allowOverlap="1" wp14:anchorId="02C5F78E" wp14:editId="0948BD7C">
              <wp:simplePos x="635" y="635"/>
              <wp:positionH relativeFrom="page">
                <wp:align>center</wp:align>
              </wp:positionH>
              <wp:positionV relativeFrom="page">
                <wp:align>bottom</wp:align>
              </wp:positionV>
              <wp:extent cx="607060" cy="370205"/>
              <wp:effectExtent l="0" t="0" r="2540" b="0"/>
              <wp:wrapNone/>
              <wp:docPr id="101074668" name="Cuadro de texto 2" descr="Uso Interno">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07060" cy="370205"/>
                      </a:xfrm>
                      <a:prstGeom prst="rect">
                        <a:avLst/>
                      </a:prstGeom>
                      <a:noFill/>
                      <a:ln>
                        <a:noFill/>
                      </a:ln>
                    </wps:spPr>
                    <wps:txbx>
                      <w:txbxContent>
                        <w:p w14:paraId="42B93CB1" w14:textId="575A2A1E" w:rsidR="0070756C" w:rsidRPr="0070756C" w:rsidRDefault="0070756C" w:rsidP="0070756C">
                          <w:pPr>
                            <w:spacing w:after="0"/>
                            <w:rPr>
                              <w:rFonts w:ascii="Calibri" w:eastAsia="Calibri" w:hAnsi="Calibri" w:cs="Calibri"/>
                              <w:noProof/>
                              <w:color w:val="000000"/>
                              <w:sz w:val="20"/>
                              <w:szCs w:val="20"/>
                            </w:rPr>
                          </w:pPr>
                          <w:r w:rsidRPr="0070756C">
                            <w:rPr>
                              <w:rFonts w:ascii="Calibri" w:eastAsia="Calibri" w:hAnsi="Calibri" w:cs="Calibri"/>
                              <w:noProof/>
                              <w:color w:val="000000"/>
                              <w:sz w:val="20"/>
                              <w:szCs w:val="20"/>
                            </w:rPr>
                            <w:t>Uso Interno</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C5F78E" id="_x0000_t202" coordsize="21600,21600" o:spt="202" path="m,l,21600r21600,l21600,xe">
              <v:stroke joinstyle="miter"/>
              <v:path gradientshapeok="t" o:connecttype="rect"/>
            </v:shapetype>
            <v:shape id="Cuadro de texto 2" o:spid="_x0000_s1026" type="#_x0000_t202" alt="Uso Interno" style="position:absolute;margin-left:0;margin-top:0;width:47.8pt;height:29.1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" filled="f" stroked="f">
              <v:textbox style="mso-fit-shape-to-text:t" inset="0,0,0,15pt">
                <w:txbxContent>
                  <w:p w14:paraId="42B93CB1" w14:textId="575A2A1E" w:rsidR="0070756C" w:rsidRPr="0070756C" w:rsidRDefault="0070756C" w:rsidP="0070756C">
                    <w:pPr>
                      <w:spacing w:after="0"/>
                      <w:rPr>
                        <w:rFonts w:ascii="Calibri" w:eastAsia="Calibri" w:hAnsi="Calibri" w:cs="Calibri"/>
                        <w:noProof/>
                        <w:color w:val="000000"/>
                        <w:sz w:val="20"/>
                        <w:szCs w:val="20"/>
                      </w:rPr>
                    </w:pPr>
                    <w:r w:rsidRPr="0070756C">
                      <w:rPr>
                        <w:rFonts w:ascii="Calibri" w:eastAsia="Calibri" w:hAnsi="Calibri" w:cs="Calibri"/>
                        <w:noProof/>
                        <w:color w:val="000000"/>
                        <w:sz w:val="20"/>
                        <w:szCs w:val="20"/>
                      </w:rPr>
                      <w:t>Uso Interno</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84F3C" w14:textId="25F566FD" w:rsidR="0070756C" w:rsidRDefault="0070756C">
    <w:pPr>
      <w:pStyle w:val="Piedepgina"/>
    </w:pPr>
    <w:r>
      <w:rPr>
        <w:noProof/>
      </w:rPr>
      <mc:AlternateContent>
        <mc:Choice Requires="wps">
          <w:drawing>
            <wp:anchor distT="0" distB="0" distL="0" distR="0" simplePos="0" relativeHeight="251658240" behindDoc="0" locked="0" layoutInCell="1" allowOverlap="1" wp14:anchorId="527CC709" wp14:editId="690C3FC3">
              <wp:simplePos x="635" y="635"/>
              <wp:positionH relativeFrom="page">
                <wp:align>center</wp:align>
              </wp:positionH>
              <wp:positionV relativeFrom="page">
                <wp:align>bottom</wp:align>
              </wp:positionV>
              <wp:extent cx="607060" cy="370205"/>
              <wp:effectExtent l="0" t="0" r="2540" b="0"/>
              <wp:wrapNone/>
              <wp:docPr id="1112014167" name="Cuadro de texto 1" descr="Uso Interno">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07060" cy="370205"/>
                      </a:xfrm>
                      <a:prstGeom prst="rect">
                        <a:avLst/>
                      </a:prstGeom>
                      <a:noFill/>
                      <a:ln>
                        <a:noFill/>
                      </a:ln>
                    </wps:spPr>
                    <wps:txbx>
                      <w:txbxContent>
                        <w:p w14:paraId="001A875C" w14:textId="14C77EAF" w:rsidR="0070756C" w:rsidRPr="0070756C" w:rsidRDefault="0070756C" w:rsidP="0070756C">
                          <w:pPr>
                            <w:spacing w:after="0"/>
                            <w:rPr>
                              <w:rFonts w:ascii="Calibri" w:eastAsia="Calibri" w:hAnsi="Calibri" w:cs="Calibri"/>
                              <w:noProof/>
                              <w:color w:val="000000"/>
                              <w:sz w:val="20"/>
                              <w:szCs w:val="20"/>
                            </w:rPr>
                          </w:pPr>
                          <w:r w:rsidRPr="0070756C">
                            <w:rPr>
                              <w:rFonts w:ascii="Calibri" w:eastAsia="Calibri" w:hAnsi="Calibri" w:cs="Calibri"/>
                              <w:noProof/>
                              <w:color w:val="000000"/>
                              <w:sz w:val="20"/>
                              <w:szCs w:val="20"/>
                            </w:rPr>
                            <w:t>Uso Interno</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7CC709" id="_x0000_t202" coordsize="21600,21600" o:spt="202" path="m,l,21600r21600,l21600,xe">
              <v:stroke joinstyle="miter"/>
              <v:path gradientshapeok="t" o:connecttype="rect"/>
            </v:shapetype>
            <v:shape id="Cuadro de texto 1" o:spid="_x0000_s1027" type="#_x0000_t202" alt="Uso Interno" style="position:absolute;margin-left:0;margin-top:0;width:47.8pt;height:29.1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" filled="f" stroked="f">
              <v:textbox style="mso-fit-shape-to-text:t" inset="0,0,0,15pt">
                <w:txbxContent>
                  <w:p w14:paraId="001A875C" w14:textId="14C77EAF" w:rsidR="0070756C" w:rsidRPr="0070756C" w:rsidRDefault="0070756C" w:rsidP="0070756C">
                    <w:pPr>
                      <w:spacing w:after="0"/>
                      <w:rPr>
                        <w:rFonts w:ascii="Calibri" w:eastAsia="Calibri" w:hAnsi="Calibri" w:cs="Calibri"/>
                        <w:noProof/>
                        <w:color w:val="000000"/>
                        <w:sz w:val="20"/>
                        <w:szCs w:val="20"/>
                      </w:rPr>
                    </w:pPr>
                    <w:r w:rsidRPr="0070756C">
                      <w:rPr>
                        <w:rFonts w:ascii="Calibri" w:eastAsia="Calibri" w:hAnsi="Calibri" w:cs="Calibri"/>
                        <w:noProof/>
                        <w:color w:val="000000"/>
                        <w:sz w:val="20"/>
                        <w:szCs w:val="20"/>
                      </w:rPr>
                      <w:t>Uso Interno</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9A544" w14:textId="77777777" w:rsidR="00C51607" w:rsidRDefault="00C51607">
    <w:pPr>
      <w:pStyle w:val="Piedepgina"/>
      <w:jc w:val="right"/>
    </w:pPr>
  </w:p>
  <w:p w14:paraId="54960728" w14:textId="77777777" w:rsidR="00C51607" w:rsidRDefault="00C5160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619EC" w14:textId="77777777" w:rsidR="00C51607" w:rsidRDefault="00C51607">
    <w:pPr>
      <w:pStyle w:val="Piedepgina"/>
      <w:jc w:val="right"/>
    </w:pPr>
  </w:p>
  <w:p w14:paraId="546D6693" w14:textId="77777777" w:rsidR="00C51607" w:rsidRDefault="00C51607">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4393045"/>
      <w:docPartObj>
        <w:docPartGallery w:val="Page Numbers (Bottom of Page)"/>
        <w:docPartUnique/>
      </w:docPartObj>
    </w:sdtPr>
    <w:sdtContent>
      <w:p w14:paraId="59902C5E"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0B02EE04" w14:textId="77777777" w:rsidR="00C51607" w:rsidRDefault="00C51607">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07A36" w14:textId="77777777" w:rsidR="00C51607" w:rsidRDefault="00C51607">
    <w:pPr>
      <w:pStyle w:val="Piedepgina"/>
      <w:jc w:val="right"/>
    </w:pPr>
  </w:p>
  <w:p w14:paraId="7A1D48B3" w14:textId="77777777" w:rsidR="00C51607" w:rsidRDefault="00C51607">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7486510"/>
      <w:docPartObj>
        <w:docPartGallery w:val="Page Numbers (Bottom of Page)"/>
        <w:docPartUnique/>
      </w:docPartObj>
    </w:sdtPr>
    <w:sdtContent>
      <w:p w14:paraId="42799FC6"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4EF3397C" w14:textId="77777777" w:rsidR="00C51607" w:rsidRDefault="00C51607">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7014799"/>
      <w:docPartObj>
        <w:docPartGallery w:val="Page Numbers (Bottom of Page)"/>
        <w:docPartUnique/>
      </w:docPartObj>
    </w:sdtPr>
    <w:sdtContent>
      <w:p w14:paraId="3370BEDB"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0756A616" w14:textId="77777777" w:rsidR="00C51607" w:rsidRDefault="00C51607">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7A191" w14:textId="77777777" w:rsidR="00C51607" w:rsidRDefault="00C51607">
    <w:pPr>
      <w:pStyle w:val="Piedepgina"/>
      <w:jc w:val="right"/>
    </w:pPr>
  </w:p>
  <w:p w14:paraId="2C2DE3E3" w14:textId="77777777" w:rsidR="00C51607" w:rsidRDefault="00C51607">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782078"/>
      <w:docPartObj>
        <w:docPartGallery w:val="Page Numbers (Bottom of Page)"/>
        <w:docPartUnique/>
      </w:docPartObj>
    </w:sdtPr>
    <w:sdtContent>
      <w:p w14:paraId="4951F256" w14:textId="77777777" w:rsidR="00C51607" w:rsidRDefault="00C51607">
        <w:pPr>
          <w:pStyle w:val="Piedepgina"/>
          <w:jc w:val="right"/>
        </w:pPr>
        <w:r>
          <w:fldChar w:fldCharType="begin"/>
        </w:r>
        <w:r>
          <w:instrText>PAGE   \* MERGEFORMAT</w:instrText>
        </w:r>
        <w:r>
          <w:fldChar w:fldCharType="separate"/>
        </w:r>
        <w:r>
          <w:rPr>
            <w:lang w:val="es-ES"/>
          </w:rPr>
          <w:t>2</w:t>
        </w:r>
        <w:r>
          <w:fldChar w:fldCharType="end"/>
        </w:r>
      </w:p>
    </w:sdtContent>
  </w:sdt>
  <w:p w14:paraId="67CA9FD0" w14:textId="77777777" w:rsidR="00C51607" w:rsidRDefault="00C5160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BD94A" w14:textId="77777777" w:rsidR="00217F36" w:rsidRDefault="00217F36" w:rsidP="0070756C">
      <w:pPr>
        <w:spacing w:after="0" w:line="240" w:lineRule="auto"/>
      </w:pPr>
      <w:r>
        <w:separator/>
      </w:r>
    </w:p>
  </w:footnote>
  <w:footnote w:type="continuationSeparator" w:id="0">
    <w:p w14:paraId="12616AD0" w14:textId="77777777" w:rsidR="00217F36" w:rsidRDefault="00217F36" w:rsidP="007075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0BB3" w14:textId="77777777" w:rsidR="00C51607" w:rsidRDefault="00C51607">
    <w:pPr>
      <w:pStyle w:val="Encabezado"/>
      <w:jc w:val="right"/>
    </w:pPr>
  </w:p>
  <w:p w14:paraId="25E4964A" w14:textId="77777777" w:rsidR="00C51607" w:rsidRDefault="00C51607">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17E3F" w14:textId="77777777" w:rsidR="00C51607" w:rsidRDefault="00C51607">
    <w:pPr>
      <w:pStyle w:val="Encabezado"/>
      <w:jc w:val="right"/>
    </w:pPr>
  </w:p>
  <w:p w14:paraId="43A4E7D1" w14:textId="77777777" w:rsidR="00C51607" w:rsidRDefault="00C51607">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65648" w14:textId="77777777" w:rsidR="00C51607" w:rsidRDefault="00C51607">
    <w:pPr>
      <w:pStyle w:val="Encabezado"/>
      <w:jc w:val="right"/>
    </w:pPr>
  </w:p>
  <w:p w14:paraId="4AE8F613" w14:textId="77777777" w:rsidR="00C51607" w:rsidRDefault="00C51607">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C7D01" w14:textId="77777777" w:rsidR="00C51607" w:rsidRDefault="00C51607">
    <w:pPr>
      <w:pStyle w:val="Encabezado"/>
      <w:jc w:val="right"/>
    </w:pPr>
  </w:p>
  <w:p w14:paraId="2B64738B" w14:textId="77777777" w:rsidR="00C51607" w:rsidRDefault="00C51607">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15AFB" w14:textId="77777777" w:rsidR="00C51607" w:rsidRDefault="00C51607" w:rsidP="008B0461">
    <w:pPr>
      <w:pStyle w:val="Encabezado"/>
    </w:pPr>
  </w:p>
  <w:p w14:paraId="4BDBF76B" w14:textId="77777777" w:rsidR="00C51607" w:rsidRDefault="00C51607">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8619D" w14:textId="77777777" w:rsidR="00C51607" w:rsidRDefault="00C51607">
    <w:pPr>
      <w:pStyle w:val="Encabezado"/>
      <w:jc w:val="right"/>
    </w:pPr>
  </w:p>
  <w:p w14:paraId="2745B3C1" w14:textId="77777777" w:rsidR="00C51607" w:rsidRDefault="00C5160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ED47A" w14:textId="77777777" w:rsidR="00C51607" w:rsidRDefault="00C51607" w:rsidP="00B1204E">
    <w:pPr>
      <w:pStyle w:val="Encabezado"/>
      <w:jc w:val="center"/>
    </w:pPr>
    <w:r>
      <w:rPr>
        <w:noProof/>
      </w:rPr>
      <w:drawing>
        <wp:inline distT="0" distB="0" distL="0" distR="0" wp14:anchorId="1BA3EE10" wp14:editId="7AF0A05E">
          <wp:extent cx="1316078" cy="1130060"/>
          <wp:effectExtent l="0" t="0" r="0" b="0"/>
          <wp:docPr id="1947668876" name="Imagen 1" descr="logo-universidad-nacional-costa-rica | Green Costa 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universidad-nacional-costa-rica | Green Costa Rica"/>
                  <pic:cNvPicPr>
                    <a:picLocks noChangeAspect="1" noChangeArrowheads="1"/>
                  </pic:cNvPicPr>
                </pic:nvPicPr>
                <pic:blipFill rotWithShape="1">
                  <a:blip r:embed="rId1">
                    <a:extLst>
                      <a:ext uri="{28A0092B-C50C-407E-A947-70E740481C1C}">
                        <a14:useLocalDpi xmlns:a14="http://schemas.microsoft.com/office/drawing/2010/main" val="0"/>
                      </a:ext>
                    </a:extLst>
                  </a:blip>
                  <a:srcRect l="25459" t="16564" r="26510" b="17451"/>
                  <a:stretch>
                    <a:fillRect/>
                  </a:stretch>
                </pic:blipFill>
                <pic:spPr bwMode="auto">
                  <a:xfrm>
                    <a:off x="0" y="0"/>
                    <a:ext cx="1335406" cy="1146656"/>
                  </a:xfrm>
                  <a:prstGeom prst="rect">
                    <a:avLst/>
                  </a:prstGeom>
                  <a:noFill/>
                  <a:ln>
                    <a:noFill/>
                  </a:ln>
                  <a:extLst>
                    <a:ext uri="{53640926-AAD7-44D8-BBD7-CCE9431645EC}">
                      <a14:shadowObscured xmlns:a14="http://schemas.microsoft.com/office/drawing/2010/main"/>
                    </a:ext>
                  </a:extLst>
                </pic:spPr>
              </pic:pic>
            </a:graphicData>
          </a:graphic>
        </wp:inline>
      </w:drawing>
    </w:r>
  </w:p>
  <w:p w14:paraId="65CA0471" w14:textId="77777777" w:rsidR="00C51607" w:rsidRDefault="00C51607" w:rsidP="0027675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988CF" w14:textId="77777777" w:rsidR="00C51607" w:rsidRDefault="00C51607">
    <w:pPr>
      <w:pStyle w:val="Encabezado"/>
      <w:jc w:val="right"/>
    </w:pPr>
  </w:p>
  <w:p w14:paraId="5CF22086" w14:textId="77777777" w:rsidR="00C51607" w:rsidRDefault="00C5160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27B18" w14:textId="77777777" w:rsidR="00C51607" w:rsidRDefault="00C51607">
    <w:pPr>
      <w:pStyle w:val="Encabezado"/>
      <w:jc w:val="right"/>
    </w:pPr>
  </w:p>
  <w:p w14:paraId="36491C9D" w14:textId="77777777" w:rsidR="00C51607" w:rsidRDefault="00C51607">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9CA91" w14:textId="77777777" w:rsidR="00C51607" w:rsidRDefault="00C51607" w:rsidP="00F15E38">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D916" w14:textId="77777777" w:rsidR="00C51607" w:rsidRDefault="00C51607">
    <w:pPr>
      <w:pStyle w:val="Encabezado"/>
      <w:jc w:val="right"/>
    </w:pPr>
  </w:p>
  <w:p w14:paraId="11BFE315" w14:textId="77777777" w:rsidR="00C51607" w:rsidRDefault="00C51607">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FAE78" w14:textId="77777777" w:rsidR="00C51607" w:rsidRDefault="00C51607">
    <w:pPr>
      <w:pStyle w:val="Encabezado"/>
      <w:jc w:val="right"/>
    </w:pPr>
  </w:p>
  <w:p w14:paraId="428513FA" w14:textId="77777777" w:rsidR="00C51607" w:rsidRDefault="00C51607">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8DA19" w14:textId="77777777" w:rsidR="00C51607" w:rsidRDefault="00C51607">
    <w:pPr>
      <w:pStyle w:val="Encabezado"/>
      <w:jc w:val="right"/>
    </w:pPr>
  </w:p>
  <w:p w14:paraId="7803E7B1" w14:textId="77777777" w:rsidR="00C51607" w:rsidRDefault="00C51607">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91DF8" w14:textId="77777777" w:rsidR="00C51607" w:rsidRDefault="00C51607">
    <w:pPr>
      <w:pStyle w:val="Encabezado"/>
      <w:jc w:val="right"/>
    </w:pPr>
  </w:p>
  <w:p w14:paraId="220F8358" w14:textId="77777777" w:rsidR="00C51607" w:rsidRDefault="00C5160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32BD0"/>
    <w:multiLevelType w:val="hybridMultilevel"/>
    <w:tmpl w:val="EDEE5B4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 w15:restartNumberingAfterBreak="0">
    <w:nsid w:val="04126646"/>
    <w:multiLevelType w:val="multilevel"/>
    <w:tmpl w:val="A96867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5165054"/>
    <w:multiLevelType w:val="hybridMultilevel"/>
    <w:tmpl w:val="DF68270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 w15:restartNumberingAfterBreak="0">
    <w:nsid w:val="07D53A1E"/>
    <w:multiLevelType w:val="hybridMultilevel"/>
    <w:tmpl w:val="C178B02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 w15:restartNumberingAfterBreak="0">
    <w:nsid w:val="0A6B53F4"/>
    <w:multiLevelType w:val="multilevel"/>
    <w:tmpl w:val="DA0CBEFA"/>
    <w:lvl w:ilvl="0">
      <w:start w:val="1"/>
      <w:numFmt w:val="decimal"/>
      <w:pStyle w:val="apanivel1"/>
      <w:lvlText w:val="%1."/>
      <w:lvlJc w:val="left"/>
      <w:pPr>
        <w:ind w:left="0" w:firstLine="0"/>
      </w:pPr>
      <w:rPr>
        <w:rFonts w:hint="default"/>
      </w:rPr>
    </w:lvl>
    <w:lvl w:ilvl="1">
      <w:start w:val="1"/>
      <w:numFmt w:val="decimal"/>
      <w:pStyle w:val="apanivel2"/>
      <w:lvlText w:val="%1.%2."/>
      <w:lvlJc w:val="left"/>
      <w:pPr>
        <w:ind w:left="0" w:firstLine="0"/>
      </w:pPr>
      <w:rPr>
        <w:rFonts w:hint="default"/>
      </w:rPr>
    </w:lvl>
    <w:lvl w:ilvl="2">
      <w:start w:val="1"/>
      <w:numFmt w:val="decimal"/>
      <w:pStyle w:val="apanivel3"/>
      <w:lvlText w:val="%1.%2.%3."/>
      <w:lvlJc w:val="left"/>
      <w:pPr>
        <w:ind w:left="2610" w:firstLine="0"/>
      </w:pPr>
    </w:lvl>
    <w:lvl w:ilvl="3">
      <w:start w:val="1"/>
      <w:numFmt w:val="decimal"/>
      <w:pStyle w:val="apanivel4"/>
      <w:lvlText w:val="%1.%2.%3.%4."/>
      <w:lvlJc w:val="left"/>
      <w:pPr>
        <w:ind w:left="4008" w:hanging="890"/>
      </w:pPr>
    </w:lvl>
    <w:lvl w:ilvl="4">
      <w:start w:val="1"/>
      <w:numFmt w:val="decimal"/>
      <w:pStyle w:val="apanivel5"/>
      <w:lvlText w:val="%1.%2.%3.%4.%5."/>
      <w:lvlJc w:val="left"/>
      <w:pPr>
        <w:ind w:left="6521" w:firstLine="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ACD1146"/>
    <w:multiLevelType w:val="hybridMultilevel"/>
    <w:tmpl w:val="9F6EC0D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 w15:restartNumberingAfterBreak="0">
    <w:nsid w:val="0C6357C9"/>
    <w:multiLevelType w:val="hybridMultilevel"/>
    <w:tmpl w:val="EB84AF60"/>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 w15:restartNumberingAfterBreak="0">
    <w:nsid w:val="0C780288"/>
    <w:multiLevelType w:val="hybridMultilevel"/>
    <w:tmpl w:val="AE5806EE"/>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8" w15:restartNumberingAfterBreak="0">
    <w:nsid w:val="0D792067"/>
    <w:multiLevelType w:val="hybridMultilevel"/>
    <w:tmpl w:val="82685B4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9" w15:restartNumberingAfterBreak="0">
    <w:nsid w:val="0F377195"/>
    <w:multiLevelType w:val="hybridMultilevel"/>
    <w:tmpl w:val="7D549F6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 w15:restartNumberingAfterBreak="0">
    <w:nsid w:val="1E2058C9"/>
    <w:multiLevelType w:val="hybridMultilevel"/>
    <w:tmpl w:val="C9A0A7D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20564992"/>
    <w:multiLevelType w:val="hybridMultilevel"/>
    <w:tmpl w:val="31E8F030"/>
    <w:lvl w:ilvl="0" w:tplc="C8248186">
      <w:numFmt w:val="bullet"/>
      <w:lvlText w:val="-"/>
      <w:lvlJc w:val="left"/>
      <w:pPr>
        <w:ind w:left="720" w:hanging="360"/>
      </w:pPr>
      <w:rPr>
        <w:rFonts w:ascii="Arial" w:eastAsiaTheme="minorHAnsi" w:hAnsi="Arial" w:cs="Aria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 w15:restartNumberingAfterBreak="0">
    <w:nsid w:val="25BA0E14"/>
    <w:multiLevelType w:val="hybridMultilevel"/>
    <w:tmpl w:val="95DE07F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 w15:restartNumberingAfterBreak="0">
    <w:nsid w:val="28923518"/>
    <w:multiLevelType w:val="hybridMultilevel"/>
    <w:tmpl w:val="23A48F9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297D692D"/>
    <w:multiLevelType w:val="hybridMultilevel"/>
    <w:tmpl w:val="617080E2"/>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5" w15:restartNumberingAfterBreak="0">
    <w:nsid w:val="2B5064BC"/>
    <w:multiLevelType w:val="hybridMultilevel"/>
    <w:tmpl w:val="8C180DF8"/>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6" w15:restartNumberingAfterBreak="0">
    <w:nsid w:val="2C462E25"/>
    <w:multiLevelType w:val="hybridMultilevel"/>
    <w:tmpl w:val="06320F4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2C8243A2"/>
    <w:multiLevelType w:val="hybridMultilevel"/>
    <w:tmpl w:val="E5187200"/>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 w15:restartNumberingAfterBreak="0">
    <w:nsid w:val="2E5A60B8"/>
    <w:multiLevelType w:val="hybridMultilevel"/>
    <w:tmpl w:val="6DC4836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 w15:restartNumberingAfterBreak="0">
    <w:nsid w:val="30810AF9"/>
    <w:multiLevelType w:val="hybridMultilevel"/>
    <w:tmpl w:val="3C1C886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15:restartNumberingAfterBreak="0">
    <w:nsid w:val="31BC3BEF"/>
    <w:multiLevelType w:val="hybridMultilevel"/>
    <w:tmpl w:val="F3269C6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1" w15:restartNumberingAfterBreak="0">
    <w:nsid w:val="32AD5EDB"/>
    <w:multiLevelType w:val="hybridMultilevel"/>
    <w:tmpl w:val="A15CCD7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2" w15:restartNumberingAfterBreak="0">
    <w:nsid w:val="382E0AA6"/>
    <w:multiLevelType w:val="hybridMultilevel"/>
    <w:tmpl w:val="62523AF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3" w15:restartNumberingAfterBreak="0">
    <w:nsid w:val="40C62047"/>
    <w:multiLevelType w:val="hybridMultilevel"/>
    <w:tmpl w:val="DB2CC79E"/>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24" w15:restartNumberingAfterBreak="0">
    <w:nsid w:val="426A1B99"/>
    <w:multiLevelType w:val="multilevel"/>
    <w:tmpl w:val="1C240AF8"/>
    <w:lvl w:ilvl="0">
      <w:start w:val="1"/>
      <w:numFmt w:val="decimal"/>
      <w:lvlText w:val="%1."/>
      <w:lvlJc w:val="left"/>
      <w:pPr>
        <w:ind w:left="720" w:hanging="360"/>
      </w:pPr>
      <w:rPr>
        <w:b w:val="0"/>
        <w:bCs w:val="0"/>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b w:val="0"/>
        <w:bCs w:val="0"/>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458C52F6"/>
    <w:multiLevelType w:val="multilevel"/>
    <w:tmpl w:val="B150EA8E"/>
    <w:lvl w:ilvl="0">
      <w:start w:val="1"/>
      <w:numFmt w:val="bullet"/>
      <w:lvlText w:val=""/>
      <w:lvlJc w:val="left"/>
      <w:pPr>
        <w:ind w:left="0" w:firstLine="0"/>
      </w:pPr>
      <w:rPr>
        <w:rFonts w:ascii="Symbol" w:hAnsi="Symbol" w:hint="default"/>
      </w:rPr>
    </w:lvl>
    <w:lvl w:ilvl="1">
      <w:start w:val="1"/>
      <w:numFmt w:val="decimal"/>
      <w:lvlText w:val="%1.%2."/>
      <w:lvlJc w:val="left"/>
      <w:pPr>
        <w:ind w:left="0" w:firstLine="0"/>
      </w:pPr>
      <w:rPr>
        <w:rFonts w:hint="default"/>
      </w:rPr>
    </w:lvl>
    <w:lvl w:ilvl="2">
      <w:start w:val="1"/>
      <w:numFmt w:val="decimal"/>
      <w:lvlText w:val="%1.%2.%3."/>
      <w:lvlJc w:val="left"/>
      <w:pPr>
        <w:ind w:left="2610" w:firstLine="0"/>
      </w:pPr>
    </w:lvl>
    <w:lvl w:ilvl="3">
      <w:start w:val="1"/>
      <w:numFmt w:val="decimal"/>
      <w:lvlText w:val="%1.%2.%3.%4."/>
      <w:lvlJc w:val="left"/>
      <w:pPr>
        <w:ind w:left="4008" w:hanging="890"/>
      </w:pPr>
    </w:lvl>
    <w:lvl w:ilvl="4">
      <w:start w:val="1"/>
      <w:numFmt w:val="decimal"/>
      <w:lvlText w:val="%1.%2.%3.%4.%5."/>
      <w:lvlJc w:val="left"/>
      <w:pPr>
        <w:ind w:left="6521" w:firstLine="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78466CA"/>
    <w:multiLevelType w:val="hybridMultilevel"/>
    <w:tmpl w:val="4E1A8FFA"/>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7" w15:restartNumberingAfterBreak="0">
    <w:nsid w:val="47FD798F"/>
    <w:multiLevelType w:val="hybridMultilevel"/>
    <w:tmpl w:val="603684A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8" w15:restartNumberingAfterBreak="0">
    <w:nsid w:val="481630B1"/>
    <w:multiLevelType w:val="multilevel"/>
    <w:tmpl w:val="15D2668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4DA61BB5"/>
    <w:multiLevelType w:val="hybridMultilevel"/>
    <w:tmpl w:val="2FD4386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0" w15:restartNumberingAfterBreak="0">
    <w:nsid w:val="4E1D6F81"/>
    <w:multiLevelType w:val="hybridMultilevel"/>
    <w:tmpl w:val="18361F4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1" w15:restartNumberingAfterBreak="0">
    <w:nsid w:val="4F066F86"/>
    <w:multiLevelType w:val="hybridMultilevel"/>
    <w:tmpl w:val="87E26F7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2" w15:restartNumberingAfterBreak="0">
    <w:nsid w:val="52BE1400"/>
    <w:multiLevelType w:val="hybridMultilevel"/>
    <w:tmpl w:val="F63AD3D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3" w15:restartNumberingAfterBreak="0">
    <w:nsid w:val="590C70A7"/>
    <w:multiLevelType w:val="hybridMultilevel"/>
    <w:tmpl w:val="F8D81E2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4" w15:restartNumberingAfterBreak="0">
    <w:nsid w:val="5A04186E"/>
    <w:multiLevelType w:val="hybridMultilevel"/>
    <w:tmpl w:val="C13EEA4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5" w15:restartNumberingAfterBreak="0">
    <w:nsid w:val="5A135C2C"/>
    <w:multiLevelType w:val="hybridMultilevel"/>
    <w:tmpl w:val="9C48E234"/>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BEB0C96"/>
    <w:multiLevelType w:val="hybridMultilevel"/>
    <w:tmpl w:val="0B169FF0"/>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7" w15:restartNumberingAfterBreak="0">
    <w:nsid w:val="5C3B0EED"/>
    <w:multiLevelType w:val="hybridMultilevel"/>
    <w:tmpl w:val="75281020"/>
    <w:lvl w:ilvl="0" w:tplc="C8248186">
      <w:numFmt w:val="bullet"/>
      <w:lvlText w:val="-"/>
      <w:lvlJc w:val="left"/>
      <w:pPr>
        <w:ind w:left="720" w:hanging="360"/>
      </w:pPr>
      <w:rPr>
        <w:rFonts w:ascii="Arial" w:eastAsiaTheme="minorHAnsi" w:hAnsi="Arial" w:cs="Aria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8" w15:restartNumberingAfterBreak="0">
    <w:nsid w:val="5FE76BBB"/>
    <w:multiLevelType w:val="hybridMultilevel"/>
    <w:tmpl w:val="EFD8DD7C"/>
    <w:lvl w:ilvl="0" w:tplc="0409000D">
      <w:start w:val="1"/>
      <w:numFmt w:val="bullet"/>
      <w:lvlText w:val=""/>
      <w:lvlJc w:val="left"/>
      <w:pPr>
        <w:ind w:left="3600" w:hanging="360"/>
      </w:pPr>
      <w:rPr>
        <w:rFonts w:ascii="Wingdings" w:hAnsi="Wingdings" w:hint="default"/>
      </w:rPr>
    </w:lvl>
    <w:lvl w:ilvl="1" w:tplc="580A0003" w:tentative="1">
      <w:start w:val="1"/>
      <w:numFmt w:val="bullet"/>
      <w:lvlText w:val="o"/>
      <w:lvlJc w:val="left"/>
      <w:pPr>
        <w:ind w:left="4320" w:hanging="360"/>
      </w:pPr>
      <w:rPr>
        <w:rFonts w:ascii="Courier New" w:hAnsi="Courier New" w:cs="Courier New" w:hint="default"/>
      </w:rPr>
    </w:lvl>
    <w:lvl w:ilvl="2" w:tplc="580A0005" w:tentative="1">
      <w:start w:val="1"/>
      <w:numFmt w:val="bullet"/>
      <w:lvlText w:val=""/>
      <w:lvlJc w:val="left"/>
      <w:pPr>
        <w:ind w:left="5040" w:hanging="360"/>
      </w:pPr>
      <w:rPr>
        <w:rFonts w:ascii="Wingdings" w:hAnsi="Wingdings" w:hint="default"/>
      </w:rPr>
    </w:lvl>
    <w:lvl w:ilvl="3" w:tplc="580A0001" w:tentative="1">
      <w:start w:val="1"/>
      <w:numFmt w:val="bullet"/>
      <w:lvlText w:val=""/>
      <w:lvlJc w:val="left"/>
      <w:pPr>
        <w:ind w:left="5760" w:hanging="360"/>
      </w:pPr>
      <w:rPr>
        <w:rFonts w:ascii="Symbol" w:hAnsi="Symbol" w:hint="default"/>
      </w:rPr>
    </w:lvl>
    <w:lvl w:ilvl="4" w:tplc="580A0003" w:tentative="1">
      <w:start w:val="1"/>
      <w:numFmt w:val="bullet"/>
      <w:lvlText w:val="o"/>
      <w:lvlJc w:val="left"/>
      <w:pPr>
        <w:ind w:left="6480" w:hanging="360"/>
      </w:pPr>
      <w:rPr>
        <w:rFonts w:ascii="Courier New" w:hAnsi="Courier New" w:cs="Courier New" w:hint="default"/>
      </w:rPr>
    </w:lvl>
    <w:lvl w:ilvl="5" w:tplc="580A0005" w:tentative="1">
      <w:start w:val="1"/>
      <w:numFmt w:val="bullet"/>
      <w:lvlText w:val=""/>
      <w:lvlJc w:val="left"/>
      <w:pPr>
        <w:ind w:left="7200" w:hanging="360"/>
      </w:pPr>
      <w:rPr>
        <w:rFonts w:ascii="Wingdings" w:hAnsi="Wingdings" w:hint="default"/>
      </w:rPr>
    </w:lvl>
    <w:lvl w:ilvl="6" w:tplc="580A0001" w:tentative="1">
      <w:start w:val="1"/>
      <w:numFmt w:val="bullet"/>
      <w:lvlText w:val=""/>
      <w:lvlJc w:val="left"/>
      <w:pPr>
        <w:ind w:left="7920" w:hanging="360"/>
      </w:pPr>
      <w:rPr>
        <w:rFonts w:ascii="Symbol" w:hAnsi="Symbol" w:hint="default"/>
      </w:rPr>
    </w:lvl>
    <w:lvl w:ilvl="7" w:tplc="580A0003" w:tentative="1">
      <w:start w:val="1"/>
      <w:numFmt w:val="bullet"/>
      <w:lvlText w:val="o"/>
      <w:lvlJc w:val="left"/>
      <w:pPr>
        <w:ind w:left="8640" w:hanging="360"/>
      </w:pPr>
      <w:rPr>
        <w:rFonts w:ascii="Courier New" w:hAnsi="Courier New" w:cs="Courier New" w:hint="default"/>
      </w:rPr>
    </w:lvl>
    <w:lvl w:ilvl="8" w:tplc="580A0005" w:tentative="1">
      <w:start w:val="1"/>
      <w:numFmt w:val="bullet"/>
      <w:lvlText w:val=""/>
      <w:lvlJc w:val="left"/>
      <w:pPr>
        <w:ind w:left="9360" w:hanging="360"/>
      </w:pPr>
      <w:rPr>
        <w:rFonts w:ascii="Wingdings" w:hAnsi="Wingdings" w:hint="default"/>
      </w:rPr>
    </w:lvl>
  </w:abstractNum>
  <w:abstractNum w:abstractNumId="39" w15:restartNumberingAfterBreak="0">
    <w:nsid w:val="61EF4C00"/>
    <w:multiLevelType w:val="hybridMultilevel"/>
    <w:tmpl w:val="E508FCC6"/>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0" w15:restartNumberingAfterBreak="0">
    <w:nsid w:val="62337D9C"/>
    <w:multiLevelType w:val="hybridMultilevel"/>
    <w:tmpl w:val="295AEE10"/>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1" w15:restartNumberingAfterBreak="0">
    <w:nsid w:val="63EC32E3"/>
    <w:multiLevelType w:val="hybridMultilevel"/>
    <w:tmpl w:val="BF42EDDE"/>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2" w15:restartNumberingAfterBreak="0">
    <w:nsid w:val="6543124A"/>
    <w:multiLevelType w:val="hybridMultilevel"/>
    <w:tmpl w:val="BAC22324"/>
    <w:lvl w:ilvl="0" w:tplc="0409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3" w15:restartNumberingAfterBreak="0">
    <w:nsid w:val="679D3E80"/>
    <w:multiLevelType w:val="hybridMultilevel"/>
    <w:tmpl w:val="E71233A4"/>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44" w15:restartNumberingAfterBreak="0">
    <w:nsid w:val="6A5D4F9B"/>
    <w:multiLevelType w:val="hybridMultilevel"/>
    <w:tmpl w:val="48F2CB0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5" w15:restartNumberingAfterBreak="0">
    <w:nsid w:val="6B6F4565"/>
    <w:multiLevelType w:val="hybridMultilevel"/>
    <w:tmpl w:val="110E960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6" w15:restartNumberingAfterBreak="0">
    <w:nsid w:val="707C0989"/>
    <w:multiLevelType w:val="multilevel"/>
    <w:tmpl w:val="15D2668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7" w15:restartNumberingAfterBreak="0">
    <w:nsid w:val="724E5F0B"/>
    <w:multiLevelType w:val="hybridMultilevel"/>
    <w:tmpl w:val="D72A1E6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8" w15:restartNumberingAfterBreak="0">
    <w:nsid w:val="767F4501"/>
    <w:multiLevelType w:val="hybridMultilevel"/>
    <w:tmpl w:val="D2629F9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9" w15:restartNumberingAfterBreak="0">
    <w:nsid w:val="76C4048D"/>
    <w:multiLevelType w:val="hybridMultilevel"/>
    <w:tmpl w:val="A5681ED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0" w15:restartNumberingAfterBreak="0">
    <w:nsid w:val="772F11F7"/>
    <w:multiLevelType w:val="hybridMultilevel"/>
    <w:tmpl w:val="DC4E37D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1" w15:restartNumberingAfterBreak="0">
    <w:nsid w:val="792309F7"/>
    <w:multiLevelType w:val="hybridMultilevel"/>
    <w:tmpl w:val="0C5A4A5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2" w15:restartNumberingAfterBreak="0">
    <w:nsid w:val="7A1E2990"/>
    <w:multiLevelType w:val="multilevel"/>
    <w:tmpl w:val="F67A460E"/>
    <w:lvl w:ilvl="0">
      <w:start w:val="1"/>
      <w:numFmt w:val="bullet"/>
      <w:lvlText w:val="o"/>
      <w:lvlJc w:val="left"/>
      <w:pPr>
        <w:ind w:left="720" w:hanging="360"/>
      </w:pPr>
      <w:rPr>
        <w:rFonts w:ascii="Courier New" w:hAnsi="Courier New" w:cs="Courier New" w:hint="default"/>
        <w:b w:val="0"/>
        <w:bCs w:val="0"/>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b w:val="0"/>
        <w:bCs w:val="0"/>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15:restartNumberingAfterBreak="0">
    <w:nsid w:val="7AD34BF2"/>
    <w:multiLevelType w:val="hybridMultilevel"/>
    <w:tmpl w:val="78746C4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4" w15:restartNumberingAfterBreak="0">
    <w:nsid w:val="7BAC52C1"/>
    <w:multiLevelType w:val="hybridMultilevel"/>
    <w:tmpl w:val="13DA14D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5" w15:restartNumberingAfterBreak="0">
    <w:nsid w:val="7D1A2FB2"/>
    <w:multiLevelType w:val="hybridMultilevel"/>
    <w:tmpl w:val="DB8C2AE2"/>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6" w15:restartNumberingAfterBreak="0">
    <w:nsid w:val="7E125B74"/>
    <w:multiLevelType w:val="hybridMultilevel"/>
    <w:tmpl w:val="76B2159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7" w15:restartNumberingAfterBreak="0">
    <w:nsid w:val="7F7C79A0"/>
    <w:multiLevelType w:val="hybridMultilevel"/>
    <w:tmpl w:val="5434B036"/>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num w:numId="1" w16cid:durableId="1079253560">
    <w:abstractNumId w:val="4"/>
  </w:num>
  <w:num w:numId="2" w16cid:durableId="192157257">
    <w:abstractNumId w:val="20"/>
  </w:num>
  <w:num w:numId="3" w16cid:durableId="427703552">
    <w:abstractNumId w:val="49"/>
  </w:num>
  <w:num w:numId="4" w16cid:durableId="1898585258">
    <w:abstractNumId w:val="1"/>
  </w:num>
  <w:num w:numId="5" w16cid:durableId="1000307812">
    <w:abstractNumId w:val="46"/>
  </w:num>
  <w:num w:numId="6" w16cid:durableId="1387679851">
    <w:abstractNumId w:val="40"/>
  </w:num>
  <w:num w:numId="7" w16cid:durableId="642855317">
    <w:abstractNumId w:val="36"/>
  </w:num>
  <w:num w:numId="8" w16cid:durableId="354043873">
    <w:abstractNumId w:val="26"/>
  </w:num>
  <w:num w:numId="9" w16cid:durableId="1144084685">
    <w:abstractNumId w:val="55"/>
  </w:num>
  <w:num w:numId="10" w16cid:durableId="900361407">
    <w:abstractNumId w:val="15"/>
  </w:num>
  <w:num w:numId="11" w16cid:durableId="1597397683">
    <w:abstractNumId w:val="28"/>
  </w:num>
  <w:num w:numId="12" w16cid:durableId="253780027">
    <w:abstractNumId w:val="47"/>
  </w:num>
  <w:num w:numId="13" w16cid:durableId="1666977911">
    <w:abstractNumId w:val="25"/>
  </w:num>
  <w:num w:numId="14" w16cid:durableId="1476722770">
    <w:abstractNumId w:val="5"/>
  </w:num>
  <w:num w:numId="15" w16cid:durableId="330838683">
    <w:abstractNumId w:val="9"/>
  </w:num>
  <w:num w:numId="16" w16cid:durableId="1448307526">
    <w:abstractNumId w:val="16"/>
  </w:num>
  <w:num w:numId="17" w16cid:durableId="87389322">
    <w:abstractNumId w:val="10"/>
  </w:num>
  <w:num w:numId="18" w16cid:durableId="350958933">
    <w:abstractNumId w:val="14"/>
  </w:num>
  <w:num w:numId="19" w16cid:durableId="1235580578">
    <w:abstractNumId w:val="57"/>
  </w:num>
  <w:num w:numId="20" w16cid:durableId="2033190507">
    <w:abstractNumId w:val="50"/>
  </w:num>
  <w:num w:numId="21" w16cid:durableId="84499343">
    <w:abstractNumId w:val="31"/>
  </w:num>
  <w:num w:numId="22" w16cid:durableId="1223978677">
    <w:abstractNumId w:val="43"/>
  </w:num>
  <w:num w:numId="23" w16cid:durableId="1828394416">
    <w:abstractNumId w:val="23"/>
  </w:num>
  <w:num w:numId="24" w16cid:durableId="1070689338">
    <w:abstractNumId w:val="18"/>
  </w:num>
  <w:num w:numId="25" w16cid:durableId="2143814054">
    <w:abstractNumId w:val="51"/>
  </w:num>
  <w:num w:numId="26" w16cid:durableId="1523350158">
    <w:abstractNumId w:val="53"/>
  </w:num>
  <w:num w:numId="27" w16cid:durableId="1653290495">
    <w:abstractNumId w:val="13"/>
  </w:num>
  <w:num w:numId="28" w16cid:durableId="1817913538">
    <w:abstractNumId w:val="38"/>
  </w:num>
  <w:num w:numId="29" w16cid:durableId="1248346775">
    <w:abstractNumId w:val="29"/>
  </w:num>
  <w:num w:numId="30" w16cid:durableId="342052071">
    <w:abstractNumId w:val="48"/>
  </w:num>
  <w:num w:numId="31" w16cid:durableId="25526177">
    <w:abstractNumId w:val="12"/>
  </w:num>
  <w:num w:numId="32" w16cid:durableId="750811878">
    <w:abstractNumId w:val="8"/>
  </w:num>
  <w:num w:numId="33" w16cid:durableId="75053466">
    <w:abstractNumId w:val="3"/>
  </w:num>
  <w:num w:numId="34" w16cid:durableId="433013673">
    <w:abstractNumId w:val="54"/>
  </w:num>
  <w:num w:numId="35" w16cid:durableId="892619282">
    <w:abstractNumId w:val="30"/>
  </w:num>
  <w:num w:numId="36" w16cid:durableId="318585072">
    <w:abstractNumId w:val="6"/>
  </w:num>
  <w:num w:numId="37" w16cid:durableId="1018658052">
    <w:abstractNumId w:val="41"/>
  </w:num>
  <w:num w:numId="38" w16cid:durableId="1323434114">
    <w:abstractNumId w:val="17"/>
  </w:num>
  <w:num w:numId="39" w16cid:durableId="1443501734">
    <w:abstractNumId w:val="7"/>
  </w:num>
  <w:num w:numId="40" w16cid:durableId="1455178023">
    <w:abstractNumId w:val="22"/>
  </w:num>
  <w:num w:numId="41" w16cid:durableId="1810516308">
    <w:abstractNumId w:val="34"/>
  </w:num>
  <w:num w:numId="42" w16cid:durableId="1312178429">
    <w:abstractNumId w:val="37"/>
  </w:num>
  <w:num w:numId="43" w16cid:durableId="584843424">
    <w:abstractNumId w:val="11"/>
  </w:num>
  <w:num w:numId="44" w16cid:durableId="1173882845">
    <w:abstractNumId w:val="35"/>
  </w:num>
  <w:num w:numId="45" w16cid:durableId="715468488">
    <w:abstractNumId w:val="42"/>
  </w:num>
  <w:num w:numId="46" w16cid:durableId="221454129">
    <w:abstractNumId w:val="39"/>
  </w:num>
  <w:num w:numId="47" w16cid:durableId="1861702919">
    <w:abstractNumId w:val="19"/>
  </w:num>
  <w:num w:numId="48" w16cid:durableId="1114981602">
    <w:abstractNumId w:val="27"/>
  </w:num>
  <w:num w:numId="49" w16cid:durableId="596449710">
    <w:abstractNumId w:val="45"/>
  </w:num>
  <w:num w:numId="50" w16cid:durableId="301161764">
    <w:abstractNumId w:val="0"/>
  </w:num>
  <w:num w:numId="51" w16cid:durableId="1039086854">
    <w:abstractNumId w:val="44"/>
  </w:num>
  <w:num w:numId="52" w16cid:durableId="1536187506">
    <w:abstractNumId w:val="32"/>
  </w:num>
  <w:num w:numId="53" w16cid:durableId="1573931346">
    <w:abstractNumId w:val="2"/>
  </w:num>
  <w:num w:numId="54" w16cid:durableId="398066205">
    <w:abstractNumId w:val="21"/>
  </w:num>
  <w:num w:numId="55" w16cid:durableId="240456503">
    <w:abstractNumId w:val="33"/>
  </w:num>
  <w:num w:numId="56" w16cid:durableId="644042706">
    <w:abstractNumId w:val="56"/>
  </w:num>
  <w:num w:numId="57" w16cid:durableId="2006588140">
    <w:abstractNumId w:val="24"/>
  </w:num>
  <w:num w:numId="58" w16cid:durableId="884759691">
    <w:abstractNumId w:val="5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56C"/>
    <w:rsid w:val="00012334"/>
    <w:rsid w:val="00015232"/>
    <w:rsid w:val="00037978"/>
    <w:rsid w:val="00053DED"/>
    <w:rsid w:val="00125018"/>
    <w:rsid w:val="001326B5"/>
    <w:rsid w:val="001B2F4E"/>
    <w:rsid w:val="001F43F4"/>
    <w:rsid w:val="00217F36"/>
    <w:rsid w:val="0022181C"/>
    <w:rsid w:val="002277ED"/>
    <w:rsid w:val="00281723"/>
    <w:rsid w:val="002857AF"/>
    <w:rsid w:val="003061B6"/>
    <w:rsid w:val="00335F39"/>
    <w:rsid w:val="00343741"/>
    <w:rsid w:val="00387E29"/>
    <w:rsid w:val="004A57A9"/>
    <w:rsid w:val="004B6C4A"/>
    <w:rsid w:val="005045C5"/>
    <w:rsid w:val="0054245F"/>
    <w:rsid w:val="00595BBA"/>
    <w:rsid w:val="005B6C9C"/>
    <w:rsid w:val="005D27C2"/>
    <w:rsid w:val="00620B34"/>
    <w:rsid w:val="0065773A"/>
    <w:rsid w:val="00660131"/>
    <w:rsid w:val="006624C1"/>
    <w:rsid w:val="00665010"/>
    <w:rsid w:val="006A01C7"/>
    <w:rsid w:val="0070756C"/>
    <w:rsid w:val="007542FC"/>
    <w:rsid w:val="00771FCB"/>
    <w:rsid w:val="007A6973"/>
    <w:rsid w:val="007C5206"/>
    <w:rsid w:val="00814F50"/>
    <w:rsid w:val="00856AB0"/>
    <w:rsid w:val="00876EF1"/>
    <w:rsid w:val="00915790"/>
    <w:rsid w:val="009444D2"/>
    <w:rsid w:val="009D31BA"/>
    <w:rsid w:val="00A44123"/>
    <w:rsid w:val="00A743FD"/>
    <w:rsid w:val="00AF0FC6"/>
    <w:rsid w:val="00B01EAA"/>
    <w:rsid w:val="00BE618A"/>
    <w:rsid w:val="00BF1A5B"/>
    <w:rsid w:val="00BF6B2A"/>
    <w:rsid w:val="00BF71F8"/>
    <w:rsid w:val="00C106DC"/>
    <w:rsid w:val="00C51607"/>
    <w:rsid w:val="00C95DBC"/>
    <w:rsid w:val="00D8698F"/>
    <w:rsid w:val="00DD3753"/>
    <w:rsid w:val="00E7113D"/>
    <w:rsid w:val="00E72355"/>
    <w:rsid w:val="00E73BAB"/>
    <w:rsid w:val="00EB32D9"/>
    <w:rsid w:val="00EC569E"/>
    <w:rsid w:val="00F203CE"/>
    <w:rsid w:val="00F40D79"/>
    <w:rsid w:val="00F67CEE"/>
    <w:rsid w:val="00F73CF1"/>
    <w:rsid w:val="00FB6336"/>
    <w:rsid w:val="00FC296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EE4F85"/>
  <w15:chartTrackingRefBased/>
  <w15:docId w15:val="{DDF1FCF1-1A2A-46F4-869D-DC50D34C0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1607"/>
  </w:style>
  <w:style w:type="paragraph" w:styleId="Ttulo1">
    <w:name w:val="heading 1"/>
    <w:basedOn w:val="Normal"/>
    <w:next w:val="Normal"/>
    <w:link w:val="Ttulo1Car"/>
    <w:uiPriority w:val="9"/>
    <w:qFormat/>
    <w:rsid w:val="007075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7075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70756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70756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70756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0756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0756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0756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0756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0756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70756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70756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70756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70756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0756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0756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0756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0756C"/>
    <w:rPr>
      <w:rFonts w:eastAsiaTheme="majorEastAsia" w:cstheme="majorBidi"/>
      <w:color w:val="272727" w:themeColor="text1" w:themeTint="D8"/>
    </w:rPr>
  </w:style>
  <w:style w:type="paragraph" w:styleId="Ttulo">
    <w:name w:val="Title"/>
    <w:basedOn w:val="Normal"/>
    <w:next w:val="Normal"/>
    <w:link w:val="TtuloCar"/>
    <w:uiPriority w:val="10"/>
    <w:qFormat/>
    <w:rsid w:val="0070756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0756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0756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0756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0756C"/>
    <w:pPr>
      <w:spacing w:before="160"/>
      <w:jc w:val="center"/>
    </w:pPr>
    <w:rPr>
      <w:i/>
      <w:iCs/>
      <w:color w:val="404040" w:themeColor="text1" w:themeTint="BF"/>
    </w:rPr>
  </w:style>
  <w:style w:type="character" w:customStyle="1" w:styleId="CitaCar">
    <w:name w:val="Cita Car"/>
    <w:basedOn w:val="Fuentedeprrafopredeter"/>
    <w:link w:val="Cita"/>
    <w:uiPriority w:val="29"/>
    <w:rsid w:val="0070756C"/>
    <w:rPr>
      <w:i/>
      <w:iCs/>
      <w:color w:val="404040" w:themeColor="text1" w:themeTint="BF"/>
    </w:rPr>
  </w:style>
  <w:style w:type="paragraph" w:styleId="Prrafodelista">
    <w:name w:val="List Paragraph"/>
    <w:basedOn w:val="Normal"/>
    <w:uiPriority w:val="34"/>
    <w:qFormat/>
    <w:rsid w:val="0070756C"/>
    <w:pPr>
      <w:ind w:left="720"/>
      <w:contextualSpacing/>
    </w:pPr>
  </w:style>
  <w:style w:type="character" w:styleId="nfasisintenso">
    <w:name w:val="Intense Emphasis"/>
    <w:basedOn w:val="Fuentedeprrafopredeter"/>
    <w:uiPriority w:val="21"/>
    <w:qFormat/>
    <w:rsid w:val="0070756C"/>
    <w:rPr>
      <w:i/>
      <w:iCs/>
      <w:color w:val="0F4761" w:themeColor="accent1" w:themeShade="BF"/>
    </w:rPr>
  </w:style>
  <w:style w:type="paragraph" w:styleId="Citadestacada">
    <w:name w:val="Intense Quote"/>
    <w:basedOn w:val="Normal"/>
    <w:next w:val="Normal"/>
    <w:link w:val="CitadestacadaCar"/>
    <w:uiPriority w:val="30"/>
    <w:qFormat/>
    <w:rsid w:val="0070756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0756C"/>
    <w:rPr>
      <w:i/>
      <w:iCs/>
      <w:color w:val="0F4761" w:themeColor="accent1" w:themeShade="BF"/>
    </w:rPr>
  </w:style>
  <w:style w:type="character" w:styleId="Referenciaintensa">
    <w:name w:val="Intense Reference"/>
    <w:basedOn w:val="Fuentedeprrafopredeter"/>
    <w:uiPriority w:val="32"/>
    <w:qFormat/>
    <w:rsid w:val="0070756C"/>
    <w:rPr>
      <w:b/>
      <w:bCs/>
      <w:smallCaps/>
      <w:color w:val="0F4761" w:themeColor="accent1" w:themeShade="BF"/>
      <w:spacing w:val="5"/>
    </w:rPr>
  </w:style>
  <w:style w:type="paragraph" w:styleId="Piedepgina">
    <w:name w:val="footer"/>
    <w:basedOn w:val="Normal"/>
    <w:link w:val="PiedepginaCar"/>
    <w:uiPriority w:val="99"/>
    <w:unhideWhenUsed/>
    <w:rsid w:val="0070756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0756C"/>
  </w:style>
  <w:style w:type="paragraph" w:styleId="Encabezado">
    <w:name w:val="header"/>
    <w:basedOn w:val="Normal"/>
    <w:link w:val="EncabezadoCar"/>
    <w:uiPriority w:val="99"/>
    <w:unhideWhenUsed/>
    <w:rsid w:val="006601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60131"/>
  </w:style>
  <w:style w:type="numbering" w:customStyle="1" w:styleId="Sinlista1">
    <w:name w:val="Sin lista1"/>
    <w:next w:val="Sinlista"/>
    <w:uiPriority w:val="99"/>
    <w:semiHidden/>
    <w:unhideWhenUsed/>
    <w:rsid w:val="00876EF1"/>
  </w:style>
  <w:style w:type="paragraph" w:customStyle="1" w:styleId="Sinespaciado1">
    <w:name w:val="Sin espaciado1"/>
    <w:next w:val="Sinespaciado"/>
    <w:link w:val="SinespaciadoCar"/>
    <w:uiPriority w:val="1"/>
    <w:rsid w:val="00876EF1"/>
    <w:pPr>
      <w:spacing w:after="0" w:line="240" w:lineRule="auto"/>
    </w:pPr>
    <w:rPr>
      <w:rFonts w:ascii="Arial" w:hAnsi="Arial" w:cs="Arial"/>
      <w:kern w:val="0"/>
      <w14:ligatures w14:val="none"/>
    </w:rPr>
  </w:style>
  <w:style w:type="paragraph" w:styleId="NormalWeb">
    <w:name w:val="Normal (Web)"/>
    <w:basedOn w:val="Normal"/>
    <w:uiPriority w:val="99"/>
    <w:semiHidden/>
    <w:unhideWhenUsed/>
    <w:rsid w:val="00876EF1"/>
    <w:pPr>
      <w:spacing w:before="100" w:beforeAutospacing="1" w:after="100" w:afterAutospacing="1" w:line="240" w:lineRule="auto"/>
    </w:pPr>
    <w:rPr>
      <w:rFonts w:ascii="Times New Roman" w:eastAsia="Times New Roman" w:hAnsi="Times New Roman" w:cs="Times New Roman"/>
      <w:kern w:val="0"/>
      <w:lang w:eastAsia="es-CR"/>
      <w14:ligatures w14:val="none"/>
    </w:rPr>
  </w:style>
  <w:style w:type="character" w:styleId="Textoennegrita">
    <w:name w:val="Strong"/>
    <w:basedOn w:val="Fuentedeprrafopredeter"/>
    <w:uiPriority w:val="22"/>
    <w:qFormat/>
    <w:rsid w:val="00876EF1"/>
    <w:rPr>
      <w:b/>
      <w:bCs/>
    </w:rPr>
  </w:style>
  <w:style w:type="character" w:customStyle="1" w:styleId="Hipervnculo1">
    <w:name w:val="Hipervínculo1"/>
    <w:basedOn w:val="Fuentedeprrafopredeter"/>
    <w:uiPriority w:val="99"/>
    <w:unhideWhenUsed/>
    <w:rsid w:val="00876EF1"/>
    <w:rPr>
      <w:color w:val="0563C1"/>
      <w:u w:val="single"/>
    </w:rPr>
  </w:style>
  <w:style w:type="character" w:styleId="Mencinsinresolver">
    <w:name w:val="Unresolved Mention"/>
    <w:basedOn w:val="Fuentedeprrafopredeter"/>
    <w:uiPriority w:val="99"/>
    <w:semiHidden/>
    <w:unhideWhenUsed/>
    <w:rsid w:val="00876EF1"/>
    <w:rPr>
      <w:color w:val="605E5C"/>
      <w:shd w:val="clear" w:color="auto" w:fill="E1DFDD"/>
    </w:rPr>
  </w:style>
  <w:style w:type="paragraph" w:customStyle="1" w:styleId="TtuloTDC1">
    <w:name w:val="Título TDC1"/>
    <w:basedOn w:val="Ttulo1"/>
    <w:next w:val="Normal"/>
    <w:uiPriority w:val="39"/>
    <w:unhideWhenUsed/>
    <w:qFormat/>
    <w:rsid w:val="00876EF1"/>
    <w:pPr>
      <w:spacing w:before="240" w:after="0" w:line="259" w:lineRule="auto"/>
      <w:jc w:val="center"/>
      <w:outlineLvl w:val="9"/>
    </w:pPr>
    <w:rPr>
      <w:kern w:val="0"/>
      <w:sz w:val="32"/>
      <w:szCs w:val="32"/>
      <w:lang w:eastAsia="es-CR"/>
      <w14:ligatures w14:val="none"/>
    </w:rPr>
  </w:style>
  <w:style w:type="paragraph" w:customStyle="1" w:styleId="TDC11">
    <w:name w:val="TDC 11"/>
    <w:basedOn w:val="Normal"/>
    <w:next w:val="Normal"/>
    <w:autoRedefine/>
    <w:uiPriority w:val="39"/>
    <w:unhideWhenUsed/>
    <w:rsid w:val="00876EF1"/>
    <w:pPr>
      <w:tabs>
        <w:tab w:val="right" w:leader="dot" w:pos="8828"/>
      </w:tabs>
      <w:spacing w:after="100" w:line="360" w:lineRule="auto"/>
      <w:jc w:val="both"/>
    </w:pPr>
    <w:rPr>
      <w:rFonts w:ascii="Times New Roman" w:hAnsi="Times New Roman" w:cs="Times New Roman"/>
      <w:b/>
      <w:bCs/>
      <w:kern w:val="0"/>
      <w:lang w:val="es-MX"/>
      <w14:ligatures w14:val="none"/>
    </w:rPr>
  </w:style>
  <w:style w:type="paragraph" w:customStyle="1" w:styleId="TDC21">
    <w:name w:val="TDC 21"/>
    <w:basedOn w:val="Normal"/>
    <w:next w:val="Normal"/>
    <w:autoRedefine/>
    <w:uiPriority w:val="39"/>
    <w:unhideWhenUsed/>
    <w:rsid w:val="00876EF1"/>
    <w:pPr>
      <w:spacing w:after="100" w:line="259" w:lineRule="auto"/>
      <w:ind w:left="240"/>
    </w:pPr>
    <w:rPr>
      <w:rFonts w:ascii="Arial" w:hAnsi="Arial" w:cs="Arial"/>
      <w:kern w:val="0"/>
      <w14:ligatures w14:val="none"/>
    </w:rPr>
  </w:style>
  <w:style w:type="character" w:customStyle="1" w:styleId="apanivel2Car">
    <w:name w:val="apa_nivel2 Car"/>
    <w:basedOn w:val="Fuentedeprrafopredeter"/>
    <w:link w:val="apanivel2"/>
    <w:rsid w:val="00876EF1"/>
    <w:rPr>
      <w:b/>
    </w:rPr>
  </w:style>
  <w:style w:type="character" w:customStyle="1" w:styleId="SinespaciadoCar">
    <w:name w:val="Sin espaciado Car"/>
    <w:basedOn w:val="Fuentedeprrafopredeter"/>
    <w:link w:val="Sinespaciado1"/>
    <w:uiPriority w:val="1"/>
    <w:rsid w:val="00876EF1"/>
    <w:rPr>
      <w:rFonts w:ascii="Arial" w:hAnsi="Arial" w:cs="Arial"/>
      <w:kern w:val="0"/>
      <w14:ligatures w14:val="none"/>
    </w:rPr>
  </w:style>
  <w:style w:type="table" w:customStyle="1" w:styleId="Tablaconcuadrcula1">
    <w:name w:val="Tabla con cuadrícula1"/>
    <w:basedOn w:val="Tablanormal"/>
    <w:next w:val="Tablaconcuadrcula"/>
    <w:uiPriority w:val="39"/>
    <w:rsid w:val="00876EF1"/>
    <w:pPr>
      <w:spacing w:after="0" w:line="240" w:lineRule="auto"/>
    </w:pPr>
    <w:rPr>
      <w:rFonts w:ascii="Arial" w:hAnsi="Arial" w:cs="Arial"/>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lieth">
    <w:name w:val="Celieth"/>
    <w:basedOn w:val="Sinespaciado"/>
    <w:link w:val="CeliethCar"/>
    <w:qFormat/>
    <w:rsid w:val="00876EF1"/>
    <w:pPr>
      <w:spacing w:line="360" w:lineRule="auto"/>
      <w:jc w:val="both"/>
    </w:pPr>
    <w:rPr>
      <w:rFonts w:ascii="Arial" w:hAnsi="Arial" w:cs="Arial"/>
      <w:kern w:val="0"/>
      <w:lang w:val="es-ES"/>
    </w:rPr>
  </w:style>
  <w:style w:type="character" w:customStyle="1" w:styleId="CeliethCar">
    <w:name w:val="Celieth Car"/>
    <w:basedOn w:val="Fuentedeprrafopredeter"/>
    <w:link w:val="Celieth"/>
    <w:rsid w:val="00876EF1"/>
    <w:rPr>
      <w:rFonts w:ascii="Arial" w:hAnsi="Arial" w:cs="Arial"/>
      <w:kern w:val="0"/>
      <w:lang w:val="es-ES"/>
    </w:rPr>
  </w:style>
  <w:style w:type="paragraph" w:customStyle="1" w:styleId="apanivel1">
    <w:name w:val="apa_nivel1"/>
    <w:basedOn w:val="Normal"/>
    <w:next w:val="Normal"/>
    <w:link w:val="apanivel1Car"/>
    <w:qFormat/>
    <w:rsid w:val="00876EF1"/>
    <w:pPr>
      <w:numPr>
        <w:numId w:val="1"/>
      </w:numPr>
      <w:spacing w:before="120" w:after="120" w:line="360" w:lineRule="auto"/>
      <w:jc w:val="both"/>
      <w:outlineLvl w:val="0"/>
    </w:pPr>
    <w:rPr>
      <w:rFonts w:ascii="Arial" w:hAnsi="Arial" w:cs="Arial"/>
      <w:b/>
      <w:kern w:val="0"/>
      <w14:ligatures w14:val="none"/>
    </w:rPr>
  </w:style>
  <w:style w:type="paragraph" w:customStyle="1" w:styleId="apanivel2">
    <w:name w:val="apa_nivel2"/>
    <w:basedOn w:val="apanivel1"/>
    <w:next w:val="Normal"/>
    <w:link w:val="apanivel2Car"/>
    <w:qFormat/>
    <w:rsid w:val="00876EF1"/>
    <w:pPr>
      <w:numPr>
        <w:ilvl w:val="1"/>
      </w:numPr>
      <w:tabs>
        <w:tab w:val="num" w:pos="360"/>
      </w:tabs>
      <w:ind w:left="360" w:hanging="360"/>
      <w:outlineLvl w:val="1"/>
    </w:pPr>
    <w:rPr>
      <w:rFonts w:asciiTheme="minorHAnsi" w:hAnsiTheme="minorHAnsi" w:cstheme="minorBidi"/>
      <w:kern w:val="2"/>
      <w14:ligatures w14:val="standardContextual"/>
    </w:rPr>
  </w:style>
  <w:style w:type="character" w:customStyle="1" w:styleId="apanivel1Car">
    <w:name w:val="apa_nivel1 Car"/>
    <w:basedOn w:val="Fuentedeprrafopredeter"/>
    <w:link w:val="apanivel1"/>
    <w:rsid w:val="00876EF1"/>
    <w:rPr>
      <w:rFonts w:ascii="Arial" w:hAnsi="Arial" w:cs="Arial"/>
      <w:b/>
      <w:kern w:val="0"/>
      <w14:ligatures w14:val="none"/>
    </w:rPr>
  </w:style>
  <w:style w:type="paragraph" w:customStyle="1" w:styleId="apanivel3">
    <w:name w:val="apa_nivel3"/>
    <w:basedOn w:val="apanivel2"/>
    <w:next w:val="Sinespaciado"/>
    <w:link w:val="apanivel3Car"/>
    <w:qFormat/>
    <w:rsid w:val="00876EF1"/>
    <w:pPr>
      <w:numPr>
        <w:ilvl w:val="2"/>
      </w:numPr>
      <w:tabs>
        <w:tab w:val="num" w:pos="360"/>
      </w:tabs>
      <w:ind w:left="720" w:hanging="720"/>
      <w:outlineLvl w:val="2"/>
    </w:pPr>
    <w:rPr>
      <w:rFonts w:ascii="Aptos" w:hAnsi="Aptos" w:cs="Times New Roman"/>
      <w:i/>
    </w:rPr>
  </w:style>
  <w:style w:type="paragraph" w:customStyle="1" w:styleId="apanivel4">
    <w:name w:val="apa_nivel4"/>
    <w:basedOn w:val="apanivel3"/>
    <w:next w:val="Sinespaciado"/>
    <w:qFormat/>
    <w:rsid w:val="00876EF1"/>
    <w:pPr>
      <w:numPr>
        <w:ilvl w:val="3"/>
      </w:numPr>
      <w:tabs>
        <w:tab w:val="num" w:pos="360"/>
      </w:tabs>
      <w:ind w:left="720" w:firstLine="0"/>
      <w:outlineLvl w:val="3"/>
    </w:pPr>
    <w:rPr>
      <w:i w:val="0"/>
      <w:iCs/>
    </w:rPr>
  </w:style>
  <w:style w:type="paragraph" w:customStyle="1" w:styleId="apanivel5">
    <w:name w:val="apa_nivel5"/>
    <w:basedOn w:val="apanivel4"/>
    <w:next w:val="Normal"/>
    <w:qFormat/>
    <w:rsid w:val="00876EF1"/>
    <w:pPr>
      <w:numPr>
        <w:ilvl w:val="4"/>
      </w:numPr>
      <w:tabs>
        <w:tab w:val="num" w:pos="360"/>
      </w:tabs>
      <w:ind w:left="1080" w:hanging="1080"/>
      <w:outlineLvl w:val="4"/>
    </w:pPr>
  </w:style>
  <w:style w:type="character" w:customStyle="1" w:styleId="apanivel3Car">
    <w:name w:val="apa_nivel3 Car"/>
    <w:basedOn w:val="apanivel2Car"/>
    <w:link w:val="apanivel3"/>
    <w:rsid w:val="00876EF1"/>
    <w:rPr>
      <w:rFonts w:ascii="Aptos" w:hAnsi="Aptos" w:cs="Times New Roman"/>
      <w:b/>
      <w:i/>
    </w:rPr>
  </w:style>
  <w:style w:type="paragraph" w:customStyle="1" w:styleId="apaparrafo">
    <w:name w:val="apa_parrafo"/>
    <w:basedOn w:val="Sinespaciado"/>
    <w:link w:val="apaparrafoCar"/>
    <w:qFormat/>
    <w:rsid w:val="00876EF1"/>
    <w:pPr>
      <w:spacing w:line="360" w:lineRule="auto"/>
      <w:jc w:val="both"/>
    </w:pPr>
    <w:rPr>
      <w:rFonts w:ascii="Arial" w:hAnsi="Arial" w:cs="Arial"/>
      <w:kern w:val="0"/>
      <w:lang w:val="es-MX"/>
      <w14:ligatures w14:val="none"/>
    </w:rPr>
  </w:style>
  <w:style w:type="character" w:customStyle="1" w:styleId="apaparrafoCar">
    <w:name w:val="apa_parrafo Car"/>
    <w:basedOn w:val="Fuentedeprrafopredeter"/>
    <w:link w:val="apaparrafo"/>
    <w:rsid w:val="00876EF1"/>
    <w:rPr>
      <w:rFonts w:ascii="Arial" w:hAnsi="Arial" w:cs="Arial"/>
      <w:kern w:val="0"/>
      <w:lang w:val="es-MX"/>
      <w14:ligatures w14:val="none"/>
    </w:rPr>
  </w:style>
  <w:style w:type="paragraph" w:customStyle="1" w:styleId="Default">
    <w:name w:val="Default"/>
    <w:rsid w:val="00876EF1"/>
    <w:pPr>
      <w:autoSpaceDE w:val="0"/>
      <w:autoSpaceDN w:val="0"/>
      <w:adjustRightInd w:val="0"/>
      <w:spacing w:after="0" w:line="240" w:lineRule="auto"/>
    </w:pPr>
    <w:rPr>
      <w:rFonts w:ascii="Arial" w:hAnsi="Arial" w:cs="Arial"/>
      <w:color w:val="000000"/>
      <w:kern w:val="0"/>
      <w14:ligatures w14:val="none"/>
    </w:rPr>
  </w:style>
  <w:style w:type="paragraph" w:customStyle="1" w:styleId="TDC41">
    <w:name w:val="TDC 41"/>
    <w:basedOn w:val="Normal"/>
    <w:next w:val="Normal"/>
    <w:autoRedefine/>
    <w:uiPriority w:val="39"/>
    <w:unhideWhenUsed/>
    <w:rsid w:val="00876EF1"/>
    <w:pPr>
      <w:spacing w:after="100"/>
      <w:ind w:left="720"/>
    </w:pPr>
    <w:rPr>
      <w:rFonts w:eastAsia="Times New Roman" w:cs="Arial"/>
      <w:lang w:eastAsia="es-419"/>
    </w:rPr>
  </w:style>
  <w:style w:type="paragraph" w:customStyle="1" w:styleId="TDC31">
    <w:name w:val="TDC 31"/>
    <w:basedOn w:val="Normal"/>
    <w:next w:val="Normal"/>
    <w:autoRedefine/>
    <w:uiPriority w:val="39"/>
    <w:unhideWhenUsed/>
    <w:rsid w:val="00876EF1"/>
    <w:pPr>
      <w:spacing w:after="100" w:line="259" w:lineRule="auto"/>
      <w:ind w:left="480"/>
    </w:pPr>
    <w:rPr>
      <w:rFonts w:ascii="Arial" w:hAnsi="Arial" w:cs="Arial"/>
      <w:kern w:val="0"/>
      <w14:ligatures w14:val="none"/>
    </w:rPr>
  </w:style>
  <w:style w:type="paragraph" w:customStyle="1" w:styleId="TDC51">
    <w:name w:val="TDC 51"/>
    <w:basedOn w:val="Normal"/>
    <w:next w:val="Normal"/>
    <w:autoRedefine/>
    <w:uiPriority w:val="39"/>
    <w:unhideWhenUsed/>
    <w:rsid w:val="00876EF1"/>
    <w:pPr>
      <w:spacing w:after="100"/>
      <w:ind w:left="960"/>
    </w:pPr>
    <w:rPr>
      <w:rFonts w:eastAsia="Times New Roman" w:cs="Arial"/>
      <w:lang w:eastAsia="es-419"/>
    </w:rPr>
  </w:style>
  <w:style w:type="paragraph" w:customStyle="1" w:styleId="TDC61">
    <w:name w:val="TDC 61"/>
    <w:basedOn w:val="Normal"/>
    <w:next w:val="Normal"/>
    <w:autoRedefine/>
    <w:uiPriority w:val="39"/>
    <w:unhideWhenUsed/>
    <w:rsid w:val="00876EF1"/>
    <w:pPr>
      <w:spacing w:after="100"/>
      <w:ind w:left="1200"/>
    </w:pPr>
    <w:rPr>
      <w:rFonts w:eastAsia="Times New Roman" w:cs="Arial"/>
      <w:lang w:eastAsia="es-419"/>
    </w:rPr>
  </w:style>
  <w:style w:type="paragraph" w:customStyle="1" w:styleId="TDC71">
    <w:name w:val="TDC 71"/>
    <w:basedOn w:val="Normal"/>
    <w:next w:val="Normal"/>
    <w:autoRedefine/>
    <w:uiPriority w:val="39"/>
    <w:unhideWhenUsed/>
    <w:rsid w:val="00876EF1"/>
    <w:pPr>
      <w:spacing w:after="100"/>
      <w:ind w:left="1440"/>
    </w:pPr>
    <w:rPr>
      <w:rFonts w:eastAsia="Times New Roman" w:cs="Arial"/>
      <w:lang w:eastAsia="es-419"/>
    </w:rPr>
  </w:style>
  <w:style w:type="paragraph" w:customStyle="1" w:styleId="TDC81">
    <w:name w:val="TDC 81"/>
    <w:basedOn w:val="Normal"/>
    <w:next w:val="Normal"/>
    <w:autoRedefine/>
    <w:uiPriority w:val="39"/>
    <w:unhideWhenUsed/>
    <w:rsid w:val="00876EF1"/>
    <w:pPr>
      <w:spacing w:after="100"/>
      <w:ind w:left="1680"/>
    </w:pPr>
    <w:rPr>
      <w:rFonts w:eastAsia="Times New Roman" w:cs="Arial"/>
      <w:lang w:eastAsia="es-419"/>
    </w:rPr>
  </w:style>
  <w:style w:type="paragraph" w:customStyle="1" w:styleId="TDC91">
    <w:name w:val="TDC 91"/>
    <w:basedOn w:val="Normal"/>
    <w:next w:val="Normal"/>
    <w:autoRedefine/>
    <w:uiPriority w:val="39"/>
    <w:unhideWhenUsed/>
    <w:rsid w:val="00876EF1"/>
    <w:pPr>
      <w:spacing w:after="100"/>
      <w:ind w:left="1920"/>
    </w:pPr>
    <w:rPr>
      <w:rFonts w:eastAsia="Times New Roman" w:cs="Arial"/>
      <w:lang w:eastAsia="es-419"/>
    </w:rPr>
  </w:style>
  <w:style w:type="paragraph" w:customStyle="1" w:styleId="Bibliografa1">
    <w:name w:val="Bibliografía1"/>
    <w:basedOn w:val="Normal"/>
    <w:next w:val="Normal"/>
    <w:uiPriority w:val="37"/>
    <w:semiHidden/>
    <w:unhideWhenUsed/>
    <w:rsid w:val="00876EF1"/>
    <w:pPr>
      <w:spacing w:line="259" w:lineRule="auto"/>
    </w:pPr>
    <w:rPr>
      <w:rFonts w:cs="Arial"/>
      <w:kern w:val="0"/>
      <w:sz w:val="22"/>
      <w14:ligatures w14:val="none"/>
    </w:rPr>
  </w:style>
  <w:style w:type="paragraph" w:customStyle="1" w:styleId="Descripcin1">
    <w:name w:val="Descripción1"/>
    <w:basedOn w:val="Normal"/>
    <w:next w:val="Normal"/>
    <w:uiPriority w:val="35"/>
    <w:unhideWhenUsed/>
    <w:qFormat/>
    <w:rsid w:val="00876EF1"/>
    <w:pPr>
      <w:spacing w:after="200" w:line="240" w:lineRule="auto"/>
    </w:pPr>
    <w:rPr>
      <w:rFonts w:ascii="Arial" w:hAnsi="Arial" w:cs="Arial"/>
      <w:i/>
      <w:iCs/>
      <w:color w:val="44546A"/>
      <w:kern w:val="0"/>
      <w:sz w:val="18"/>
      <w:szCs w:val="18"/>
      <w14:ligatures w14:val="none"/>
    </w:rPr>
  </w:style>
  <w:style w:type="paragraph" w:customStyle="1" w:styleId="Tabladeilustraciones1">
    <w:name w:val="Tabla de ilustraciones1"/>
    <w:basedOn w:val="Normal"/>
    <w:next w:val="Normal"/>
    <w:uiPriority w:val="99"/>
    <w:unhideWhenUsed/>
    <w:rsid w:val="00876EF1"/>
    <w:pPr>
      <w:spacing w:after="0" w:line="259" w:lineRule="auto"/>
      <w:ind w:left="480" w:hanging="480"/>
    </w:pPr>
    <w:rPr>
      <w:rFonts w:cs="Calibri"/>
      <w:smallCaps/>
      <w:kern w:val="0"/>
      <w:sz w:val="20"/>
      <w:szCs w:val="20"/>
      <w14:ligatures w14:val="none"/>
    </w:rPr>
  </w:style>
  <w:style w:type="paragraph" w:customStyle="1" w:styleId="TextoTabulado">
    <w:name w:val="Texto Tabulado"/>
    <w:basedOn w:val="Normal"/>
    <w:link w:val="TextoTabuladoCar"/>
    <w:qFormat/>
    <w:rsid w:val="00876EF1"/>
    <w:pPr>
      <w:autoSpaceDE w:val="0"/>
      <w:autoSpaceDN w:val="0"/>
      <w:adjustRightInd w:val="0"/>
      <w:spacing w:after="0" w:line="360" w:lineRule="auto"/>
      <w:ind w:firstLine="706"/>
      <w:jc w:val="both"/>
    </w:pPr>
    <w:rPr>
      <w:rFonts w:ascii="Times New Roman" w:hAnsi="Times New Roman" w:cs="Arial"/>
      <w:kern w:val="0"/>
      <w:lang w:val="es-MX"/>
      <w14:ligatures w14:val="none"/>
    </w:rPr>
  </w:style>
  <w:style w:type="character" w:customStyle="1" w:styleId="TextoTabuladoCar">
    <w:name w:val="Texto Tabulado Car"/>
    <w:basedOn w:val="Fuentedeprrafopredeter"/>
    <w:link w:val="TextoTabulado"/>
    <w:rsid w:val="00876EF1"/>
    <w:rPr>
      <w:rFonts w:ascii="Times New Roman" w:hAnsi="Times New Roman" w:cs="Arial"/>
      <w:kern w:val="0"/>
      <w:lang w:val="es-MX"/>
      <w14:ligatures w14:val="none"/>
    </w:rPr>
  </w:style>
  <w:style w:type="paragraph" w:styleId="Textocomentario">
    <w:name w:val="annotation text"/>
    <w:basedOn w:val="Normal"/>
    <w:link w:val="TextocomentarioCar"/>
    <w:uiPriority w:val="99"/>
    <w:unhideWhenUsed/>
    <w:rsid w:val="00876EF1"/>
    <w:pPr>
      <w:spacing w:line="240" w:lineRule="auto"/>
    </w:pPr>
    <w:rPr>
      <w:rFonts w:ascii="Calibri" w:eastAsia="Calibri" w:hAnsi="Calibri" w:cs="Calibri"/>
      <w:kern w:val="0"/>
      <w:sz w:val="20"/>
      <w:szCs w:val="20"/>
      <w:lang w:eastAsia="es-CR"/>
      <w14:ligatures w14:val="none"/>
    </w:rPr>
  </w:style>
  <w:style w:type="character" w:customStyle="1" w:styleId="TextocomentarioCar">
    <w:name w:val="Texto comentario Car"/>
    <w:basedOn w:val="Fuentedeprrafopredeter"/>
    <w:link w:val="Textocomentario"/>
    <w:uiPriority w:val="99"/>
    <w:rsid w:val="00876EF1"/>
    <w:rPr>
      <w:rFonts w:ascii="Calibri" w:eastAsia="Calibri" w:hAnsi="Calibri" w:cs="Calibri"/>
      <w:kern w:val="0"/>
      <w:sz w:val="20"/>
      <w:szCs w:val="20"/>
      <w:lang w:eastAsia="es-CR"/>
      <w14:ligatures w14:val="none"/>
    </w:rPr>
  </w:style>
  <w:style w:type="character" w:styleId="Refdecomentario">
    <w:name w:val="annotation reference"/>
    <w:basedOn w:val="Fuentedeprrafopredeter"/>
    <w:uiPriority w:val="99"/>
    <w:semiHidden/>
    <w:unhideWhenUsed/>
    <w:rsid w:val="00876EF1"/>
    <w:rPr>
      <w:sz w:val="16"/>
      <w:szCs w:val="16"/>
    </w:rPr>
  </w:style>
  <w:style w:type="table" w:customStyle="1" w:styleId="2">
    <w:name w:val="2"/>
    <w:basedOn w:val="Tablanormal"/>
    <w:rsid w:val="00876EF1"/>
    <w:rPr>
      <w:rFonts w:ascii="Aptos" w:eastAsia="Aptos" w:hAnsi="Aptos" w:cs="Aptos"/>
      <w:kern w:val="0"/>
      <w:lang w:eastAsia="es-MX"/>
      <w14:ligatures w14:val="none"/>
    </w:rPr>
    <w:tblPr>
      <w:tblStyleRowBandSize w:val="1"/>
      <w:tblStyleColBandSize w:val="1"/>
      <w:tblInd w:w="0" w:type="nil"/>
      <w:tblCellMar>
        <w:top w:w="15" w:type="dxa"/>
        <w:left w:w="15" w:type="dxa"/>
        <w:bottom w:w="15" w:type="dxa"/>
        <w:right w:w="15" w:type="dxa"/>
      </w:tblCellMar>
    </w:tblPr>
  </w:style>
  <w:style w:type="table" w:customStyle="1" w:styleId="1">
    <w:name w:val="1"/>
    <w:basedOn w:val="Tablanormal"/>
    <w:rsid w:val="00876EF1"/>
    <w:rPr>
      <w:rFonts w:ascii="Aptos" w:eastAsia="Aptos" w:hAnsi="Aptos" w:cs="Aptos"/>
      <w:kern w:val="0"/>
      <w:lang w:eastAsia="es-MX"/>
      <w14:ligatures w14:val="none"/>
    </w:rPr>
    <w:tblPr>
      <w:tblStyleRowBandSize w:val="1"/>
      <w:tblStyleColBandSize w:val="1"/>
      <w:tblInd w:w="0" w:type="nil"/>
      <w:tblCellMar>
        <w:top w:w="15" w:type="dxa"/>
        <w:left w:w="15" w:type="dxa"/>
        <w:bottom w:w="15" w:type="dxa"/>
        <w:right w:w="15" w:type="dxa"/>
      </w:tblCellMar>
    </w:tblPr>
  </w:style>
  <w:style w:type="character" w:customStyle="1" w:styleId="hoverbg-super">
    <w:name w:val="hover:bg-super"/>
    <w:basedOn w:val="Fuentedeprrafopredeter"/>
    <w:rsid w:val="00876EF1"/>
  </w:style>
  <w:style w:type="character" w:customStyle="1" w:styleId="whitespace-nowrap">
    <w:name w:val="whitespace-nowrap"/>
    <w:basedOn w:val="Fuentedeprrafopredeter"/>
    <w:rsid w:val="00876EF1"/>
  </w:style>
  <w:style w:type="paragraph" w:customStyle="1" w:styleId="my-0">
    <w:name w:val="my-0"/>
    <w:basedOn w:val="Normal"/>
    <w:rsid w:val="00876EF1"/>
    <w:pPr>
      <w:spacing w:before="100" w:beforeAutospacing="1" w:after="100" w:afterAutospacing="1" w:line="240" w:lineRule="auto"/>
    </w:pPr>
    <w:rPr>
      <w:rFonts w:ascii="Times New Roman" w:eastAsia="Times New Roman" w:hAnsi="Times New Roman" w:cs="Times New Roman"/>
      <w:kern w:val="0"/>
      <w:lang w:val="es-419" w:eastAsia="es-419"/>
      <w14:ligatures w14:val="none"/>
    </w:rPr>
  </w:style>
  <w:style w:type="paragraph" w:customStyle="1" w:styleId="Sinespaciado2">
    <w:name w:val="Sin espaciado2"/>
    <w:next w:val="Sinespaciado"/>
    <w:uiPriority w:val="1"/>
    <w:rsid w:val="00876EF1"/>
    <w:pPr>
      <w:spacing w:after="0" w:line="240" w:lineRule="auto"/>
    </w:pPr>
  </w:style>
  <w:style w:type="character" w:customStyle="1" w:styleId="Hipervnculo2">
    <w:name w:val="Hipervínculo2"/>
    <w:basedOn w:val="Fuentedeprrafopredeter"/>
    <w:uiPriority w:val="99"/>
    <w:unhideWhenUsed/>
    <w:rsid w:val="00876EF1"/>
    <w:rPr>
      <w:color w:val="467886"/>
      <w:u w:val="single"/>
    </w:rPr>
  </w:style>
  <w:style w:type="table" w:customStyle="1" w:styleId="Tablaconcuadrcula2">
    <w:name w:val="Tabla con cuadrícula2"/>
    <w:basedOn w:val="Tablanormal"/>
    <w:next w:val="Tablaconcuadrcula"/>
    <w:uiPriority w:val="39"/>
    <w:rsid w:val="00876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suntodelcomentario1">
    <w:name w:val="Asunto del comentario1"/>
    <w:basedOn w:val="Textocomentario"/>
    <w:next w:val="Textocomentario"/>
    <w:uiPriority w:val="99"/>
    <w:semiHidden/>
    <w:unhideWhenUsed/>
    <w:rsid w:val="00876EF1"/>
    <w:rPr>
      <w:rFonts w:ascii="Aptos" w:eastAsia="Aptos" w:hAnsi="Aptos" w:cs="Times New Roman"/>
      <w:b/>
      <w:bCs/>
      <w:kern w:val="2"/>
      <w:lang w:eastAsia="en-US"/>
      <w14:ligatures w14:val="standardContextual"/>
    </w:rPr>
  </w:style>
  <w:style w:type="character" w:customStyle="1" w:styleId="AsuntodelcomentarioCar">
    <w:name w:val="Asunto del comentario Car"/>
    <w:basedOn w:val="TextocomentarioCar"/>
    <w:link w:val="Asuntodelcomentario"/>
    <w:uiPriority w:val="99"/>
    <w:semiHidden/>
    <w:rsid w:val="00876EF1"/>
    <w:rPr>
      <w:rFonts w:ascii="Calibri" w:eastAsia="Calibri" w:hAnsi="Calibri" w:cs="Calibri"/>
      <w:b/>
      <w:bCs/>
      <w:kern w:val="0"/>
      <w:sz w:val="20"/>
      <w:szCs w:val="20"/>
      <w:lang w:eastAsia="es-CR"/>
      <w14:ligatures w14:val="none"/>
    </w:rPr>
  </w:style>
  <w:style w:type="paragraph" w:customStyle="1" w:styleId="TDC12">
    <w:name w:val="TDC 12"/>
    <w:basedOn w:val="Normal"/>
    <w:next w:val="Normal"/>
    <w:autoRedefine/>
    <w:uiPriority w:val="39"/>
    <w:unhideWhenUsed/>
    <w:rsid w:val="00876EF1"/>
    <w:pPr>
      <w:spacing w:after="100"/>
    </w:pPr>
  </w:style>
  <w:style w:type="paragraph" w:customStyle="1" w:styleId="TDC22">
    <w:name w:val="TDC 22"/>
    <w:basedOn w:val="Normal"/>
    <w:next w:val="Normal"/>
    <w:autoRedefine/>
    <w:uiPriority w:val="39"/>
    <w:unhideWhenUsed/>
    <w:rsid w:val="00876EF1"/>
    <w:pPr>
      <w:spacing w:after="100"/>
      <w:ind w:left="240"/>
    </w:pPr>
  </w:style>
  <w:style w:type="paragraph" w:customStyle="1" w:styleId="TDC32">
    <w:name w:val="TDC 32"/>
    <w:basedOn w:val="Normal"/>
    <w:next w:val="Normal"/>
    <w:autoRedefine/>
    <w:uiPriority w:val="39"/>
    <w:unhideWhenUsed/>
    <w:rsid w:val="00876EF1"/>
    <w:pPr>
      <w:spacing w:after="100"/>
      <w:ind w:left="480"/>
    </w:pPr>
  </w:style>
  <w:style w:type="paragraph" w:customStyle="1" w:styleId="TDC42">
    <w:name w:val="TDC 42"/>
    <w:basedOn w:val="Normal"/>
    <w:next w:val="Normal"/>
    <w:autoRedefine/>
    <w:uiPriority w:val="39"/>
    <w:unhideWhenUsed/>
    <w:rsid w:val="00876EF1"/>
    <w:pPr>
      <w:spacing w:after="100"/>
      <w:ind w:left="720"/>
    </w:pPr>
    <w:rPr>
      <w:rFonts w:eastAsia="Times New Roman"/>
      <w:lang w:val="es-419" w:eastAsia="es-419"/>
    </w:rPr>
  </w:style>
  <w:style w:type="paragraph" w:customStyle="1" w:styleId="TDC52">
    <w:name w:val="TDC 52"/>
    <w:basedOn w:val="Normal"/>
    <w:next w:val="Normal"/>
    <w:autoRedefine/>
    <w:uiPriority w:val="39"/>
    <w:unhideWhenUsed/>
    <w:rsid w:val="00876EF1"/>
    <w:pPr>
      <w:spacing w:after="100"/>
      <w:ind w:left="960"/>
    </w:pPr>
    <w:rPr>
      <w:rFonts w:eastAsia="Times New Roman"/>
      <w:lang w:val="es-419" w:eastAsia="es-419"/>
    </w:rPr>
  </w:style>
  <w:style w:type="paragraph" w:customStyle="1" w:styleId="TDC62">
    <w:name w:val="TDC 62"/>
    <w:basedOn w:val="Normal"/>
    <w:next w:val="Normal"/>
    <w:autoRedefine/>
    <w:uiPriority w:val="39"/>
    <w:unhideWhenUsed/>
    <w:rsid w:val="00876EF1"/>
    <w:pPr>
      <w:spacing w:after="100"/>
      <w:ind w:left="1200"/>
    </w:pPr>
    <w:rPr>
      <w:rFonts w:eastAsia="Times New Roman"/>
      <w:lang w:val="es-419" w:eastAsia="es-419"/>
    </w:rPr>
  </w:style>
  <w:style w:type="paragraph" w:customStyle="1" w:styleId="TDC72">
    <w:name w:val="TDC 72"/>
    <w:basedOn w:val="Normal"/>
    <w:next w:val="Normal"/>
    <w:autoRedefine/>
    <w:uiPriority w:val="39"/>
    <w:unhideWhenUsed/>
    <w:rsid w:val="00876EF1"/>
    <w:pPr>
      <w:spacing w:after="100"/>
      <w:ind w:left="1440"/>
    </w:pPr>
    <w:rPr>
      <w:rFonts w:eastAsia="Times New Roman"/>
      <w:lang w:val="es-419" w:eastAsia="es-419"/>
    </w:rPr>
  </w:style>
  <w:style w:type="paragraph" w:customStyle="1" w:styleId="TDC82">
    <w:name w:val="TDC 82"/>
    <w:basedOn w:val="Normal"/>
    <w:next w:val="Normal"/>
    <w:autoRedefine/>
    <w:uiPriority w:val="39"/>
    <w:unhideWhenUsed/>
    <w:rsid w:val="00876EF1"/>
    <w:pPr>
      <w:spacing w:after="100"/>
      <w:ind w:left="1680"/>
    </w:pPr>
    <w:rPr>
      <w:rFonts w:eastAsia="Times New Roman"/>
      <w:lang w:val="es-419" w:eastAsia="es-419"/>
    </w:rPr>
  </w:style>
  <w:style w:type="paragraph" w:customStyle="1" w:styleId="TDC92">
    <w:name w:val="TDC 92"/>
    <w:basedOn w:val="Normal"/>
    <w:next w:val="Normal"/>
    <w:autoRedefine/>
    <w:uiPriority w:val="39"/>
    <w:unhideWhenUsed/>
    <w:rsid w:val="00876EF1"/>
    <w:pPr>
      <w:spacing w:after="100"/>
      <w:ind w:left="1920"/>
    </w:pPr>
    <w:rPr>
      <w:rFonts w:eastAsia="Times New Roman"/>
      <w:lang w:val="es-419" w:eastAsia="es-419"/>
    </w:rPr>
  </w:style>
  <w:style w:type="paragraph" w:customStyle="1" w:styleId="Tabladeilustraciones2">
    <w:name w:val="Tabla de ilustraciones2"/>
    <w:basedOn w:val="Normal"/>
    <w:next w:val="Normal"/>
    <w:uiPriority w:val="99"/>
    <w:unhideWhenUsed/>
    <w:rsid w:val="00876EF1"/>
    <w:pPr>
      <w:spacing w:after="0"/>
    </w:pPr>
  </w:style>
  <w:style w:type="paragraph" w:styleId="Sinespaciado">
    <w:name w:val="No Spacing"/>
    <w:uiPriority w:val="1"/>
    <w:qFormat/>
    <w:rsid w:val="00876EF1"/>
    <w:pPr>
      <w:spacing w:after="0" w:line="240" w:lineRule="auto"/>
    </w:pPr>
  </w:style>
  <w:style w:type="table" w:styleId="Tablaconcuadrcula">
    <w:name w:val="Table Grid"/>
    <w:basedOn w:val="Tablanormal"/>
    <w:uiPriority w:val="39"/>
    <w:rsid w:val="00876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76EF1"/>
    <w:rPr>
      <w:color w:val="467886" w:themeColor="hyperlink"/>
      <w:u w:val="single"/>
    </w:rPr>
  </w:style>
  <w:style w:type="paragraph" w:styleId="Asuntodelcomentario">
    <w:name w:val="annotation subject"/>
    <w:basedOn w:val="Textocomentario"/>
    <w:next w:val="Textocomentario"/>
    <w:link w:val="AsuntodelcomentarioCar"/>
    <w:uiPriority w:val="99"/>
    <w:semiHidden/>
    <w:unhideWhenUsed/>
    <w:rsid w:val="00876EF1"/>
    <w:rPr>
      <w:b/>
      <w:bCs/>
    </w:rPr>
  </w:style>
  <w:style w:type="character" w:customStyle="1" w:styleId="AsuntodelcomentarioCar1">
    <w:name w:val="Asunto del comentario Car1"/>
    <w:basedOn w:val="TextocomentarioCar"/>
    <w:uiPriority w:val="99"/>
    <w:semiHidden/>
    <w:rsid w:val="00876EF1"/>
    <w:rPr>
      <w:rFonts w:ascii="Calibri" w:eastAsia="Calibri" w:hAnsi="Calibri" w:cs="Calibri"/>
      <w:b/>
      <w:bCs/>
      <w:kern w:val="0"/>
      <w:sz w:val="20"/>
      <w:szCs w:val="20"/>
      <w:lang w:eastAsia="es-CR"/>
      <w14:ligatures w14:val="none"/>
    </w:rPr>
  </w:style>
  <w:style w:type="paragraph" w:styleId="TDC1">
    <w:name w:val="toc 1"/>
    <w:basedOn w:val="Normal"/>
    <w:next w:val="Normal"/>
    <w:autoRedefine/>
    <w:uiPriority w:val="39"/>
    <w:unhideWhenUsed/>
    <w:rsid w:val="00A743FD"/>
    <w:pPr>
      <w:spacing w:after="100"/>
    </w:pPr>
  </w:style>
  <w:style w:type="paragraph" w:styleId="TDC2">
    <w:name w:val="toc 2"/>
    <w:basedOn w:val="Normal"/>
    <w:next w:val="Normal"/>
    <w:autoRedefine/>
    <w:uiPriority w:val="39"/>
    <w:unhideWhenUsed/>
    <w:rsid w:val="00A743FD"/>
    <w:pPr>
      <w:spacing w:after="100"/>
      <w:ind w:left="240"/>
    </w:pPr>
  </w:style>
  <w:style w:type="paragraph" w:styleId="TDC3">
    <w:name w:val="toc 3"/>
    <w:basedOn w:val="Normal"/>
    <w:next w:val="Normal"/>
    <w:autoRedefine/>
    <w:uiPriority w:val="39"/>
    <w:unhideWhenUsed/>
    <w:rsid w:val="00A743FD"/>
    <w:pPr>
      <w:spacing w:after="100"/>
      <w:ind w:left="480"/>
    </w:pPr>
  </w:style>
  <w:style w:type="paragraph" w:styleId="TDC4">
    <w:name w:val="toc 4"/>
    <w:basedOn w:val="Normal"/>
    <w:next w:val="Normal"/>
    <w:autoRedefine/>
    <w:uiPriority w:val="39"/>
    <w:unhideWhenUsed/>
    <w:rsid w:val="00A743FD"/>
    <w:pPr>
      <w:spacing w:after="100"/>
      <w:ind w:left="720"/>
    </w:pPr>
    <w:rPr>
      <w:rFonts w:eastAsiaTheme="minorEastAsia"/>
      <w:lang w:val="es-419" w:eastAsia="es-419"/>
    </w:rPr>
  </w:style>
  <w:style w:type="paragraph" w:styleId="TDC5">
    <w:name w:val="toc 5"/>
    <w:basedOn w:val="Normal"/>
    <w:next w:val="Normal"/>
    <w:autoRedefine/>
    <w:uiPriority w:val="39"/>
    <w:unhideWhenUsed/>
    <w:rsid w:val="00A743FD"/>
    <w:pPr>
      <w:spacing w:after="100"/>
      <w:ind w:left="960"/>
    </w:pPr>
    <w:rPr>
      <w:rFonts w:eastAsiaTheme="minorEastAsia"/>
      <w:lang w:val="es-419" w:eastAsia="es-419"/>
    </w:rPr>
  </w:style>
  <w:style w:type="paragraph" w:styleId="TDC6">
    <w:name w:val="toc 6"/>
    <w:basedOn w:val="Normal"/>
    <w:next w:val="Normal"/>
    <w:autoRedefine/>
    <w:uiPriority w:val="39"/>
    <w:unhideWhenUsed/>
    <w:rsid w:val="00A743FD"/>
    <w:pPr>
      <w:spacing w:after="100"/>
      <w:ind w:left="1200"/>
    </w:pPr>
    <w:rPr>
      <w:rFonts w:eastAsiaTheme="minorEastAsia"/>
      <w:lang w:val="es-419" w:eastAsia="es-419"/>
    </w:rPr>
  </w:style>
  <w:style w:type="paragraph" w:styleId="TDC7">
    <w:name w:val="toc 7"/>
    <w:basedOn w:val="Normal"/>
    <w:next w:val="Normal"/>
    <w:autoRedefine/>
    <w:uiPriority w:val="39"/>
    <w:unhideWhenUsed/>
    <w:rsid w:val="00A743FD"/>
    <w:pPr>
      <w:spacing w:after="100"/>
      <w:ind w:left="1440"/>
    </w:pPr>
    <w:rPr>
      <w:rFonts w:eastAsiaTheme="minorEastAsia"/>
      <w:lang w:val="es-419" w:eastAsia="es-419"/>
    </w:rPr>
  </w:style>
  <w:style w:type="paragraph" w:styleId="TDC8">
    <w:name w:val="toc 8"/>
    <w:basedOn w:val="Normal"/>
    <w:next w:val="Normal"/>
    <w:autoRedefine/>
    <w:uiPriority w:val="39"/>
    <w:unhideWhenUsed/>
    <w:rsid w:val="00A743FD"/>
    <w:pPr>
      <w:spacing w:after="100"/>
      <w:ind w:left="1680"/>
    </w:pPr>
    <w:rPr>
      <w:rFonts w:eastAsiaTheme="minorEastAsia"/>
      <w:lang w:val="es-419" w:eastAsia="es-419"/>
    </w:rPr>
  </w:style>
  <w:style w:type="paragraph" w:styleId="TDC9">
    <w:name w:val="toc 9"/>
    <w:basedOn w:val="Normal"/>
    <w:next w:val="Normal"/>
    <w:autoRedefine/>
    <w:uiPriority w:val="39"/>
    <w:unhideWhenUsed/>
    <w:rsid w:val="00A743FD"/>
    <w:pPr>
      <w:spacing w:after="100"/>
      <w:ind w:left="1920"/>
    </w:pPr>
    <w:rPr>
      <w:rFonts w:eastAsiaTheme="minorEastAsia"/>
      <w:lang w:val="es-419" w:eastAsia="es-419"/>
    </w:rPr>
  </w:style>
  <w:style w:type="paragraph" w:styleId="Tabladeilustraciones">
    <w:name w:val="table of figures"/>
    <w:basedOn w:val="Normal"/>
    <w:next w:val="Normal"/>
    <w:uiPriority w:val="99"/>
    <w:unhideWhenUsed/>
    <w:rsid w:val="00A743F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50332">
      <w:bodyDiv w:val="1"/>
      <w:marLeft w:val="0"/>
      <w:marRight w:val="0"/>
      <w:marTop w:val="0"/>
      <w:marBottom w:val="0"/>
      <w:divBdr>
        <w:top w:val="none" w:sz="0" w:space="0" w:color="auto"/>
        <w:left w:val="none" w:sz="0" w:space="0" w:color="auto"/>
        <w:bottom w:val="none" w:sz="0" w:space="0" w:color="auto"/>
        <w:right w:val="none" w:sz="0" w:space="0" w:color="auto"/>
      </w:divBdr>
    </w:div>
    <w:div w:id="1669361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evistas.ucr.ac.cr/index.php/economicas/article/download/49426/54965/236005" TargetMode="External"/><Relationship Id="rId21" Type="http://schemas.openxmlformats.org/officeDocument/2006/relationships/footer" Target="footer7.xml"/><Relationship Id="rId42" Type="http://schemas.openxmlformats.org/officeDocument/2006/relationships/hyperlink" Target="http://www.pgrweb.go.cr/scij/Busqueda/Normativa/normas/nrm_texto_completo.aspx?nValor1=1&amp;nValor2=29302" TargetMode="External"/><Relationship Id="rId63" Type="http://schemas.openxmlformats.org/officeDocument/2006/relationships/hyperlink" Target="https://www.ubs.com/global/es/wealthmanagement/latamaccess/market-updates/articles/private-markets-leveraged-buyout/_jcr_content/mainpar/toplevelgrid_copy_co/col2/linklist_copy/link_copy_copy_copy_.0744973708.file/PS9jb250ZW50L2RhbS9hc3NldHMvd21hL214L2xhdGFtLWFjY2Vzcy0yMDI0L3czMi9wcml2YXRlLW1hcmtldHMvcHJpdmF0ZS1tYXJrZXQtZWR1Y2F0aW9uLWxldmVyYWdlZC1idXlvdXQtZXMucGRm/private-market-education-leveraged-buyout-es.pdf" TargetMode="External"/><Relationship Id="rId84" Type="http://schemas.openxmlformats.org/officeDocument/2006/relationships/hyperlink" Target="https://repositoriotec.tec.ac.cr/bitstream/handle/2238/10938/AN%C3%81LISIS%20FINANCIERO%20COMPARATIVO%20ENTRE%20FONDOS%20DE%20INVERSI%C3%93N%20Y%20FONDOS%20DE%20PENSI%C3%93N%20COMPLEMENTARIA%20VOLUNTARIA%20EN%20COSTA%20RICA.pdf?sequence=1&amp;isAllowed=y" TargetMode="External"/><Relationship Id="rId138" Type="http://schemas.openxmlformats.org/officeDocument/2006/relationships/hyperlink" Target="https://arts.recursos.uoc.edu/guia-metodologica/es/3-6-2-la-pauta-de-observacion/" TargetMode="External"/><Relationship Id="rId107" Type="http://schemas.openxmlformats.org/officeDocument/2006/relationships/hyperlink" Target="https://es.snhu.edu/blog/cuales-son-los-riesgos-de-las-inversiones-financieras" TargetMode="External"/><Relationship Id="rId11" Type="http://schemas.openxmlformats.org/officeDocument/2006/relationships/image" Target="media/image2.png"/><Relationship Id="rId32" Type="http://schemas.openxmlformats.org/officeDocument/2006/relationships/header" Target="header10.xml"/><Relationship Id="rId53" Type="http://schemas.openxmlformats.org/officeDocument/2006/relationships/hyperlink" Target="https://www.bcrpensiones.fi.cr/estados-financieros" TargetMode="External"/><Relationship Id="rId74" Type="http://schemas.openxmlformats.org/officeDocument/2006/relationships/hyperlink" Target="https://www.grupocpcon.com/es-mx/niif-normas-internacionales-de-informacion-financiera/" TargetMode="External"/><Relationship Id="rId128" Type="http://schemas.openxmlformats.org/officeDocument/2006/relationships/hyperlink" Target="https://www.supen.fi.cr/documents/10179/19821/Memoria+Institucional+2020" TargetMode="External"/><Relationship Id="rId5" Type="http://schemas.openxmlformats.org/officeDocument/2006/relationships/footnotes" Target="footnotes.xml"/><Relationship Id="rId90" Type="http://schemas.openxmlformats.org/officeDocument/2006/relationships/hyperlink" Target="https://www.finect.com/usuario/vanesamatesanz/articulos/que-inversiones-alternativas-caracteristicas-tipos" TargetMode="External"/><Relationship Id="rId95" Type="http://schemas.openxmlformats.org/officeDocument/2006/relationships/hyperlink" Target="https://www.mercer.com/es-es/solutions/investments/alternatives/" TargetMode="External"/><Relationship Id="rId22" Type="http://schemas.openxmlformats.org/officeDocument/2006/relationships/header" Target="header7.xml"/><Relationship Id="rId27" Type="http://schemas.openxmlformats.org/officeDocument/2006/relationships/footer" Target="footer10.xml"/><Relationship Id="rId43" Type="http://schemas.openxmlformats.org/officeDocument/2006/relationships/hyperlink" Target="http://www.pgrweb.go.cr/scij/Busqueda/Normativa/Normas/nrm_texto_completo.aspx?param1=NRTC&amp;nValor1=1&amp;nValor2=43957&amp;nValor3=86104" TargetMode="External"/><Relationship Id="rId48" Type="http://schemas.openxmlformats.org/officeDocument/2006/relationships/hyperlink" Target="https://www.jpmorgan.com/insights/investing/investment-strategy/the-case-for-alternative-investments" TargetMode="External"/><Relationship Id="rId64" Type="http://schemas.openxmlformats.org/officeDocument/2006/relationships/hyperlink" Target="https://www.elfinanciero.com.mx/opinion/colaborador-invitado/inversiones-alternativas-en-tiempos-del-covid-19/" TargetMode="External"/><Relationship Id="rId69" Type="http://schemas.openxmlformats.org/officeDocument/2006/relationships/hyperlink" Target="https://www.finect.com/usuario/eduardogarcia/articulos/jp-morgan-am-si-se-anaden-activos-alternativos-aumenta-la-rentabilidad-y-baja-la-volatilidad" TargetMode="External"/><Relationship Id="rId113" Type="http://schemas.openxmlformats.org/officeDocument/2006/relationships/hyperlink" Target="https://redimpacto.org/wp-content/uploads/2022/12/EstudioInversiondeImpactoenColombia2022_compressed.pdf" TargetMode="External"/><Relationship Id="rId118" Type="http://schemas.openxmlformats.org/officeDocument/2006/relationships/hyperlink" Target="https://rankiapro.com/es/insights/20-mayores-fondos-pensiones-mundo/" TargetMode="External"/><Relationship Id="rId134" Type="http://schemas.openxmlformats.org/officeDocument/2006/relationships/hyperlink" Target="https://virtual.urbe.edu/tesispub/0086454/fase01.pdf" TargetMode="External"/><Relationship Id="rId139" Type="http://schemas.openxmlformats.org/officeDocument/2006/relationships/image" Target="media/image7.png"/><Relationship Id="rId80" Type="http://schemas.openxmlformats.org/officeDocument/2006/relationships/hyperlink" Target="https://www.ifrs.org/content/dam/ifrs/publications/pdf-standards/english/2022/issued/part-a/ifrs-9-financial-instruments.pdf?bypass=on" TargetMode="External"/><Relationship Id="rId85" Type="http://schemas.openxmlformats.org/officeDocument/2006/relationships/hyperlink" Target="https://privatebank.jpmorgan.com/latam/es/insights/markets-and-investing/ideas-and-insights/la-volatilidad-ha-vuelto-a-los-mercados-y-nos-recuerda-la-importancia-de-diversificar" TargetMode="External"/><Relationship Id="rId12" Type="http://schemas.openxmlformats.org/officeDocument/2006/relationships/header" Target="header3.xml"/><Relationship Id="rId17" Type="http://schemas.openxmlformats.org/officeDocument/2006/relationships/header" Target="header5.xml"/><Relationship Id="rId33" Type="http://schemas.openxmlformats.org/officeDocument/2006/relationships/footer" Target="footer11.xml"/><Relationship Id="rId38" Type="http://schemas.openxmlformats.org/officeDocument/2006/relationships/header" Target="header13.xml"/><Relationship Id="rId59" Type="http://schemas.openxmlformats.org/officeDocument/2006/relationships/hyperlink" Target="https://www.fondoscostarica.com/wp-content/uploads/2013/06/Temas_Fondo_Mayo13.pdf" TargetMode="External"/><Relationship Id="rId103" Type="http://schemas.openxmlformats.org/officeDocument/2006/relationships/hyperlink" Target="https://www.redalyc.org/journal/2816/281658256005/html/" TargetMode="External"/><Relationship Id="rId108" Type="http://schemas.openxmlformats.org/officeDocument/2006/relationships/hyperlink" Target="https://es.snhu.edu/blog/cuales-son-las-estrategias-de-inversion-mas-comunes" TargetMode="External"/><Relationship Id="rId124" Type="http://schemas.openxmlformats.org/officeDocument/2006/relationships/hyperlink" Target="https://fitcapital.pe/seleccion-activos-fondos/" TargetMode="External"/><Relationship Id="rId129" Type="http://schemas.openxmlformats.org/officeDocument/2006/relationships/hyperlink" Target="https://www.supen.fi.cr/documents/10179/19821/Informe+de+Supervision+SNP+II+Semestre+2022" TargetMode="External"/><Relationship Id="rId54" Type="http://schemas.openxmlformats.org/officeDocument/2006/relationships/hyperlink" Target="https://www.bnvital.fi.cr/estados-financieros" TargetMode="External"/><Relationship Id="rId70" Type="http://schemas.openxmlformats.org/officeDocument/2006/relationships/hyperlink" Target="https://www.redalyc.org/comocitar.oa?id=571867949007" TargetMode="External"/><Relationship Id="rId75" Type="http://schemas.openxmlformats.org/officeDocument/2006/relationships/hyperlink" Target="https://www.grupocpcon.com/es-mx/niif-normas-internacionales-de-informacion-financiera/" TargetMode="External"/><Relationship Id="rId91" Type="http://schemas.openxmlformats.org/officeDocument/2006/relationships/hyperlink" Target="https://www.finect.com/usuario/vanesamatesanz/articulos/que-inversiones-alternativas-caracteristicas-tipos" TargetMode="External"/><Relationship Id="rId96" Type="http://schemas.openxmlformats.org/officeDocument/2006/relationships/hyperlink" Target="http://scielo.sld.cu/scielo.php?pid=S1727-897X2016000100016&amp;script=sci_arttext&amp;tlng=pt" TargetMode="External"/><Relationship Id="rId140" Type="http://schemas.openxmlformats.org/officeDocument/2006/relationships/image" Target="media/image8.png"/><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footer" Target="footer8.xml"/><Relationship Id="rId28" Type="http://schemas.openxmlformats.org/officeDocument/2006/relationships/image" Target="media/image4.jpeg"/><Relationship Id="rId49" Type="http://schemas.openxmlformats.org/officeDocument/2006/relationships/hyperlink" Target="https://www.baccredomatic.com/sites/default/files/2025-02/cr_informe_regimen_oblig_pensiones_dic_2024.pdf" TargetMode="External"/><Relationship Id="rId114" Type="http://schemas.openxmlformats.org/officeDocument/2006/relationships/hyperlink" Target="https://redimpacto.org/wp-content/uploads/2022/12/EstudioInversiondeImpactoenColombia2022_compressed.pdf" TargetMode="External"/><Relationship Id="rId119" Type="http://schemas.openxmlformats.org/officeDocument/2006/relationships/hyperlink" Target="https://doi.org/10.18800/contabilidad.201701.001" TargetMode="External"/><Relationship Id="rId44" Type="http://schemas.openxmlformats.org/officeDocument/2006/relationships/hyperlink" Target="https://www.asofondos.org.co/publicaciones/informes-anuales" TargetMode="External"/><Relationship Id="rId60" Type="http://schemas.openxmlformats.org/officeDocument/2006/relationships/hyperlink" Target="https://www.ccss.sa.cr/arc/actas/2023/files/9336-b73b7.pdf" TargetMode="External"/><Relationship Id="rId65" Type="http://schemas.openxmlformats.org/officeDocument/2006/relationships/hyperlink" Target="https://delfino.cr/2024/12/popular-pensiones-lidera-rentabilidad-del-rop-a-5-anos-con-rendimientos-superiores-al-promedio-de-la-industria" TargetMode="External"/><Relationship Id="rId81" Type="http://schemas.openxmlformats.org/officeDocument/2006/relationships/hyperlink" Target="https://www.ifrs.org/content/dam/ifrs/publications/pdf-standards/english/2022/issued/part-a/ifrs-9-financial-instruments.pdf?bypass=on" TargetMode="External"/><Relationship Id="rId86" Type="http://schemas.openxmlformats.org/officeDocument/2006/relationships/hyperlink" Target="https://smartasset.com/investing/alternative-investments" TargetMode="External"/><Relationship Id="rId130" Type="http://schemas.openxmlformats.org/officeDocument/2006/relationships/hyperlink" Target="https://www.supen.fi.cr/informes-anuales" TargetMode="External"/><Relationship Id="rId135" Type="http://schemas.openxmlformats.org/officeDocument/2006/relationships/hyperlink" Target="https://www.vidaplena.fi.cr/informes" TargetMode="External"/><Relationship Id="rId13" Type="http://schemas.openxmlformats.org/officeDocument/2006/relationships/footer" Target="footer3.xml"/><Relationship Id="rId18" Type="http://schemas.openxmlformats.org/officeDocument/2006/relationships/footer" Target="footer5.xml"/><Relationship Id="rId39" Type="http://schemas.openxmlformats.org/officeDocument/2006/relationships/footer" Target="footer14.xml"/><Relationship Id="rId109" Type="http://schemas.openxmlformats.org/officeDocument/2006/relationships/hyperlink" Target="https://es.snhu.edu/blog/cuales-son-las-estrategias-de-inversion-mas-comunes" TargetMode="External"/><Relationship Id="rId34" Type="http://schemas.openxmlformats.org/officeDocument/2006/relationships/header" Target="header11.xml"/><Relationship Id="rId50" Type="http://schemas.openxmlformats.org/officeDocument/2006/relationships/hyperlink" Target="https://www.popularpensiones.fi.cr/informes" TargetMode="External"/><Relationship Id="rId55" Type="http://schemas.openxmlformats.org/officeDocument/2006/relationships/hyperlink" Target="https://virtual.urbe.edu/tesispub/0106891/cap03.pdf" TargetMode="External"/><Relationship Id="rId76" Type="http://schemas.openxmlformats.org/officeDocument/2006/relationships/hyperlink" Target="https://www.heinsohn.co/blog/tecnologia-para-la-reforma-del-rop-2025/" TargetMode="External"/><Relationship Id="rId97" Type="http://schemas.openxmlformats.org/officeDocument/2006/relationships/hyperlink" Target="https://mascolombia.com/inversiones-fondos-pensiones-2023/" TargetMode="External"/><Relationship Id="rId104" Type="http://schemas.openxmlformats.org/officeDocument/2006/relationships/hyperlink" Target="https://doi.org/10.47847/faccea.v10n2a5" TargetMode="External"/><Relationship Id="rId120" Type="http://schemas.openxmlformats.org/officeDocument/2006/relationships/hyperlink" Target="https://doi.org/10.21158/01208160.n82.2017.1647" TargetMode="External"/><Relationship Id="rId125" Type="http://schemas.openxmlformats.org/officeDocument/2006/relationships/hyperlink" Target="https://www.supen.fi.cr/documents/10179/19821/Plan+Estrat%C3%A9gico+Institucional+2019-2023" TargetMode="External"/><Relationship Id="rId141" Type="http://schemas.openxmlformats.org/officeDocument/2006/relationships/image" Target="media/image9.png"/><Relationship Id="rId146" Type="http://schemas.openxmlformats.org/officeDocument/2006/relationships/theme" Target="theme/theme1.xml"/><Relationship Id="rId7" Type="http://schemas.openxmlformats.org/officeDocument/2006/relationships/header" Target="header1.xml"/><Relationship Id="rId71" Type="http://schemas.openxmlformats.org/officeDocument/2006/relationships/hyperlink" Target="https://www.redalyc.org/comocitar.oa?id=571867949007" TargetMode="External"/><Relationship Id="rId92" Type="http://schemas.openxmlformats.org/officeDocument/2006/relationships/hyperlink" Target="https://www.finect.com/usuario/vanesamatesanz/articulos/fondos-renta-fija-tipos" TargetMode="External"/><Relationship Id="rId2" Type="http://schemas.openxmlformats.org/officeDocument/2006/relationships/styles" Target="styles.xml"/><Relationship Id="rId29" Type="http://schemas.openxmlformats.org/officeDocument/2006/relationships/image" Target="media/image5.jpeg"/><Relationship Id="rId24" Type="http://schemas.openxmlformats.org/officeDocument/2006/relationships/header" Target="header8.xml"/><Relationship Id="rId40" Type="http://schemas.openxmlformats.org/officeDocument/2006/relationships/hyperlink" Target="https://www.eumed.net/rev/oel/2019/01/instrumentos-financieros-empresas.html" TargetMode="External"/><Relationship Id="rId45" Type="http://schemas.openxmlformats.org/officeDocument/2006/relationships/hyperlink" Target="https://www.asofondos.org.co/publicaciones/informes-anuales" TargetMode="External"/><Relationship Id="rId66" Type="http://schemas.openxmlformats.org/officeDocument/2006/relationships/hyperlink" Target="https://www2.deloitte.com" TargetMode="External"/><Relationship Id="rId87" Type="http://schemas.openxmlformats.org/officeDocument/2006/relationships/hyperlink" Target="https://smartasset.com/investing/alternative-investments" TargetMode="External"/><Relationship Id="rId110" Type="http://schemas.openxmlformats.org/officeDocument/2006/relationships/hyperlink" Target="https://fjp.poder-judicial.go.cr/index.php/informes/2015-03-19-20-47-05/category/418-informes-de-indicadores-de-riesgo-2020?download=2121%3Afebrero-2020" TargetMode="External"/><Relationship Id="rId115" Type="http://schemas.openxmlformats.org/officeDocument/2006/relationships/hyperlink" Target="https://valueschool.es/inversiones-alternativas-en-que-consisten-y-cuales-son-las-mas-recomendables/" TargetMode="External"/><Relationship Id="rId131" Type="http://schemas.openxmlformats.org/officeDocument/2006/relationships/hyperlink" Target="https://www.supen.fi.cr" TargetMode="External"/><Relationship Id="rId136" Type="http://schemas.openxmlformats.org/officeDocument/2006/relationships/header" Target="header14.xml"/><Relationship Id="rId61" Type="http://schemas.openxmlformats.org/officeDocument/2006/relationships/hyperlink" Target="https://repository.uaeh.edu.mx/revistas/index.php/xikua/article/view/334/4436" TargetMode="External"/><Relationship Id="rId82" Type="http://schemas.openxmlformats.org/officeDocument/2006/relationships/hyperlink" Target="https://www.icac.meh.es" TargetMode="External"/><Relationship Id="rId19" Type="http://schemas.openxmlformats.org/officeDocument/2006/relationships/header" Target="header6.xml"/><Relationship Id="rId14"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footer" Target="footer12.xml"/><Relationship Id="rId56" Type="http://schemas.openxmlformats.org/officeDocument/2006/relationships/hyperlink" Target="http://bibliotecas.uasb.edu.bo:8080/bitstream/54000/1319/1/Blanco-%20metodos%20de%20investigaci%c3%b3n.pdf" TargetMode="External"/><Relationship Id="rId77" Type="http://schemas.openxmlformats.org/officeDocument/2006/relationships/hyperlink" Target="https://doi.org/10.1234/rev.econ.fin.2023.002" TargetMode="External"/><Relationship Id="rId100" Type="http://schemas.openxmlformats.org/officeDocument/2006/relationships/hyperlink" Target="https://www.funcionpublica.gov.co/eva/gestornormativo/norma.php?i=144391" TargetMode="External"/><Relationship Id="rId105" Type="http://schemas.openxmlformats.org/officeDocument/2006/relationships/hyperlink" Target="https://www.pwc.com" TargetMode="External"/><Relationship Id="rId126" Type="http://schemas.openxmlformats.org/officeDocument/2006/relationships/hyperlink" Target="https://www.supen.fi.cr/documents/10179/19821/Plan+Estrat%C3%A9gico+Institucional+2019-2023" TargetMode="External"/><Relationship Id="rId8" Type="http://schemas.openxmlformats.org/officeDocument/2006/relationships/footer" Target="footer1.xml"/><Relationship Id="rId51" Type="http://schemas.openxmlformats.org/officeDocument/2006/relationships/hyperlink" Target="https://www.bancopopular.fi.cr/wp-content/uploads/2024/07/Memoria-Anual-2023-Version-PDF-FINAL.pdf" TargetMode="External"/><Relationship Id="rId72" Type="http://schemas.openxmlformats.org/officeDocument/2006/relationships/hyperlink" Target="https://repository.unilibre.edu.co/bitstream/handle/10901/23205/MD0174.pdf?sequence=1" TargetMode="External"/><Relationship Id="rId93" Type="http://schemas.openxmlformats.org/officeDocument/2006/relationships/hyperlink" Target="https://www.finect.com/usuario/vanesamatesanz/articulos/fondos-renta-fija-tipos" TargetMode="External"/><Relationship Id="rId98" Type="http://schemas.openxmlformats.org/officeDocument/2006/relationships/hyperlink" Target="https://mascolombia.com/inversiones-fondos-pensiones-2023/" TargetMode="External"/><Relationship Id="rId121" Type="http://schemas.openxmlformats.org/officeDocument/2006/relationships/hyperlink" Target="https://blog.hubspot.es/marketing/recoleccion-de-datos" TargetMode="External"/><Relationship Id="rId142" Type="http://schemas.openxmlformats.org/officeDocument/2006/relationships/image" Target="media/image10.png"/><Relationship Id="rId3" Type="http://schemas.openxmlformats.org/officeDocument/2006/relationships/settings" Target="settings.xml"/><Relationship Id="rId25" Type="http://schemas.openxmlformats.org/officeDocument/2006/relationships/footer" Target="footer9.xml"/><Relationship Id="rId46" Type="http://schemas.openxmlformats.org/officeDocument/2006/relationships/hyperlink" Target="https://revista.grupocieg.org/wp-content/uploads/2022/11/Ed.58-225-235-Vivas-Argelio.pdf" TargetMode="External"/><Relationship Id="rId67" Type="http://schemas.openxmlformats.org/officeDocument/2006/relationships/hyperlink" Target="https://www2.deloitte.com/tw/en/pages/financial-services/articles/gx-investment-management-industry-outlook.html" TargetMode="External"/><Relationship Id="rId116" Type="http://schemas.openxmlformats.org/officeDocument/2006/relationships/hyperlink" Target="https://valueschool.es/inversiones-alternativas-en-que-consisten-y-cuales-son-las-mas-recomendables/" TargetMode="External"/><Relationship Id="rId137" Type="http://schemas.openxmlformats.org/officeDocument/2006/relationships/footer" Target="footer15.xml"/><Relationship Id="rId20" Type="http://schemas.openxmlformats.org/officeDocument/2006/relationships/footer" Target="footer6.xml"/><Relationship Id="rId41" Type="http://schemas.openxmlformats.org/officeDocument/2006/relationships/hyperlink" Target="http://www.pgrweb.go.cr/scij/Busqueda/Normativa/Normas/nrm_texto_completo.aspx?param1=NRTC&amp;nValor1=1&amp;nValor2=58939&amp;nValor3=73501&amp;param2=1&amp;strTipM=TC&amp;lResultado=2&amp;strSim=simp" TargetMode="External"/><Relationship Id="rId62" Type="http://schemas.openxmlformats.org/officeDocument/2006/relationships/hyperlink" Target="https://www.ubs.com/global/es/wealthmanagement/latamaccess/market-updates/articles/private-markets-leveraged-buyout/_jcr_content/mainpar/toplevelgrid_copy_co/col2/linklist_copy/link_copy_copy_copy_.0744973708.file/PS9jb250ZW50L2RhbS9hc3NldHMvd21hL214L2xhdGFtLWFjY2Vzcy0yMDI0L3czMi9wcml2YXRlLW1hcmtldHMvcHJpdmF0ZS1tYXJrZXQtZWR1Y2F0aW9uLWxldmVyYWdlZC1idXlvdXQtZXMucGRm/private-market-education-leveraged-buyout-es.pdf" TargetMode="External"/><Relationship Id="rId83" Type="http://schemas.openxmlformats.org/officeDocument/2006/relationships/hyperlink" Target="https://repositoriotec.tec.ac.cr/bitstream/handle/2238/10057/Proyecto%20de%20Graduaci%C3%B3n%20FINAL%202017%20Angie%20Bola%C3%B1os%20-%20Adrian%20Cascante%20-%20Jonathan%20Rey%20-%20Ronald%20Vargas.pdf?sequence=1&amp;isAllowed=y" TargetMode="External"/><Relationship Id="rId88" Type="http://schemas.openxmlformats.org/officeDocument/2006/relationships/hyperlink" Target="https://online.hbs.edu/blog/post/what-are-alternative-investments" TargetMode="External"/><Relationship Id="rId111" Type="http://schemas.openxmlformats.org/officeDocument/2006/relationships/hyperlink" Target="https://www.apd.es/que-son-niif/" TargetMode="External"/><Relationship Id="rId132" Type="http://schemas.openxmlformats.org/officeDocument/2006/relationships/hyperlink" Target="https://www.sugeval.fi.cr/Informacion-inversionistas/Documents/Acciones.pdf" TargetMode="External"/><Relationship Id="rId15" Type="http://schemas.openxmlformats.org/officeDocument/2006/relationships/header" Target="header4.xml"/><Relationship Id="rId36" Type="http://schemas.openxmlformats.org/officeDocument/2006/relationships/header" Target="header12.xml"/><Relationship Id="rId57" Type="http://schemas.openxmlformats.org/officeDocument/2006/relationships/hyperlink" Target="http://bibliotecas.uasb.edu.bo:8080/bitstream/54000/1319/1/Blanco-%20metodos%20de%20investigaci%c3%b3n.pdf" TargetMode="External"/><Relationship Id="rId106" Type="http://schemas.openxmlformats.org/officeDocument/2006/relationships/hyperlink" Target="https://es.snhu.edu/blog/cuales-son-los-riesgos-de-las-inversiones-financieras" TargetMode="External"/><Relationship Id="rId127" Type="http://schemas.openxmlformats.org/officeDocument/2006/relationships/hyperlink" Target="https://www.supen.fi.cr/documents/10179/19821/Memoria+Institucional+2020" TargetMode="External"/><Relationship Id="rId10" Type="http://schemas.openxmlformats.org/officeDocument/2006/relationships/footer" Target="footer2.xml"/><Relationship Id="rId31" Type="http://schemas.openxmlformats.org/officeDocument/2006/relationships/chart" Target="charts/chart1.xml"/><Relationship Id="rId52" Type="http://schemas.openxmlformats.org/officeDocument/2006/relationships/hyperlink" Target="https://www.bancopopular.fi.cr/wp-content/uploads/2025/02/Comparativo-de-Rendimientos-y-Comisiones-ENERO-2025.pdf" TargetMode="External"/><Relationship Id="rId73" Type="http://schemas.openxmlformats.org/officeDocument/2006/relationships/hyperlink" Target="https://repository.unilibre.edu.co/bitstream/handle/10901/23205/MD0174.pdf?sequence=1" TargetMode="External"/><Relationship Id="rId78" Type="http://schemas.openxmlformats.org/officeDocument/2006/relationships/hyperlink" Target="https://doi.org/10.1234/rev.econ.fin.2023.002" TargetMode="External"/><Relationship Id="rId94" Type="http://schemas.openxmlformats.org/officeDocument/2006/relationships/hyperlink" Target="https://www.mercer.com/es-es/solutions/investments/alternatives/" TargetMode="External"/><Relationship Id="rId99" Type="http://schemas.openxmlformats.org/officeDocument/2006/relationships/hyperlink" Target="https://investigaliacr.com/investigacion/entrevistas-semiestructuradas-en-investigacion-cualitativa-entrevista-focalizada-y-entrevista-semiestandarizada/" TargetMode="External"/><Relationship Id="rId101" Type="http://schemas.openxmlformats.org/officeDocument/2006/relationships/hyperlink" Target="https://www.oecd.org/daf/fin/private-pensions/Pension-Markets-in-Focus-2022.pdf" TargetMode="External"/><Relationship Id="rId122" Type="http://schemas.openxmlformats.org/officeDocument/2006/relationships/hyperlink" Target="https://semanariouniversidad.com/pais/popular-pensiones-bac-y-bn-vital-dispararon-rop-en-el-extranjero-en-2021-bajo-el-ojo-de-la-supen/" TargetMode="External"/><Relationship Id="rId143" Type="http://schemas.openxmlformats.org/officeDocument/2006/relationships/footer" Target="footer16.xml"/><Relationship Id="rId4" Type="http://schemas.openxmlformats.org/officeDocument/2006/relationships/webSettings" Target="webSettings.xml"/><Relationship Id="rId9" Type="http://schemas.openxmlformats.org/officeDocument/2006/relationships/header" Target="header2.xml"/><Relationship Id="rId26" Type="http://schemas.openxmlformats.org/officeDocument/2006/relationships/header" Target="header9.xml"/><Relationship Id="rId47" Type="http://schemas.openxmlformats.org/officeDocument/2006/relationships/hyperlink" Target="https://www.jpmorgan.com/insights/investing/investment-strategy/the-case-for-alternative-investments" TargetMode="External"/><Relationship Id="rId68" Type="http://schemas.openxmlformats.org/officeDocument/2006/relationships/hyperlink" Target="https://www.fiapinternacional.org/wp-content/uploads/2020/06/np-46-junio-esp.pdf" TargetMode="External"/><Relationship Id="rId89" Type="http://schemas.openxmlformats.org/officeDocument/2006/relationships/hyperlink" Target="https://online.hbs.edu/blog/post/what-are-alternative-investments" TargetMode="External"/><Relationship Id="rId112" Type="http://schemas.openxmlformats.org/officeDocument/2006/relationships/hyperlink" Target="https://www.scielo.sa.cr/scielo.php?script=sci_arttext&amp;pid=S1659-28592019000100075" TargetMode="External"/><Relationship Id="rId133" Type="http://schemas.openxmlformats.org/officeDocument/2006/relationships/hyperlink" Target="https://www.sugeval.fi.cr/Informacion-inversionistas/Documents/Acciones.pdf" TargetMode="External"/><Relationship Id="rId16" Type="http://schemas.openxmlformats.org/officeDocument/2006/relationships/footer" Target="footer4.xml"/><Relationship Id="rId37" Type="http://schemas.openxmlformats.org/officeDocument/2006/relationships/footer" Target="footer13.xml"/><Relationship Id="rId58" Type="http://schemas.openxmlformats.org/officeDocument/2006/relationships/hyperlink" Target="https://www.bolsacr.com/sites/default/files/Prensa/cb_glosario_final.pdf" TargetMode="External"/><Relationship Id="rId79" Type="http://schemas.openxmlformats.org/officeDocument/2006/relationships/hyperlink" Target="https://www.harvard-deusto.com/la-reevolucion-de-los-servicios-financieros" TargetMode="External"/><Relationship Id="rId102" Type="http://schemas.openxmlformats.org/officeDocument/2006/relationships/hyperlink" Target="https://www.oecd.org/daf/fin/private-pensions/Pension-Markets-in-Focus-2022.pdf" TargetMode="External"/><Relationship Id="rId123" Type="http://schemas.openxmlformats.org/officeDocument/2006/relationships/hyperlink" Target="https://semanariouniversidad.com/pais/rop-se-achica-en-%E2%82%A1441-000-millones-por-malos-rendimientos-en-pensiones/" TargetMode="External"/><Relationship Id="rId144" Type="http://schemas.openxmlformats.org/officeDocument/2006/relationships/footer" Target="footer17.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CR" sz="1200" b="1">
                <a:solidFill>
                  <a:sysClr val="windowText" lastClr="000000"/>
                </a:solidFill>
                <a:effectLst/>
                <a:latin typeface="Times New Roman" panose="02020603050405020304" pitchFamily="18" charset="0"/>
                <a:cs typeface="Times New Roman" panose="02020603050405020304" pitchFamily="18" charset="0"/>
              </a:rPr>
              <a:t>Gráfico 3: Nivel de Cumplimiento, Evaluación del Índice promedio por operadora</a:t>
            </a:r>
            <a:endParaRPr lang="es-419" sz="120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419"/>
        </a:p>
      </c:txPr>
    </c:title>
    <c:autoTitleDeleted val="0"/>
    <c:plotArea>
      <c:layout/>
      <c:radarChart>
        <c:radarStyle val="marker"/>
        <c:varyColors val="0"/>
        <c:ser>
          <c:idx val="0"/>
          <c:order val="0"/>
          <c:tx>
            <c:strRef>
              <c:f>Hoja1!$B$1</c:f>
              <c:strCache>
                <c:ptCount val="1"/>
                <c:pt idx="0">
                  <c:v>BAC Pensiones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Hoja1!$B$2:$B$8</c:f>
              <c:numCache>
                <c:formatCode>General</c:formatCode>
                <c:ptCount val="7"/>
                <c:pt idx="0">
                  <c:v>5</c:v>
                </c:pt>
                <c:pt idx="1">
                  <c:v>4</c:v>
                </c:pt>
                <c:pt idx="2">
                  <c:v>5</c:v>
                </c:pt>
                <c:pt idx="3">
                  <c:v>5</c:v>
                </c:pt>
                <c:pt idx="4">
                  <c:v>5</c:v>
                </c:pt>
                <c:pt idx="5">
                  <c:v>5</c:v>
                </c:pt>
                <c:pt idx="6">
                  <c:v>4</c:v>
                </c:pt>
              </c:numCache>
            </c:numRef>
          </c:val>
          <c:extLst>
            <c:ext xmlns:c16="http://schemas.microsoft.com/office/drawing/2014/chart" uri="{C3380CC4-5D6E-409C-BE32-E72D297353CC}">
              <c16:uniqueId val="{00000000-419F-4C3E-B57A-843160DE442F}"/>
            </c:ext>
          </c:extLst>
        </c:ser>
        <c:ser>
          <c:idx val="1"/>
          <c:order val="1"/>
          <c:tx>
            <c:strRef>
              <c:f>Hoja1!$C$1</c:f>
              <c:strCache>
                <c:ptCount val="1"/>
                <c:pt idx="0">
                  <c:v>OPC CCSS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Hoja1!$C$2:$C$8</c:f>
              <c:numCache>
                <c:formatCode>General</c:formatCode>
                <c:ptCount val="7"/>
                <c:pt idx="0">
                  <c:v>4</c:v>
                </c:pt>
                <c:pt idx="1">
                  <c:v>3</c:v>
                </c:pt>
                <c:pt idx="2">
                  <c:v>4</c:v>
                </c:pt>
                <c:pt idx="3">
                  <c:v>4</c:v>
                </c:pt>
                <c:pt idx="4">
                  <c:v>4</c:v>
                </c:pt>
                <c:pt idx="5">
                  <c:v>5</c:v>
                </c:pt>
                <c:pt idx="6">
                  <c:v>3</c:v>
                </c:pt>
              </c:numCache>
            </c:numRef>
          </c:val>
          <c:extLst>
            <c:ext xmlns:c16="http://schemas.microsoft.com/office/drawing/2014/chart" uri="{C3380CC4-5D6E-409C-BE32-E72D297353CC}">
              <c16:uniqueId val="{00000001-419F-4C3E-B57A-843160DE442F}"/>
            </c:ext>
          </c:extLst>
        </c:ser>
        <c:ser>
          <c:idx val="2"/>
          <c:order val="2"/>
          <c:tx>
            <c:strRef>
              <c:f>Hoja1!$D$1</c:f>
              <c:strCache>
                <c:ptCount val="1"/>
                <c:pt idx="0">
                  <c:v>Popular Pensiones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Hoja1!$D$2:$D$8</c:f>
              <c:numCache>
                <c:formatCode>General</c:formatCode>
                <c:ptCount val="7"/>
                <c:pt idx="0">
                  <c:v>5</c:v>
                </c:pt>
                <c:pt idx="1">
                  <c:v>4</c:v>
                </c:pt>
                <c:pt idx="2">
                  <c:v>5</c:v>
                </c:pt>
                <c:pt idx="3">
                  <c:v>4</c:v>
                </c:pt>
                <c:pt idx="4">
                  <c:v>4</c:v>
                </c:pt>
                <c:pt idx="5">
                  <c:v>4</c:v>
                </c:pt>
                <c:pt idx="6">
                  <c:v>4</c:v>
                </c:pt>
              </c:numCache>
            </c:numRef>
          </c:val>
          <c:extLst>
            <c:ext xmlns:c16="http://schemas.microsoft.com/office/drawing/2014/chart" uri="{C3380CC4-5D6E-409C-BE32-E72D297353CC}">
              <c16:uniqueId val="{00000002-419F-4C3E-B57A-843160DE442F}"/>
            </c:ext>
          </c:extLst>
        </c:ser>
        <c:ser>
          <c:idx val="3"/>
          <c:order val="3"/>
          <c:tx>
            <c:strRef>
              <c:f>Hoja1!$E$1</c:f>
              <c:strCache>
                <c:ptCount val="1"/>
                <c:pt idx="0">
                  <c:v>BCR Pensiones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Hoja1!$E$2:$E$8</c:f>
              <c:numCache>
                <c:formatCode>General</c:formatCode>
                <c:ptCount val="7"/>
                <c:pt idx="0">
                  <c:v>4</c:v>
                </c:pt>
                <c:pt idx="1">
                  <c:v>3</c:v>
                </c:pt>
                <c:pt idx="2">
                  <c:v>4</c:v>
                </c:pt>
                <c:pt idx="3">
                  <c:v>4</c:v>
                </c:pt>
                <c:pt idx="4">
                  <c:v>4</c:v>
                </c:pt>
                <c:pt idx="5">
                  <c:v>4</c:v>
                </c:pt>
                <c:pt idx="6">
                  <c:v>3</c:v>
                </c:pt>
              </c:numCache>
            </c:numRef>
          </c:val>
          <c:extLst>
            <c:ext xmlns:c16="http://schemas.microsoft.com/office/drawing/2014/chart" uri="{C3380CC4-5D6E-409C-BE32-E72D297353CC}">
              <c16:uniqueId val="{00000003-419F-4C3E-B57A-843160DE442F}"/>
            </c:ext>
          </c:extLst>
        </c:ser>
        <c:ser>
          <c:idx val="4"/>
          <c:order val="4"/>
          <c:tx>
            <c:strRef>
              <c:f>Hoja1!$F$1</c:f>
              <c:strCache>
                <c:ptCount val="1"/>
                <c:pt idx="0">
                  <c:v>BN Vital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Hoja1!$F$2:$F$8</c:f>
              <c:numCache>
                <c:formatCode>General</c:formatCode>
                <c:ptCount val="7"/>
                <c:pt idx="0">
                  <c:v>4</c:v>
                </c:pt>
                <c:pt idx="1">
                  <c:v>3</c:v>
                </c:pt>
                <c:pt idx="2">
                  <c:v>4</c:v>
                </c:pt>
                <c:pt idx="3">
                  <c:v>3</c:v>
                </c:pt>
                <c:pt idx="4">
                  <c:v>4</c:v>
                </c:pt>
                <c:pt idx="5">
                  <c:v>4</c:v>
                </c:pt>
                <c:pt idx="6">
                  <c:v>3</c:v>
                </c:pt>
              </c:numCache>
            </c:numRef>
          </c:val>
          <c:extLst>
            <c:ext xmlns:c16="http://schemas.microsoft.com/office/drawing/2014/chart" uri="{C3380CC4-5D6E-409C-BE32-E72D297353CC}">
              <c16:uniqueId val="{00000004-419F-4C3E-B57A-843160DE442F}"/>
            </c:ext>
          </c:extLst>
        </c:ser>
        <c:ser>
          <c:idx val="5"/>
          <c:order val="5"/>
          <c:tx>
            <c:strRef>
              <c:f>Hoja1!$G$1</c:f>
              <c:strCache>
                <c:ptCount val="1"/>
                <c:pt idx="0">
                  <c:v>Vida Plena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Hoja1!$A$2:$A$8</c:f>
              <c:strCache>
                <c:ptCount val="7"/>
                <c:pt idx="0">
                  <c:v>Consistencia con la normativa contable</c:v>
                </c:pt>
                <c:pt idx="1">
                  <c:v>Sistemas contables y tecnológicos</c:v>
                </c:pt>
                <c:pt idx="2">
                  <c:v>Auditoría y control interno</c:v>
                </c:pt>
                <c:pt idx="3">
                  <c:v>Errores o ajustes posteriores</c:v>
                </c:pt>
                <c:pt idx="4">
                  <c:v>Opinión de auditores externos</c:v>
                </c:pt>
                <c:pt idx="5">
                  <c:v>Sanciones o advertencias de la SUPEN</c:v>
                </c:pt>
                <c:pt idx="6">
                  <c:v>Capacidades técnicas y profesionales</c:v>
                </c:pt>
              </c:strCache>
            </c:strRef>
          </c:cat>
          <c:val>
            <c:numRef>
              <c:f>Hoja1!$G$2:$G$8</c:f>
              <c:numCache>
                <c:formatCode>General</c:formatCode>
                <c:ptCount val="7"/>
                <c:pt idx="0">
                  <c:v>3</c:v>
                </c:pt>
                <c:pt idx="1">
                  <c:v>2</c:v>
                </c:pt>
                <c:pt idx="2">
                  <c:v>3</c:v>
                </c:pt>
                <c:pt idx="3">
                  <c:v>3</c:v>
                </c:pt>
                <c:pt idx="4">
                  <c:v>3</c:v>
                </c:pt>
                <c:pt idx="5">
                  <c:v>3</c:v>
                </c:pt>
                <c:pt idx="6">
                  <c:v>2</c:v>
                </c:pt>
              </c:numCache>
            </c:numRef>
          </c:val>
          <c:extLst>
            <c:ext xmlns:c16="http://schemas.microsoft.com/office/drawing/2014/chart" uri="{C3380CC4-5D6E-409C-BE32-E72D297353CC}">
              <c16:uniqueId val="{00000005-419F-4C3E-B57A-843160DE442F}"/>
            </c:ext>
          </c:extLst>
        </c:ser>
        <c:dLbls>
          <c:showLegendKey val="0"/>
          <c:showVal val="0"/>
          <c:showCatName val="0"/>
          <c:showSerName val="0"/>
          <c:showPercent val="0"/>
          <c:showBubbleSize val="0"/>
        </c:dLbls>
        <c:axId val="39696111"/>
        <c:axId val="39690831"/>
      </c:radarChart>
      <c:catAx>
        <c:axId val="39696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419"/>
          </a:p>
        </c:txPr>
        <c:crossAx val="39690831"/>
        <c:crosses val="autoZero"/>
        <c:auto val="1"/>
        <c:lblAlgn val="ctr"/>
        <c:lblOffset val="100"/>
        <c:noMultiLvlLbl val="0"/>
      </c:catAx>
      <c:valAx>
        <c:axId val="39690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969611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723</TotalTime>
  <Pages>268</Pages>
  <Words>62580</Words>
  <Characters>344191</Characters>
  <Application>Microsoft Office Word</Application>
  <DocSecurity>0</DocSecurity>
  <Lines>2868</Lines>
  <Paragraphs>811</Paragraphs>
  <ScaleCrop>false</ScaleCrop>
  <Company>BANCO CENTRAL DE COSTA RICA</Company>
  <LinksUpToDate>false</LinksUpToDate>
  <CharactersWithSpaces>405960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CABRERA AGUERO GABRIEL</dc:creator>
  <cp:keywords/>
  <dc:description/>
  <cp:lastModifiedBy>CABRERA AGUERO GABRIEL</cp:lastModifiedBy>
  <cp:revision>53</cp:revision>
  <cp:lastPrinted>2025-07-02T23:03:00Z</cp:lastPrinted>
  <dcterms:created xsi:type="dcterms:W3CDTF">2025-06-20T21:08:00Z</dcterms:created>
  <dcterms:modified xsi:type="dcterms:W3CDTF">2025-07-02T23:03:00Z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4247fd57,60646ec,60c8e39e</vt:lpwstr>
  </property>
  <property fmtid="{D5CDD505-2E9C-101B-9397-08002B2CF9AE}" pid="3" name="ClassificationContentMarkingFooterFontProps">
    <vt:lpwstr>#000000,10,Calibri</vt:lpwstr>
  </property>
  <property fmtid="{D5CDD505-2E9C-101B-9397-08002B2CF9AE}" pid="4" name="ClassificationContentMarkingFooterText">
    <vt:lpwstr>Uso Interno</vt:lpwstr>
  </property>
  <property fmtid="{D5CDD505-2E9C-101B-9397-08002B2CF9AE}" pid="5" name="MSIP_Label_b8b4be34-365a-4a68-b9fb-75c1b6874315_Enabled">
    <vt:lpwstr>true</vt:lpwstr>
  </property>
  <property fmtid="{D5CDD505-2E9C-101B-9397-08002B2CF9AE}" pid="6" name="MSIP_Label_b8b4be34-365a-4a68-b9fb-75c1b6874315_SetDate">
    <vt:lpwstr>2025-06-20T21:08:46Z</vt:lpwstr>
  </property>
  <property fmtid="{D5CDD505-2E9C-101B-9397-08002B2CF9AE}" pid="7" name="MSIP_Label_b8b4be34-365a-4a68-b9fb-75c1b6874315_Method">
    <vt:lpwstr>Standard</vt:lpwstr>
  </property>
  <property fmtid="{D5CDD505-2E9C-101B-9397-08002B2CF9AE}" pid="8" name="MSIP_Label_b8b4be34-365a-4a68-b9fb-75c1b6874315_Name">
    <vt:lpwstr>b8b4be34-365a-4a68-b9fb-75c1b6874315</vt:lpwstr>
  </property>
  <property fmtid="{D5CDD505-2E9C-101B-9397-08002B2CF9AE}" pid="9" name="MSIP_Label_b8b4be34-365a-4a68-b9fb-75c1b6874315_SiteId">
    <vt:lpwstr>618d0a45-25a6-4618-9f80-8f70a435ee52</vt:lpwstr>
  </property>
  <property fmtid="{D5CDD505-2E9C-101B-9397-08002B2CF9AE}" pid="10" name="MSIP_Label_b8b4be34-365a-4a68-b9fb-75c1b6874315_ActionId">
    <vt:lpwstr>bc76b120-d18b-4161-8513-a1973b229669</vt:lpwstr>
  </property>
  <property fmtid="{D5CDD505-2E9C-101B-9397-08002B2CF9AE}" pid="11" name="MSIP_Label_b8b4be34-365a-4a68-b9fb-75c1b6874315_ContentBits">
    <vt:lpwstr>2</vt:lpwstr>
  </property>
  <property fmtid="{D5CDD505-2E9C-101B-9397-08002B2CF9AE}" pid="12" name="MSIP_Label_b8b4be34-365a-4a68-b9fb-75c1b6874315_Tag">
    <vt:lpwstr>10, 3, 0, 1</vt:lpwstr>
  </property>
</Properties>
</file>