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E3CAC" w14:textId="77777777" w:rsidR="00DC6E9A" w:rsidRPr="005D1294" w:rsidRDefault="00DC6E9A" w:rsidP="00DC6E9A">
      <w:pPr>
        <w:spacing w:after="0"/>
        <w:rPr>
          <w:rFonts w:cs="Times New Roman"/>
          <w:b/>
          <w:szCs w:val="24"/>
        </w:rPr>
      </w:pPr>
      <w:r w:rsidRPr="005D1294">
        <w:rPr>
          <w:rFonts w:cs="Times New Roman"/>
          <w:b/>
          <w:szCs w:val="24"/>
        </w:rPr>
        <w:t xml:space="preserve">Universidad Nacional </w:t>
      </w:r>
    </w:p>
    <w:p w14:paraId="2DAA78FD" w14:textId="77777777" w:rsidR="00DC6E9A" w:rsidRPr="005D1294" w:rsidRDefault="00DC6E9A" w:rsidP="00DC6E9A">
      <w:pPr>
        <w:spacing w:after="0"/>
        <w:rPr>
          <w:rFonts w:cs="Times New Roman"/>
          <w:b/>
          <w:szCs w:val="24"/>
        </w:rPr>
      </w:pPr>
      <w:r w:rsidRPr="005D1294">
        <w:rPr>
          <w:rFonts w:cs="Times New Roman"/>
          <w:b/>
          <w:szCs w:val="24"/>
        </w:rPr>
        <w:t>Facultad de Ciencias Exactas y Naturales</w:t>
      </w:r>
    </w:p>
    <w:p w14:paraId="7FF047F7" w14:textId="77777777" w:rsidR="00DC6E9A" w:rsidRDefault="00DC6E9A" w:rsidP="00DC6E9A">
      <w:pPr>
        <w:spacing w:after="0"/>
        <w:rPr>
          <w:rFonts w:cs="Times New Roman"/>
          <w:b/>
          <w:szCs w:val="24"/>
        </w:rPr>
      </w:pPr>
      <w:r w:rsidRPr="005D1294">
        <w:rPr>
          <w:rFonts w:cs="Times New Roman"/>
          <w:b/>
          <w:szCs w:val="24"/>
        </w:rPr>
        <w:t xml:space="preserve">Escuela de Ciencias Biológicas </w:t>
      </w:r>
    </w:p>
    <w:p w14:paraId="4005C890" w14:textId="77777777" w:rsidR="00DC6E9A" w:rsidRDefault="00DC6E9A" w:rsidP="00DC6E9A">
      <w:pPr>
        <w:spacing w:after="0"/>
        <w:rPr>
          <w:rFonts w:cs="Times New Roman"/>
          <w:b/>
          <w:szCs w:val="24"/>
        </w:rPr>
      </w:pPr>
      <w:r>
        <w:rPr>
          <w:rFonts w:cs="Times New Roman"/>
          <w:b/>
          <w:szCs w:val="24"/>
        </w:rPr>
        <w:t>Licenciatura en Biotecnología</w:t>
      </w:r>
    </w:p>
    <w:p w14:paraId="38EC23A4" w14:textId="77777777" w:rsidR="00DC6E9A" w:rsidRDefault="00DC6E9A" w:rsidP="00DC6E9A">
      <w:pPr>
        <w:spacing w:after="0"/>
        <w:rPr>
          <w:rFonts w:cs="Times New Roman"/>
          <w:b/>
          <w:szCs w:val="24"/>
        </w:rPr>
      </w:pPr>
    </w:p>
    <w:p w14:paraId="5620108F" w14:textId="77777777" w:rsidR="00DC6E9A" w:rsidRPr="005D1294" w:rsidRDefault="00DC6E9A" w:rsidP="00DC6E9A">
      <w:pPr>
        <w:spacing w:after="0"/>
        <w:rPr>
          <w:rFonts w:cs="Times New Roman"/>
          <w:b/>
          <w:szCs w:val="24"/>
        </w:rPr>
      </w:pPr>
    </w:p>
    <w:p w14:paraId="272830D1" w14:textId="77777777" w:rsidR="001738DF" w:rsidRDefault="001738DF" w:rsidP="00DC6E9A">
      <w:pPr>
        <w:spacing w:after="0" w:line="276" w:lineRule="auto"/>
        <w:jc w:val="center"/>
        <w:rPr>
          <w:rFonts w:cs="Times New Roman"/>
          <w:b/>
          <w:szCs w:val="24"/>
        </w:rPr>
      </w:pPr>
    </w:p>
    <w:p w14:paraId="4BE586DC" w14:textId="77777777" w:rsidR="00DC6E9A" w:rsidRDefault="00DC6E9A" w:rsidP="00DC6E9A">
      <w:pPr>
        <w:spacing w:after="0" w:line="276" w:lineRule="auto"/>
        <w:jc w:val="center"/>
        <w:rPr>
          <w:rFonts w:cs="Times New Roman"/>
          <w:b/>
          <w:szCs w:val="24"/>
        </w:rPr>
      </w:pPr>
      <w:r>
        <w:rPr>
          <w:rFonts w:cs="Times New Roman"/>
          <w:b/>
          <w:szCs w:val="24"/>
        </w:rPr>
        <w:t>Informe Escrito Final</w:t>
      </w:r>
    </w:p>
    <w:p w14:paraId="3F7383F5" w14:textId="77777777" w:rsidR="00DC6E9A" w:rsidRDefault="00DC6E9A" w:rsidP="00DC6E9A">
      <w:pPr>
        <w:spacing w:after="0"/>
        <w:jc w:val="center"/>
        <w:rPr>
          <w:rFonts w:cs="Times New Roman"/>
          <w:b/>
          <w:szCs w:val="24"/>
        </w:rPr>
      </w:pPr>
    </w:p>
    <w:p w14:paraId="4D9A2645" w14:textId="77777777" w:rsidR="00DC6E9A" w:rsidRDefault="00DC6E9A" w:rsidP="00DC6E9A">
      <w:pPr>
        <w:spacing w:after="0"/>
        <w:jc w:val="center"/>
        <w:rPr>
          <w:rFonts w:cs="Times New Roman"/>
          <w:b/>
          <w:szCs w:val="24"/>
        </w:rPr>
      </w:pPr>
    </w:p>
    <w:p w14:paraId="2DBAFDDC" w14:textId="77777777" w:rsidR="001738DF" w:rsidRDefault="001738DF" w:rsidP="00DC6E9A">
      <w:pPr>
        <w:spacing w:after="0"/>
        <w:jc w:val="center"/>
        <w:rPr>
          <w:rFonts w:cs="Times New Roman"/>
          <w:b/>
          <w:szCs w:val="24"/>
        </w:rPr>
      </w:pPr>
    </w:p>
    <w:p w14:paraId="79A99DC3" w14:textId="77777777" w:rsidR="00DC6E9A" w:rsidRDefault="00DC6E9A" w:rsidP="00DC6E9A">
      <w:pPr>
        <w:spacing w:after="0"/>
        <w:jc w:val="center"/>
        <w:rPr>
          <w:rFonts w:cs="Times New Roman"/>
          <w:b/>
          <w:szCs w:val="24"/>
        </w:rPr>
      </w:pPr>
    </w:p>
    <w:p w14:paraId="7B162E8F" w14:textId="77777777" w:rsidR="00DC6E9A" w:rsidRDefault="00DC6E9A" w:rsidP="00DC6E9A">
      <w:pPr>
        <w:spacing w:after="0" w:line="276" w:lineRule="auto"/>
        <w:jc w:val="center"/>
        <w:rPr>
          <w:rFonts w:cs="Times New Roman"/>
          <w:b/>
          <w:szCs w:val="24"/>
        </w:rPr>
      </w:pPr>
      <w:r w:rsidRPr="000D37FA">
        <w:rPr>
          <w:rFonts w:cs="Times New Roman"/>
          <w:b/>
          <w:szCs w:val="24"/>
        </w:rPr>
        <w:t xml:space="preserve">Evaluación del potencial de cepas de hongos marinos aislados de sedimentos de manglar para la </w:t>
      </w:r>
      <w:r>
        <w:rPr>
          <w:rFonts w:cs="Times New Roman"/>
          <w:b/>
          <w:szCs w:val="24"/>
        </w:rPr>
        <w:t>obtención</w:t>
      </w:r>
      <w:r w:rsidRPr="000D37FA">
        <w:rPr>
          <w:rFonts w:cs="Times New Roman"/>
          <w:b/>
          <w:szCs w:val="24"/>
        </w:rPr>
        <w:t xml:space="preserve"> de </w:t>
      </w:r>
      <w:r>
        <w:rPr>
          <w:rFonts w:cs="Times New Roman"/>
          <w:b/>
          <w:szCs w:val="24"/>
        </w:rPr>
        <w:t>moléculas con actividad antimicrobiana</w:t>
      </w:r>
    </w:p>
    <w:p w14:paraId="1D05135F" w14:textId="77777777" w:rsidR="00DC6E9A" w:rsidRDefault="00DC6E9A" w:rsidP="00DC6E9A">
      <w:pPr>
        <w:spacing w:after="0"/>
        <w:jc w:val="center"/>
        <w:rPr>
          <w:rFonts w:cs="Times New Roman"/>
          <w:b/>
          <w:szCs w:val="24"/>
        </w:rPr>
      </w:pPr>
    </w:p>
    <w:p w14:paraId="66C4DAE2" w14:textId="77777777" w:rsidR="00DC6E9A" w:rsidRDefault="00DC6E9A" w:rsidP="00DC6E9A">
      <w:pPr>
        <w:spacing w:after="0"/>
        <w:jc w:val="center"/>
        <w:rPr>
          <w:rFonts w:cs="Times New Roman"/>
          <w:b/>
          <w:szCs w:val="24"/>
        </w:rPr>
      </w:pPr>
    </w:p>
    <w:p w14:paraId="290DF2DC" w14:textId="77777777" w:rsidR="001738DF" w:rsidRDefault="001738DF" w:rsidP="00DC6E9A">
      <w:pPr>
        <w:spacing w:after="0"/>
        <w:jc w:val="center"/>
        <w:rPr>
          <w:rFonts w:cs="Times New Roman"/>
          <w:b/>
          <w:szCs w:val="24"/>
        </w:rPr>
      </w:pPr>
    </w:p>
    <w:p w14:paraId="172AA4D6" w14:textId="77777777" w:rsidR="00DC6E9A" w:rsidRDefault="00DC6E9A" w:rsidP="00DC6E9A">
      <w:pPr>
        <w:spacing w:after="0"/>
        <w:jc w:val="center"/>
        <w:rPr>
          <w:rFonts w:cs="Times New Roman"/>
          <w:b/>
          <w:szCs w:val="24"/>
        </w:rPr>
      </w:pPr>
    </w:p>
    <w:p w14:paraId="5A026116" w14:textId="77777777" w:rsidR="00DC6E9A" w:rsidRDefault="00DC6E9A" w:rsidP="00DC6E9A">
      <w:pPr>
        <w:spacing w:after="0"/>
        <w:jc w:val="center"/>
        <w:rPr>
          <w:rFonts w:cs="Times New Roman"/>
          <w:b/>
          <w:szCs w:val="24"/>
        </w:rPr>
      </w:pPr>
      <w:r>
        <w:rPr>
          <w:rFonts w:cs="Times New Roman"/>
          <w:b/>
          <w:szCs w:val="24"/>
        </w:rPr>
        <w:t xml:space="preserve">Tesis </w:t>
      </w:r>
      <w:r w:rsidRPr="00F64429">
        <w:rPr>
          <w:rFonts w:cs="Times New Roman"/>
          <w:b/>
          <w:szCs w:val="24"/>
        </w:rPr>
        <w:t>presentada como requisito parcial para</w:t>
      </w:r>
      <w:r>
        <w:rPr>
          <w:rFonts w:cs="Times New Roman"/>
          <w:b/>
          <w:szCs w:val="24"/>
        </w:rPr>
        <w:t xml:space="preserve"> </w:t>
      </w:r>
      <w:r w:rsidRPr="00F64429">
        <w:rPr>
          <w:rFonts w:cs="Times New Roman"/>
          <w:b/>
          <w:szCs w:val="24"/>
        </w:rPr>
        <w:t>optar al grado de Licenciatura</w:t>
      </w:r>
      <w:r>
        <w:rPr>
          <w:rFonts w:cs="Times New Roman"/>
          <w:b/>
          <w:szCs w:val="24"/>
        </w:rPr>
        <w:t xml:space="preserve"> en Biotecnología</w:t>
      </w:r>
    </w:p>
    <w:p w14:paraId="28535D70" w14:textId="77777777" w:rsidR="00DC6E9A" w:rsidRDefault="00DC6E9A" w:rsidP="00DC6E9A">
      <w:pPr>
        <w:spacing w:after="0"/>
        <w:jc w:val="center"/>
        <w:rPr>
          <w:rFonts w:cs="Times New Roman"/>
          <w:b/>
          <w:szCs w:val="24"/>
        </w:rPr>
      </w:pPr>
    </w:p>
    <w:p w14:paraId="2134605D" w14:textId="77777777" w:rsidR="00DC6E9A" w:rsidRDefault="00DC6E9A" w:rsidP="00DC6E9A">
      <w:pPr>
        <w:spacing w:after="0"/>
        <w:jc w:val="center"/>
        <w:rPr>
          <w:rFonts w:cs="Times New Roman"/>
          <w:b/>
          <w:szCs w:val="24"/>
        </w:rPr>
      </w:pPr>
    </w:p>
    <w:p w14:paraId="71619EFB" w14:textId="77777777" w:rsidR="00DC6E9A" w:rsidRDefault="00DC6E9A" w:rsidP="00DC6E9A">
      <w:pPr>
        <w:spacing w:after="0"/>
        <w:jc w:val="center"/>
        <w:rPr>
          <w:rFonts w:cs="Times New Roman"/>
          <w:b/>
          <w:szCs w:val="24"/>
        </w:rPr>
      </w:pPr>
    </w:p>
    <w:p w14:paraId="491D0329" w14:textId="77777777" w:rsidR="00DC6E9A" w:rsidRDefault="00DC6E9A" w:rsidP="00DC6E9A">
      <w:pPr>
        <w:spacing w:after="0"/>
        <w:jc w:val="center"/>
        <w:rPr>
          <w:rFonts w:cs="Times New Roman"/>
          <w:b/>
          <w:szCs w:val="24"/>
        </w:rPr>
      </w:pPr>
    </w:p>
    <w:p w14:paraId="790F1F06" w14:textId="77777777" w:rsidR="00DC6E9A" w:rsidRPr="00A00D6F" w:rsidRDefault="00DC6E9A" w:rsidP="00DC6E9A">
      <w:pPr>
        <w:spacing w:after="0" w:line="276" w:lineRule="auto"/>
        <w:jc w:val="center"/>
        <w:rPr>
          <w:rFonts w:cs="Times New Roman"/>
          <w:b/>
          <w:szCs w:val="24"/>
        </w:rPr>
      </w:pPr>
      <w:r w:rsidRPr="00A00D6F">
        <w:rPr>
          <w:rFonts w:cs="Times New Roman"/>
          <w:b/>
          <w:szCs w:val="24"/>
        </w:rPr>
        <w:t>Stephanny Sánchez Vargas</w:t>
      </w:r>
    </w:p>
    <w:p w14:paraId="54260EEE" w14:textId="77777777" w:rsidR="00DC6E9A" w:rsidRPr="00A225CD" w:rsidRDefault="00DC6E9A" w:rsidP="00DC6E9A">
      <w:pPr>
        <w:rPr>
          <w:rFonts w:cs="Times New Roman"/>
          <w:b/>
          <w:szCs w:val="24"/>
        </w:rPr>
      </w:pPr>
    </w:p>
    <w:p w14:paraId="5317B413" w14:textId="77777777" w:rsidR="00DC6E9A" w:rsidRDefault="00DC6E9A" w:rsidP="00DC6E9A">
      <w:pPr>
        <w:rPr>
          <w:rFonts w:cs="Times New Roman"/>
          <w:b/>
          <w:szCs w:val="24"/>
        </w:rPr>
      </w:pPr>
    </w:p>
    <w:p w14:paraId="4F642128" w14:textId="77777777" w:rsidR="001738DF" w:rsidRDefault="001738DF" w:rsidP="00DC6E9A">
      <w:pPr>
        <w:rPr>
          <w:rFonts w:cs="Times New Roman"/>
          <w:b/>
          <w:szCs w:val="24"/>
        </w:rPr>
      </w:pPr>
    </w:p>
    <w:p w14:paraId="4F58D6B8" w14:textId="77777777" w:rsidR="00DC6E9A" w:rsidRDefault="00DC6E9A" w:rsidP="00DC6E9A">
      <w:pPr>
        <w:spacing w:after="0"/>
        <w:jc w:val="center"/>
        <w:rPr>
          <w:rFonts w:cs="Times New Roman"/>
          <w:b/>
          <w:szCs w:val="24"/>
        </w:rPr>
      </w:pPr>
      <w:r w:rsidRPr="005D1294">
        <w:rPr>
          <w:rFonts w:cs="Times New Roman"/>
          <w:b/>
          <w:szCs w:val="24"/>
        </w:rPr>
        <w:t xml:space="preserve">Campus Omar Dengo </w:t>
      </w:r>
    </w:p>
    <w:p w14:paraId="1E322CDC" w14:textId="647B7CF2" w:rsidR="00DC6E9A" w:rsidRDefault="00DC6E9A" w:rsidP="00DC6E9A">
      <w:pPr>
        <w:jc w:val="center"/>
        <w:rPr>
          <w:rFonts w:cs="Times New Roman"/>
          <w:b/>
          <w:szCs w:val="24"/>
        </w:rPr>
      </w:pPr>
      <w:r w:rsidRPr="005D1294">
        <w:rPr>
          <w:rFonts w:cs="Times New Roman"/>
          <w:b/>
          <w:szCs w:val="24"/>
        </w:rPr>
        <w:t xml:space="preserve">Heredia, </w:t>
      </w:r>
      <w:r>
        <w:rPr>
          <w:rFonts w:cs="Times New Roman"/>
          <w:b/>
          <w:szCs w:val="24"/>
        </w:rPr>
        <w:t>20</w:t>
      </w:r>
      <w:r w:rsidR="00371B14">
        <w:rPr>
          <w:rFonts w:cs="Times New Roman"/>
          <w:b/>
          <w:szCs w:val="24"/>
        </w:rPr>
        <w:t>2</w:t>
      </w:r>
      <w:r w:rsidR="004018B9">
        <w:rPr>
          <w:rFonts w:cs="Times New Roman"/>
          <w:b/>
          <w:szCs w:val="24"/>
        </w:rPr>
        <w:t>3</w:t>
      </w:r>
    </w:p>
    <w:p w14:paraId="05EFA980" w14:textId="77777777" w:rsidR="00F52B8E" w:rsidRDefault="00F52B8E" w:rsidP="00DC6E9A">
      <w:pPr>
        <w:jc w:val="center"/>
        <w:rPr>
          <w:rFonts w:cs="Times New Roman"/>
          <w:b/>
          <w:szCs w:val="24"/>
        </w:rPr>
      </w:pPr>
      <w:r>
        <w:rPr>
          <w:rFonts w:cs="Times New Roman"/>
          <w:b/>
          <w:szCs w:val="24"/>
        </w:rPr>
        <w:br w:type="page"/>
      </w:r>
    </w:p>
    <w:p w14:paraId="5646421B" w14:textId="77777777" w:rsidR="00F52B8E" w:rsidRDefault="00F52B8E" w:rsidP="00DC6E9A">
      <w:pPr>
        <w:jc w:val="center"/>
        <w:rPr>
          <w:rFonts w:cs="Times New Roman"/>
          <w:b/>
          <w:szCs w:val="24"/>
        </w:rPr>
        <w:sectPr w:rsidR="00F52B8E" w:rsidSect="0002234B">
          <w:footerReference w:type="default" r:id="rId8"/>
          <w:pgSz w:w="12240" w:h="15840"/>
          <w:pgMar w:top="1440" w:right="1440" w:bottom="1440" w:left="1440" w:header="709" w:footer="709" w:gutter="0"/>
          <w:pgNumType w:fmt="upperRoman"/>
          <w:cols w:space="708"/>
          <w:docGrid w:linePitch="360"/>
        </w:sectPr>
      </w:pPr>
    </w:p>
    <w:p w14:paraId="6062DEE6" w14:textId="77777777" w:rsidR="00F52B8E" w:rsidRDefault="004E3BA1" w:rsidP="004E3BA1">
      <w:pPr>
        <w:pStyle w:val="Titulo10"/>
        <w:ind w:firstLine="708"/>
      </w:pPr>
      <w:bookmarkStart w:id="0" w:name="_Toc140204044"/>
      <w:r>
        <w:lastRenderedPageBreak/>
        <w:t>Miembros del Tribunal</w:t>
      </w:r>
      <w:bookmarkEnd w:id="0"/>
    </w:p>
    <w:p w14:paraId="6566E0D8" w14:textId="576D5DD3" w:rsidR="004E3BA1" w:rsidRDefault="00917819" w:rsidP="007D10A3">
      <w:pPr>
        <w:jc w:val="center"/>
      </w:pPr>
      <w:r>
        <w:rPr>
          <w:noProof/>
        </w:rPr>
        <w:drawing>
          <wp:inline distT="0" distB="0" distL="0" distR="0" wp14:anchorId="19B54863" wp14:editId="796BEFAB">
            <wp:extent cx="5177841" cy="7120890"/>
            <wp:effectExtent l="0" t="0" r="3810" b="3810"/>
            <wp:docPr id="1832224684"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224684" name="Imagen 1" descr="Texto, Carta&#10;&#10;Descripción generada automáticamente"/>
                    <pic:cNvPicPr/>
                  </pic:nvPicPr>
                  <pic:blipFill>
                    <a:blip r:embed="rId9"/>
                    <a:stretch>
                      <a:fillRect/>
                    </a:stretch>
                  </pic:blipFill>
                  <pic:spPr>
                    <a:xfrm>
                      <a:off x="0" y="0"/>
                      <a:ext cx="5187705" cy="7134456"/>
                    </a:xfrm>
                    <a:prstGeom prst="rect">
                      <a:avLst/>
                    </a:prstGeom>
                  </pic:spPr>
                </pic:pic>
              </a:graphicData>
            </a:graphic>
          </wp:inline>
        </w:drawing>
      </w:r>
      <w:r w:rsidR="004E3BA1">
        <w:br w:type="page"/>
      </w:r>
    </w:p>
    <w:p w14:paraId="36CCA353" w14:textId="77777777" w:rsidR="00360514" w:rsidRDefault="00916D3B" w:rsidP="004E3BA1">
      <w:pPr>
        <w:pStyle w:val="Titulo10"/>
      </w:pPr>
      <w:bookmarkStart w:id="1" w:name="_Toc140204045"/>
      <w:r>
        <w:lastRenderedPageBreak/>
        <w:t>Agradecimiento</w:t>
      </w:r>
      <w:bookmarkEnd w:id="1"/>
    </w:p>
    <w:p w14:paraId="1B60E548" w14:textId="77777777" w:rsidR="008B1066" w:rsidRDefault="008B1066" w:rsidP="004E3BA1">
      <w:pPr>
        <w:pStyle w:val="Titulo10"/>
      </w:pPr>
    </w:p>
    <w:p w14:paraId="5FFD4EFF" w14:textId="3C26035D" w:rsidR="001B25E0" w:rsidRDefault="001B25E0" w:rsidP="00BB53D6">
      <w:pPr>
        <w:spacing w:line="276" w:lineRule="auto"/>
        <w:ind w:firstLine="708"/>
      </w:pPr>
      <w:r>
        <w:t>Quisiera empezar agradeciendo a mi comité asesor</w:t>
      </w:r>
      <w:r w:rsidR="00D67A63">
        <w:t>, el cual está conformado por grandes profesionales</w:t>
      </w:r>
      <w:r w:rsidR="00337076">
        <w:t xml:space="preserve"> y personas, </w:t>
      </w:r>
      <w:r w:rsidR="00042FDD">
        <w:t>quienes me guiaron en todo este proceso y de quienes aprendí much</w:t>
      </w:r>
      <w:r w:rsidR="00E15678">
        <w:t>o</w:t>
      </w:r>
      <w:r w:rsidR="00DE0833">
        <w:t>. Especialmente a mi tutor: M.Sc</w:t>
      </w:r>
      <w:r w:rsidR="00337BDC">
        <w:t>.</w:t>
      </w:r>
      <w:r w:rsidR="00DE0833">
        <w:t xml:space="preserve"> Luis Vega Corrales, quien ha sido parte importante en mi formación</w:t>
      </w:r>
      <w:r w:rsidR="00E15678">
        <w:t xml:space="preserve"> </w:t>
      </w:r>
      <w:r w:rsidR="00DE0833">
        <w:t xml:space="preserve">profesional, de quien también me llevo lecciones de vida. </w:t>
      </w:r>
      <w:r w:rsidR="004F6813">
        <w:t>A</w:t>
      </w:r>
      <w:r w:rsidR="007F77A0">
        <w:t xml:space="preserve"> </w:t>
      </w:r>
      <w:r w:rsidR="00337BDC">
        <w:t>Ph.D.</w:t>
      </w:r>
      <w:r w:rsidR="007F77A0">
        <w:t xml:space="preserve"> Stefany Solano y P</w:t>
      </w:r>
      <w:r w:rsidR="00FF4341">
        <w:t xml:space="preserve">h.D. Javier Alvarado Mesén, por </w:t>
      </w:r>
      <w:r w:rsidR="00E15678">
        <w:t>tod</w:t>
      </w:r>
      <w:r w:rsidR="0095591A">
        <w:t>o el trabajo en conjunto, consejos y aprendizaje.</w:t>
      </w:r>
      <w:r w:rsidR="0044212B">
        <w:t xml:space="preserve"> Gracias a los tres por su confianza</w:t>
      </w:r>
      <w:r w:rsidR="00707823">
        <w:t>.</w:t>
      </w:r>
    </w:p>
    <w:p w14:paraId="28AE6C81" w14:textId="6D10FC3A" w:rsidR="001B25E0" w:rsidRDefault="005A2051" w:rsidP="00BB53D6">
      <w:pPr>
        <w:spacing w:line="276" w:lineRule="auto"/>
        <w:ind w:firstLine="708"/>
      </w:pPr>
      <w:r>
        <w:t>T</w:t>
      </w:r>
      <w:r w:rsidR="004C7DBE">
        <w:t xml:space="preserve">ambién </w:t>
      </w:r>
      <w:r>
        <w:t xml:space="preserve">quiero </w:t>
      </w:r>
      <w:r w:rsidR="004C7DBE">
        <w:t xml:space="preserve">expresar todo mi agradecimiento </w:t>
      </w:r>
      <w:r w:rsidR="0048763B">
        <w:t>a los académicos</w:t>
      </w:r>
      <w:r w:rsidR="008B1066">
        <w:t xml:space="preserve"> y laboratorios</w:t>
      </w:r>
      <w:r w:rsidR="0048763B">
        <w:t xml:space="preserve"> de</w:t>
      </w:r>
      <w:r w:rsidR="00156A00">
        <w:t xml:space="preserve"> la Escuela por siempre estar abiertos a colaborarme</w:t>
      </w:r>
      <w:r w:rsidR="008B1066">
        <w:t xml:space="preserve"> y quienes también </w:t>
      </w:r>
      <w:r w:rsidR="00434482">
        <w:t>permitieron que este proyecto se llevara a cabo</w:t>
      </w:r>
      <w:r w:rsidR="00156A00">
        <w:t xml:space="preserve">, </w:t>
      </w:r>
      <w:r w:rsidR="008A1A02">
        <w:t xml:space="preserve">en especial a </w:t>
      </w:r>
      <w:r w:rsidR="00B05946">
        <w:t xml:space="preserve">M.Sc. </w:t>
      </w:r>
      <w:r w:rsidR="008A1A02">
        <w:t xml:space="preserve">Abad </w:t>
      </w:r>
      <w:r w:rsidR="00337BDC">
        <w:t>Rodríguez, M</w:t>
      </w:r>
      <w:r w:rsidR="00B05946">
        <w:t>.Sc</w:t>
      </w:r>
      <w:r w:rsidR="00337BDC">
        <w:t>.</w:t>
      </w:r>
      <w:r w:rsidR="00B05946">
        <w:t xml:space="preserve"> </w:t>
      </w:r>
      <w:r w:rsidR="008A1A02">
        <w:t xml:space="preserve">Carolina Sancho, </w:t>
      </w:r>
      <w:r w:rsidR="00B05946">
        <w:t xml:space="preserve">Ph.D. </w:t>
      </w:r>
      <w:r w:rsidR="008A1A02">
        <w:t>Frank Solano</w:t>
      </w:r>
      <w:r w:rsidR="00F80AF4">
        <w:t xml:space="preserve"> y</w:t>
      </w:r>
      <w:r w:rsidR="00434482">
        <w:t xml:space="preserve"> </w:t>
      </w:r>
      <w:r w:rsidR="00B05946">
        <w:t xml:space="preserve">Ph.D. </w:t>
      </w:r>
      <w:r w:rsidR="005E456B">
        <w:t>Carolina Marín</w:t>
      </w:r>
      <w:r w:rsidR="00434482">
        <w:t xml:space="preserve">. </w:t>
      </w:r>
      <w:r w:rsidR="00945CD5">
        <w:t xml:space="preserve">También </w:t>
      </w:r>
      <w:r w:rsidR="009536A4">
        <w:t xml:space="preserve">al </w:t>
      </w:r>
      <w:r w:rsidR="00D530A5">
        <w:t>Laboratorio</w:t>
      </w:r>
      <w:r w:rsidR="009536A4">
        <w:t xml:space="preserve"> de Biotecnología de Docencia, Laboratorio de </w:t>
      </w:r>
      <w:r w:rsidR="002069FA">
        <w:t>Biopreparaciones</w:t>
      </w:r>
      <w:r w:rsidR="00744C10">
        <w:t>, a</w:t>
      </w:r>
      <w:r w:rsidR="00337BDC">
        <w:t xml:space="preserve"> Ph.D. Henry Borbón, M</w:t>
      </w:r>
      <w:r w:rsidR="00B308BA" w:rsidRPr="00B308BA">
        <w:t xml:space="preserve">.Sc. Silvia Valverde </w:t>
      </w:r>
      <w:r w:rsidR="00B308BA">
        <w:t xml:space="preserve">y </w:t>
      </w:r>
      <w:r w:rsidR="00DF4B8E">
        <w:t>Ph.D</w:t>
      </w:r>
      <w:r w:rsidR="00B308BA" w:rsidRPr="00B308BA">
        <w:t>. Meyer Guevara</w:t>
      </w:r>
      <w:r w:rsidR="00B308BA">
        <w:t>.</w:t>
      </w:r>
    </w:p>
    <w:p w14:paraId="3E22BA9B" w14:textId="4854C4F1" w:rsidR="00377C27" w:rsidRDefault="009371F8" w:rsidP="00BB53D6">
      <w:pPr>
        <w:spacing w:line="276" w:lineRule="auto"/>
        <w:ind w:firstLine="708"/>
      </w:pPr>
      <w:r>
        <w:t>A</w:t>
      </w:r>
      <w:r w:rsidR="00377C27">
        <w:t>gradezco profundamente a mi familia</w:t>
      </w:r>
      <w:r w:rsidR="00D35BC0">
        <w:t xml:space="preserve">, </w:t>
      </w:r>
      <w:r w:rsidR="003C3CD4">
        <w:t>quienes siempre han estado a mi lado</w:t>
      </w:r>
      <w:r w:rsidR="00002B37">
        <w:t>, gracias a mis papás</w:t>
      </w:r>
      <w:r w:rsidR="003C3CD4">
        <w:t xml:space="preserve"> </w:t>
      </w:r>
      <w:r w:rsidR="007669AF">
        <w:t xml:space="preserve">a </w:t>
      </w:r>
      <w:r w:rsidR="00BE03CD">
        <w:t xml:space="preserve">quienes sin duda también </w:t>
      </w:r>
      <w:r w:rsidR="007669AF">
        <w:t>les pertenece este trabajo</w:t>
      </w:r>
      <w:r w:rsidR="00FA1114">
        <w:t xml:space="preserve">, fueron parte fundamental y me ayudaron </w:t>
      </w:r>
      <w:r w:rsidR="00954A6F">
        <w:t>de muchas maneras para cumplir esta meta</w:t>
      </w:r>
      <w:r w:rsidR="007669AF">
        <w:t>.</w:t>
      </w:r>
    </w:p>
    <w:p w14:paraId="73F52220" w14:textId="0FA8768F" w:rsidR="005A273F" w:rsidRDefault="00CD2E09" w:rsidP="00BB53D6">
      <w:pPr>
        <w:spacing w:line="276" w:lineRule="auto"/>
        <w:ind w:firstLine="708"/>
      </w:pPr>
      <w:r>
        <w:t xml:space="preserve">A </w:t>
      </w:r>
      <w:r w:rsidR="00F67C08">
        <w:t xml:space="preserve">la Universidad Nacional y </w:t>
      </w:r>
      <w:r w:rsidR="009F1293">
        <w:t>su financiamiento</w:t>
      </w:r>
      <w:r w:rsidR="0019521E">
        <w:t xml:space="preserve"> por parte de cada</w:t>
      </w:r>
      <w:r>
        <w:t xml:space="preserve"> laboratorio</w:t>
      </w:r>
      <w:r w:rsidR="00870965">
        <w:t xml:space="preserve">, el </w:t>
      </w:r>
      <w:r w:rsidRPr="00CD2E09">
        <w:t>Fondo Especial para la Educación Superior (FEES)</w:t>
      </w:r>
      <w:r>
        <w:t>, así com</w:t>
      </w:r>
      <w:r w:rsidR="005A273F">
        <w:t>o a</w:t>
      </w:r>
      <w:r w:rsidRPr="00CD2E09">
        <w:t>l Fondo para el Fortalecimiento de las Capacidades Estudiantiles (FOCAES)</w:t>
      </w:r>
      <w:r w:rsidR="005A273F">
        <w:t>.</w:t>
      </w:r>
    </w:p>
    <w:p w14:paraId="63A26D5C" w14:textId="363DAE35" w:rsidR="00360514" w:rsidRPr="00CD2E09" w:rsidRDefault="005A273F" w:rsidP="00BB53D6">
      <w:pPr>
        <w:spacing w:line="276" w:lineRule="auto"/>
        <w:ind w:firstLine="708"/>
      </w:pPr>
      <w:r>
        <w:t>Finalmente, agradezco a quienes de una u otra forma formaron parte de este proceso</w:t>
      </w:r>
      <w:r w:rsidR="00992E6A">
        <w:t xml:space="preserve">. Esta tesis es un gran logro </w:t>
      </w:r>
      <w:r w:rsidR="00AD6749">
        <w:t>personal,</w:t>
      </w:r>
      <w:r w:rsidR="00992E6A">
        <w:t xml:space="preserve"> que me abrió la puerta a muchas oportunidades y experiencias</w:t>
      </w:r>
      <w:r w:rsidR="00AA16A1">
        <w:t xml:space="preserve"> que </w:t>
      </w:r>
      <w:r w:rsidR="00384BC7">
        <w:t>agradezco infinitamente</w:t>
      </w:r>
      <w:r w:rsidR="00992E6A">
        <w:t xml:space="preserve">. </w:t>
      </w:r>
      <w:r w:rsidR="00360514">
        <w:br w:type="page"/>
      </w:r>
    </w:p>
    <w:p w14:paraId="015798C4" w14:textId="77777777" w:rsidR="0092766D" w:rsidRDefault="00360514" w:rsidP="00916D3B">
      <w:pPr>
        <w:pStyle w:val="Titulo10"/>
      </w:pPr>
      <w:bookmarkStart w:id="2" w:name="_Toc140204046"/>
      <w:r>
        <w:lastRenderedPageBreak/>
        <w:t>Dedicatoria</w:t>
      </w:r>
      <w:bookmarkEnd w:id="2"/>
    </w:p>
    <w:p w14:paraId="031F23D3" w14:textId="77777777" w:rsidR="00C36CDD" w:rsidRDefault="00C36CDD" w:rsidP="00916D3B">
      <w:pPr>
        <w:pStyle w:val="Titulo10"/>
      </w:pPr>
    </w:p>
    <w:p w14:paraId="694A43D4" w14:textId="2C5D30A6" w:rsidR="00F40FCA" w:rsidRDefault="00974F0D" w:rsidP="00BB53D6">
      <w:pPr>
        <w:spacing w:line="276" w:lineRule="auto"/>
        <w:ind w:firstLine="708"/>
      </w:pPr>
      <w:r>
        <w:t>Primero a Dios por hacer esto posible</w:t>
      </w:r>
      <w:r w:rsidR="00120276">
        <w:t>.</w:t>
      </w:r>
      <w:r>
        <w:t xml:space="preserve"> </w:t>
      </w:r>
      <w:r w:rsidR="00120276">
        <w:t>A</w:t>
      </w:r>
      <w:r>
        <w:t xml:space="preserve"> mi familia, quienes son un pilar importante en mi vida, especialmente mis papás</w:t>
      </w:r>
      <w:r w:rsidR="007D1572">
        <w:t xml:space="preserve"> y hermana</w:t>
      </w:r>
      <w:r>
        <w:t xml:space="preserve">, </w:t>
      </w:r>
      <w:r w:rsidR="00C36CDD">
        <w:t xml:space="preserve">a </w:t>
      </w:r>
      <w:r>
        <w:t xml:space="preserve">quienes </w:t>
      </w:r>
      <w:r w:rsidR="00C36CDD">
        <w:t xml:space="preserve">le debo todos mis logros </w:t>
      </w:r>
      <w:r w:rsidR="00FD3053">
        <w:t xml:space="preserve">y </w:t>
      </w:r>
      <w:r w:rsidR="00575C46">
        <w:t xml:space="preserve">son una motivación constante. Gracias por siempre darme su apoyo y </w:t>
      </w:r>
      <w:r w:rsidR="000C55A9">
        <w:t>acompañarme en cada etapa de mi vida.</w:t>
      </w:r>
    </w:p>
    <w:p w14:paraId="6118FAF3" w14:textId="77777777" w:rsidR="00DC6E9A" w:rsidRDefault="00DC6E9A" w:rsidP="00E8798D">
      <w:pPr>
        <w:pStyle w:val="Titulo10"/>
        <w:spacing w:after="240"/>
      </w:pPr>
      <w:r>
        <w:br w:type="page"/>
      </w:r>
      <w:bookmarkStart w:id="3" w:name="_Toc140204047"/>
      <w:r w:rsidRPr="00117D5E">
        <w:lastRenderedPageBreak/>
        <w:t>Índice</w:t>
      </w:r>
      <w:bookmarkEnd w:id="3"/>
    </w:p>
    <w:p w14:paraId="254824F2" w14:textId="5F9A5D87" w:rsidR="004513B4" w:rsidRDefault="00117D5E">
      <w:pPr>
        <w:pStyle w:val="TDC1"/>
        <w:rPr>
          <w:rFonts w:asciiTheme="minorHAnsi" w:eastAsiaTheme="minorEastAsia" w:hAnsiTheme="minorHAnsi"/>
          <w:noProof/>
          <w:color w:val="auto"/>
          <w:kern w:val="2"/>
          <w:sz w:val="22"/>
          <w:lang w:eastAsia="es-CR"/>
          <w14:ligatures w14:val="standardContextual"/>
        </w:rPr>
      </w:pPr>
      <w:r>
        <w:rPr>
          <w:rFonts w:cs="Times New Roman"/>
          <w:b/>
          <w:bCs/>
        </w:rPr>
        <w:fldChar w:fldCharType="begin"/>
      </w:r>
      <w:r>
        <w:rPr>
          <w:rFonts w:cs="Times New Roman"/>
          <w:b/>
          <w:bCs/>
        </w:rPr>
        <w:instrText xml:space="preserve"> TOC \o "1-3" \h \z \u </w:instrText>
      </w:r>
      <w:r>
        <w:rPr>
          <w:rFonts w:cs="Times New Roman"/>
          <w:b/>
          <w:bCs/>
        </w:rPr>
        <w:fldChar w:fldCharType="separate"/>
      </w:r>
      <w:hyperlink w:anchor="_Toc140204044" w:history="1">
        <w:r w:rsidR="004513B4" w:rsidRPr="00E35149">
          <w:rPr>
            <w:rStyle w:val="Hipervnculo"/>
            <w:noProof/>
          </w:rPr>
          <w:t>Miembros del Tribunal</w:t>
        </w:r>
        <w:r w:rsidR="004513B4">
          <w:rPr>
            <w:noProof/>
            <w:webHidden/>
          </w:rPr>
          <w:tab/>
        </w:r>
        <w:r w:rsidR="004513B4">
          <w:rPr>
            <w:noProof/>
            <w:webHidden/>
          </w:rPr>
          <w:fldChar w:fldCharType="begin"/>
        </w:r>
        <w:r w:rsidR="004513B4">
          <w:rPr>
            <w:noProof/>
            <w:webHidden/>
          </w:rPr>
          <w:instrText xml:space="preserve"> PAGEREF _Toc140204044 \h </w:instrText>
        </w:r>
        <w:r w:rsidR="004513B4">
          <w:rPr>
            <w:noProof/>
            <w:webHidden/>
          </w:rPr>
        </w:r>
        <w:r w:rsidR="004513B4">
          <w:rPr>
            <w:noProof/>
            <w:webHidden/>
          </w:rPr>
          <w:fldChar w:fldCharType="separate"/>
        </w:r>
        <w:r w:rsidR="004513B4">
          <w:rPr>
            <w:noProof/>
            <w:webHidden/>
          </w:rPr>
          <w:t>I</w:t>
        </w:r>
        <w:r w:rsidR="004513B4">
          <w:rPr>
            <w:noProof/>
            <w:webHidden/>
          </w:rPr>
          <w:fldChar w:fldCharType="end"/>
        </w:r>
      </w:hyperlink>
    </w:p>
    <w:p w14:paraId="5BBE1BDF" w14:textId="7DB33108"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45" w:history="1">
        <w:r w:rsidR="004513B4" w:rsidRPr="00E35149">
          <w:rPr>
            <w:rStyle w:val="Hipervnculo"/>
            <w:noProof/>
          </w:rPr>
          <w:t>Agradecimiento</w:t>
        </w:r>
        <w:r w:rsidR="004513B4">
          <w:rPr>
            <w:noProof/>
            <w:webHidden/>
          </w:rPr>
          <w:tab/>
        </w:r>
        <w:r w:rsidR="004513B4">
          <w:rPr>
            <w:noProof/>
            <w:webHidden/>
          </w:rPr>
          <w:fldChar w:fldCharType="begin"/>
        </w:r>
        <w:r w:rsidR="004513B4">
          <w:rPr>
            <w:noProof/>
            <w:webHidden/>
          </w:rPr>
          <w:instrText xml:space="preserve"> PAGEREF _Toc140204045 \h </w:instrText>
        </w:r>
        <w:r w:rsidR="004513B4">
          <w:rPr>
            <w:noProof/>
            <w:webHidden/>
          </w:rPr>
        </w:r>
        <w:r w:rsidR="004513B4">
          <w:rPr>
            <w:noProof/>
            <w:webHidden/>
          </w:rPr>
          <w:fldChar w:fldCharType="separate"/>
        </w:r>
        <w:r w:rsidR="004513B4">
          <w:rPr>
            <w:noProof/>
            <w:webHidden/>
          </w:rPr>
          <w:t>II</w:t>
        </w:r>
        <w:r w:rsidR="004513B4">
          <w:rPr>
            <w:noProof/>
            <w:webHidden/>
          </w:rPr>
          <w:fldChar w:fldCharType="end"/>
        </w:r>
      </w:hyperlink>
    </w:p>
    <w:p w14:paraId="2740308D" w14:textId="433A9C30"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46" w:history="1">
        <w:r w:rsidR="004513B4" w:rsidRPr="00E35149">
          <w:rPr>
            <w:rStyle w:val="Hipervnculo"/>
            <w:noProof/>
          </w:rPr>
          <w:t>Dedicatoria</w:t>
        </w:r>
        <w:r w:rsidR="004513B4">
          <w:rPr>
            <w:noProof/>
            <w:webHidden/>
          </w:rPr>
          <w:tab/>
        </w:r>
        <w:r w:rsidR="004513B4">
          <w:rPr>
            <w:noProof/>
            <w:webHidden/>
          </w:rPr>
          <w:fldChar w:fldCharType="begin"/>
        </w:r>
        <w:r w:rsidR="004513B4">
          <w:rPr>
            <w:noProof/>
            <w:webHidden/>
          </w:rPr>
          <w:instrText xml:space="preserve"> PAGEREF _Toc140204046 \h </w:instrText>
        </w:r>
        <w:r w:rsidR="004513B4">
          <w:rPr>
            <w:noProof/>
            <w:webHidden/>
          </w:rPr>
        </w:r>
        <w:r w:rsidR="004513B4">
          <w:rPr>
            <w:noProof/>
            <w:webHidden/>
          </w:rPr>
          <w:fldChar w:fldCharType="separate"/>
        </w:r>
        <w:r w:rsidR="004513B4">
          <w:rPr>
            <w:noProof/>
            <w:webHidden/>
          </w:rPr>
          <w:t>III</w:t>
        </w:r>
        <w:r w:rsidR="004513B4">
          <w:rPr>
            <w:noProof/>
            <w:webHidden/>
          </w:rPr>
          <w:fldChar w:fldCharType="end"/>
        </w:r>
      </w:hyperlink>
    </w:p>
    <w:p w14:paraId="64935255" w14:textId="7FC67CEC"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47" w:history="1">
        <w:r w:rsidR="004513B4" w:rsidRPr="00E35149">
          <w:rPr>
            <w:rStyle w:val="Hipervnculo"/>
            <w:noProof/>
          </w:rPr>
          <w:t>Índice</w:t>
        </w:r>
        <w:r w:rsidR="004513B4">
          <w:rPr>
            <w:noProof/>
            <w:webHidden/>
          </w:rPr>
          <w:tab/>
        </w:r>
        <w:r w:rsidR="004513B4">
          <w:rPr>
            <w:noProof/>
            <w:webHidden/>
          </w:rPr>
          <w:fldChar w:fldCharType="begin"/>
        </w:r>
        <w:r w:rsidR="004513B4">
          <w:rPr>
            <w:noProof/>
            <w:webHidden/>
          </w:rPr>
          <w:instrText xml:space="preserve"> PAGEREF _Toc140204047 \h </w:instrText>
        </w:r>
        <w:r w:rsidR="004513B4">
          <w:rPr>
            <w:noProof/>
            <w:webHidden/>
          </w:rPr>
        </w:r>
        <w:r w:rsidR="004513B4">
          <w:rPr>
            <w:noProof/>
            <w:webHidden/>
          </w:rPr>
          <w:fldChar w:fldCharType="separate"/>
        </w:r>
        <w:r w:rsidR="004513B4">
          <w:rPr>
            <w:noProof/>
            <w:webHidden/>
          </w:rPr>
          <w:t>IV</w:t>
        </w:r>
        <w:r w:rsidR="004513B4">
          <w:rPr>
            <w:noProof/>
            <w:webHidden/>
          </w:rPr>
          <w:fldChar w:fldCharType="end"/>
        </w:r>
      </w:hyperlink>
    </w:p>
    <w:p w14:paraId="02CA812A" w14:textId="627074E5"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48" w:history="1">
        <w:r w:rsidR="004513B4" w:rsidRPr="00E35149">
          <w:rPr>
            <w:rStyle w:val="Hipervnculo"/>
            <w:noProof/>
          </w:rPr>
          <w:t>Índice de cuadros</w:t>
        </w:r>
        <w:r w:rsidR="004513B4">
          <w:rPr>
            <w:noProof/>
            <w:webHidden/>
          </w:rPr>
          <w:tab/>
        </w:r>
        <w:r w:rsidR="004513B4">
          <w:rPr>
            <w:noProof/>
            <w:webHidden/>
          </w:rPr>
          <w:fldChar w:fldCharType="begin"/>
        </w:r>
        <w:r w:rsidR="004513B4">
          <w:rPr>
            <w:noProof/>
            <w:webHidden/>
          </w:rPr>
          <w:instrText xml:space="preserve"> PAGEREF _Toc140204048 \h </w:instrText>
        </w:r>
        <w:r w:rsidR="004513B4">
          <w:rPr>
            <w:noProof/>
            <w:webHidden/>
          </w:rPr>
        </w:r>
        <w:r w:rsidR="004513B4">
          <w:rPr>
            <w:noProof/>
            <w:webHidden/>
          </w:rPr>
          <w:fldChar w:fldCharType="separate"/>
        </w:r>
        <w:r w:rsidR="004513B4">
          <w:rPr>
            <w:noProof/>
            <w:webHidden/>
          </w:rPr>
          <w:t>VI</w:t>
        </w:r>
        <w:r w:rsidR="004513B4">
          <w:rPr>
            <w:noProof/>
            <w:webHidden/>
          </w:rPr>
          <w:fldChar w:fldCharType="end"/>
        </w:r>
      </w:hyperlink>
    </w:p>
    <w:p w14:paraId="2DC9EC85" w14:textId="515C2186"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49" w:history="1">
        <w:r w:rsidR="004513B4" w:rsidRPr="00E35149">
          <w:rPr>
            <w:rStyle w:val="Hipervnculo"/>
            <w:noProof/>
          </w:rPr>
          <w:t>Índice de figuras</w:t>
        </w:r>
        <w:r w:rsidR="004513B4">
          <w:rPr>
            <w:noProof/>
            <w:webHidden/>
          </w:rPr>
          <w:tab/>
        </w:r>
        <w:r w:rsidR="004513B4">
          <w:rPr>
            <w:noProof/>
            <w:webHidden/>
          </w:rPr>
          <w:fldChar w:fldCharType="begin"/>
        </w:r>
        <w:r w:rsidR="004513B4">
          <w:rPr>
            <w:noProof/>
            <w:webHidden/>
          </w:rPr>
          <w:instrText xml:space="preserve"> PAGEREF _Toc140204049 \h </w:instrText>
        </w:r>
        <w:r w:rsidR="004513B4">
          <w:rPr>
            <w:noProof/>
            <w:webHidden/>
          </w:rPr>
        </w:r>
        <w:r w:rsidR="004513B4">
          <w:rPr>
            <w:noProof/>
            <w:webHidden/>
          </w:rPr>
          <w:fldChar w:fldCharType="separate"/>
        </w:r>
        <w:r w:rsidR="004513B4">
          <w:rPr>
            <w:noProof/>
            <w:webHidden/>
          </w:rPr>
          <w:t>VII</w:t>
        </w:r>
        <w:r w:rsidR="004513B4">
          <w:rPr>
            <w:noProof/>
            <w:webHidden/>
          </w:rPr>
          <w:fldChar w:fldCharType="end"/>
        </w:r>
      </w:hyperlink>
    </w:p>
    <w:p w14:paraId="36837001" w14:textId="3CFC190B"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50" w:history="1">
        <w:r w:rsidR="004513B4" w:rsidRPr="00E35149">
          <w:rPr>
            <w:rStyle w:val="Hipervnculo"/>
            <w:noProof/>
          </w:rPr>
          <w:t>Índice de anexos</w:t>
        </w:r>
        <w:r w:rsidR="004513B4">
          <w:rPr>
            <w:noProof/>
            <w:webHidden/>
          </w:rPr>
          <w:tab/>
        </w:r>
        <w:r w:rsidR="004513B4">
          <w:rPr>
            <w:noProof/>
            <w:webHidden/>
          </w:rPr>
          <w:fldChar w:fldCharType="begin"/>
        </w:r>
        <w:r w:rsidR="004513B4">
          <w:rPr>
            <w:noProof/>
            <w:webHidden/>
          </w:rPr>
          <w:instrText xml:space="preserve"> PAGEREF _Toc140204050 \h </w:instrText>
        </w:r>
        <w:r w:rsidR="004513B4">
          <w:rPr>
            <w:noProof/>
            <w:webHidden/>
          </w:rPr>
        </w:r>
        <w:r w:rsidR="004513B4">
          <w:rPr>
            <w:noProof/>
            <w:webHidden/>
          </w:rPr>
          <w:fldChar w:fldCharType="separate"/>
        </w:r>
        <w:r w:rsidR="004513B4">
          <w:rPr>
            <w:noProof/>
            <w:webHidden/>
          </w:rPr>
          <w:t>IX</w:t>
        </w:r>
        <w:r w:rsidR="004513B4">
          <w:rPr>
            <w:noProof/>
            <w:webHidden/>
          </w:rPr>
          <w:fldChar w:fldCharType="end"/>
        </w:r>
      </w:hyperlink>
    </w:p>
    <w:p w14:paraId="6B6C9DFE" w14:textId="45B2089B"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51" w:history="1">
        <w:r w:rsidR="004513B4" w:rsidRPr="00E35149">
          <w:rPr>
            <w:rStyle w:val="Hipervnculo"/>
            <w:noProof/>
          </w:rPr>
          <w:t>Abreviaturas o Acrónimos</w:t>
        </w:r>
        <w:r w:rsidR="004513B4">
          <w:rPr>
            <w:noProof/>
            <w:webHidden/>
          </w:rPr>
          <w:tab/>
        </w:r>
        <w:r w:rsidR="004513B4">
          <w:rPr>
            <w:noProof/>
            <w:webHidden/>
          </w:rPr>
          <w:fldChar w:fldCharType="begin"/>
        </w:r>
        <w:r w:rsidR="004513B4">
          <w:rPr>
            <w:noProof/>
            <w:webHidden/>
          </w:rPr>
          <w:instrText xml:space="preserve"> PAGEREF _Toc140204051 \h </w:instrText>
        </w:r>
        <w:r w:rsidR="004513B4">
          <w:rPr>
            <w:noProof/>
            <w:webHidden/>
          </w:rPr>
        </w:r>
        <w:r w:rsidR="004513B4">
          <w:rPr>
            <w:noProof/>
            <w:webHidden/>
          </w:rPr>
          <w:fldChar w:fldCharType="separate"/>
        </w:r>
        <w:r w:rsidR="004513B4">
          <w:rPr>
            <w:noProof/>
            <w:webHidden/>
          </w:rPr>
          <w:t>X</w:t>
        </w:r>
        <w:r w:rsidR="004513B4">
          <w:rPr>
            <w:noProof/>
            <w:webHidden/>
          </w:rPr>
          <w:fldChar w:fldCharType="end"/>
        </w:r>
      </w:hyperlink>
    </w:p>
    <w:p w14:paraId="40F60BFD" w14:textId="3290D82F"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52" w:history="1">
        <w:r w:rsidR="004513B4" w:rsidRPr="00E35149">
          <w:rPr>
            <w:rStyle w:val="Hipervnculo"/>
            <w:noProof/>
          </w:rPr>
          <w:t>Resumen</w:t>
        </w:r>
        <w:r w:rsidR="004513B4">
          <w:rPr>
            <w:noProof/>
            <w:webHidden/>
          </w:rPr>
          <w:tab/>
        </w:r>
        <w:r w:rsidR="004513B4">
          <w:rPr>
            <w:noProof/>
            <w:webHidden/>
          </w:rPr>
          <w:fldChar w:fldCharType="begin"/>
        </w:r>
        <w:r w:rsidR="004513B4">
          <w:rPr>
            <w:noProof/>
            <w:webHidden/>
          </w:rPr>
          <w:instrText xml:space="preserve"> PAGEREF _Toc140204052 \h </w:instrText>
        </w:r>
        <w:r w:rsidR="004513B4">
          <w:rPr>
            <w:noProof/>
            <w:webHidden/>
          </w:rPr>
        </w:r>
        <w:r w:rsidR="004513B4">
          <w:rPr>
            <w:noProof/>
            <w:webHidden/>
          </w:rPr>
          <w:fldChar w:fldCharType="separate"/>
        </w:r>
        <w:r w:rsidR="004513B4">
          <w:rPr>
            <w:noProof/>
            <w:webHidden/>
          </w:rPr>
          <w:t>XII</w:t>
        </w:r>
        <w:r w:rsidR="004513B4">
          <w:rPr>
            <w:noProof/>
            <w:webHidden/>
          </w:rPr>
          <w:fldChar w:fldCharType="end"/>
        </w:r>
      </w:hyperlink>
    </w:p>
    <w:p w14:paraId="3A36C659" w14:textId="6EB418ED"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53" w:history="1">
        <w:r w:rsidR="004513B4" w:rsidRPr="00E35149">
          <w:rPr>
            <w:rStyle w:val="Hipervnculo"/>
            <w:noProof/>
          </w:rPr>
          <w:t>1.</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rPr>
          <w:t>Introducción</w:t>
        </w:r>
        <w:r w:rsidR="004513B4">
          <w:rPr>
            <w:noProof/>
            <w:webHidden/>
          </w:rPr>
          <w:tab/>
        </w:r>
        <w:r w:rsidR="004513B4">
          <w:rPr>
            <w:noProof/>
            <w:webHidden/>
          </w:rPr>
          <w:fldChar w:fldCharType="begin"/>
        </w:r>
        <w:r w:rsidR="004513B4">
          <w:rPr>
            <w:noProof/>
            <w:webHidden/>
          </w:rPr>
          <w:instrText xml:space="preserve"> PAGEREF _Toc140204053 \h </w:instrText>
        </w:r>
        <w:r w:rsidR="004513B4">
          <w:rPr>
            <w:noProof/>
            <w:webHidden/>
          </w:rPr>
        </w:r>
        <w:r w:rsidR="004513B4">
          <w:rPr>
            <w:noProof/>
            <w:webHidden/>
          </w:rPr>
          <w:fldChar w:fldCharType="separate"/>
        </w:r>
        <w:r w:rsidR="004513B4">
          <w:rPr>
            <w:noProof/>
            <w:webHidden/>
          </w:rPr>
          <w:t>1</w:t>
        </w:r>
        <w:r w:rsidR="004513B4">
          <w:rPr>
            <w:noProof/>
            <w:webHidden/>
          </w:rPr>
          <w:fldChar w:fldCharType="end"/>
        </w:r>
      </w:hyperlink>
    </w:p>
    <w:p w14:paraId="62640B36" w14:textId="5BF20F9B"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54" w:history="1">
        <w:r w:rsidR="004513B4" w:rsidRPr="00E35149">
          <w:rPr>
            <w:rStyle w:val="Hipervnculo"/>
            <w:noProof/>
          </w:rPr>
          <w:t>1.1 Antecedentes</w:t>
        </w:r>
        <w:r w:rsidR="004513B4">
          <w:rPr>
            <w:noProof/>
            <w:webHidden/>
          </w:rPr>
          <w:tab/>
        </w:r>
        <w:r w:rsidR="004513B4">
          <w:rPr>
            <w:noProof/>
            <w:webHidden/>
          </w:rPr>
          <w:fldChar w:fldCharType="begin"/>
        </w:r>
        <w:r w:rsidR="004513B4">
          <w:rPr>
            <w:noProof/>
            <w:webHidden/>
          </w:rPr>
          <w:instrText xml:space="preserve"> PAGEREF _Toc140204054 \h </w:instrText>
        </w:r>
        <w:r w:rsidR="004513B4">
          <w:rPr>
            <w:noProof/>
            <w:webHidden/>
          </w:rPr>
        </w:r>
        <w:r w:rsidR="004513B4">
          <w:rPr>
            <w:noProof/>
            <w:webHidden/>
          </w:rPr>
          <w:fldChar w:fldCharType="separate"/>
        </w:r>
        <w:r w:rsidR="004513B4">
          <w:rPr>
            <w:noProof/>
            <w:webHidden/>
          </w:rPr>
          <w:t>1</w:t>
        </w:r>
        <w:r w:rsidR="004513B4">
          <w:rPr>
            <w:noProof/>
            <w:webHidden/>
          </w:rPr>
          <w:fldChar w:fldCharType="end"/>
        </w:r>
      </w:hyperlink>
    </w:p>
    <w:p w14:paraId="330F1060" w14:textId="3ED6E65E"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55" w:history="1">
        <w:r w:rsidR="004513B4" w:rsidRPr="00E35149">
          <w:rPr>
            <w:rStyle w:val="Hipervnculo"/>
            <w:noProof/>
          </w:rPr>
          <w:t>1.2 Justificación</w:t>
        </w:r>
        <w:r w:rsidR="004513B4">
          <w:rPr>
            <w:noProof/>
            <w:webHidden/>
          </w:rPr>
          <w:tab/>
        </w:r>
        <w:r w:rsidR="004513B4">
          <w:rPr>
            <w:noProof/>
            <w:webHidden/>
          </w:rPr>
          <w:fldChar w:fldCharType="begin"/>
        </w:r>
        <w:r w:rsidR="004513B4">
          <w:rPr>
            <w:noProof/>
            <w:webHidden/>
          </w:rPr>
          <w:instrText xml:space="preserve"> PAGEREF _Toc140204055 \h </w:instrText>
        </w:r>
        <w:r w:rsidR="004513B4">
          <w:rPr>
            <w:noProof/>
            <w:webHidden/>
          </w:rPr>
        </w:r>
        <w:r w:rsidR="004513B4">
          <w:rPr>
            <w:noProof/>
            <w:webHidden/>
          </w:rPr>
          <w:fldChar w:fldCharType="separate"/>
        </w:r>
        <w:r w:rsidR="004513B4">
          <w:rPr>
            <w:noProof/>
            <w:webHidden/>
          </w:rPr>
          <w:t>3</w:t>
        </w:r>
        <w:r w:rsidR="004513B4">
          <w:rPr>
            <w:noProof/>
            <w:webHidden/>
          </w:rPr>
          <w:fldChar w:fldCharType="end"/>
        </w:r>
      </w:hyperlink>
    </w:p>
    <w:p w14:paraId="63F41315" w14:textId="7AFED682"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56" w:history="1">
        <w:r w:rsidR="004513B4" w:rsidRPr="00E35149">
          <w:rPr>
            <w:rStyle w:val="Hipervnculo"/>
            <w:noProof/>
          </w:rPr>
          <w:t>1.3 Planteamiento del Problema</w:t>
        </w:r>
        <w:r w:rsidR="004513B4">
          <w:rPr>
            <w:noProof/>
            <w:webHidden/>
          </w:rPr>
          <w:tab/>
        </w:r>
        <w:r w:rsidR="004513B4">
          <w:rPr>
            <w:noProof/>
            <w:webHidden/>
          </w:rPr>
          <w:fldChar w:fldCharType="begin"/>
        </w:r>
        <w:r w:rsidR="004513B4">
          <w:rPr>
            <w:noProof/>
            <w:webHidden/>
          </w:rPr>
          <w:instrText xml:space="preserve"> PAGEREF _Toc140204056 \h </w:instrText>
        </w:r>
        <w:r w:rsidR="004513B4">
          <w:rPr>
            <w:noProof/>
            <w:webHidden/>
          </w:rPr>
        </w:r>
        <w:r w:rsidR="004513B4">
          <w:rPr>
            <w:noProof/>
            <w:webHidden/>
          </w:rPr>
          <w:fldChar w:fldCharType="separate"/>
        </w:r>
        <w:r w:rsidR="004513B4">
          <w:rPr>
            <w:noProof/>
            <w:webHidden/>
          </w:rPr>
          <w:t>5</w:t>
        </w:r>
        <w:r w:rsidR="004513B4">
          <w:rPr>
            <w:noProof/>
            <w:webHidden/>
          </w:rPr>
          <w:fldChar w:fldCharType="end"/>
        </w:r>
      </w:hyperlink>
    </w:p>
    <w:p w14:paraId="258CEF29" w14:textId="07AA3632"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57" w:history="1">
        <w:r w:rsidR="004513B4" w:rsidRPr="00E35149">
          <w:rPr>
            <w:rStyle w:val="Hipervnculo"/>
            <w:noProof/>
          </w:rPr>
          <w:t>1.4 Objetivos</w:t>
        </w:r>
        <w:r w:rsidR="004513B4">
          <w:rPr>
            <w:noProof/>
            <w:webHidden/>
          </w:rPr>
          <w:tab/>
        </w:r>
        <w:r w:rsidR="004513B4">
          <w:rPr>
            <w:noProof/>
            <w:webHidden/>
          </w:rPr>
          <w:fldChar w:fldCharType="begin"/>
        </w:r>
        <w:r w:rsidR="004513B4">
          <w:rPr>
            <w:noProof/>
            <w:webHidden/>
          </w:rPr>
          <w:instrText xml:space="preserve"> PAGEREF _Toc140204057 \h </w:instrText>
        </w:r>
        <w:r w:rsidR="004513B4">
          <w:rPr>
            <w:noProof/>
            <w:webHidden/>
          </w:rPr>
        </w:r>
        <w:r w:rsidR="004513B4">
          <w:rPr>
            <w:noProof/>
            <w:webHidden/>
          </w:rPr>
          <w:fldChar w:fldCharType="separate"/>
        </w:r>
        <w:r w:rsidR="004513B4">
          <w:rPr>
            <w:noProof/>
            <w:webHidden/>
          </w:rPr>
          <w:t>5</w:t>
        </w:r>
        <w:r w:rsidR="004513B4">
          <w:rPr>
            <w:noProof/>
            <w:webHidden/>
          </w:rPr>
          <w:fldChar w:fldCharType="end"/>
        </w:r>
      </w:hyperlink>
    </w:p>
    <w:p w14:paraId="2ABFCC44" w14:textId="2A401F5B" w:rsidR="004513B4" w:rsidRDefault="0068004B">
      <w:pPr>
        <w:pStyle w:val="TDC3"/>
        <w:tabs>
          <w:tab w:val="right" w:leader="dot" w:pos="9350"/>
        </w:tabs>
        <w:rPr>
          <w:rFonts w:asciiTheme="minorHAnsi" w:eastAsiaTheme="minorEastAsia" w:hAnsiTheme="minorHAnsi"/>
          <w:noProof/>
          <w:color w:val="auto"/>
          <w:kern w:val="2"/>
          <w:sz w:val="22"/>
          <w:lang w:eastAsia="es-CR"/>
          <w14:ligatures w14:val="standardContextual"/>
        </w:rPr>
      </w:pPr>
      <w:hyperlink w:anchor="_Toc140204058" w:history="1">
        <w:r w:rsidR="004513B4" w:rsidRPr="00E35149">
          <w:rPr>
            <w:rStyle w:val="Hipervnculo"/>
            <w:noProof/>
          </w:rPr>
          <w:t>1.4.1 Objetivo General</w:t>
        </w:r>
        <w:r w:rsidR="004513B4">
          <w:rPr>
            <w:noProof/>
            <w:webHidden/>
          </w:rPr>
          <w:tab/>
        </w:r>
        <w:r w:rsidR="004513B4">
          <w:rPr>
            <w:noProof/>
            <w:webHidden/>
          </w:rPr>
          <w:fldChar w:fldCharType="begin"/>
        </w:r>
        <w:r w:rsidR="004513B4">
          <w:rPr>
            <w:noProof/>
            <w:webHidden/>
          </w:rPr>
          <w:instrText xml:space="preserve"> PAGEREF _Toc140204058 \h </w:instrText>
        </w:r>
        <w:r w:rsidR="004513B4">
          <w:rPr>
            <w:noProof/>
            <w:webHidden/>
          </w:rPr>
        </w:r>
        <w:r w:rsidR="004513B4">
          <w:rPr>
            <w:noProof/>
            <w:webHidden/>
          </w:rPr>
          <w:fldChar w:fldCharType="separate"/>
        </w:r>
        <w:r w:rsidR="004513B4">
          <w:rPr>
            <w:noProof/>
            <w:webHidden/>
          </w:rPr>
          <w:t>5</w:t>
        </w:r>
        <w:r w:rsidR="004513B4">
          <w:rPr>
            <w:noProof/>
            <w:webHidden/>
          </w:rPr>
          <w:fldChar w:fldCharType="end"/>
        </w:r>
      </w:hyperlink>
    </w:p>
    <w:p w14:paraId="1B0C1469" w14:textId="07540315" w:rsidR="004513B4" w:rsidRDefault="0068004B">
      <w:pPr>
        <w:pStyle w:val="TDC3"/>
        <w:tabs>
          <w:tab w:val="right" w:leader="dot" w:pos="9350"/>
        </w:tabs>
        <w:rPr>
          <w:rFonts w:asciiTheme="minorHAnsi" w:eastAsiaTheme="minorEastAsia" w:hAnsiTheme="minorHAnsi"/>
          <w:noProof/>
          <w:color w:val="auto"/>
          <w:kern w:val="2"/>
          <w:sz w:val="22"/>
          <w:lang w:eastAsia="es-CR"/>
          <w14:ligatures w14:val="standardContextual"/>
        </w:rPr>
      </w:pPr>
      <w:hyperlink w:anchor="_Toc140204059" w:history="1">
        <w:r w:rsidR="004513B4" w:rsidRPr="00E35149">
          <w:rPr>
            <w:rStyle w:val="Hipervnculo"/>
            <w:noProof/>
          </w:rPr>
          <w:t>1.4.1 Objetivos Específicos</w:t>
        </w:r>
        <w:r w:rsidR="004513B4">
          <w:rPr>
            <w:noProof/>
            <w:webHidden/>
          </w:rPr>
          <w:tab/>
        </w:r>
        <w:r w:rsidR="004513B4">
          <w:rPr>
            <w:noProof/>
            <w:webHidden/>
          </w:rPr>
          <w:fldChar w:fldCharType="begin"/>
        </w:r>
        <w:r w:rsidR="004513B4">
          <w:rPr>
            <w:noProof/>
            <w:webHidden/>
          </w:rPr>
          <w:instrText xml:space="preserve"> PAGEREF _Toc140204059 \h </w:instrText>
        </w:r>
        <w:r w:rsidR="004513B4">
          <w:rPr>
            <w:noProof/>
            <w:webHidden/>
          </w:rPr>
        </w:r>
        <w:r w:rsidR="004513B4">
          <w:rPr>
            <w:noProof/>
            <w:webHidden/>
          </w:rPr>
          <w:fldChar w:fldCharType="separate"/>
        </w:r>
        <w:r w:rsidR="004513B4">
          <w:rPr>
            <w:noProof/>
            <w:webHidden/>
          </w:rPr>
          <w:t>5</w:t>
        </w:r>
        <w:r w:rsidR="004513B4">
          <w:rPr>
            <w:noProof/>
            <w:webHidden/>
          </w:rPr>
          <w:fldChar w:fldCharType="end"/>
        </w:r>
      </w:hyperlink>
    </w:p>
    <w:p w14:paraId="3977D377" w14:textId="6D8D1294"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60" w:history="1">
        <w:r w:rsidR="004513B4" w:rsidRPr="00E35149">
          <w:rPr>
            <w:rStyle w:val="Hipervnculo"/>
            <w:noProof/>
          </w:rPr>
          <w:t>2.</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rPr>
          <w:t>Marco Teórico</w:t>
        </w:r>
        <w:r w:rsidR="004513B4">
          <w:rPr>
            <w:noProof/>
            <w:webHidden/>
          </w:rPr>
          <w:tab/>
        </w:r>
        <w:r w:rsidR="004513B4">
          <w:rPr>
            <w:noProof/>
            <w:webHidden/>
          </w:rPr>
          <w:fldChar w:fldCharType="begin"/>
        </w:r>
        <w:r w:rsidR="004513B4">
          <w:rPr>
            <w:noProof/>
            <w:webHidden/>
          </w:rPr>
          <w:instrText xml:space="preserve"> PAGEREF _Toc140204060 \h </w:instrText>
        </w:r>
        <w:r w:rsidR="004513B4">
          <w:rPr>
            <w:noProof/>
            <w:webHidden/>
          </w:rPr>
        </w:r>
        <w:r w:rsidR="004513B4">
          <w:rPr>
            <w:noProof/>
            <w:webHidden/>
          </w:rPr>
          <w:fldChar w:fldCharType="separate"/>
        </w:r>
        <w:r w:rsidR="004513B4">
          <w:rPr>
            <w:noProof/>
            <w:webHidden/>
          </w:rPr>
          <w:t>6</w:t>
        </w:r>
        <w:r w:rsidR="004513B4">
          <w:rPr>
            <w:noProof/>
            <w:webHidden/>
          </w:rPr>
          <w:fldChar w:fldCharType="end"/>
        </w:r>
      </w:hyperlink>
    </w:p>
    <w:p w14:paraId="44F85578" w14:textId="3496C0FD"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1" w:history="1">
        <w:r w:rsidR="004513B4" w:rsidRPr="00E35149">
          <w:rPr>
            <w:rStyle w:val="Hipervnculo"/>
            <w:noProof/>
          </w:rPr>
          <w:t>2.1 Hongos marinos: Características y ecología</w:t>
        </w:r>
        <w:r w:rsidR="004513B4">
          <w:rPr>
            <w:noProof/>
            <w:webHidden/>
          </w:rPr>
          <w:tab/>
        </w:r>
        <w:r w:rsidR="004513B4">
          <w:rPr>
            <w:noProof/>
            <w:webHidden/>
          </w:rPr>
          <w:fldChar w:fldCharType="begin"/>
        </w:r>
        <w:r w:rsidR="004513B4">
          <w:rPr>
            <w:noProof/>
            <w:webHidden/>
          </w:rPr>
          <w:instrText xml:space="preserve"> PAGEREF _Toc140204061 \h </w:instrText>
        </w:r>
        <w:r w:rsidR="004513B4">
          <w:rPr>
            <w:noProof/>
            <w:webHidden/>
          </w:rPr>
        </w:r>
        <w:r w:rsidR="004513B4">
          <w:rPr>
            <w:noProof/>
            <w:webHidden/>
          </w:rPr>
          <w:fldChar w:fldCharType="separate"/>
        </w:r>
        <w:r w:rsidR="004513B4">
          <w:rPr>
            <w:noProof/>
            <w:webHidden/>
          </w:rPr>
          <w:t>7</w:t>
        </w:r>
        <w:r w:rsidR="004513B4">
          <w:rPr>
            <w:noProof/>
            <w:webHidden/>
          </w:rPr>
          <w:fldChar w:fldCharType="end"/>
        </w:r>
      </w:hyperlink>
    </w:p>
    <w:p w14:paraId="05F3C340" w14:textId="78FD663D"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2" w:history="1">
        <w:r w:rsidR="004513B4" w:rsidRPr="00E35149">
          <w:rPr>
            <w:rStyle w:val="Hipervnculo"/>
            <w:noProof/>
          </w:rPr>
          <w:t>2.2 Metabolitos secundarios en hongos marinos</w:t>
        </w:r>
        <w:r w:rsidR="004513B4">
          <w:rPr>
            <w:noProof/>
            <w:webHidden/>
          </w:rPr>
          <w:tab/>
        </w:r>
        <w:r w:rsidR="004513B4">
          <w:rPr>
            <w:noProof/>
            <w:webHidden/>
          </w:rPr>
          <w:fldChar w:fldCharType="begin"/>
        </w:r>
        <w:r w:rsidR="004513B4">
          <w:rPr>
            <w:noProof/>
            <w:webHidden/>
          </w:rPr>
          <w:instrText xml:space="preserve"> PAGEREF _Toc140204062 \h </w:instrText>
        </w:r>
        <w:r w:rsidR="004513B4">
          <w:rPr>
            <w:noProof/>
            <w:webHidden/>
          </w:rPr>
        </w:r>
        <w:r w:rsidR="004513B4">
          <w:rPr>
            <w:noProof/>
            <w:webHidden/>
          </w:rPr>
          <w:fldChar w:fldCharType="separate"/>
        </w:r>
        <w:r w:rsidR="004513B4">
          <w:rPr>
            <w:noProof/>
            <w:webHidden/>
          </w:rPr>
          <w:t>8</w:t>
        </w:r>
        <w:r w:rsidR="004513B4">
          <w:rPr>
            <w:noProof/>
            <w:webHidden/>
          </w:rPr>
          <w:fldChar w:fldCharType="end"/>
        </w:r>
      </w:hyperlink>
    </w:p>
    <w:p w14:paraId="73961BE1" w14:textId="680C79F6"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3" w:history="1">
        <w:r w:rsidR="004513B4" w:rsidRPr="00E35149">
          <w:rPr>
            <w:rStyle w:val="Hipervnculo"/>
            <w:noProof/>
          </w:rPr>
          <w:t>2.3 Bioinformática como herramienta para la predicción de metabolitos</w:t>
        </w:r>
        <w:r w:rsidR="004513B4">
          <w:rPr>
            <w:noProof/>
            <w:webHidden/>
          </w:rPr>
          <w:tab/>
        </w:r>
        <w:r w:rsidR="004513B4">
          <w:rPr>
            <w:noProof/>
            <w:webHidden/>
          </w:rPr>
          <w:fldChar w:fldCharType="begin"/>
        </w:r>
        <w:r w:rsidR="004513B4">
          <w:rPr>
            <w:noProof/>
            <w:webHidden/>
          </w:rPr>
          <w:instrText xml:space="preserve"> PAGEREF _Toc140204063 \h </w:instrText>
        </w:r>
        <w:r w:rsidR="004513B4">
          <w:rPr>
            <w:noProof/>
            <w:webHidden/>
          </w:rPr>
        </w:r>
        <w:r w:rsidR="004513B4">
          <w:rPr>
            <w:noProof/>
            <w:webHidden/>
          </w:rPr>
          <w:fldChar w:fldCharType="separate"/>
        </w:r>
        <w:r w:rsidR="004513B4">
          <w:rPr>
            <w:noProof/>
            <w:webHidden/>
          </w:rPr>
          <w:t>11</w:t>
        </w:r>
        <w:r w:rsidR="004513B4">
          <w:rPr>
            <w:noProof/>
            <w:webHidden/>
          </w:rPr>
          <w:fldChar w:fldCharType="end"/>
        </w:r>
      </w:hyperlink>
    </w:p>
    <w:p w14:paraId="60B87854" w14:textId="0D1BBBD9"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4" w:history="1">
        <w:r w:rsidR="004513B4" w:rsidRPr="00E35149">
          <w:rPr>
            <w:rStyle w:val="Hipervnculo"/>
            <w:noProof/>
          </w:rPr>
          <w:t>2.4 Resistencia bacteriana a los antibióticos</w:t>
        </w:r>
        <w:r w:rsidR="004513B4">
          <w:rPr>
            <w:noProof/>
            <w:webHidden/>
          </w:rPr>
          <w:tab/>
        </w:r>
        <w:r w:rsidR="004513B4">
          <w:rPr>
            <w:noProof/>
            <w:webHidden/>
          </w:rPr>
          <w:fldChar w:fldCharType="begin"/>
        </w:r>
        <w:r w:rsidR="004513B4">
          <w:rPr>
            <w:noProof/>
            <w:webHidden/>
          </w:rPr>
          <w:instrText xml:space="preserve"> PAGEREF _Toc140204064 \h </w:instrText>
        </w:r>
        <w:r w:rsidR="004513B4">
          <w:rPr>
            <w:noProof/>
            <w:webHidden/>
          </w:rPr>
        </w:r>
        <w:r w:rsidR="004513B4">
          <w:rPr>
            <w:noProof/>
            <w:webHidden/>
          </w:rPr>
          <w:fldChar w:fldCharType="separate"/>
        </w:r>
        <w:r w:rsidR="004513B4">
          <w:rPr>
            <w:noProof/>
            <w:webHidden/>
          </w:rPr>
          <w:t>13</w:t>
        </w:r>
        <w:r w:rsidR="004513B4">
          <w:rPr>
            <w:noProof/>
            <w:webHidden/>
          </w:rPr>
          <w:fldChar w:fldCharType="end"/>
        </w:r>
      </w:hyperlink>
    </w:p>
    <w:p w14:paraId="1FED1672" w14:textId="62B481A5"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5" w:history="1">
        <w:r w:rsidR="004513B4" w:rsidRPr="00E35149">
          <w:rPr>
            <w:rStyle w:val="Hipervnculo"/>
            <w:noProof/>
          </w:rPr>
          <w:t>2.5 Mecanismos de generación de resistencia</w:t>
        </w:r>
        <w:r w:rsidR="004513B4">
          <w:rPr>
            <w:noProof/>
            <w:webHidden/>
          </w:rPr>
          <w:tab/>
        </w:r>
        <w:r w:rsidR="004513B4">
          <w:rPr>
            <w:noProof/>
            <w:webHidden/>
          </w:rPr>
          <w:fldChar w:fldCharType="begin"/>
        </w:r>
        <w:r w:rsidR="004513B4">
          <w:rPr>
            <w:noProof/>
            <w:webHidden/>
          </w:rPr>
          <w:instrText xml:space="preserve"> PAGEREF _Toc140204065 \h </w:instrText>
        </w:r>
        <w:r w:rsidR="004513B4">
          <w:rPr>
            <w:noProof/>
            <w:webHidden/>
          </w:rPr>
        </w:r>
        <w:r w:rsidR="004513B4">
          <w:rPr>
            <w:noProof/>
            <w:webHidden/>
          </w:rPr>
          <w:fldChar w:fldCharType="separate"/>
        </w:r>
        <w:r w:rsidR="004513B4">
          <w:rPr>
            <w:noProof/>
            <w:webHidden/>
          </w:rPr>
          <w:t>13</w:t>
        </w:r>
        <w:r w:rsidR="004513B4">
          <w:rPr>
            <w:noProof/>
            <w:webHidden/>
          </w:rPr>
          <w:fldChar w:fldCharType="end"/>
        </w:r>
      </w:hyperlink>
    </w:p>
    <w:p w14:paraId="6582C46A" w14:textId="381F25F1"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66" w:history="1">
        <w:r w:rsidR="004513B4" w:rsidRPr="00E35149">
          <w:rPr>
            <w:rStyle w:val="Hipervnculo"/>
            <w:noProof/>
          </w:rPr>
          <w:t>3.</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rPr>
          <w:t>Marco Metodológico</w:t>
        </w:r>
        <w:r w:rsidR="004513B4">
          <w:rPr>
            <w:noProof/>
            <w:webHidden/>
          </w:rPr>
          <w:tab/>
        </w:r>
        <w:r w:rsidR="004513B4">
          <w:rPr>
            <w:noProof/>
            <w:webHidden/>
          </w:rPr>
          <w:fldChar w:fldCharType="begin"/>
        </w:r>
        <w:r w:rsidR="004513B4">
          <w:rPr>
            <w:noProof/>
            <w:webHidden/>
          </w:rPr>
          <w:instrText xml:space="preserve"> PAGEREF _Toc140204066 \h </w:instrText>
        </w:r>
        <w:r w:rsidR="004513B4">
          <w:rPr>
            <w:noProof/>
            <w:webHidden/>
          </w:rPr>
        </w:r>
        <w:r w:rsidR="004513B4">
          <w:rPr>
            <w:noProof/>
            <w:webHidden/>
          </w:rPr>
          <w:fldChar w:fldCharType="separate"/>
        </w:r>
        <w:r w:rsidR="004513B4">
          <w:rPr>
            <w:noProof/>
            <w:webHidden/>
          </w:rPr>
          <w:t>14</w:t>
        </w:r>
        <w:r w:rsidR="004513B4">
          <w:rPr>
            <w:noProof/>
            <w:webHidden/>
          </w:rPr>
          <w:fldChar w:fldCharType="end"/>
        </w:r>
      </w:hyperlink>
    </w:p>
    <w:p w14:paraId="64B60EC4" w14:textId="6D5F6680"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67" w:history="1">
        <w:r w:rsidR="004513B4" w:rsidRPr="00E35149">
          <w:rPr>
            <w:rStyle w:val="Hipervnculo"/>
            <w:noProof/>
            <w:lang w:eastAsia="es-CR"/>
          </w:rPr>
          <w:t>3.1</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Desarrollo metodológico</w:t>
        </w:r>
        <w:r w:rsidR="004513B4">
          <w:rPr>
            <w:noProof/>
            <w:webHidden/>
          </w:rPr>
          <w:tab/>
        </w:r>
        <w:r w:rsidR="004513B4">
          <w:rPr>
            <w:noProof/>
            <w:webHidden/>
          </w:rPr>
          <w:fldChar w:fldCharType="begin"/>
        </w:r>
        <w:r w:rsidR="004513B4">
          <w:rPr>
            <w:noProof/>
            <w:webHidden/>
          </w:rPr>
          <w:instrText xml:space="preserve"> PAGEREF _Toc140204067 \h </w:instrText>
        </w:r>
        <w:r w:rsidR="004513B4">
          <w:rPr>
            <w:noProof/>
            <w:webHidden/>
          </w:rPr>
        </w:r>
        <w:r w:rsidR="004513B4">
          <w:rPr>
            <w:noProof/>
            <w:webHidden/>
          </w:rPr>
          <w:fldChar w:fldCharType="separate"/>
        </w:r>
        <w:r w:rsidR="004513B4">
          <w:rPr>
            <w:noProof/>
            <w:webHidden/>
          </w:rPr>
          <w:t>14</w:t>
        </w:r>
        <w:r w:rsidR="004513B4">
          <w:rPr>
            <w:noProof/>
            <w:webHidden/>
          </w:rPr>
          <w:fldChar w:fldCharType="end"/>
        </w:r>
      </w:hyperlink>
    </w:p>
    <w:p w14:paraId="37616380" w14:textId="5C9E60A2"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68" w:history="1">
        <w:r w:rsidR="004513B4" w:rsidRPr="00E35149">
          <w:rPr>
            <w:rStyle w:val="Hipervnculo"/>
            <w:noProof/>
            <w:lang w:eastAsia="es-CR"/>
          </w:rPr>
          <w:t>3.2</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Recolección de muestras</w:t>
        </w:r>
        <w:r w:rsidR="004513B4">
          <w:rPr>
            <w:noProof/>
            <w:webHidden/>
          </w:rPr>
          <w:tab/>
        </w:r>
        <w:r w:rsidR="004513B4">
          <w:rPr>
            <w:noProof/>
            <w:webHidden/>
          </w:rPr>
          <w:fldChar w:fldCharType="begin"/>
        </w:r>
        <w:r w:rsidR="004513B4">
          <w:rPr>
            <w:noProof/>
            <w:webHidden/>
          </w:rPr>
          <w:instrText xml:space="preserve"> PAGEREF _Toc140204068 \h </w:instrText>
        </w:r>
        <w:r w:rsidR="004513B4">
          <w:rPr>
            <w:noProof/>
            <w:webHidden/>
          </w:rPr>
        </w:r>
        <w:r w:rsidR="004513B4">
          <w:rPr>
            <w:noProof/>
            <w:webHidden/>
          </w:rPr>
          <w:fldChar w:fldCharType="separate"/>
        </w:r>
        <w:r w:rsidR="004513B4">
          <w:rPr>
            <w:noProof/>
            <w:webHidden/>
          </w:rPr>
          <w:t>15</w:t>
        </w:r>
        <w:r w:rsidR="004513B4">
          <w:rPr>
            <w:noProof/>
            <w:webHidden/>
          </w:rPr>
          <w:fldChar w:fldCharType="end"/>
        </w:r>
      </w:hyperlink>
    </w:p>
    <w:p w14:paraId="2E32E75D" w14:textId="3B4D8027"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69" w:history="1">
        <w:r w:rsidR="004513B4" w:rsidRPr="00E35149">
          <w:rPr>
            <w:rStyle w:val="Hipervnculo"/>
            <w:noProof/>
            <w:lang w:eastAsia="es-CR"/>
          </w:rPr>
          <w:t>3.2 Aislamiento</w:t>
        </w:r>
        <w:r w:rsidR="004513B4">
          <w:rPr>
            <w:noProof/>
            <w:webHidden/>
          </w:rPr>
          <w:tab/>
        </w:r>
        <w:r w:rsidR="004513B4">
          <w:rPr>
            <w:noProof/>
            <w:webHidden/>
          </w:rPr>
          <w:fldChar w:fldCharType="begin"/>
        </w:r>
        <w:r w:rsidR="004513B4">
          <w:rPr>
            <w:noProof/>
            <w:webHidden/>
          </w:rPr>
          <w:instrText xml:space="preserve"> PAGEREF _Toc140204069 \h </w:instrText>
        </w:r>
        <w:r w:rsidR="004513B4">
          <w:rPr>
            <w:noProof/>
            <w:webHidden/>
          </w:rPr>
        </w:r>
        <w:r w:rsidR="004513B4">
          <w:rPr>
            <w:noProof/>
            <w:webHidden/>
          </w:rPr>
          <w:fldChar w:fldCharType="separate"/>
        </w:r>
        <w:r w:rsidR="004513B4">
          <w:rPr>
            <w:noProof/>
            <w:webHidden/>
          </w:rPr>
          <w:t>16</w:t>
        </w:r>
        <w:r w:rsidR="004513B4">
          <w:rPr>
            <w:noProof/>
            <w:webHidden/>
          </w:rPr>
          <w:fldChar w:fldCharType="end"/>
        </w:r>
      </w:hyperlink>
    </w:p>
    <w:p w14:paraId="71E2A7A9" w14:textId="61D145DE"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0" w:history="1">
        <w:r w:rsidR="004513B4" w:rsidRPr="00E35149">
          <w:rPr>
            <w:rStyle w:val="Hipervnculo"/>
            <w:rFonts w:eastAsia="Times New Roman"/>
            <w:noProof/>
            <w:lang w:eastAsia="es-CR"/>
          </w:rPr>
          <w:t>3.3</w:t>
        </w:r>
        <w:r w:rsidR="004513B4">
          <w:rPr>
            <w:rFonts w:asciiTheme="minorHAnsi" w:eastAsiaTheme="minorEastAsia" w:hAnsiTheme="minorHAnsi"/>
            <w:noProof/>
            <w:kern w:val="2"/>
            <w:sz w:val="22"/>
            <w:lang w:eastAsia="es-CR"/>
            <w14:ligatures w14:val="standardContextual"/>
          </w:rPr>
          <w:tab/>
        </w:r>
        <w:r w:rsidR="004513B4" w:rsidRPr="00E35149">
          <w:rPr>
            <w:rStyle w:val="Hipervnculo"/>
            <w:rFonts w:eastAsia="Times New Roman"/>
            <w:noProof/>
            <w:lang w:eastAsia="es-CR"/>
          </w:rPr>
          <w:t>Caracterización morfológica</w:t>
        </w:r>
        <w:r w:rsidR="004513B4">
          <w:rPr>
            <w:noProof/>
            <w:webHidden/>
          </w:rPr>
          <w:tab/>
        </w:r>
        <w:r w:rsidR="004513B4">
          <w:rPr>
            <w:noProof/>
            <w:webHidden/>
          </w:rPr>
          <w:fldChar w:fldCharType="begin"/>
        </w:r>
        <w:r w:rsidR="004513B4">
          <w:rPr>
            <w:noProof/>
            <w:webHidden/>
          </w:rPr>
          <w:instrText xml:space="preserve"> PAGEREF _Toc140204070 \h </w:instrText>
        </w:r>
        <w:r w:rsidR="004513B4">
          <w:rPr>
            <w:noProof/>
            <w:webHidden/>
          </w:rPr>
        </w:r>
        <w:r w:rsidR="004513B4">
          <w:rPr>
            <w:noProof/>
            <w:webHidden/>
          </w:rPr>
          <w:fldChar w:fldCharType="separate"/>
        </w:r>
        <w:r w:rsidR="004513B4">
          <w:rPr>
            <w:noProof/>
            <w:webHidden/>
          </w:rPr>
          <w:t>16</w:t>
        </w:r>
        <w:r w:rsidR="004513B4">
          <w:rPr>
            <w:noProof/>
            <w:webHidden/>
          </w:rPr>
          <w:fldChar w:fldCharType="end"/>
        </w:r>
      </w:hyperlink>
    </w:p>
    <w:p w14:paraId="1F46E62C" w14:textId="372B7510"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1" w:history="1">
        <w:r w:rsidR="004513B4" w:rsidRPr="00E35149">
          <w:rPr>
            <w:rStyle w:val="Hipervnculo"/>
            <w:rFonts w:eastAsia="Times New Roman"/>
            <w:noProof/>
            <w:lang w:eastAsia="es-CR"/>
          </w:rPr>
          <w:t>3.4</w:t>
        </w:r>
        <w:r w:rsidR="004513B4">
          <w:rPr>
            <w:rFonts w:asciiTheme="minorHAnsi" w:eastAsiaTheme="minorEastAsia" w:hAnsiTheme="minorHAnsi"/>
            <w:noProof/>
            <w:kern w:val="2"/>
            <w:sz w:val="22"/>
            <w:lang w:eastAsia="es-CR"/>
            <w14:ligatures w14:val="standardContextual"/>
          </w:rPr>
          <w:tab/>
        </w:r>
        <w:r w:rsidR="004513B4" w:rsidRPr="00E35149">
          <w:rPr>
            <w:rStyle w:val="Hipervnculo"/>
            <w:rFonts w:eastAsia="Times New Roman"/>
            <w:noProof/>
            <w:lang w:eastAsia="es-CR"/>
          </w:rPr>
          <w:t>Selección preliminar</w:t>
        </w:r>
        <w:r w:rsidR="004513B4">
          <w:rPr>
            <w:noProof/>
            <w:webHidden/>
          </w:rPr>
          <w:tab/>
        </w:r>
        <w:r w:rsidR="004513B4">
          <w:rPr>
            <w:noProof/>
            <w:webHidden/>
          </w:rPr>
          <w:fldChar w:fldCharType="begin"/>
        </w:r>
        <w:r w:rsidR="004513B4">
          <w:rPr>
            <w:noProof/>
            <w:webHidden/>
          </w:rPr>
          <w:instrText xml:space="preserve"> PAGEREF _Toc140204071 \h </w:instrText>
        </w:r>
        <w:r w:rsidR="004513B4">
          <w:rPr>
            <w:noProof/>
            <w:webHidden/>
          </w:rPr>
        </w:r>
        <w:r w:rsidR="004513B4">
          <w:rPr>
            <w:noProof/>
            <w:webHidden/>
          </w:rPr>
          <w:fldChar w:fldCharType="separate"/>
        </w:r>
        <w:r w:rsidR="004513B4">
          <w:rPr>
            <w:noProof/>
            <w:webHidden/>
          </w:rPr>
          <w:t>16</w:t>
        </w:r>
        <w:r w:rsidR="004513B4">
          <w:rPr>
            <w:noProof/>
            <w:webHidden/>
          </w:rPr>
          <w:fldChar w:fldCharType="end"/>
        </w:r>
      </w:hyperlink>
    </w:p>
    <w:p w14:paraId="7DF8EF7C" w14:textId="475B5418"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2" w:history="1">
        <w:r w:rsidR="004513B4" w:rsidRPr="00E35149">
          <w:rPr>
            <w:rStyle w:val="Hipervnculo"/>
            <w:noProof/>
            <w:lang w:eastAsia="es-CR"/>
          </w:rPr>
          <w:t>3.6</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Identificación molecular</w:t>
        </w:r>
        <w:r w:rsidR="004513B4">
          <w:rPr>
            <w:noProof/>
            <w:webHidden/>
          </w:rPr>
          <w:tab/>
        </w:r>
        <w:r w:rsidR="004513B4">
          <w:rPr>
            <w:noProof/>
            <w:webHidden/>
          </w:rPr>
          <w:fldChar w:fldCharType="begin"/>
        </w:r>
        <w:r w:rsidR="004513B4">
          <w:rPr>
            <w:noProof/>
            <w:webHidden/>
          </w:rPr>
          <w:instrText xml:space="preserve"> PAGEREF _Toc140204072 \h </w:instrText>
        </w:r>
        <w:r w:rsidR="004513B4">
          <w:rPr>
            <w:noProof/>
            <w:webHidden/>
          </w:rPr>
        </w:r>
        <w:r w:rsidR="004513B4">
          <w:rPr>
            <w:noProof/>
            <w:webHidden/>
          </w:rPr>
          <w:fldChar w:fldCharType="separate"/>
        </w:r>
        <w:r w:rsidR="004513B4">
          <w:rPr>
            <w:noProof/>
            <w:webHidden/>
          </w:rPr>
          <w:t>18</w:t>
        </w:r>
        <w:r w:rsidR="004513B4">
          <w:rPr>
            <w:noProof/>
            <w:webHidden/>
          </w:rPr>
          <w:fldChar w:fldCharType="end"/>
        </w:r>
      </w:hyperlink>
    </w:p>
    <w:p w14:paraId="52086F84" w14:textId="7ACF0EA4"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3" w:history="1">
        <w:r w:rsidR="004513B4" w:rsidRPr="00E35149">
          <w:rPr>
            <w:rStyle w:val="Hipervnculo"/>
            <w:noProof/>
            <w:lang w:eastAsia="es-CR"/>
          </w:rPr>
          <w:t>3.7</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Fermentación</w:t>
        </w:r>
        <w:r w:rsidR="004513B4">
          <w:rPr>
            <w:noProof/>
            <w:webHidden/>
          </w:rPr>
          <w:tab/>
        </w:r>
        <w:r w:rsidR="004513B4">
          <w:rPr>
            <w:noProof/>
            <w:webHidden/>
          </w:rPr>
          <w:fldChar w:fldCharType="begin"/>
        </w:r>
        <w:r w:rsidR="004513B4">
          <w:rPr>
            <w:noProof/>
            <w:webHidden/>
          </w:rPr>
          <w:instrText xml:space="preserve"> PAGEREF _Toc140204073 \h </w:instrText>
        </w:r>
        <w:r w:rsidR="004513B4">
          <w:rPr>
            <w:noProof/>
            <w:webHidden/>
          </w:rPr>
        </w:r>
        <w:r w:rsidR="004513B4">
          <w:rPr>
            <w:noProof/>
            <w:webHidden/>
          </w:rPr>
          <w:fldChar w:fldCharType="separate"/>
        </w:r>
        <w:r w:rsidR="004513B4">
          <w:rPr>
            <w:noProof/>
            <w:webHidden/>
          </w:rPr>
          <w:t>19</w:t>
        </w:r>
        <w:r w:rsidR="004513B4">
          <w:rPr>
            <w:noProof/>
            <w:webHidden/>
          </w:rPr>
          <w:fldChar w:fldCharType="end"/>
        </w:r>
      </w:hyperlink>
    </w:p>
    <w:p w14:paraId="28AB0461" w14:textId="10E2FA30"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4" w:history="1">
        <w:r w:rsidR="004513B4" w:rsidRPr="00E35149">
          <w:rPr>
            <w:rStyle w:val="Hipervnculo"/>
            <w:noProof/>
            <w:lang w:eastAsia="es-CR"/>
          </w:rPr>
          <w:t>3.8</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Preparación de extractos</w:t>
        </w:r>
        <w:r w:rsidR="004513B4">
          <w:rPr>
            <w:noProof/>
            <w:webHidden/>
          </w:rPr>
          <w:tab/>
        </w:r>
        <w:r w:rsidR="004513B4">
          <w:rPr>
            <w:noProof/>
            <w:webHidden/>
          </w:rPr>
          <w:fldChar w:fldCharType="begin"/>
        </w:r>
        <w:r w:rsidR="004513B4">
          <w:rPr>
            <w:noProof/>
            <w:webHidden/>
          </w:rPr>
          <w:instrText xml:space="preserve"> PAGEREF _Toc140204074 \h </w:instrText>
        </w:r>
        <w:r w:rsidR="004513B4">
          <w:rPr>
            <w:noProof/>
            <w:webHidden/>
          </w:rPr>
        </w:r>
        <w:r w:rsidR="004513B4">
          <w:rPr>
            <w:noProof/>
            <w:webHidden/>
          </w:rPr>
          <w:fldChar w:fldCharType="separate"/>
        </w:r>
        <w:r w:rsidR="004513B4">
          <w:rPr>
            <w:noProof/>
            <w:webHidden/>
          </w:rPr>
          <w:t>20</w:t>
        </w:r>
        <w:r w:rsidR="004513B4">
          <w:rPr>
            <w:noProof/>
            <w:webHidden/>
          </w:rPr>
          <w:fldChar w:fldCharType="end"/>
        </w:r>
      </w:hyperlink>
    </w:p>
    <w:p w14:paraId="43D3C685" w14:textId="2744D433"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5" w:history="1">
        <w:r w:rsidR="004513B4" w:rsidRPr="00E35149">
          <w:rPr>
            <w:rStyle w:val="Hipervnculo"/>
            <w:noProof/>
            <w:lang w:eastAsia="es-CR"/>
          </w:rPr>
          <w:t>3.9</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Ensayo de actividad de las fracciones</w:t>
        </w:r>
        <w:r w:rsidR="004513B4">
          <w:rPr>
            <w:noProof/>
            <w:webHidden/>
          </w:rPr>
          <w:tab/>
        </w:r>
        <w:r w:rsidR="004513B4">
          <w:rPr>
            <w:noProof/>
            <w:webHidden/>
          </w:rPr>
          <w:fldChar w:fldCharType="begin"/>
        </w:r>
        <w:r w:rsidR="004513B4">
          <w:rPr>
            <w:noProof/>
            <w:webHidden/>
          </w:rPr>
          <w:instrText xml:space="preserve"> PAGEREF _Toc140204075 \h </w:instrText>
        </w:r>
        <w:r w:rsidR="004513B4">
          <w:rPr>
            <w:noProof/>
            <w:webHidden/>
          </w:rPr>
        </w:r>
        <w:r w:rsidR="004513B4">
          <w:rPr>
            <w:noProof/>
            <w:webHidden/>
          </w:rPr>
          <w:fldChar w:fldCharType="separate"/>
        </w:r>
        <w:r w:rsidR="004513B4">
          <w:rPr>
            <w:noProof/>
            <w:webHidden/>
          </w:rPr>
          <w:t>20</w:t>
        </w:r>
        <w:r w:rsidR="004513B4">
          <w:rPr>
            <w:noProof/>
            <w:webHidden/>
          </w:rPr>
          <w:fldChar w:fldCharType="end"/>
        </w:r>
      </w:hyperlink>
    </w:p>
    <w:p w14:paraId="2E73A885" w14:textId="4E079F07"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6" w:history="1">
        <w:r w:rsidR="004513B4" w:rsidRPr="00E35149">
          <w:rPr>
            <w:rStyle w:val="Hipervnculo"/>
            <w:noProof/>
            <w:lang w:eastAsia="es-CR"/>
          </w:rPr>
          <w:t>3.10</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Purificación e identificación parcial de las fracciones</w:t>
        </w:r>
        <w:r w:rsidR="004513B4">
          <w:rPr>
            <w:noProof/>
            <w:webHidden/>
          </w:rPr>
          <w:tab/>
        </w:r>
        <w:r w:rsidR="004513B4">
          <w:rPr>
            <w:noProof/>
            <w:webHidden/>
          </w:rPr>
          <w:fldChar w:fldCharType="begin"/>
        </w:r>
        <w:r w:rsidR="004513B4">
          <w:rPr>
            <w:noProof/>
            <w:webHidden/>
          </w:rPr>
          <w:instrText xml:space="preserve"> PAGEREF _Toc140204076 \h </w:instrText>
        </w:r>
        <w:r w:rsidR="004513B4">
          <w:rPr>
            <w:noProof/>
            <w:webHidden/>
          </w:rPr>
        </w:r>
        <w:r w:rsidR="004513B4">
          <w:rPr>
            <w:noProof/>
            <w:webHidden/>
          </w:rPr>
          <w:fldChar w:fldCharType="separate"/>
        </w:r>
        <w:r w:rsidR="004513B4">
          <w:rPr>
            <w:noProof/>
            <w:webHidden/>
          </w:rPr>
          <w:t>21</w:t>
        </w:r>
        <w:r w:rsidR="004513B4">
          <w:rPr>
            <w:noProof/>
            <w:webHidden/>
          </w:rPr>
          <w:fldChar w:fldCharType="end"/>
        </w:r>
      </w:hyperlink>
    </w:p>
    <w:p w14:paraId="2614C5BE" w14:textId="7BB9B193"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7" w:history="1">
        <w:r w:rsidR="004513B4" w:rsidRPr="00E35149">
          <w:rPr>
            <w:rStyle w:val="Hipervnculo"/>
            <w:noProof/>
            <w:lang w:eastAsia="es-CR"/>
          </w:rPr>
          <w:t>3.11</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Caracterización química de las fracciones</w:t>
        </w:r>
        <w:r w:rsidR="004513B4">
          <w:rPr>
            <w:noProof/>
            <w:webHidden/>
          </w:rPr>
          <w:tab/>
        </w:r>
        <w:r w:rsidR="004513B4">
          <w:rPr>
            <w:noProof/>
            <w:webHidden/>
          </w:rPr>
          <w:fldChar w:fldCharType="begin"/>
        </w:r>
        <w:r w:rsidR="004513B4">
          <w:rPr>
            <w:noProof/>
            <w:webHidden/>
          </w:rPr>
          <w:instrText xml:space="preserve"> PAGEREF _Toc140204077 \h </w:instrText>
        </w:r>
        <w:r w:rsidR="004513B4">
          <w:rPr>
            <w:noProof/>
            <w:webHidden/>
          </w:rPr>
        </w:r>
        <w:r w:rsidR="004513B4">
          <w:rPr>
            <w:noProof/>
            <w:webHidden/>
          </w:rPr>
          <w:fldChar w:fldCharType="separate"/>
        </w:r>
        <w:r w:rsidR="004513B4">
          <w:rPr>
            <w:noProof/>
            <w:webHidden/>
          </w:rPr>
          <w:t>22</w:t>
        </w:r>
        <w:r w:rsidR="004513B4">
          <w:rPr>
            <w:noProof/>
            <w:webHidden/>
          </w:rPr>
          <w:fldChar w:fldCharType="end"/>
        </w:r>
      </w:hyperlink>
    </w:p>
    <w:p w14:paraId="05F2D22F" w14:textId="4842BC44"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78" w:history="1">
        <w:r w:rsidR="004513B4" w:rsidRPr="00E35149">
          <w:rPr>
            <w:rStyle w:val="Hipervnculo"/>
            <w:noProof/>
            <w:lang w:eastAsia="es-CR"/>
          </w:rPr>
          <w:t>3.12</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Análisis de genómica comparativa</w:t>
        </w:r>
        <w:r w:rsidR="004513B4">
          <w:rPr>
            <w:noProof/>
            <w:webHidden/>
          </w:rPr>
          <w:tab/>
        </w:r>
        <w:r w:rsidR="004513B4">
          <w:rPr>
            <w:noProof/>
            <w:webHidden/>
          </w:rPr>
          <w:fldChar w:fldCharType="begin"/>
        </w:r>
        <w:r w:rsidR="004513B4">
          <w:rPr>
            <w:noProof/>
            <w:webHidden/>
          </w:rPr>
          <w:instrText xml:space="preserve"> PAGEREF _Toc140204078 \h </w:instrText>
        </w:r>
        <w:r w:rsidR="004513B4">
          <w:rPr>
            <w:noProof/>
            <w:webHidden/>
          </w:rPr>
        </w:r>
        <w:r w:rsidR="004513B4">
          <w:rPr>
            <w:noProof/>
            <w:webHidden/>
          </w:rPr>
          <w:fldChar w:fldCharType="separate"/>
        </w:r>
        <w:r w:rsidR="004513B4">
          <w:rPr>
            <w:noProof/>
            <w:webHidden/>
          </w:rPr>
          <w:t>22</w:t>
        </w:r>
        <w:r w:rsidR="004513B4">
          <w:rPr>
            <w:noProof/>
            <w:webHidden/>
          </w:rPr>
          <w:fldChar w:fldCharType="end"/>
        </w:r>
      </w:hyperlink>
    </w:p>
    <w:p w14:paraId="4F76057A" w14:textId="73C8CB41"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79" w:history="1">
        <w:r w:rsidR="004513B4" w:rsidRPr="00E35149">
          <w:rPr>
            <w:rStyle w:val="Hipervnculo"/>
            <w:noProof/>
            <w:lang w:eastAsia="es-CR"/>
          </w:rPr>
          <w:t>4</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eastAsia="es-CR"/>
          </w:rPr>
          <w:t>Resultados</w:t>
        </w:r>
        <w:r w:rsidR="004513B4">
          <w:rPr>
            <w:noProof/>
            <w:webHidden/>
          </w:rPr>
          <w:tab/>
        </w:r>
        <w:r w:rsidR="004513B4">
          <w:rPr>
            <w:noProof/>
            <w:webHidden/>
          </w:rPr>
          <w:fldChar w:fldCharType="begin"/>
        </w:r>
        <w:r w:rsidR="004513B4">
          <w:rPr>
            <w:noProof/>
            <w:webHidden/>
          </w:rPr>
          <w:instrText xml:space="preserve"> PAGEREF _Toc140204079 \h </w:instrText>
        </w:r>
        <w:r w:rsidR="004513B4">
          <w:rPr>
            <w:noProof/>
            <w:webHidden/>
          </w:rPr>
        </w:r>
        <w:r w:rsidR="004513B4">
          <w:rPr>
            <w:noProof/>
            <w:webHidden/>
          </w:rPr>
          <w:fldChar w:fldCharType="separate"/>
        </w:r>
        <w:r w:rsidR="004513B4">
          <w:rPr>
            <w:noProof/>
            <w:webHidden/>
          </w:rPr>
          <w:t>24</w:t>
        </w:r>
        <w:r w:rsidR="004513B4">
          <w:rPr>
            <w:noProof/>
            <w:webHidden/>
          </w:rPr>
          <w:fldChar w:fldCharType="end"/>
        </w:r>
      </w:hyperlink>
    </w:p>
    <w:p w14:paraId="7DBD0032" w14:textId="196FE23F"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80" w:history="1">
        <w:r w:rsidR="004513B4" w:rsidRPr="00E35149">
          <w:rPr>
            <w:rStyle w:val="Hipervnculo"/>
            <w:noProof/>
            <w:lang w:eastAsia="es-CR"/>
          </w:rPr>
          <w:t>4.1 Aislamiento</w:t>
        </w:r>
        <w:r w:rsidR="004513B4">
          <w:rPr>
            <w:noProof/>
            <w:webHidden/>
          </w:rPr>
          <w:tab/>
        </w:r>
        <w:r w:rsidR="004513B4">
          <w:rPr>
            <w:noProof/>
            <w:webHidden/>
          </w:rPr>
          <w:fldChar w:fldCharType="begin"/>
        </w:r>
        <w:r w:rsidR="004513B4">
          <w:rPr>
            <w:noProof/>
            <w:webHidden/>
          </w:rPr>
          <w:instrText xml:space="preserve"> PAGEREF _Toc140204080 \h </w:instrText>
        </w:r>
        <w:r w:rsidR="004513B4">
          <w:rPr>
            <w:noProof/>
            <w:webHidden/>
          </w:rPr>
        </w:r>
        <w:r w:rsidR="004513B4">
          <w:rPr>
            <w:noProof/>
            <w:webHidden/>
          </w:rPr>
          <w:fldChar w:fldCharType="separate"/>
        </w:r>
        <w:r w:rsidR="004513B4">
          <w:rPr>
            <w:noProof/>
            <w:webHidden/>
          </w:rPr>
          <w:t>24</w:t>
        </w:r>
        <w:r w:rsidR="004513B4">
          <w:rPr>
            <w:noProof/>
            <w:webHidden/>
          </w:rPr>
          <w:fldChar w:fldCharType="end"/>
        </w:r>
      </w:hyperlink>
    </w:p>
    <w:p w14:paraId="56BD6710" w14:textId="2CE4AABB"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81" w:history="1">
        <w:r w:rsidR="004513B4" w:rsidRPr="00E35149">
          <w:rPr>
            <w:rStyle w:val="Hipervnculo"/>
            <w:rFonts w:eastAsia="Times New Roman"/>
            <w:noProof/>
            <w:lang w:eastAsia="es-CR"/>
          </w:rPr>
          <w:t>4.2 Selección preliminar</w:t>
        </w:r>
        <w:r w:rsidR="004513B4">
          <w:rPr>
            <w:noProof/>
            <w:webHidden/>
          </w:rPr>
          <w:tab/>
        </w:r>
        <w:r w:rsidR="004513B4">
          <w:rPr>
            <w:noProof/>
            <w:webHidden/>
          </w:rPr>
          <w:fldChar w:fldCharType="begin"/>
        </w:r>
        <w:r w:rsidR="004513B4">
          <w:rPr>
            <w:noProof/>
            <w:webHidden/>
          </w:rPr>
          <w:instrText xml:space="preserve"> PAGEREF _Toc140204081 \h </w:instrText>
        </w:r>
        <w:r w:rsidR="004513B4">
          <w:rPr>
            <w:noProof/>
            <w:webHidden/>
          </w:rPr>
        </w:r>
        <w:r w:rsidR="004513B4">
          <w:rPr>
            <w:noProof/>
            <w:webHidden/>
          </w:rPr>
          <w:fldChar w:fldCharType="separate"/>
        </w:r>
        <w:r w:rsidR="004513B4">
          <w:rPr>
            <w:noProof/>
            <w:webHidden/>
          </w:rPr>
          <w:t>24</w:t>
        </w:r>
        <w:r w:rsidR="004513B4">
          <w:rPr>
            <w:noProof/>
            <w:webHidden/>
          </w:rPr>
          <w:fldChar w:fldCharType="end"/>
        </w:r>
      </w:hyperlink>
    </w:p>
    <w:p w14:paraId="3B27B60B" w14:textId="156C7044"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82" w:history="1">
        <w:r w:rsidR="004513B4" w:rsidRPr="00E35149">
          <w:rPr>
            <w:rStyle w:val="Hipervnculo"/>
            <w:noProof/>
            <w:lang w:eastAsia="es-CR"/>
          </w:rPr>
          <w:t>4.3</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Identificación molecular</w:t>
        </w:r>
        <w:r w:rsidR="004513B4">
          <w:rPr>
            <w:noProof/>
            <w:webHidden/>
          </w:rPr>
          <w:tab/>
        </w:r>
        <w:r w:rsidR="004513B4">
          <w:rPr>
            <w:noProof/>
            <w:webHidden/>
          </w:rPr>
          <w:fldChar w:fldCharType="begin"/>
        </w:r>
        <w:r w:rsidR="004513B4">
          <w:rPr>
            <w:noProof/>
            <w:webHidden/>
          </w:rPr>
          <w:instrText xml:space="preserve"> PAGEREF _Toc140204082 \h </w:instrText>
        </w:r>
        <w:r w:rsidR="004513B4">
          <w:rPr>
            <w:noProof/>
            <w:webHidden/>
          </w:rPr>
        </w:r>
        <w:r w:rsidR="004513B4">
          <w:rPr>
            <w:noProof/>
            <w:webHidden/>
          </w:rPr>
          <w:fldChar w:fldCharType="separate"/>
        </w:r>
        <w:r w:rsidR="004513B4">
          <w:rPr>
            <w:noProof/>
            <w:webHidden/>
          </w:rPr>
          <w:t>30</w:t>
        </w:r>
        <w:r w:rsidR="004513B4">
          <w:rPr>
            <w:noProof/>
            <w:webHidden/>
          </w:rPr>
          <w:fldChar w:fldCharType="end"/>
        </w:r>
      </w:hyperlink>
    </w:p>
    <w:p w14:paraId="7D7F86AE" w14:textId="56C3F488"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83" w:history="1">
        <w:r w:rsidR="004513B4" w:rsidRPr="00E35149">
          <w:rPr>
            <w:rStyle w:val="Hipervnculo"/>
            <w:noProof/>
            <w:lang w:eastAsia="es-CR"/>
          </w:rPr>
          <w:t>4.4</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Ensayo de actividad y caracterización química de las fracciones</w:t>
        </w:r>
        <w:r w:rsidR="004513B4">
          <w:rPr>
            <w:noProof/>
            <w:webHidden/>
          </w:rPr>
          <w:tab/>
        </w:r>
        <w:r w:rsidR="004513B4">
          <w:rPr>
            <w:noProof/>
            <w:webHidden/>
          </w:rPr>
          <w:fldChar w:fldCharType="begin"/>
        </w:r>
        <w:r w:rsidR="004513B4">
          <w:rPr>
            <w:noProof/>
            <w:webHidden/>
          </w:rPr>
          <w:instrText xml:space="preserve"> PAGEREF _Toc140204083 \h </w:instrText>
        </w:r>
        <w:r w:rsidR="004513B4">
          <w:rPr>
            <w:noProof/>
            <w:webHidden/>
          </w:rPr>
        </w:r>
        <w:r w:rsidR="004513B4">
          <w:rPr>
            <w:noProof/>
            <w:webHidden/>
          </w:rPr>
          <w:fldChar w:fldCharType="separate"/>
        </w:r>
        <w:r w:rsidR="004513B4">
          <w:rPr>
            <w:noProof/>
            <w:webHidden/>
          </w:rPr>
          <w:t>31</w:t>
        </w:r>
        <w:r w:rsidR="004513B4">
          <w:rPr>
            <w:noProof/>
            <w:webHidden/>
          </w:rPr>
          <w:fldChar w:fldCharType="end"/>
        </w:r>
      </w:hyperlink>
    </w:p>
    <w:p w14:paraId="205EB461" w14:textId="59A52AF3"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84" w:history="1">
        <w:r w:rsidR="004513B4" w:rsidRPr="00E35149">
          <w:rPr>
            <w:rStyle w:val="Hipervnculo"/>
            <w:noProof/>
            <w:lang w:eastAsia="es-CR"/>
          </w:rPr>
          <w:t>4.5</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Purificación e identificación parcial de las fracciones</w:t>
        </w:r>
        <w:r w:rsidR="004513B4">
          <w:rPr>
            <w:noProof/>
            <w:webHidden/>
          </w:rPr>
          <w:tab/>
        </w:r>
        <w:r w:rsidR="004513B4">
          <w:rPr>
            <w:noProof/>
            <w:webHidden/>
          </w:rPr>
          <w:fldChar w:fldCharType="begin"/>
        </w:r>
        <w:r w:rsidR="004513B4">
          <w:rPr>
            <w:noProof/>
            <w:webHidden/>
          </w:rPr>
          <w:instrText xml:space="preserve"> PAGEREF _Toc140204084 \h </w:instrText>
        </w:r>
        <w:r w:rsidR="004513B4">
          <w:rPr>
            <w:noProof/>
            <w:webHidden/>
          </w:rPr>
        </w:r>
        <w:r w:rsidR="004513B4">
          <w:rPr>
            <w:noProof/>
            <w:webHidden/>
          </w:rPr>
          <w:fldChar w:fldCharType="separate"/>
        </w:r>
        <w:r w:rsidR="004513B4">
          <w:rPr>
            <w:noProof/>
            <w:webHidden/>
          </w:rPr>
          <w:t>33</w:t>
        </w:r>
        <w:r w:rsidR="004513B4">
          <w:rPr>
            <w:noProof/>
            <w:webHidden/>
          </w:rPr>
          <w:fldChar w:fldCharType="end"/>
        </w:r>
      </w:hyperlink>
    </w:p>
    <w:p w14:paraId="6C3AA7C1" w14:textId="5E39006D"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85" w:history="1">
        <w:r w:rsidR="004513B4" w:rsidRPr="00E35149">
          <w:rPr>
            <w:rStyle w:val="Hipervnculo"/>
            <w:noProof/>
            <w:lang w:eastAsia="es-CR"/>
          </w:rPr>
          <w:t>4.6</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Análisis de genómica comparativa</w:t>
        </w:r>
        <w:r w:rsidR="004513B4">
          <w:rPr>
            <w:noProof/>
            <w:webHidden/>
          </w:rPr>
          <w:tab/>
        </w:r>
        <w:r w:rsidR="004513B4">
          <w:rPr>
            <w:noProof/>
            <w:webHidden/>
          </w:rPr>
          <w:fldChar w:fldCharType="begin"/>
        </w:r>
        <w:r w:rsidR="004513B4">
          <w:rPr>
            <w:noProof/>
            <w:webHidden/>
          </w:rPr>
          <w:instrText xml:space="preserve"> PAGEREF _Toc140204085 \h </w:instrText>
        </w:r>
        <w:r w:rsidR="004513B4">
          <w:rPr>
            <w:noProof/>
            <w:webHidden/>
          </w:rPr>
        </w:r>
        <w:r w:rsidR="004513B4">
          <w:rPr>
            <w:noProof/>
            <w:webHidden/>
          </w:rPr>
          <w:fldChar w:fldCharType="separate"/>
        </w:r>
        <w:r w:rsidR="004513B4">
          <w:rPr>
            <w:noProof/>
            <w:webHidden/>
          </w:rPr>
          <w:t>37</w:t>
        </w:r>
        <w:r w:rsidR="004513B4">
          <w:rPr>
            <w:noProof/>
            <w:webHidden/>
          </w:rPr>
          <w:fldChar w:fldCharType="end"/>
        </w:r>
      </w:hyperlink>
    </w:p>
    <w:p w14:paraId="214291FF" w14:textId="55E990AB"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86" w:history="1">
        <w:r w:rsidR="004513B4" w:rsidRPr="00E35149">
          <w:rPr>
            <w:rStyle w:val="Hipervnculo"/>
            <w:noProof/>
            <w:lang w:eastAsia="es-CR"/>
          </w:rPr>
          <w:t>5</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eastAsia="es-CR"/>
          </w:rPr>
          <w:t>Discusión</w:t>
        </w:r>
        <w:r w:rsidR="004513B4">
          <w:rPr>
            <w:noProof/>
            <w:webHidden/>
          </w:rPr>
          <w:tab/>
        </w:r>
        <w:r w:rsidR="004513B4">
          <w:rPr>
            <w:noProof/>
            <w:webHidden/>
          </w:rPr>
          <w:fldChar w:fldCharType="begin"/>
        </w:r>
        <w:r w:rsidR="004513B4">
          <w:rPr>
            <w:noProof/>
            <w:webHidden/>
          </w:rPr>
          <w:instrText xml:space="preserve"> PAGEREF _Toc140204086 \h </w:instrText>
        </w:r>
        <w:r w:rsidR="004513B4">
          <w:rPr>
            <w:noProof/>
            <w:webHidden/>
          </w:rPr>
        </w:r>
        <w:r w:rsidR="004513B4">
          <w:rPr>
            <w:noProof/>
            <w:webHidden/>
          </w:rPr>
          <w:fldChar w:fldCharType="separate"/>
        </w:r>
        <w:r w:rsidR="004513B4">
          <w:rPr>
            <w:noProof/>
            <w:webHidden/>
          </w:rPr>
          <w:t>43</w:t>
        </w:r>
        <w:r w:rsidR="004513B4">
          <w:rPr>
            <w:noProof/>
            <w:webHidden/>
          </w:rPr>
          <w:fldChar w:fldCharType="end"/>
        </w:r>
      </w:hyperlink>
    </w:p>
    <w:p w14:paraId="11E7B948" w14:textId="56E9B046" w:rsidR="004513B4" w:rsidRDefault="0068004B" w:rsidP="004513B4">
      <w:pPr>
        <w:pStyle w:val="TDC2"/>
        <w:tabs>
          <w:tab w:val="right" w:leader="dot" w:pos="9350"/>
        </w:tabs>
        <w:ind w:left="9350" w:hanging="9130"/>
        <w:rPr>
          <w:rFonts w:asciiTheme="minorHAnsi" w:eastAsiaTheme="minorEastAsia" w:hAnsiTheme="minorHAnsi"/>
          <w:noProof/>
          <w:kern w:val="2"/>
          <w:sz w:val="22"/>
          <w:lang w:eastAsia="es-CR"/>
          <w14:ligatures w14:val="standardContextual"/>
        </w:rPr>
      </w:pPr>
      <w:hyperlink w:anchor="_Toc140204087" w:history="1">
        <w:r w:rsidR="004513B4" w:rsidRPr="00E35149">
          <w:rPr>
            <w:rStyle w:val="Hipervnculo"/>
            <w:noProof/>
            <w:lang w:eastAsia="es-CR"/>
          </w:rPr>
          <w:t>5.1 Aislamiento</w:t>
        </w:r>
        <w:r w:rsidR="004513B4">
          <w:rPr>
            <w:noProof/>
            <w:webHidden/>
          </w:rPr>
          <w:tab/>
        </w:r>
        <w:r w:rsidR="004513B4">
          <w:rPr>
            <w:noProof/>
            <w:webHidden/>
          </w:rPr>
          <w:fldChar w:fldCharType="begin"/>
        </w:r>
        <w:r w:rsidR="004513B4">
          <w:rPr>
            <w:noProof/>
            <w:webHidden/>
          </w:rPr>
          <w:instrText xml:space="preserve"> PAGEREF _Toc140204087 \h </w:instrText>
        </w:r>
        <w:r w:rsidR="004513B4">
          <w:rPr>
            <w:noProof/>
            <w:webHidden/>
          </w:rPr>
        </w:r>
        <w:r w:rsidR="004513B4">
          <w:rPr>
            <w:noProof/>
            <w:webHidden/>
          </w:rPr>
          <w:fldChar w:fldCharType="separate"/>
        </w:r>
        <w:r w:rsidR="004513B4">
          <w:rPr>
            <w:noProof/>
            <w:webHidden/>
          </w:rPr>
          <w:t>43</w:t>
        </w:r>
        <w:r w:rsidR="004513B4">
          <w:rPr>
            <w:noProof/>
            <w:webHidden/>
          </w:rPr>
          <w:fldChar w:fldCharType="end"/>
        </w:r>
      </w:hyperlink>
    </w:p>
    <w:p w14:paraId="01BBCA3D" w14:textId="1BD93DFD" w:rsidR="004513B4" w:rsidRDefault="0068004B">
      <w:pPr>
        <w:pStyle w:val="TDC2"/>
        <w:tabs>
          <w:tab w:val="right" w:leader="dot" w:pos="9350"/>
        </w:tabs>
        <w:rPr>
          <w:rFonts w:asciiTheme="minorHAnsi" w:eastAsiaTheme="minorEastAsia" w:hAnsiTheme="minorHAnsi"/>
          <w:noProof/>
          <w:kern w:val="2"/>
          <w:sz w:val="22"/>
          <w:lang w:eastAsia="es-CR"/>
          <w14:ligatures w14:val="standardContextual"/>
        </w:rPr>
      </w:pPr>
      <w:hyperlink w:anchor="_Toc140204088" w:history="1">
        <w:r w:rsidR="004513B4" w:rsidRPr="00E35149">
          <w:rPr>
            <w:rStyle w:val="Hipervnculo"/>
            <w:noProof/>
            <w:lang w:eastAsia="es-CR"/>
          </w:rPr>
          <w:t>5.2 Selección</w:t>
        </w:r>
        <w:r w:rsidR="004513B4" w:rsidRPr="00E35149">
          <w:rPr>
            <w:rStyle w:val="Hipervnculo"/>
            <w:rFonts w:eastAsia="Times New Roman"/>
            <w:noProof/>
            <w:lang w:eastAsia="es-CR"/>
          </w:rPr>
          <w:t xml:space="preserve"> preliminar</w:t>
        </w:r>
        <w:r w:rsidR="004513B4">
          <w:rPr>
            <w:noProof/>
            <w:webHidden/>
          </w:rPr>
          <w:tab/>
        </w:r>
        <w:r w:rsidR="004513B4">
          <w:rPr>
            <w:noProof/>
            <w:webHidden/>
          </w:rPr>
          <w:fldChar w:fldCharType="begin"/>
        </w:r>
        <w:r w:rsidR="004513B4">
          <w:rPr>
            <w:noProof/>
            <w:webHidden/>
          </w:rPr>
          <w:instrText xml:space="preserve"> PAGEREF _Toc140204088 \h </w:instrText>
        </w:r>
        <w:r w:rsidR="004513B4">
          <w:rPr>
            <w:noProof/>
            <w:webHidden/>
          </w:rPr>
        </w:r>
        <w:r w:rsidR="004513B4">
          <w:rPr>
            <w:noProof/>
            <w:webHidden/>
          </w:rPr>
          <w:fldChar w:fldCharType="separate"/>
        </w:r>
        <w:r w:rsidR="004513B4">
          <w:rPr>
            <w:noProof/>
            <w:webHidden/>
          </w:rPr>
          <w:t>43</w:t>
        </w:r>
        <w:r w:rsidR="004513B4">
          <w:rPr>
            <w:noProof/>
            <w:webHidden/>
          </w:rPr>
          <w:fldChar w:fldCharType="end"/>
        </w:r>
      </w:hyperlink>
    </w:p>
    <w:p w14:paraId="1C4A39CA" w14:textId="4160A673"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89" w:history="1">
        <w:r w:rsidR="004513B4" w:rsidRPr="00E35149">
          <w:rPr>
            <w:rStyle w:val="Hipervnculo"/>
            <w:noProof/>
            <w:lang w:eastAsia="es-CR"/>
          </w:rPr>
          <w:t>5.3</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Identificación molecular</w:t>
        </w:r>
        <w:r w:rsidR="004513B4">
          <w:rPr>
            <w:noProof/>
            <w:webHidden/>
          </w:rPr>
          <w:tab/>
        </w:r>
        <w:r w:rsidR="004513B4">
          <w:rPr>
            <w:noProof/>
            <w:webHidden/>
          </w:rPr>
          <w:fldChar w:fldCharType="begin"/>
        </w:r>
        <w:r w:rsidR="004513B4">
          <w:rPr>
            <w:noProof/>
            <w:webHidden/>
          </w:rPr>
          <w:instrText xml:space="preserve"> PAGEREF _Toc140204089 \h </w:instrText>
        </w:r>
        <w:r w:rsidR="004513B4">
          <w:rPr>
            <w:noProof/>
            <w:webHidden/>
          </w:rPr>
        </w:r>
        <w:r w:rsidR="004513B4">
          <w:rPr>
            <w:noProof/>
            <w:webHidden/>
          </w:rPr>
          <w:fldChar w:fldCharType="separate"/>
        </w:r>
        <w:r w:rsidR="004513B4">
          <w:rPr>
            <w:noProof/>
            <w:webHidden/>
          </w:rPr>
          <w:t>45</w:t>
        </w:r>
        <w:r w:rsidR="004513B4">
          <w:rPr>
            <w:noProof/>
            <w:webHidden/>
          </w:rPr>
          <w:fldChar w:fldCharType="end"/>
        </w:r>
      </w:hyperlink>
    </w:p>
    <w:p w14:paraId="6697B3A1" w14:textId="637A8716"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90" w:history="1">
        <w:r w:rsidR="004513B4" w:rsidRPr="00E35149">
          <w:rPr>
            <w:rStyle w:val="Hipervnculo"/>
            <w:noProof/>
            <w:lang w:eastAsia="es-CR"/>
          </w:rPr>
          <w:t>5.4</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Ensayo de actividad y caracterización química de las fracciones</w:t>
        </w:r>
        <w:r w:rsidR="004513B4">
          <w:rPr>
            <w:noProof/>
            <w:webHidden/>
          </w:rPr>
          <w:tab/>
        </w:r>
        <w:r w:rsidR="004513B4">
          <w:rPr>
            <w:noProof/>
            <w:webHidden/>
          </w:rPr>
          <w:fldChar w:fldCharType="begin"/>
        </w:r>
        <w:r w:rsidR="004513B4">
          <w:rPr>
            <w:noProof/>
            <w:webHidden/>
          </w:rPr>
          <w:instrText xml:space="preserve"> PAGEREF _Toc140204090 \h </w:instrText>
        </w:r>
        <w:r w:rsidR="004513B4">
          <w:rPr>
            <w:noProof/>
            <w:webHidden/>
          </w:rPr>
        </w:r>
        <w:r w:rsidR="004513B4">
          <w:rPr>
            <w:noProof/>
            <w:webHidden/>
          </w:rPr>
          <w:fldChar w:fldCharType="separate"/>
        </w:r>
        <w:r w:rsidR="004513B4">
          <w:rPr>
            <w:noProof/>
            <w:webHidden/>
          </w:rPr>
          <w:t>47</w:t>
        </w:r>
        <w:r w:rsidR="004513B4">
          <w:rPr>
            <w:noProof/>
            <w:webHidden/>
          </w:rPr>
          <w:fldChar w:fldCharType="end"/>
        </w:r>
      </w:hyperlink>
    </w:p>
    <w:p w14:paraId="64D30FA3" w14:textId="6CF1BA17" w:rsidR="004513B4" w:rsidRDefault="0068004B">
      <w:pPr>
        <w:pStyle w:val="TDC2"/>
        <w:tabs>
          <w:tab w:val="left" w:pos="880"/>
          <w:tab w:val="right" w:leader="dot" w:pos="9350"/>
        </w:tabs>
        <w:rPr>
          <w:rFonts w:asciiTheme="minorHAnsi" w:eastAsiaTheme="minorEastAsia" w:hAnsiTheme="minorHAnsi"/>
          <w:noProof/>
          <w:kern w:val="2"/>
          <w:sz w:val="22"/>
          <w:lang w:eastAsia="es-CR"/>
          <w14:ligatures w14:val="standardContextual"/>
        </w:rPr>
      </w:pPr>
      <w:hyperlink w:anchor="_Toc140204091" w:history="1">
        <w:r w:rsidR="004513B4" w:rsidRPr="00E35149">
          <w:rPr>
            <w:rStyle w:val="Hipervnculo"/>
            <w:noProof/>
            <w:lang w:eastAsia="es-CR"/>
          </w:rPr>
          <w:t>5.5</w:t>
        </w:r>
        <w:r w:rsidR="004513B4">
          <w:rPr>
            <w:rFonts w:asciiTheme="minorHAnsi" w:eastAsiaTheme="minorEastAsia" w:hAnsiTheme="minorHAnsi"/>
            <w:noProof/>
            <w:kern w:val="2"/>
            <w:sz w:val="22"/>
            <w:lang w:eastAsia="es-CR"/>
            <w14:ligatures w14:val="standardContextual"/>
          </w:rPr>
          <w:tab/>
        </w:r>
        <w:r w:rsidR="004513B4" w:rsidRPr="00E35149">
          <w:rPr>
            <w:rStyle w:val="Hipervnculo"/>
            <w:noProof/>
            <w:lang w:eastAsia="es-CR"/>
          </w:rPr>
          <w:t>Purificación e identificación parcial de las fracciones</w:t>
        </w:r>
        <w:r w:rsidR="004513B4">
          <w:rPr>
            <w:noProof/>
            <w:webHidden/>
          </w:rPr>
          <w:tab/>
        </w:r>
        <w:r w:rsidR="004513B4">
          <w:rPr>
            <w:noProof/>
            <w:webHidden/>
          </w:rPr>
          <w:fldChar w:fldCharType="begin"/>
        </w:r>
        <w:r w:rsidR="004513B4">
          <w:rPr>
            <w:noProof/>
            <w:webHidden/>
          </w:rPr>
          <w:instrText xml:space="preserve"> PAGEREF _Toc140204091 \h </w:instrText>
        </w:r>
        <w:r w:rsidR="004513B4">
          <w:rPr>
            <w:noProof/>
            <w:webHidden/>
          </w:rPr>
        </w:r>
        <w:r w:rsidR="004513B4">
          <w:rPr>
            <w:noProof/>
            <w:webHidden/>
          </w:rPr>
          <w:fldChar w:fldCharType="separate"/>
        </w:r>
        <w:r w:rsidR="004513B4">
          <w:rPr>
            <w:noProof/>
            <w:webHidden/>
          </w:rPr>
          <w:t>50</w:t>
        </w:r>
        <w:r w:rsidR="004513B4">
          <w:rPr>
            <w:noProof/>
            <w:webHidden/>
          </w:rPr>
          <w:fldChar w:fldCharType="end"/>
        </w:r>
      </w:hyperlink>
    </w:p>
    <w:p w14:paraId="100BCC7D" w14:textId="5C15468E" w:rsidR="004513B4" w:rsidRDefault="0068004B">
      <w:pPr>
        <w:pStyle w:val="TDC1"/>
        <w:rPr>
          <w:rFonts w:asciiTheme="minorHAnsi" w:eastAsiaTheme="minorEastAsia" w:hAnsiTheme="minorHAnsi"/>
          <w:noProof/>
          <w:color w:val="auto"/>
          <w:kern w:val="2"/>
          <w:sz w:val="22"/>
          <w:lang w:eastAsia="es-CR"/>
          <w14:ligatures w14:val="standardContextual"/>
        </w:rPr>
      </w:pPr>
      <w:hyperlink w:anchor="_Toc140204092" w:history="1">
        <w:r w:rsidR="004513B4" w:rsidRPr="00E35149">
          <w:rPr>
            <w:rStyle w:val="Hipervnculo"/>
            <w:noProof/>
            <w:lang w:eastAsia="es-CR"/>
          </w:rPr>
          <w:t>6. Conclusiones</w:t>
        </w:r>
        <w:r w:rsidR="004513B4">
          <w:rPr>
            <w:noProof/>
            <w:webHidden/>
          </w:rPr>
          <w:tab/>
        </w:r>
        <w:r w:rsidR="004513B4">
          <w:rPr>
            <w:noProof/>
            <w:webHidden/>
          </w:rPr>
          <w:fldChar w:fldCharType="begin"/>
        </w:r>
        <w:r w:rsidR="004513B4">
          <w:rPr>
            <w:noProof/>
            <w:webHidden/>
          </w:rPr>
          <w:instrText xml:space="preserve"> PAGEREF _Toc140204092 \h </w:instrText>
        </w:r>
        <w:r w:rsidR="004513B4">
          <w:rPr>
            <w:noProof/>
            <w:webHidden/>
          </w:rPr>
        </w:r>
        <w:r w:rsidR="004513B4">
          <w:rPr>
            <w:noProof/>
            <w:webHidden/>
          </w:rPr>
          <w:fldChar w:fldCharType="separate"/>
        </w:r>
        <w:r w:rsidR="004513B4">
          <w:rPr>
            <w:noProof/>
            <w:webHidden/>
          </w:rPr>
          <w:t>52</w:t>
        </w:r>
        <w:r w:rsidR="004513B4">
          <w:rPr>
            <w:noProof/>
            <w:webHidden/>
          </w:rPr>
          <w:fldChar w:fldCharType="end"/>
        </w:r>
      </w:hyperlink>
    </w:p>
    <w:p w14:paraId="2FB09CF2" w14:textId="72667ACF"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93" w:history="1">
        <w:r w:rsidR="004513B4" w:rsidRPr="00E35149">
          <w:rPr>
            <w:rStyle w:val="Hipervnculo"/>
            <w:noProof/>
            <w:lang w:eastAsia="es-CR"/>
          </w:rPr>
          <w:t>7.</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eastAsia="es-CR"/>
          </w:rPr>
          <w:t>Recomendaciones</w:t>
        </w:r>
        <w:r w:rsidR="004513B4">
          <w:rPr>
            <w:noProof/>
            <w:webHidden/>
          </w:rPr>
          <w:tab/>
        </w:r>
        <w:r w:rsidR="004513B4">
          <w:rPr>
            <w:noProof/>
            <w:webHidden/>
          </w:rPr>
          <w:fldChar w:fldCharType="begin"/>
        </w:r>
        <w:r w:rsidR="004513B4">
          <w:rPr>
            <w:noProof/>
            <w:webHidden/>
          </w:rPr>
          <w:instrText xml:space="preserve"> PAGEREF _Toc140204093 \h </w:instrText>
        </w:r>
        <w:r w:rsidR="004513B4">
          <w:rPr>
            <w:noProof/>
            <w:webHidden/>
          </w:rPr>
        </w:r>
        <w:r w:rsidR="004513B4">
          <w:rPr>
            <w:noProof/>
            <w:webHidden/>
          </w:rPr>
          <w:fldChar w:fldCharType="separate"/>
        </w:r>
        <w:r w:rsidR="004513B4">
          <w:rPr>
            <w:noProof/>
            <w:webHidden/>
          </w:rPr>
          <w:t>53</w:t>
        </w:r>
        <w:r w:rsidR="004513B4">
          <w:rPr>
            <w:noProof/>
            <w:webHidden/>
          </w:rPr>
          <w:fldChar w:fldCharType="end"/>
        </w:r>
      </w:hyperlink>
    </w:p>
    <w:p w14:paraId="2581B8F9" w14:textId="48C9BC28"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94" w:history="1">
        <w:r w:rsidR="004513B4" w:rsidRPr="00E35149">
          <w:rPr>
            <w:rStyle w:val="Hipervnculo"/>
            <w:noProof/>
            <w:lang w:eastAsia="es-CR"/>
          </w:rPr>
          <w:t>8.</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eastAsia="es-CR"/>
          </w:rPr>
          <w:t>Fuentes de Financiamiento</w:t>
        </w:r>
        <w:r w:rsidR="004513B4">
          <w:rPr>
            <w:noProof/>
            <w:webHidden/>
          </w:rPr>
          <w:tab/>
        </w:r>
        <w:r w:rsidR="004513B4">
          <w:rPr>
            <w:noProof/>
            <w:webHidden/>
          </w:rPr>
          <w:fldChar w:fldCharType="begin"/>
        </w:r>
        <w:r w:rsidR="004513B4">
          <w:rPr>
            <w:noProof/>
            <w:webHidden/>
          </w:rPr>
          <w:instrText xml:space="preserve"> PAGEREF _Toc140204094 \h </w:instrText>
        </w:r>
        <w:r w:rsidR="004513B4">
          <w:rPr>
            <w:noProof/>
            <w:webHidden/>
          </w:rPr>
        </w:r>
        <w:r w:rsidR="004513B4">
          <w:rPr>
            <w:noProof/>
            <w:webHidden/>
          </w:rPr>
          <w:fldChar w:fldCharType="separate"/>
        </w:r>
        <w:r w:rsidR="004513B4">
          <w:rPr>
            <w:noProof/>
            <w:webHidden/>
          </w:rPr>
          <w:t>53</w:t>
        </w:r>
        <w:r w:rsidR="004513B4">
          <w:rPr>
            <w:noProof/>
            <w:webHidden/>
          </w:rPr>
          <w:fldChar w:fldCharType="end"/>
        </w:r>
      </w:hyperlink>
    </w:p>
    <w:p w14:paraId="7CA1DFC0" w14:textId="4D8EB92D" w:rsidR="004513B4" w:rsidRDefault="0068004B">
      <w:pPr>
        <w:pStyle w:val="TDC1"/>
        <w:tabs>
          <w:tab w:val="left" w:pos="440"/>
        </w:tabs>
        <w:rPr>
          <w:rFonts w:asciiTheme="minorHAnsi" w:eastAsiaTheme="minorEastAsia" w:hAnsiTheme="minorHAnsi"/>
          <w:noProof/>
          <w:color w:val="auto"/>
          <w:kern w:val="2"/>
          <w:sz w:val="22"/>
          <w:lang w:eastAsia="es-CR"/>
          <w14:ligatures w14:val="standardContextual"/>
        </w:rPr>
      </w:pPr>
      <w:hyperlink w:anchor="_Toc140204095" w:history="1">
        <w:r w:rsidR="004513B4" w:rsidRPr="00E35149">
          <w:rPr>
            <w:rStyle w:val="Hipervnculo"/>
            <w:noProof/>
            <w:lang w:eastAsia="es-CR"/>
          </w:rPr>
          <w:t>9.</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eastAsia="es-CR"/>
          </w:rPr>
          <w:t>Conflictos de intereses</w:t>
        </w:r>
        <w:r w:rsidR="004513B4">
          <w:rPr>
            <w:noProof/>
            <w:webHidden/>
          </w:rPr>
          <w:tab/>
        </w:r>
        <w:r w:rsidR="004513B4">
          <w:rPr>
            <w:noProof/>
            <w:webHidden/>
          </w:rPr>
          <w:fldChar w:fldCharType="begin"/>
        </w:r>
        <w:r w:rsidR="004513B4">
          <w:rPr>
            <w:noProof/>
            <w:webHidden/>
          </w:rPr>
          <w:instrText xml:space="preserve"> PAGEREF _Toc140204095 \h </w:instrText>
        </w:r>
        <w:r w:rsidR="004513B4">
          <w:rPr>
            <w:noProof/>
            <w:webHidden/>
          </w:rPr>
        </w:r>
        <w:r w:rsidR="004513B4">
          <w:rPr>
            <w:noProof/>
            <w:webHidden/>
          </w:rPr>
          <w:fldChar w:fldCharType="separate"/>
        </w:r>
        <w:r w:rsidR="004513B4">
          <w:rPr>
            <w:noProof/>
            <w:webHidden/>
          </w:rPr>
          <w:t>53</w:t>
        </w:r>
        <w:r w:rsidR="004513B4">
          <w:rPr>
            <w:noProof/>
            <w:webHidden/>
          </w:rPr>
          <w:fldChar w:fldCharType="end"/>
        </w:r>
      </w:hyperlink>
    </w:p>
    <w:p w14:paraId="6911CAE6" w14:textId="33BCD2F1" w:rsidR="004513B4" w:rsidRDefault="0068004B">
      <w:pPr>
        <w:pStyle w:val="TDC1"/>
        <w:tabs>
          <w:tab w:val="left" w:pos="660"/>
        </w:tabs>
        <w:rPr>
          <w:rFonts w:asciiTheme="minorHAnsi" w:eastAsiaTheme="minorEastAsia" w:hAnsiTheme="minorHAnsi"/>
          <w:noProof/>
          <w:color w:val="auto"/>
          <w:kern w:val="2"/>
          <w:sz w:val="22"/>
          <w:lang w:eastAsia="es-CR"/>
          <w14:ligatures w14:val="standardContextual"/>
        </w:rPr>
      </w:pPr>
      <w:hyperlink w:anchor="_Toc140204096" w:history="1">
        <w:r w:rsidR="004513B4" w:rsidRPr="00E35149">
          <w:rPr>
            <w:rStyle w:val="Hipervnculo"/>
            <w:noProof/>
          </w:rPr>
          <w:t>10.</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rPr>
          <w:t>Referencias</w:t>
        </w:r>
        <w:r w:rsidR="004513B4">
          <w:rPr>
            <w:noProof/>
            <w:webHidden/>
          </w:rPr>
          <w:tab/>
        </w:r>
        <w:r w:rsidR="004513B4">
          <w:rPr>
            <w:noProof/>
            <w:webHidden/>
          </w:rPr>
          <w:fldChar w:fldCharType="begin"/>
        </w:r>
        <w:r w:rsidR="004513B4">
          <w:rPr>
            <w:noProof/>
            <w:webHidden/>
          </w:rPr>
          <w:instrText xml:space="preserve"> PAGEREF _Toc140204096 \h </w:instrText>
        </w:r>
        <w:r w:rsidR="004513B4">
          <w:rPr>
            <w:noProof/>
            <w:webHidden/>
          </w:rPr>
        </w:r>
        <w:r w:rsidR="004513B4">
          <w:rPr>
            <w:noProof/>
            <w:webHidden/>
          </w:rPr>
          <w:fldChar w:fldCharType="separate"/>
        </w:r>
        <w:r w:rsidR="004513B4">
          <w:rPr>
            <w:noProof/>
            <w:webHidden/>
          </w:rPr>
          <w:t>54</w:t>
        </w:r>
        <w:r w:rsidR="004513B4">
          <w:rPr>
            <w:noProof/>
            <w:webHidden/>
          </w:rPr>
          <w:fldChar w:fldCharType="end"/>
        </w:r>
      </w:hyperlink>
    </w:p>
    <w:p w14:paraId="6AA1C706" w14:textId="78BE2BB8" w:rsidR="004513B4" w:rsidRDefault="0068004B">
      <w:pPr>
        <w:pStyle w:val="TDC1"/>
        <w:tabs>
          <w:tab w:val="left" w:pos="660"/>
        </w:tabs>
        <w:rPr>
          <w:rFonts w:asciiTheme="minorHAnsi" w:eastAsiaTheme="minorEastAsia" w:hAnsiTheme="minorHAnsi"/>
          <w:noProof/>
          <w:color w:val="auto"/>
          <w:kern w:val="2"/>
          <w:sz w:val="22"/>
          <w:lang w:eastAsia="es-CR"/>
          <w14:ligatures w14:val="standardContextual"/>
        </w:rPr>
      </w:pPr>
      <w:hyperlink w:anchor="_Toc140204097" w:history="1">
        <w:r w:rsidR="004513B4" w:rsidRPr="00E35149">
          <w:rPr>
            <w:rStyle w:val="Hipervnculo"/>
            <w:noProof/>
            <w:lang w:val="en-US"/>
          </w:rPr>
          <w:t>11.</w:t>
        </w:r>
        <w:r w:rsidR="004513B4">
          <w:rPr>
            <w:rFonts w:asciiTheme="minorHAnsi" w:eastAsiaTheme="minorEastAsia" w:hAnsiTheme="minorHAnsi"/>
            <w:noProof/>
            <w:color w:val="auto"/>
            <w:kern w:val="2"/>
            <w:sz w:val="22"/>
            <w:lang w:eastAsia="es-CR"/>
            <w14:ligatures w14:val="standardContextual"/>
          </w:rPr>
          <w:tab/>
        </w:r>
        <w:r w:rsidR="004513B4" w:rsidRPr="00E35149">
          <w:rPr>
            <w:rStyle w:val="Hipervnculo"/>
            <w:noProof/>
            <w:lang w:val="en-US"/>
          </w:rPr>
          <w:t>Anexos</w:t>
        </w:r>
        <w:r w:rsidR="004513B4">
          <w:rPr>
            <w:noProof/>
            <w:webHidden/>
          </w:rPr>
          <w:tab/>
        </w:r>
        <w:r w:rsidR="004513B4">
          <w:rPr>
            <w:noProof/>
            <w:webHidden/>
          </w:rPr>
          <w:fldChar w:fldCharType="begin"/>
        </w:r>
        <w:r w:rsidR="004513B4">
          <w:rPr>
            <w:noProof/>
            <w:webHidden/>
          </w:rPr>
          <w:instrText xml:space="preserve"> PAGEREF _Toc140204097 \h </w:instrText>
        </w:r>
        <w:r w:rsidR="004513B4">
          <w:rPr>
            <w:noProof/>
            <w:webHidden/>
          </w:rPr>
        </w:r>
        <w:r w:rsidR="004513B4">
          <w:rPr>
            <w:noProof/>
            <w:webHidden/>
          </w:rPr>
          <w:fldChar w:fldCharType="separate"/>
        </w:r>
        <w:r w:rsidR="004513B4">
          <w:rPr>
            <w:noProof/>
            <w:webHidden/>
          </w:rPr>
          <w:t>66</w:t>
        </w:r>
        <w:r w:rsidR="004513B4">
          <w:rPr>
            <w:noProof/>
            <w:webHidden/>
          </w:rPr>
          <w:fldChar w:fldCharType="end"/>
        </w:r>
      </w:hyperlink>
    </w:p>
    <w:p w14:paraId="26E4133C" w14:textId="5B5D197B" w:rsidR="00117D5E" w:rsidRPr="00117D5E" w:rsidRDefault="00117D5E" w:rsidP="00117D5E">
      <w:pPr>
        <w:spacing w:after="0"/>
        <w:jc w:val="center"/>
        <w:outlineLvl w:val="0"/>
        <w:rPr>
          <w:rFonts w:cs="Times New Roman"/>
          <w:b/>
          <w:bCs/>
        </w:rPr>
      </w:pPr>
      <w:r>
        <w:rPr>
          <w:rFonts w:cs="Times New Roman"/>
          <w:b/>
          <w:bCs/>
        </w:rPr>
        <w:fldChar w:fldCharType="end"/>
      </w:r>
    </w:p>
    <w:p w14:paraId="16C2AE87" w14:textId="77777777" w:rsidR="00DC6E9A" w:rsidRDefault="00DC6E9A">
      <w:pPr>
        <w:rPr>
          <w:rFonts w:cs="Times New Roman"/>
        </w:rPr>
      </w:pPr>
      <w:r>
        <w:rPr>
          <w:rFonts w:cs="Times New Roman"/>
        </w:rPr>
        <w:br w:type="page"/>
      </w:r>
    </w:p>
    <w:p w14:paraId="45AE40B1" w14:textId="6F7B68C6" w:rsidR="00DC6E9A" w:rsidRDefault="00DC6E9A" w:rsidP="00864330">
      <w:pPr>
        <w:pStyle w:val="Titulo10"/>
        <w:spacing w:before="0"/>
      </w:pPr>
      <w:bookmarkStart w:id="4" w:name="_Toc140204048"/>
      <w:r w:rsidRPr="00DC6E9A">
        <w:lastRenderedPageBreak/>
        <w:t xml:space="preserve">Índice de </w:t>
      </w:r>
      <w:r w:rsidR="00DC0212">
        <w:t>c</w:t>
      </w:r>
      <w:r w:rsidRPr="00DC6E9A">
        <w:t>uadros</w:t>
      </w:r>
      <w:bookmarkEnd w:id="4"/>
    </w:p>
    <w:p w14:paraId="48F4A35D" w14:textId="77777777" w:rsidR="00DC6E9A" w:rsidRDefault="00DC6E9A" w:rsidP="00DC6E9A">
      <w:pPr>
        <w:spacing w:after="0"/>
        <w:jc w:val="center"/>
        <w:rPr>
          <w:rFonts w:cs="Times New Roman"/>
          <w:b/>
          <w:bCs/>
          <w:color w:val="000000" w:themeColor="text1"/>
          <w:sz w:val="28"/>
          <w:szCs w:val="28"/>
        </w:rPr>
      </w:pPr>
    </w:p>
    <w:p w14:paraId="1232E74C" w14:textId="2974A055" w:rsidR="00336027" w:rsidRDefault="002E2FA1">
      <w:pPr>
        <w:pStyle w:val="Tabladeilustraciones"/>
        <w:tabs>
          <w:tab w:val="right" w:leader="dot" w:pos="9350"/>
        </w:tabs>
        <w:rPr>
          <w:rFonts w:asciiTheme="minorHAnsi" w:eastAsiaTheme="minorEastAsia" w:hAnsiTheme="minorHAnsi"/>
          <w:noProof/>
          <w:kern w:val="2"/>
          <w:sz w:val="22"/>
          <w:lang w:eastAsia="es-CR"/>
          <w14:ligatures w14:val="standardContextual"/>
        </w:rPr>
      </w:pPr>
      <w:r>
        <w:rPr>
          <w:rFonts w:cs="Times New Roman"/>
          <w:b/>
          <w:bCs/>
          <w:color w:val="000000" w:themeColor="text1"/>
          <w:sz w:val="28"/>
          <w:szCs w:val="28"/>
        </w:rPr>
        <w:fldChar w:fldCharType="begin"/>
      </w:r>
      <w:r>
        <w:rPr>
          <w:rFonts w:cs="Times New Roman"/>
          <w:b/>
          <w:bCs/>
          <w:color w:val="000000" w:themeColor="text1"/>
          <w:sz w:val="28"/>
          <w:szCs w:val="28"/>
        </w:rPr>
        <w:instrText xml:space="preserve"> TOC \h \z \c "Cuadro" </w:instrText>
      </w:r>
      <w:r>
        <w:rPr>
          <w:rFonts w:cs="Times New Roman"/>
          <w:b/>
          <w:bCs/>
          <w:color w:val="000000" w:themeColor="text1"/>
          <w:sz w:val="28"/>
          <w:szCs w:val="28"/>
        </w:rPr>
        <w:fldChar w:fldCharType="separate"/>
      </w:r>
      <w:hyperlink w:anchor="_Toc138593429" w:history="1">
        <w:r w:rsidR="00336027" w:rsidRPr="00EE26E9">
          <w:rPr>
            <w:rStyle w:val="Hipervnculo"/>
            <w:b/>
            <w:bCs/>
            <w:noProof/>
          </w:rPr>
          <w:t>Cuadro 1.</w:t>
        </w:r>
        <w:r w:rsidR="00336027" w:rsidRPr="00EE26E9">
          <w:rPr>
            <w:rStyle w:val="Hipervnculo"/>
            <w:noProof/>
          </w:rPr>
          <w:t xml:space="preserve"> </w:t>
        </w:r>
        <w:r w:rsidR="00336027" w:rsidRPr="00EE26E9">
          <w:rPr>
            <w:rStyle w:val="Hipervnculo"/>
            <w:rFonts w:eastAsia="Times New Roman" w:cs="Times New Roman"/>
            <w:noProof/>
            <w:lang w:eastAsia="es-CR"/>
          </w:rPr>
          <w:t>Concentración final de los reactivos del Master Mix para las regiones amplificadas en la identificación molecular de hongos marinos aislados de sedimentos del manglar de Puntarenas, Costa Rica</w:t>
        </w:r>
        <w:r w:rsidR="00336027">
          <w:rPr>
            <w:noProof/>
            <w:webHidden/>
          </w:rPr>
          <w:tab/>
        </w:r>
        <w:r w:rsidR="00336027">
          <w:rPr>
            <w:noProof/>
            <w:webHidden/>
          </w:rPr>
          <w:fldChar w:fldCharType="begin"/>
        </w:r>
        <w:r w:rsidR="00336027">
          <w:rPr>
            <w:noProof/>
            <w:webHidden/>
          </w:rPr>
          <w:instrText xml:space="preserve"> PAGEREF _Toc138593429 \h </w:instrText>
        </w:r>
        <w:r w:rsidR="00336027">
          <w:rPr>
            <w:noProof/>
            <w:webHidden/>
          </w:rPr>
        </w:r>
        <w:r w:rsidR="00336027">
          <w:rPr>
            <w:noProof/>
            <w:webHidden/>
          </w:rPr>
          <w:fldChar w:fldCharType="separate"/>
        </w:r>
        <w:r w:rsidR="00336027">
          <w:rPr>
            <w:noProof/>
            <w:webHidden/>
          </w:rPr>
          <w:t>19</w:t>
        </w:r>
        <w:r w:rsidR="00336027">
          <w:rPr>
            <w:noProof/>
            <w:webHidden/>
          </w:rPr>
          <w:fldChar w:fldCharType="end"/>
        </w:r>
      </w:hyperlink>
    </w:p>
    <w:p w14:paraId="45E01950" w14:textId="4FBADB9A" w:rsidR="00336027"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593430" w:history="1">
        <w:r w:rsidR="00336027" w:rsidRPr="00EE26E9">
          <w:rPr>
            <w:rStyle w:val="Hipervnculo"/>
            <w:b/>
            <w:bCs/>
            <w:noProof/>
          </w:rPr>
          <w:t>Cuadro 2</w:t>
        </w:r>
        <w:r w:rsidR="00336027" w:rsidRPr="00EE26E9">
          <w:rPr>
            <w:rStyle w:val="Hipervnculo"/>
            <w:noProof/>
          </w:rPr>
          <w:t xml:space="preserve">. </w:t>
        </w:r>
        <w:r w:rsidR="00336027" w:rsidRPr="00EE26E9">
          <w:rPr>
            <w:rStyle w:val="Hipervnculo"/>
            <w:rFonts w:eastAsia="Times New Roman" w:cs="Times New Roman"/>
            <w:noProof/>
            <w:lang w:eastAsia="es-CR"/>
          </w:rPr>
          <w:t xml:space="preserve">Condiciones de termociclado utilizadas para amplificar las regiones ITS y </w:t>
        </w:r>
        <w:r w:rsidR="00336027" w:rsidRPr="00EE26E9">
          <w:rPr>
            <w:rStyle w:val="Hipervnculo"/>
            <w:rFonts w:ascii="Symbol" w:eastAsia="Symbol" w:hAnsi="Symbol" w:cs="Symbol"/>
            <w:noProof/>
          </w:rPr>
          <w:t></w:t>
        </w:r>
        <w:r w:rsidR="00336027" w:rsidRPr="00EE26E9">
          <w:rPr>
            <w:rStyle w:val="Hipervnculo"/>
            <w:rFonts w:eastAsia="Times New Roman" w:cs="Times New Roman"/>
            <w:noProof/>
            <w:lang w:eastAsia="es-CR"/>
          </w:rPr>
          <w:t xml:space="preserve"> -tubulina en hongos marinos aislados de sedimentos del manglar de Puntarenas, Costa Rica.</w:t>
        </w:r>
        <w:r w:rsidR="00336027">
          <w:rPr>
            <w:noProof/>
            <w:webHidden/>
          </w:rPr>
          <w:tab/>
        </w:r>
        <w:r w:rsidR="00336027">
          <w:rPr>
            <w:noProof/>
            <w:webHidden/>
          </w:rPr>
          <w:fldChar w:fldCharType="begin"/>
        </w:r>
        <w:r w:rsidR="00336027">
          <w:rPr>
            <w:noProof/>
            <w:webHidden/>
          </w:rPr>
          <w:instrText xml:space="preserve"> PAGEREF _Toc138593430 \h </w:instrText>
        </w:r>
        <w:r w:rsidR="00336027">
          <w:rPr>
            <w:noProof/>
            <w:webHidden/>
          </w:rPr>
        </w:r>
        <w:r w:rsidR="00336027">
          <w:rPr>
            <w:noProof/>
            <w:webHidden/>
          </w:rPr>
          <w:fldChar w:fldCharType="separate"/>
        </w:r>
        <w:r w:rsidR="00336027">
          <w:rPr>
            <w:noProof/>
            <w:webHidden/>
          </w:rPr>
          <w:t>19</w:t>
        </w:r>
        <w:r w:rsidR="00336027">
          <w:rPr>
            <w:noProof/>
            <w:webHidden/>
          </w:rPr>
          <w:fldChar w:fldCharType="end"/>
        </w:r>
      </w:hyperlink>
    </w:p>
    <w:p w14:paraId="4137EF93" w14:textId="6D04DEEB" w:rsidR="00336027"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593431" w:history="1">
        <w:r w:rsidR="00336027" w:rsidRPr="00EE26E9">
          <w:rPr>
            <w:rStyle w:val="Hipervnculo"/>
            <w:b/>
            <w:bCs/>
            <w:noProof/>
          </w:rPr>
          <w:t>Cuadro 3</w:t>
        </w:r>
        <w:r w:rsidR="00336027" w:rsidRPr="00EE26E9">
          <w:rPr>
            <w:rStyle w:val="Hipervnculo"/>
            <w:rFonts w:eastAsia="Times New Roman" w:cs="Times New Roman"/>
            <w:b/>
            <w:bCs/>
            <w:noProof/>
            <w:lang w:eastAsia="es-CR"/>
          </w:rPr>
          <w:t>.</w:t>
        </w:r>
        <w:r w:rsidR="00336027" w:rsidRPr="00EE26E9">
          <w:rPr>
            <w:rStyle w:val="Hipervnculo"/>
            <w:rFonts w:eastAsia="Times New Roman" w:cs="Times New Roman"/>
            <w:noProof/>
            <w:lang w:eastAsia="es-CR"/>
          </w:rPr>
          <w:t xml:space="preserve"> Genomas utilizados para la búsqueda de potenciales Clústers de Genes Biosintéticos de hongos marinos con actividad antimicrobiana en la plataforma ANTISMASH.</w:t>
        </w:r>
        <w:r w:rsidR="00336027">
          <w:rPr>
            <w:noProof/>
            <w:webHidden/>
          </w:rPr>
          <w:tab/>
        </w:r>
        <w:r w:rsidR="00336027">
          <w:rPr>
            <w:noProof/>
            <w:webHidden/>
          </w:rPr>
          <w:fldChar w:fldCharType="begin"/>
        </w:r>
        <w:r w:rsidR="00336027">
          <w:rPr>
            <w:noProof/>
            <w:webHidden/>
          </w:rPr>
          <w:instrText xml:space="preserve"> PAGEREF _Toc138593431 \h </w:instrText>
        </w:r>
        <w:r w:rsidR="00336027">
          <w:rPr>
            <w:noProof/>
            <w:webHidden/>
          </w:rPr>
        </w:r>
        <w:r w:rsidR="00336027">
          <w:rPr>
            <w:noProof/>
            <w:webHidden/>
          </w:rPr>
          <w:fldChar w:fldCharType="separate"/>
        </w:r>
        <w:r w:rsidR="00336027">
          <w:rPr>
            <w:noProof/>
            <w:webHidden/>
          </w:rPr>
          <w:t>24</w:t>
        </w:r>
        <w:r w:rsidR="00336027">
          <w:rPr>
            <w:noProof/>
            <w:webHidden/>
          </w:rPr>
          <w:fldChar w:fldCharType="end"/>
        </w:r>
      </w:hyperlink>
    </w:p>
    <w:p w14:paraId="19EEA841" w14:textId="31B9575B" w:rsidR="00336027"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593432" w:history="1">
        <w:r w:rsidR="00336027" w:rsidRPr="00EE26E9">
          <w:rPr>
            <w:rStyle w:val="Hipervnculo"/>
            <w:b/>
            <w:bCs/>
            <w:noProof/>
          </w:rPr>
          <w:t>Cuadro 4.</w:t>
        </w:r>
        <w:r w:rsidR="00336027" w:rsidRPr="00EE26E9">
          <w:rPr>
            <w:rStyle w:val="Hipervnculo"/>
            <w:noProof/>
          </w:rPr>
          <w:t xml:space="preserve">  </w:t>
        </w:r>
        <w:r w:rsidR="00336027" w:rsidRPr="00EE26E9">
          <w:rPr>
            <w:rStyle w:val="Hipervnculo"/>
            <w:rFonts w:cs="Times New Roman"/>
            <w:noProof/>
          </w:rPr>
          <w:t>Descripción y caracterización morfológica macro y microscópica de cepas</w:t>
        </w:r>
        <w:r w:rsidR="00336027" w:rsidRPr="00EE26E9">
          <w:rPr>
            <w:rStyle w:val="Hipervnculo"/>
            <w:rFonts w:eastAsia="Times New Roman" w:cs="Times New Roman"/>
            <w:bCs/>
            <w:noProof/>
            <w:lang w:eastAsia="es-CR"/>
          </w:rPr>
          <w:t xml:space="preserve"> de hongos marinos aislados de sedimentos arenosos y fangosos del manglar de Puntarenas, Costa Rica.</w:t>
        </w:r>
        <w:r w:rsidR="00336027">
          <w:rPr>
            <w:noProof/>
            <w:webHidden/>
          </w:rPr>
          <w:tab/>
        </w:r>
        <w:r w:rsidR="00336027">
          <w:rPr>
            <w:noProof/>
            <w:webHidden/>
          </w:rPr>
          <w:fldChar w:fldCharType="begin"/>
        </w:r>
        <w:r w:rsidR="00336027">
          <w:rPr>
            <w:noProof/>
            <w:webHidden/>
          </w:rPr>
          <w:instrText xml:space="preserve"> PAGEREF _Toc138593432 \h </w:instrText>
        </w:r>
        <w:r w:rsidR="00336027">
          <w:rPr>
            <w:noProof/>
            <w:webHidden/>
          </w:rPr>
        </w:r>
        <w:r w:rsidR="00336027">
          <w:rPr>
            <w:noProof/>
            <w:webHidden/>
          </w:rPr>
          <w:fldChar w:fldCharType="separate"/>
        </w:r>
        <w:r w:rsidR="00336027">
          <w:rPr>
            <w:noProof/>
            <w:webHidden/>
          </w:rPr>
          <w:t>26</w:t>
        </w:r>
        <w:r w:rsidR="00336027">
          <w:rPr>
            <w:noProof/>
            <w:webHidden/>
          </w:rPr>
          <w:fldChar w:fldCharType="end"/>
        </w:r>
      </w:hyperlink>
    </w:p>
    <w:p w14:paraId="73B994E2" w14:textId="4FB5CAC2" w:rsidR="00336027"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593433" w:history="1">
        <w:r w:rsidR="00336027" w:rsidRPr="00EE26E9">
          <w:rPr>
            <w:rStyle w:val="Hipervnculo"/>
            <w:b/>
            <w:bCs/>
            <w:noProof/>
          </w:rPr>
          <w:t>Cuadro 5</w:t>
        </w:r>
        <w:r w:rsidR="00336027" w:rsidRPr="00EE26E9">
          <w:rPr>
            <w:rStyle w:val="Hipervnculo"/>
            <w:rFonts w:eastAsia="Times New Roman" w:cs="Times New Roman"/>
            <w:b/>
            <w:bCs/>
            <w:noProof/>
            <w:lang w:eastAsia="es-CR"/>
          </w:rPr>
          <w:t xml:space="preserve">. </w:t>
        </w:r>
        <w:r w:rsidR="00336027" w:rsidRPr="00EE26E9">
          <w:rPr>
            <w:rStyle w:val="Hipervnculo"/>
            <w:rFonts w:eastAsia="Times New Roman" w:cs="Times New Roman"/>
            <w:noProof/>
            <w:lang w:eastAsia="es-CR"/>
          </w:rPr>
          <w:t xml:space="preserve">Comparativa de moléculas biosintetizadas y genes medulares </w:t>
        </w:r>
        <w:r w:rsidR="00336027" w:rsidRPr="00336027">
          <w:rPr>
            <w:rStyle w:val="Hipervnculo"/>
            <w:rFonts w:eastAsia="Times New Roman" w:cs="Times New Roman"/>
            <w:i/>
            <w:iCs/>
            <w:noProof/>
            <w:lang w:eastAsia="es-CR"/>
          </w:rPr>
          <w:t>Penicillium sp.</w:t>
        </w:r>
        <w:r w:rsidR="00336027" w:rsidRPr="00EE26E9">
          <w:rPr>
            <w:rStyle w:val="Hipervnculo"/>
            <w:rFonts w:eastAsia="Times New Roman" w:cs="Times New Roman"/>
            <w:noProof/>
            <w:lang w:eastAsia="es-CR"/>
          </w:rPr>
          <w:t xml:space="preserve"> y </w:t>
        </w:r>
        <w:r w:rsidR="00336027" w:rsidRPr="00336027">
          <w:rPr>
            <w:rStyle w:val="Hipervnculo"/>
            <w:rFonts w:eastAsia="Times New Roman" w:cs="Times New Roman"/>
            <w:i/>
            <w:iCs/>
            <w:noProof/>
            <w:lang w:eastAsia="es-CR"/>
          </w:rPr>
          <w:t>Paraconiothyrium sp</w:t>
        </w:r>
        <w:r w:rsidR="00336027" w:rsidRPr="00EE26E9">
          <w:rPr>
            <w:rStyle w:val="Hipervnculo"/>
            <w:rFonts w:eastAsia="Times New Roman" w:cs="Times New Roman"/>
            <w:noProof/>
            <w:lang w:eastAsia="es-CR"/>
          </w:rPr>
          <w:t>.</w:t>
        </w:r>
        <w:r w:rsidR="00336027">
          <w:rPr>
            <w:noProof/>
            <w:webHidden/>
          </w:rPr>
          <w:tab/>
        </w:r>
        <w:r w:rsidR="00336027">
          <w:rPr>
            <w:noProof/>
            <w:webHidden/>
          </w:rPr>
          <w:fldChar w:fldCharType="begin"/>
        </w:r>
        <w:r w:rsidR="00336027">
          <w:rPr>
            <w:noProof/>
            <w:webHidden/>
          </w:rPr>
          <w:instrText xml:space="preserve"> PAGEREF _Toc138593433 \h </w:instrText>
        </w:r>
        <w:r w:rsidR="00336027">
          <w:rPr>
            <w:noProof/>
            <w:webHidden/>
          </w:rPr>
        </w:r>
        <w:r w:rsidR="00336027">
          <w:rPr>
            <w:noProof/>
            <w:webHidden/>
          </w:rPr>
          <w:fldChar w:fldCharType="separate"/>
        </w:r>
        <w:r w:rsidR="00336027">
          <w:rPr>
            <w:noProof/>
            <w:webHidden/>
          </w:rPr>
          <w:t>39</w:t>
        </w:r>
        <w:r w:rsidR="00336027">
          <w:rPr>
            <w:noProof/>
            <w:webHidden/>
          </w:rPr>
          <w:fldChar w:fldCharType="end"/>
        </w:r>
      </w:hyperlink>
    </w:p>
    <w:p w14:paraId="3191A90C" w14:textId="731937FE" w:rsidR="00336027"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593434" w:history="1">
        <w:r w:rsidR="00336027" w:rsidRPr="00EE26E9">
          <w:rPr>
            <w:rStyle w:val="Hipervnculo"/>
            <w:b/>
            <w:bCs/>
            <w:noProof/>
          </w:rPr>
          <w:t>Cuadro 6.</w:t>
        </w:r>
        <w:r w:rsidR="00336027" w:rsidRPr="00EE26E9">
          <w:rPr>
            <w:rStyle w:val="Hipervnculo"/>
            <w:noProof/>
          </w:rPr>
          <w:t xml:space="preserve"> </w:t>
        </w:r>
        <w:r w:rsidR="00336027" w:rsidRPr="00EE26E9">
          <w:rPr>
            <w:rStyle w:val="Hipervnculo"/>
            <w:rFonts w:eastAsia="Times New Roman" w:cs="Times New Roman"/>
            <w:noProof/>
            <w:lang w:eastAsia="es-CR"/>
          </w:rPr>
          <w:t xml:space="preserve">Comparativa de moléculas biosintetizadas y clústers de genes biosintéticos entre </w:t>
        </w:r>
        <w:r w:rsidR="00336027" w:rsidRPr="00336027">
          <w:rPr>
            <w:rStyle w:val="Hipervnculo"/>
            <w:rFonts w:eastAsia="Times New Roman" w:cs="Times New Roman"/>
            <w:i/>
            <w:iCs/>
            <w:noProof/>
            <w:lang w:eastAsia="es-CR"/>
          </w:rPr>
          <w:t>Aspergillus tamarii, Aspergillus pseudotamarii</w:t>
        </w:r>
        <w:r w:rsidR="00336027" w:rsidRPr="00EE26E9">
          <w:rPr>
            <w:rStyle w:val="Hipervnculo"/>
            <w:rFonts w:eastAsia="Times New Roman" w:cs="Times New Roman"/>
            <w:noProof/>
            <w:lang w:eastAsia="es-CR"/>
          </w:rPr>
          <w:t xml:space="preserve"> y </w:t>
        </w:r>
        <w:r w:rsidR="00336027" w:rsidRPr="00336027">
          <w:rPr>
            <w:rStyle w:val="Hipervnculo"/>
            <w:rFonts w:eastAsia="Times New Roman" w:cs="Times New Roman"/>
            <w:i/>
            <w:iCs/>
            <w:noProof/>
            <w:lang w:eastAsia="es-CR"/>
          </w:rPr>
          <w:t>Aspergillus caelatus.</w:t>
        </w:r>
        <w:r w:rsidR="00336027">
          <w:rPr>
            <w:noProof/>
            <w:webHidden/>
          </w:rPr>
          <w:tab/>
        </w:r>
        <w:r w:rsidR="00336027">
          <w:rPr>
            <w:noProof/>
            <w:webHidden/>
          </w:rPr>
          <w:fldChar w:fldCharType="begin"/>
        </w:r>
        <w:r w:rsidR="00336027">
          <w:rPr>
            <w:noProof/>
            <w:webHidden/>
          </w:rPr>
          <w:instrText xml:space="preserve"> PAGEREF _Toc138593434 \h </w:instrText>
        </w:r>
        <w:r w:rsidR="00336027">
          <w:rPr>
            <w:noProof/>
            <w:webHidden/>
          </w:rPr>
        </w:r>
        <w:r w:rsidR="00336027">
          <w:rPr>
            <w:noProof/>
            <w:webHidden/>
          </w:rPr>
          <w:fldChar w:fldCharType="separate"/>
        </w:r>
        <w:r w:rsidR="00336027">
          <w:rPr>
            <w:noProof/>
            <w:webHidden/>
          </w:rPr>
          <w:t>42</w:t>
        </w:r>
        <w:r w:rsidR="00336027">
          <w:rPr>
            <w:noProof/>
            <w:webHidden/>
          </w:rPr>
          <w:fldChar w:fldCharType="end"/>
        </w:r>
      </w:hyperlink>
    </w:p>
    <w:p w14:paraId="1B8DF506" w14:textId="3C0F1072" w:rsidR="00DC6E9A" w:rsidRPr="00DC6E9A" w:rsidRDefault="002E2FA1" w:rsidP="00DC6E9A">
      <w:pPr>
        <w:spacing w:after="0"/>
        <w:jc w:val="center"/>
        <w:rPr>
          <w:rFonts w:cs="Times New Roman"/>
          <w:b/>
          <w:bCs/>
          <w:color w:val="000000" w:themeColor="text1"/>
          <w:sz w:val="28"/>
          <w:szCs w:val="28"/>
        </w:rPr>
      </w:pPr>
      <w:r>
        <w:rPr>
          <w:rFonts w:cs="Times New Roman"/>
          <w:b/>
          <w:bCs/>
          <w:color w:val="000000" w:themeColor="text1"/>
          <w:sz w:val="28"/>
          <w:szCs w:val="28"/>
        </w:rPr>
        <w:fldChar w:fldCharType="end"/>
      </w:r>
    </w:p>
    <w:p w14:paraId="2FFDB508" w14:textId="77777777" w:rsidR="00117D5E" w:rsidRDefault="00117D5E">
      <w:pPr>
        <w:rPr>
          <w:rFonts w:cs="Times New Roman"/>
        </w:rPr>
      </w:pPr>
      <w:r>
        <w:rPr>
          <w:rFonts w:cs="Times New Roman"/>
        </w:rPr>
        <w:br w:type="page"/>
      </w:r>
    </w:p>
    <w:p w14:paraId="3316C32E" w14:textId="0E62CB82" w:rsidR="00DC6E9A" w:rsidRDefault="00117D5E" w:rsidP="00864330">
      <w:pPr>
        <w:pStyle w:val="Titulo10"/>
        <w:spacing w:before="0"/>
      </w:pPr>
      <w:bookmarkStart w:id="5" w:name="_Toc140204049"/>
      <w:r w:rsidRPr="00117D5E">
        <w:lastRenderedPageBreak/>
        <w:t xml:space="preserve">Índice de </w:t>
      </w:r>
      <w:r w:rsidR="00DC0212">
        <w:t>f</w:t>
      </w:r>
      <w:r w:rsidRPr="00117D5E">
        <w:t>iguras</w:t>
      </w:r>
      <w:bookmarkEnd w:id="5"/>
    </w:p>
    <w:p w14:paraId="2F2E26EA" w14:textId="77777777" w:rsidR="00204841" w:rsidRDefault="00204841" w:rsidP="00204841">
      <w:pPr>
        <w:pStyle w:val="Titulo10"/>
      </w:pPr>
    </w:p>
    <w:p w14:paraId="6DB164C0" w14:textId="33BAD492" w:rsidR="001717FF" w:rsidRDefault="005E6C1E">
      <w:pPr>
        <w:pStyle w:val="Tabladeilustraciones"/>
        <w:tabs>
          <w:tab w:val="right" w:leader="dot" w:pos="9350"/>
        </w:tabs>
        <w:rPr>
          <w:rFonts w:asciiTheme="minorHAnsi" w:eastAsiaTheme="minorEastAsia" w:hAnsiTheme="minorHAnsi"/>
          <w:noProof/>
          <w:kern w:val="2"/>
          <w:sz w:val="22"/>
          <w:lang w:eastAsia="es-CR"/>
          <w14:ligatures w14:val="standardContextual"/>
        </w:rPr>
      </w:pPr>
      <w:r>
        <w:fldChar w:fldCharType="begin"/>
      </w:r>
      <w:r>
        <w:instrText xml:space="preserve"> TOC \h \z \c "Figura " </w:instrText>
      </w:r>
      <w:r>
        <w:fldChar w:fldCharType="separate"/>
      </w:r>
      <w:hyperlink w:anchor="_Toc142272970" w:history="1">
        <w:r w:rsidR="001717FF" w:rsidRPr="0069000E">
          <w:rPr>
            <w:rStyle w:val="Hipervnculo"/>
            <w:b/>
            <w:bCs/>
            <w:noProof/>
          </w:rPr>
          <w:t xml:space="preserve">Figura  1. </w:t>
        </w:r>
        <w:r w:rsidR="001717FF" w:rsidRPr="0069000E">
          <w:rPr>
            <w:rStyle w:val="Hipervnculo"/>
            <w:rFonts w:eastAsiaTheme="majorEastAsia"/>
            <w:bCs/>
            <w:noProof/>
          </w:rPr>
          <w:t>Ubicación geográfica del sitio de recolección de las muestras de sedimentos del manglar de Puntarenas, Costa Rica, utilizadas para el aislamiento de cepas de hongos marinos.</w:t>
        </w:r>
        <w:r w:rsidR="001717FF">
          <w:rPr>
            <w:noProof/>
            <w:webHidden/>
          </w:rPr>
          <w:tab/>
        </w:r>
        <w:r w:rsidR="001717FF">
          <w:rPr>
            <w:noProof/>
            <w:webHidden/>
          </w:rPr>
          <w:fldChar w:fldCharType="begin"/>
        </w:r>
        <w:r w:rsidR="001717FF">
          <w:rPr>
            <w:noProof/>
            <w:webHidden/>
          </w:rPr>
          <w:instrText xml:space="preserve"> PAGEREF _Toc142272970 \h </w:instrText>
        </w:r>
        <w:r w:rsidR="001717FF">
          <w:rPr>
            <w:noProof/>
            <w:webHidden/>
          </w:rPr>
        </w:r>
        <w:r w:rsidR="001717FF">
          <w:rPr>
            <w:noProof/>
            <w:webHidden/>
          </w:rPr>
          <w:fldChar w:fldCharType="separate"/>
        </w:r>
        <w:r w:rsidR="001717FF">
          <w:rPr>
            <w:noProof/>
            <w:webHidden/>
          </w:rPr>
          <w:t>15</w:t>
        </w:r>
        <w:r w:rsidR="001717FF">
          <w:rPr>
            <w:noProof/>
            <w:webHidden/>
          </w:rPr>
          <w:fldChar w:fldCharType="end"/>
        </w:r>
      </w:hyperlink>
    </w:p>
    <w:p w14:paraId="4972FEC1" w14:textId="651B3E17"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1" w:history="1">
        <w:r w:rsidRPr="0069000E">
          <w:rPr>
            <w:rStyle w:val="Hipervnculo"/>
            <w:b/>
            <w:bCs/>
            <w:noProof/>
          </w:rPr>
          <w:t xml:space="preserve">Figura  2. </w:t>
        </w:r>
        <w:r w:rsidRPr="0069000E">
          <w:rPr>
            <w:rStyle w:val="Hipervnculo"/>
            <w:rFonts w:eastAsia="Times New Roman" w:cs="Times New Roman"/>
            <w:noProof/>
            <w:lang w:eastAsia="es-CR"/>
          </w:rPr>
          <w:t>Diagrama del ensayo para la selección de cepas de hongos marinos con actividad antimicrobiana mediante estimulación con co-cultivo de bacterias ESKAPE en medio Mueller Hinton con y sin 2 % de NaCl. (Fuente: elaboración propia).</w:t>
        </w:r>
        <w:r>
          <w:rPr>
            <w:noProof/>
            <w:webHidden/>
          </w:rPr>
          <w:tab/>
        </w:r>
        <w:r>
          <w:rPr>
            <w:noProof/>
            <w:webHidden/>
          </w:rPr>
          <w:fldChar w:fldCharType="begin"/>
        </w:r>
        <w:r>
          <w:rPr>
            <w:noProof/>
            <w:webHidden/>
          </w:rPr>
          <w:instrText xml:space="preserve"> PAGEREF _Toc142272971 \h </w:instrText>
        </w:r>
        <w:r>
          <w:rPr>
            <w:noProof/>
            <w:webHidden/>
          </w:rPr>
        </w:r>
        <w:r>
          <w:rPr>
            <w:noProof/>
            <w:webHidden/>
          </w:rPr>
          <w:fldChar w:fldCharType="separate"/>
        </w:r>
        <w:r>
          <w:rPr>
            <w:noProof/>
            <w:webHidden/>
          </w:rPr>
          <w:t>17</w:t>
        </w:r>
        <w:r>
          <w:rPr>
            <w:noProof/>
            <w:webHidden/>
          </w:rPr>
          <w:fldChar w:fldCharType="end"/>
        </w:r>
      </w:hyperlink>
    </w:p>
    <w:p w14:paraId="5BA40642" w14:textId="0FA47EE9"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2" w:history="1">
        <w:r w:rsidRPr="0069000E">
          <w:rPr>
            <w:rStyle w:val="Hipervnculo"/>
            <w:b/>
            <w:bCs/>
            <w:noProof/>
          </w:rPr>
          <w:t>Figura 3.</w:t>
        </w:r>
        <w:r w:rsidRPr="0069000E">
          <w:rPr>
            <w:rStyle w:val="Hipervnculo"/>
            <w:noProof/>
          </w:rPr>
          <w:t xml:space="preserve"> Desarrollo metodológico para el análisis de genómica comparativa de los clústers de genes biosintéticos presentes en las especies de hongos asociados molecularmente con los aislamientos de hongos marinos aislados de sedimentos de manglar de Puntarenas, Costa Rica.</w:t>
        </w:r>
        <w:r>
          <w:rPr>
            <w:noProof/>
            <w:webHidden/>
          </w:rPr>
          <w:tab/>
        </w:r>
        <w:r>
          <w:rPr>
            <w:noProof/>
            <w:webHidden/>
          </w:rPr>
          <w:fldChar w:fldCharType="begin"/>
        </w:r>
        <w:r>
          <w:rPr>
            <w:noProof/>
            <w:webHidden/>
          </w:rPr>
          <w:instrText xml:space="preserve"> PAGEREF _Toc142272972 \h </w:instrText>
        </w:r>
        <w:r>
          <w:rPr>
            <w:noProof/>
            <w:webHidden/>
          </w:rPr>
        </w:r>
        <w:r>
          <w:rPr>
            <w:noProof/>
            <w:webHidden/>
          </w:rPr>
          <w:fldChar w:fldCharType="separate"/>
        </w:r>
        <w:r>
          <w:rPr>
            <w:noProof/>
            <w:webHidden/>
          </w:rPr>
          <w:t>23</w:t>
        </w:r>
        <w:r>
          <w:rPr>
            <w:noProof/>
            <w:webHidden/>
          </w:rPr>
          <w:fldChar w:fldCharType="end"/>
        </w:r>
      </w:hyperlink>
    </w:p>
    <w:p w14:paraId="3E90EB24" w14:textId="02E35900"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3" w:history="1">
        <w:r w:rsidRPr="0069000E">
          <w:rPr>
            <w:rStyle w:val="Hipervnculo"/>
            <w:b/>
            <w:bCs/>
            <w:noProof/>
          </w:rPr>
          <w:t xml:space="preserve">Figura  4. </w:t>
        </w:r>
        <w:r w:rsidRPr="0069000E">
          <w:rPr>
            <w:rStyle w:val="Hipervnculo"/>
            <w:rFonts w:eastAsia="Times New Roman" w:cs="Times New Roman"/>
            <w:bCs/>
            <w:noProof/>
            <w:lang w:eastAsia="es-CR"/>
          </w:rPr>
          <w:t>Cepas de hongos marinos aislados de sedimentos arenosos (A) y fangosos (B), del manglar de Puntarenas, Costa Rica en medio de cultivo PDA (anverso y reverso).</w:t>
        </w:r>
        <w:r>
          <w:rPr>
            <w:noProof/>
            <w:webHidden/>
          </w:rPr>
          <w:tab/>
        </w:r>
        <w:r>
          <w:rPr>
            <w:noProof/>
            <w:webHidden/>
          </w:rPr>
          <w:fldChar w:fldCharType="begin"/>
        </w:r>
        <w:r>
          <w:rPr>
            <w:noProof/>
            <w:webHidden/>
          </w:rPr>
          <w:instrText xml:space="preserve"> PAGEREF _Toc142272973 \h </w:instrText>
        </w:r>
        <w:r>
          <w:rPr>
            <w:noProof/>
            <w:webHidden/>
          </w:rPr>
        </w:r>
        <w:r>
          <w:rPr>
            <w:noProof/>
            <w:webHidden/>
          </w:rPr>
          <w:fldChar w:fldCharType="separate"/>
        </w:r>
        <w:r>
          <w:rPr>
            <w:noProof/>
            <w:webHidden/>
          </w:rPr>
          <w:t>27</w:t>
        </w:r>
        <w:r>
          <w:rPr>
            <w:noProof/>
            <w:webHidden/>
          </w:rPr>
          <w:fldChar w:fldCharType="end"/>
        </w:r>
      </w:hyperlink>
    </w:p>
    <w:p w14:paraId="5899A3C3" w14:textId="2C0184CB"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4" w:history="1">
        <w:r w:rsidRPr="0069000E">
          <w:rPr>
            <w:rStyle w:val="Hipervnculo"/>
            <w:b/>
            <w:bCs/>
            <w:noProof/>
          </w:rPr>
          <w:t xml:space="preserve">Figura  5.  </w:t>
        </w:r>
        <w:r w:rsidRPr="0069000E">
          <w:rPr>
            <w:rStyle w:val="Hipervnculo"/>
            <w:rFonts w:eastAsia="Times New Roman" w:cs="Times New Roman"/>
            <w:noProof/>
            <w:lang w:eastAsia="es-CR"/>
          </w:rPr>
          <w:t>Morfología microscópica de las cepas de hongos marinos crecidos en medio de cultivo PDA.</w:t>
        </w:r>
        <w:r w:rsidRPr="0069000E">
          <w:rPr>
            <w:rStyle w:val="Hipervnculo"/>
            <w:noProof/>
          </w:rPr>
          <w:t>.</w:t>
        </w:r>
        <w:r>
          <w:rPr>
            <w:noProof/>
            <w:webHidden/>
          </w:rPr>
          <w:tab/>
        </w:r>
        <w:r>
          <w:rPr>
            <w:noProof/>
            <w:webHidden/>
          </w:rPr>
          <w:fldChar w:fldCharType="begin"/>
        </w:r>
        <w:r>
          <w:rPr>
            <w:noProof/>
            <w:webHidden/>
          </w:rPr>
          <w:instrText xml:space="preserve"> PAGEREF _Toc142272974 \h </w:instrText>
        </w:r>
        <w:r>
          <w:rPr>
            <w:noProof/>
            <w:webHidden/>
          </w:rPr>
        </w:r>
        <w:r>
          <w:rPr>
            <w:noProof/>
            <w:webHidden/>
          </w:rPr>
          <w:fldChar w:fldCharType="separate"/>
        </w:r>
        <w:r>
          <w:rPr>
            <w:noProof/>
            <w:webHidden/>
          </w:rPr>
          <w:t>28</w:t>
        </w:r>
        <w:r>
          <w:rPr>
            <w:noProof/>
            <w:webHidden/>
          </w:rPr>
          <w:fldChar w:fldCharType="end"/>
        </w:r>
      </w:hyperlink>
    </w:p>
    <w:p w14:paraId="192C47F5" w14:textId="62C750D3"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5" w:history="1">
        <w:r w:rsidRPr="0069000E">
          <w:rPr>
            <w:rStyle w:val="Hipervnculo"/>
            <w:b/>
            <w:bCs/>
            <w:noProof/>
          </w:rPr>
          <w:t>Figura  6.</w:t>
        </w:r>
        <w:r w:rsidRPr="0069000E">
          <w:rPr>
            <w:rStyle w:val="Hipervnculo"/>
            <w:rFonts w:eastAsia="Times New Roman"/>
            <w:b/>
            <w:bCs/>
            <w:noProof/>
            <w:lang w:eastAsia="es-CR"/>
          </w:rPr>
          <w:t>.</w:t>
        </w:r>
        <w:r w:rsidRPr="0069000E">
          <w:rPr>
            <w:rStyle w:val="Hipervnculo"/>
            <w:rFonts w:eastAsia="Times New Roman"/>
            <w:noProof/>
            <w:lang w:eastAsia="es-CR"/>
          </w:rPr>
          <w:t xml:space="preserve"> Actividad antibacteriana de las cepas de hongos marinos aisladas de sedimentos del manglar de Puntarenas, Costa Rica, contra bacterianas ESKAPE, en Mueller Hinton con y sin 2% NaCl e incubando por 24 y 48 h.</w:t>
        </w:r>
        <w:r>
          <w:rPr>
            <w:noProof/>
            <w:webHidden/>
          </w:rPr>
          <w:tab/>
        </w:r>
        <w:r>
          <w:rPr>
            <w:noProof/>
            <w:webHidden/>
          </w:rPr>
          <w:fldChar w:fldCharType="begin"/>
        </w:r>
        <w:r>
          <w:rPr>
            <w:noProof/>
            <w:webHidden/>
          </w:rPr>
          <w:instrText xml:space="preserve"> PAGEREF _Toc142272975 \h </w:instrText>
        </w:r>
        <w:r>
          <w:rPr>
            <w:noProof/>
            <w:webHidden/>
          </w:rPr>
        </w:r>
        <w:r>
          <w:rPr>
            <w:noProof/>
            <w:webHidden/>
          </w:rPr>
          <w:fldChar w:fldCharType="separate"/>
        </w:r>
        <w:r>
          <w:rPr>
            <w:noProof/>
            <w:webHidden/>
          </w:rPr>
          <w:t>29</w:t>
        </w:r>
        <w:r>
          <w:rPr>
            <w:noProof/>
            <w:webHidden/>
          </w:rPr>
          <w:fldChar w:fldCharType="end"/>
        </w:r>
      </w:hyperlink>
    </w:p>
    <w:p w14:paraId="52D14CDB" w14:textId="092935EF"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6" w:history="1">
        <w:r w:rsidRPr="0069000E">
          <w:rPr>
            <w:rStyle w:val="Hipervnculo"/>
            <w:b/>
            <w:bCs/>
            <w:noProof/>
          </w:rPr>
          <w:t xml:space="preserve">Figura  7. </w:t>
        </w:r>
        <w:r w:rsidRPr="0069000E">
          <w:rPr>
            <w:rStyle w:val="Hipervnculo"/>
            <w:noProof/>
            <w:lang w:eastAsia="es-CR"/>
          </w:rPr>
          <w:t xml:space="preserve">Actividad antimicrobiana de extractos crudos de hongos marinos obtenidas a partir de su cultivo líquido en tres tratamientos diferentes en medio Wickerham: un cultivo axénico (“CP”), en co-cultivo con la bacteria </w:t>
        </w:r>
        <w:r w:rsidRPr="008175DF">
          <w:rPr>
            <w:rStyle w:val="Hipervnculo"/>
            <w:i/>
            <w:iCs/>
            <w:noProof/>
            <w:lang w:eastAsia="es-CR"/>
          </w:rPr>
          <w:t xml:space="preserve">S. aureus </w:t>
        </w:r>
        <w:r w:rsidRPr="0069000E">
          <w:rPr>
            <w:rStyle w:val="Hipervnculo"/>
            <w:noProof/>
            <w:lang w:eastAsia="es-CR"/>
          </w:rPr>
          <w:t xml:space="preserve">(“CCSA”) y en co-cultivo con </w:t>
        </w:r>
        <w:r w:rsidRPr="008175DF">
          <w:rPr>
            <w:rStyle w:val="Hipervnculo"/>
            <w:i/>
            <w:iCs/>
            <w:noProof/>
            <w:lang w:eastAsia="es-CR"/>
          </w:rPr>
          <w:t>E. hormaechei</w:t>
        </w:r>
        <w:r w:rsidRPr="0069000E">
          <w:rPr>
            <w:rStyle w:val="Hipervnculo"/>
            <w:noProof/>
            <w:lang w:eastAsia="es-CR"/>
          </w:rPr>
          <w:t xml:space="preserve"> (“CCEH”) y el screening de los metabolitos secundarios presentes en cada extracto.</w:t>
        </w:r>
        <w:r>
          <w:rPr>
            <w:noProof/>
            <w:webHidden/>
          </w:rPr>
          <w:tab/>
        </w:r>
        <w:r>
          <w:rPr>
            <w:noProof/>
            <w:webHidden/>
          </w:rPr>
          <w:fldChar w:fldCharType="begin"/>
        </w:r>
        <w:r>
          <w:rPr>
            <w:noProof/>
            <w:webHidden/>
          </w:rPr>
          <w:instrText xml:space="preserve"> PAGEREF _Toc142272976 \h </w:instrText>
        </w:r>
        <w:r>
          <w:rPr>
            <w:noProof/>
            <w:webHidden/>
          </w:rPr>
        </w:r>
        <w:r>
          <w:rPr>
            <w:noProof/>
            <w:webHidden/>
          </w:rPr>
          <w:fldChar w:fldCharType="separate"/>
        </w:r>
        <w:r>
          <w:rPr>
            <w:noProof/>
            <w:webHidden/>
          </w:rPr>
          <w:t>32</w:t>
        </w:r>
        <w:r>
          <w:rPr>
            <w:noProof/>
            <w:webHidden/>
          </w:rPr>
          <w:fldChar w:fldCharType="end"/>
        </w:r>
      </w:hyperlink>
    </w:p>
    <w:p w14:paraId="427E5902" w14:textId="56BDB8CD"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7" w:history="1">
        <w:r w:rsidRPr="0069000E">
          <w:rPr>
            <w:rStyle w:val="Hipervnculo"/>
            <w:b/>
            <w:bCs/>
            <w:noProof/>
          </w:rPr>
          <w:t>Figura  8.</w:t>
        </w:r>
        <w:r w:rsidRPr="0069000E">
          <w:rPr>
            <w:rStyle w:val="Hipervnculo"/>
            <w:noProof/>
          </w:rPr>
          <w:t xml:space="preserve"> </w:t>
        </w:r>
        <w:r w:rsidRPr="0069000E">
          <w:rPr>
            <w:rStyle w:val="Hipervnculo"/>
            <w:noProof/>
            <w:lang w:eastAsia="es-CR"/>
          </w:rPr>
          <w:t xml:space="preserve">Cromatograma de los extractos crudos de los tres tratamientos de la cepa </w:t>
        </w:r>
        <w:r w:rsidRPr="008175DF">
          <w:rPr>
            <w:rStyle w:val="Hipervnculo"/>
            <w:i/>
            <w:iCs/>
            <w:noProof/>
            <w:lang w:eastAsia="es-CR"/>
          </w:rPr>
          <w:t>Penicillium</w:t>
        </w:r>
        <w:r w:rsidRPr="0069000E">
          <w:rPr>
            <w:rStyle w:val="Hipervnculo"/>
            <w:noProof/>
            <w:lang w:eastAsia="es-CR"/>
          </w:rPr>
          <w:t xml:space="preserve"> sp. obtenido mediante el fraccionamiento en RP-HPLC.</w:t>
        </w:r>
        <w:r>
          <w:rPr>
            <w:noProof/>
            <w:webHidden/>
          </w:rPr>
          <w:tab/>
        </w:r>
        <w:r>
          <w:rPr>
            <w:noProof/>
            <w:webHidden/>
          </w:rPr>
          <w:fldChar w:fldCharType="begin"/>
        </w:r>
        <w:r>
          <w:rPr>
            <w:noProof/>
            <w:webHidden/>
          </w:rPr>
          <w:instrText xml:space="preserve"> PAGEREF _Toc142272977 \h </w:instrText>
        </w:r>
        <w:r>
          <w:rPr>
            <w:noProof/>
            <w:webHidden/>
          </w:rPr>
        </w:r>
        <w:r>
          <w:rPr>
            <w:noProof/>
            <w:webHidden/>
          </w:rPr>
          <w:fldChar w:fldCharType="separate"/>
        </w:r>
        <w:r>
          <w:rPr>
            <w:noProof/>
            <w:webHidden/>
          </w:rPr>
          <w:t>34</w:t>
        </w:r>
        <w:r>
          <w:rPr>
            <w:noProof/>
            <w:webHidden/>
          </w:rPr>
          <w:fldChar w:fldCharType="end"/>
        </w:r>
      </w:hyperlink>
    </w:p>
    <w:p w14:paraId="04296757" w14:textId="65E4CB0B"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8" w:history="1">
        <w:r w:rsidRPr="0069000E">
          <w:rPr>
            <w:rStyle w:val="Hipervnculo"/>
            <w:b/>
            <w:bCs/>
            <w:noProof/>
          </w:rPr>
          <w:t>Figura  9</w:t>
        </w:r>
        <w:r w:rsidRPr="0069000E">
          <w:rPr>
            <w:rStyle w:val="Hipervnculo"/>
            <w:noProof/>
          </w:rPr>
          <w:t xml:space="preserve">. </w:t>
        </w:r>
        <w:r w:rsidRPr="0069000E">
          <w:rPr>
            <w:rStyle w:val="Hipervnculo"/>
            <w:noProof/>
            <w:lang w:eastAsia="es-CR"/>
          </w:rPr>
          <w:t xml:space="preserve">Cromatograma de los extractos crudos de los tres tratamientos de la cepa </w:t>
        </w:r>
        <w:r w:rsidRPr="008175DF">
          <w:rPr>
            <w:rStyle w:val="Hipervnculo"/>
            <w:i/>
            <w:iCs/>
            <w:noProof/>
            <w:lang w:eastAsia="es-CR"/>
          </w:rPr>
          <w:t>Aspergillus</w:t>
        </w:r>
        <w:r w:rsidRPr="0069000E">
          <w:rPr>
            <w:rStyle w:val="Hipervnculo"/>
            <w:noProof/>
            <w:lang w:eastAsia="es-CR"/>
          </w:rPr>
          <w:t xml:space="preserve"> sp. que mostraron actividad contra S. aureus obtenido mediante su fraccionamiento en RP-HPLC.</w:t>
        </w:r>
        <w:r>
          <w:rPr>
            <w:noProof/>
            <w:webHidden/>
          </w:rPr>
          <w:tab/>
        </w:r>
        <w:r>
          <w:rPr>
            <w:noProof/>
            <w:webHidden/>
          </w:rPr>
          <w:fldChar w:fldCharType="begin"/>
        </w:r>
        <w:r>
          <w:rPr>
            <w:noProof/>
            <w:webHidden/>
          </w:rPr>
          <w:instrText xml:space="preserve"> PAGEREF _Toc142272978 \h </w:instrText>
        </w:r>
        <w:r>
          <w:rPr>
            <w:noProof/>
            <w:webHidden/>
          </w:rPr>
        </w:r>
        <w:r>
          <w:rPr>
            <w:noProof/>
            <w:webHidden/>
          </w:rPr>
          <w:fldChar w:fldCharType="separate"/>
        </w:r>
        <w:r>
          <w:rPr>
            <w:noProof/>
            <w:webHidden/>
          </w:rPr>
          <w:t>36</w:t>
        </w:r>
        <w:r>
          <w:rPr>
            <w:noProof/>
            <w:webHidden/>
          </w:rPr>
          <w:fldChar w:fldCharType="end"/>
        </w:r>
      </w:hyperlink>
    </w:p>
    <w:p w14:paraId="436E1E44" w14:textId="774E9815"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79" w:history="1">
        <w:r w:rsidRPr="0069000E">
          <w:rPr>
            <w:rStyle w:val="Hipervnculo"/>
            <w:b/>
            <w:bCs/>
            <w:noProof/>
          </w:rPr>
          <w:t>Figura  10</w:t>
        </w:r>
        <w:r w:rsidRPr="0069000E">
          <w:rPr>
            <w:rStyle w:val="Hipervnculo"/>
            <w:noProof/>
          </w:rPr>
          <w:t xml:space="preserve">. Cromatograma del extracto crudo de la cepa A 4.1, identificada como </w:t>
        </w:r>
        <w:r w:rsidRPr="008175DF">
          <w:rPr>
            <w:rStyle w:val="Hipervnculo"/>
            <w:i/>
            <w:iCs/>
            <w:noProof/>
          </w:rPr>
          <w:t>Paraconiothyrium</w:t>
        </w:r>
        <w:r w:rsidRPr="0069000E">
          <w:rPr>
            <w:rStyle w:val="Hipervnculo"/>
            <w:noProof/>
          </w:rPr>
          <w:t xml:space="preserve"> sp., en co-cultivo con la bacteria </w:t>
        </w:r>
        <w:r w:rsidRPr="008175DF">
          <w:rPr>
            <w:rStyle w:val="Hipervnculo"/>
            <w:i/>
            <w:iCs/>
            <w:noProof/>
          </w:rPr>
          <w:t>S. aureus</w:t>
        </w:r>
        <w:r w:rsidRPr="0069000E">
          <w:rPr>
            <w:rStyle w:val="Hipervnculo"/>
            <w:noProof/>
          </w:rPr>
          <w:t xml:space="preserve"> obtenido mediante RP-HPLC..</w:t>
        </w:r>
        <w:r>
          <w:rPr>
            <w:noProof/>
            <w:webHidden/>
          </w:rPr>
          <w:tab/>
        </w:r>
        <w:r>
          <w:rPr>
            <w:noProof/>
            <w:webHidden/>
          </w:rPr>
          <w:fldChar w:fldCharType="begin"/>
        </w:r>
        <w:r>
          <w:rPr>
            <w:noProof/>
            <w:webHidden/>
          </w:rPr>
          <w:instrText xml:space="preserve"> PAGEREF _Toc142272979 \h </w:instrText>
        </w:r>
        <w:r>
          <w:rPr>
            <w:noProof/>
            <w:webHidden/>
          </w:rPr>
        </w:r>
        <w:r>
          <w:rPr>
            <w:noProof/>
            <w:webHidden/>
          </w:rPr>
          <w:fldChar w:fldCharType="separate"/>
        </w:r>
        <w:r>
          <w:rPr>
            <w:noProof/>
            <w:webHidden/>
          </w:rPr>
          <w:t>37</w:t>
        </w:r>
        <w:r>
          <w:rPr>
            <w:noProof/>
            <w:webHidden/>
          </w:rPr>
          <w:fldChar w:fldCharType="end"/>
        </w:r>
      </w:hyperlink>
    </w:p>
    <w:p w14:paraId="728BF03D" w14:textId="1D2D4E40"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80" w:history="1">
        <w:r w:rsidRPr="0069000E">
          <w:rPr>
            <w:rStyle w:val="Hipervnculo"/>
            <w:b/>
            <w:bCs/>
            <w:noProof/>
          </w:rPr>
          <w:t>Figura  11.</w:t>
        </w:r>
        <w:r w:rsidRPr="0069000E">
          <w:rPr>
            <w:rStyle w:val="Hipervnculo"/>
            <w:noProof/>
          </w:rPr>
          <w:t xml:space="preserve"> Tipos de clústers de genes biosintéticos (CGB) con actividad antimicrobiana reportada obtenidos desde ANTISMASH 6.0 para las especies de hongos fermentados en esta investigación.</w:t>
        </w:r>
        <w:r>
          <w:rPr>
            <w:noProof/>
            <w:webHidden/>
          </w:rPr>
          <w:tab/>
        </w:r>
        <w:r>
          <w:rPr>
            <w:noProof/>
            <w:webHidden/>
          </w:rPr>
          <w:fldChar w:fldCharType="begin"/>
        </w:r>
        <w:r>
          <w:rPr>
            <w:noProof/>
            <w:webHidden/>
          </w:rPr>
          <w:instrText xml:space="preserve"> PAGEREF _Toc142272980 \h </w:instrText>
        </w:r>
        <w:r>
          <w:rPr>
            <w:noProof/>
            <w:webHidden/>
          </w:rPr>
        </w:r>
        <w:r>
          <w:rPr>
            <w:noProof/>
            <w:webHidden/>
          </w:rPr>
          <w:fldChar w:fldCharType="separate"/>
        </w:r>
        <w:r>
          <w:rPr>
            <w:noProof/>
            <w:webHidden/>
          </w:rPr>
          <w:t>39</w:t>
        </w:r>
        <w:r>
          <w:rPr>
            <w:noProof/>
            <w:webHidden/>
          </w:rPr>
          <w:fldChar w:fldCharType="end"/>
        </w:r>
      </w:hyperlink>
    </w:p>
    <w:p w14:paraId="7D8C56AF" w14:textId="70E1AFC8"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81" w:history="1">
        <w:r w:rsidRPr="0069000E">
          <w:rPr>
            <w:rStyle w:val="Hipervnculo"/>
            <w:b/>
            <w:bCs/>
            <w:noProof/>
          </w:rPr>
          <w:t>Figura  12.</w:t>
        </w:r>
        <w:r w:rsidRPr="0069000E">
          <w:rPr>
            <w:rStyle w:val="Hipervnculo"/>
            <w:noProof/>
          </w:rPr>
          <w:t xml:space="preserve"> Mapa de calor de distancias genéticas entre los genes medulares de los clústers de genes biosintéticos (CGB) de actividad antimicrobiana con similitud mayor o igual al 50% a base de datos de ANTISMASH 6.0 para las especies de hongos fermentados en esta investigación</w:t>
        </w:r>
        <w:r>
          <w:rPr>
            <w:noProof/>
            <w:webHidden/>
          </w:rPr>
          <w:tab/>
        </w:r>
        <w:r>
          <w:rPr>
            <w:noProof/>
            <w:webHidden/>
          </w:rPr>
          <w:fldChar w:fldCharType="begin"/>
        </w:r>
        <w:r>
          <w:rPr>
            <w:noProof/>
            <w:webHidden/>
          </w:rPr>
          <w:instrText xml:space="preserve"> PAGEREF _Toc142272981 \h </w:instrText>
        </w:r>
        <w:r>
          <w:rPr>
            <w:noProof/>
            <w:webHidden/>
          </w:rPr>
        </w:r>
        <w:r>
          <w:rPr>
            <w:noProof/>
            <w:webHidden/>
          </w:rPr>
          <w:fldChar w:fldCharType="separate"/>
        </w:r>
        <w:r>
          <w:rPr>
            <w:noProof/>
            <w:webHidden/>
          </w:rPr>
          <w:t>40</w:t>
        </w:r>
        <w:r>
          <w:rPr>
            <w:noProof/>
            <w:webHidden/>
          </w:rPr>
          <w:fldChar w:fldCharType="end"/>
        </w:r>
      </w:hyperlink>
    </w:p>
    <w:p w14:paraId="0BE6619A" w14:textId="7DB3B7F5" w:rsidR="001717FF" w:rsidRDefault="001717FF">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42272982" w:history="1">
        <w:r w:rsidRPr="0069000E">
          <w:rPr>
            <w:rStyle w:val="Hipervnculo"/>
            <w:b/>
            <w:bCs/>
            <w:noProof/>
          </w:rPr>
          <w:t>Figura  13.</w:t>
        </w:r>
        <w:r w:rsidRPr="0069000E">
          <w:rPr>
            <w:rStyle w:val="Hipervnculo"/>
            <w:noProof/>
          </w:rPr>
          <w:t xml:space="preserve"> </w:t>
        </w:r>
        <w:r w:rsidRPr="0069000E">
          <w:rPr>
            <w:rStyle w:val="Hipervnculo"/>
            <w:rFonts w:eastAsia="Times New Roman" w:cs="Times New Roman"/>
            <w:noProof/>
            <w:lang w:eastAsia="es-CR"/>
          </w:rPr>
          <w:t xml:space="preserve">Mapa de calor de las distancias genéticas entre genes medulares de los clústers de genes biosintéticos (CGB) de los genomas de </w:t>
        </w:r>
        <w:r w:rsidRPr="008175DF">
          <w:rPr>
            <w:rStyle w:val="Hipervnculo"/>
            <w:rFonts w:eastAsia="Times New Roman" w:cs="Times New Roman"/>
            <w:i/>
            <w:iCs/>
            <w:noProof/>
            <w:lang w:eastAsia="es-CR"/>
          </w:rPr>
          <w:t>Aspergillus tamarii, Aspergillus pseudotamarii</w:t>
        </w:r>
        <w:r w:rsidRPr="0069000E">
          <w:rPr>
            <w:rStyle w:val="Hipervnculo"/>
            <w:rFonts w:eastAsia="Times New Roman" w:cs="Times New Roman"/>
            <w:noProof/>
            <w:lang w:eastAsia="es-CR"/>
          </w:rPr>
          <w:t xml:space="preserve"> y </w:t>
        </w:r>
        <w:r w:rsidRPr="008175DF">
          <w:rPr>
            <w:rStyle w:val="Hipervnculo"/>
            <w:rFonts w:eastAsia="Times New Roman" w:cs="Times New Roman"/>
            <w:i/>
            <w:iCs/>
            <w:noProof/>
            <w:lang w:eastAsia="es-CR"/>
          </w:rPr>
          <w:t>Aspergillus caelatus</w:t>
        </w:r>
        <w:r w:rsidRPr="0069000E">
          <w:rPr>
            <w:rStyle w:val="Hipervnculo"/>
            <w:rFonts w:eastAsia="Times New Roman" w:cs="Times New Roman"/>
            <w:noProof/>
            <w:lang w:eastAsia="es-CR"/>
          </w:rPr>
          <w:t xml:space="preserve"> con potencial actividad antimicrobiana.</w:t>
        </w:r>
        <w:r>
          <w:rPr>
            <w:noProof/>
            <w:webHidden/>
          </w:rPr>
          <w:tab/>
        </w:r>
        <w:r>
          <w:rPr>
            <w:noProof/>
            <w:webHidden/>
          </w:rPr>
          <w:fldChar w:fldCharType="begin"/>
        </w:r>
        <w:r>
          <w:rPr>
            <w:noProof/>
            <w:webHidden/>
          </w:rPr>
          <w:instrText xml:space="preserve"> PAGEREF _Toc142272982 \h </w:instrText>
        </w:r>
        <w:r>
          <w:rPr>
            <w:noProof/>
            <w:webHidden/>
          </w:rPr>
        </w:r>
        <w:r>
          <w:rPr>
            <w:noProof/>
            <w:webHidden/>
          </w:rPr>
          <w:fldChar w:fldCharType="separate"/>
        </w:r>
        <w:r>
          <w:rPr>
            <w:noProof/>
            <w:webHidden/>
          </w:rPr>
          <w:t>42</w:t>
        </w:r>
        <w:r>
          <w:rPr>
            <w:noProof/>
            <w:webHidden/>
          </w:rPr>
          <w:fldChar w:fldCharType="end"/>
        </w:r>
      </w:hyperlink>
    </w:p>
    <w:p w14:paraId="37E77CC9" w14:textId="203B0553" w:rsidR="005E6C1E" w:rsidRDefault="005E6C1E" w:rsidP="005E6C1E">
      <w:pPr>
        <w:pStyle w:val="Titulo10"/>
      </w:pPr>
      <w:r>
        <w:fldChar w:fldCharType="end"/>
      </w:r>
    </w:p>
    <w:p w14:paraId="27373C81" w14:textId="77777777" w:rsidR="005E6C1E" w:rsidRDefault="005E6C1E">
      <w:pPr>
        <w:spacing w:line="259" w:lineRule="auto"/>
        <w:jc w:val="left"/>
        <w:rPr>
          <w:rFonts w:eastAsiaTheme="majorEastAsia" w:cs="Times New Roman"/>
          <w:b/>
          <w:sz w:val="28"/>
          <w:szCs w:val="32"/>
        </w:rPr>
      </w:pPr>
      <w:r>
        <w:br w:type="page"/>
      </w:r>
    </w:p>
    <w:p w14:paraId="0D18EDBE" w14:textId="77777777" w:rsidR="005E6C1E" w:rsidRDefault="005E6C1E" w:rsidP="005E6C1E">
      <w:pPr>
        <w:pStyle w:val="Titulo10"/>
        <w:spacing w:before="0"/>
      </w:pPr>
      <w:bookmarkStart w:id="6" w:name="_Toc140204050"/>
      <w:r>
        <w:lastRenderedPageBreak/>
        <w:t>Índice de anexos</w:t>
      </w:r>
      <w:bookmarkEnd w:id="6"/>
    </w:p>
    <w:p w14:paraId="2113DEE0" w14:textId="77777777" w:rsidR="00255EB3" w:rsidRDefault="00255EB3" w:rsidP="00255EB3">
      <w:pPr>
        <w:pStyle w:val="Titulo10"/>
        <w:jc w:val="both"/>
      </w:pPr>
    </w:p>
    <w:p w14:paraId="457FCDCA" w14:textId="06E5FFAC" w:rsidR="00D414EC" w:rsidRDefault="005E6C1E">
      <w:pPr>
        <w:pStyle w:val="Tabladeilustraciones"/>
        <w:tabs>
          <w:tab w:val="right" w:leader="dot" w:pos="9350"/>
        </w:tabs>
        <w:rPr>
          <w:rFonts w:asciiTheme="minorHAnsi" w:eastAsiaTheme="minorEastAsia" w:hAnsiTheme="minorHAnsi"/>
          <w:noProof/>
          <w:kern w:val="2"/>
          <w:sz w:val="22"/>
          <w:lang w:eastAsia="es-CR"/>
          <w14:ligatures w14:val="standardContextual"/>
        </w:rPr>
      </w:pPr>
      <w:r>
        <w:fldChar w:fldCharType="begin"/>
      </w:r>
      <w:r>
        <w:instrText xml:space="preserve"> TOC \h \z \c "Anexo" </w:instrText>
      </w:r>
      <w:r>
        <w:fldChar w:fldCharType="separate"/>
      </w:r>
      <w:hyperlink w:anchor="_Toc138615300" w:history="1">
        <w:r w:rsidR="00D414EC" w:rsidRPr="00C96249">
          <w:rPr>
            <w:rStyle w:val="Hipervnculo"/>
            <w:b/>
            <w:bCs/>
            <w:noProof/>
          </w:rPr>
          <w:t>Anexo 1.</w:t>
        </w:r>
        <w:r w:rsidR="00D414EC" w:rsidRPr="00C96249">
          <w:rPr>
            <w:rStyle w:val="Hipervnculo"/>
            <w:noProof/>
          </w:rPr>
          <w:t xml:space="preserve"> Detalles macro y micro morfológicos de los hongos marinos aislados de sedimentos del manglar de Puntarenas, Costa Rica. A) Cepa A 1.2, B) Cepa 1.3, C) Cepa A 2.1, D) Cepa A 1.3.</w:t>
        </w:r>
        <w:r w:rsidR="00D414EC">
          <w:rPr>
            <w:noProof/>
            <w:webHidden/>
          </w:rPr>
          <w:tab/>
        </w:r>
        <w:r w:rsidR="00D414EC">
          <w:rPr>
            <w:noProof/>
            <w:webHidden/>
          </w:rPr>
          <w:fldChar w:fldCharType="begin"/>
        </w:r>
        <w:r w:rsidR="00D414EC">
          <w:rPr>
            <w:noProof/>
            <w:webHidden/>
          </w:rPr>
          <w:instrText xml:space="preserve"> PAGEREF _Toc138615300 \h </w:instrText>
        </w:r>
        <w:r w:rsidR="00D414EC">
          <w:rPr>
            <w:noProof/>
            <w:webHidden/>
          </w:rPr>
        </w:r>
        <w:r w:rsidR="00D414EC">
          <w:rPr>
            <w:noProof/>
            <w:webHidden/>
          </w:rPr>
          <w:fldChar w:fldCharType="separate"/>
        </w:r>
        <w:r w:rsidR="00D414EC">
          <w:rPr>
            <w:noProof/>
            <w:webHidden/>
          </w:rPr>
          <w:t>67</w:t>
        </w:r>
        <w:r w:rsidR="00D414EC">
          <w:rPr>
            <w:noProof/>
            <w:webHidden/>
          </w:rPr>
          <w:fldChar w:fldCharType="end"/>
        </w:r>
      </w:hyperlink>
    </w:p>
    <w:p w14:paraId="5306AB2E" w14:textId="1F545C66"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1" w:history="1">
        <w:r w:rsidR="00D414EC" w:rsidRPr="00C96249">
          <w:rPr>
            <w:rStyle w:val="Hipervnculo"/>
            <w:b/>
            <w:bCs/>
            <w:noProof/>
          </w:rPr>
          <w:t>Anexo 2</w:t>
        </w:r>
        <w:r w:rsidR="00D414EC" w:rsidRPr="00C96249">
          <w:rPr>
            <w:rStyle w:val="Hipervnculo"/>
            <w:noProof/>
          </w:rPr>
          <w:t>. Detalles macro y micro morfológicos de los hongos marinos aislados de sedimentos del manglar de Puntarenas, Costa Rica. A) Cepa A 3.1 B) Cepa A 4.1, C) Cepa B 1.1, D) Cepa B 1.3.</w:t>
        </w:r>
        <w:r w:rsidR="00D414EC">
          <w:rPr>
            <w:noProof/>
            <w:webHidden/>
          </w:rPr>
          <w:tab/>
        </w:r>
        <w:r w:rsidR="00D414EC">
          <w:rPr>
            <w:noProof/>
            <w:webHidden/>
          </w:rPr>
          <w:fldChar w:fldCharType="begin"/>
        </w:r>
        <w:r w:rsidR="00D414EC">
          <w:rPr>
            <w:noProof/>
            <w:webHidden/>
          </w:rPr>
          <w:instrText xml:space="preserve"> PAGEREF _Toc138615301 \h </w:instrText>
        </w:r>
        <w:r w:rsidR="00D414EC">
          <w:rPr>
            <w:noProof/>
            <w:webHidden/>
          </w:rPr>
        </w:r>
        <w:r w:rsidR="00D414EC">
          <w:rPr>
            <w:noProof/>
            <w:webHidden/>
          </w:rPr>
          <w:fldChar w:fldCharType="separate"/>
        </w:r>
        <w:r w:rsidR="00D414EC">
          <w:rPr>
            <w:noProof/>
            <w:webHidden/>
          </w:rPr>
          <w:t>68</w:t>
        </w:r>
        <w:r w:rsidR="00D414EC">
          <w:rPr>
            <w:noProof/>
            <w:webHidden/>
          </w:rPr>
          <w:fldChar w:fldCharType="end"/>
        </w:r>
      </w:hyperlink>
    </w:p>
    <w:p w14:paraId="41E1D3A9" w14:textId="052C8888"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2" w:history="1">
        <w:r w:rsidR="00D414EC" w:rsidRPr="00C96249">
          <w:rPr>
            <w:rStyle w:val="Hipervnculo"/>
            <w:b/>
            <w:bCs/>
            <w:noProof/>
          </w:rPr>
          <w:t>Anexo 3.</w:t>
        </w:r>
        <w:r w:rsidR="00D414EC" w:rsidRPr="00C96249">
          <w:rPr>
            <w:rStyle w:val="Hipervnculo"/>
            <w:noProof/>
          </w:rPr>
          <w:t xml:space="preserve"> Detalles macro y micro morfológicos de los hongos marinos aislados de sedimentos del manglar de Puntarenas, Costa Rica. A) Cepa B 1.4, B) Cepa B 3.1 C) Cepa B 1.7, D) Cepa 2.2.</w:t>
        </w:r>
        <w:r w:rsidR="00D414EC">
          <w:rPr>
            <w:noProof/>
            <w:webHidden/>
          </w:rPr>
          <w:tab/>
        </w:r>
        <w:r w:rsidR="00D414EC">
          <w:rPr>
            <w:noProof/>
            <w:webHidden/>
          </w:rPr>
          <w:fldChar w:fldCharType="begin"/>
        </w:r>
        <w:r w:rsidR="00D414EC">
          <w:rPr>
            <w:noProof/>
            <w:webHidden/>
          </w:rPr>
          <w:instrText xml:space="preserve"> PAGEREF _Toc138615302 \h </w:instrText>
        </w:r>
        <w:r w:rsidR="00D414EC">
          <w:rPr>
            <w:noProof/>
            <w:webHidden/>
          </w:rPr>
        </w:r>
        <w:r w:rsidR="00D414EC">
          <w:rPr>
            <w:noProof/>
            <w:webHidden/>
          </w:rPr>
          <w:fldChar w:fldCharType="separate"/>
        </w:r>
        <w:r w:rsidR="00D414EC">
          <w:rPr>
            <w:noProof/>
            <w:webHidden/>
          </w:rPr>
          <w:t>69</w:t>
        </w:r>
        <w:r w:rsidR="00D414EC">
          <w:rPr>
            <w:noProof/>
            <w:webHidden/>
          </w:rPr>
          <w:fldChar w:fldCharType="end"/>
        </w:r>
      </w:hyperlink>
    </w:p>
    <w:p w14:paraId="0F81CCF8" w14:textId="3B4D9FA8"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3" w:history="1">
        <w:r w:rsidR="00D414EC" w:rsidRPr="00C96249">
          <w:rPr>
            <w:rStyle w:val="Hipervnculo"/>
            <w:b/>
            <w:bCs/>
            <w:noProof/>
          </w:rPr>
          <w:t>Anexo 4.</w:t>
        </w:r>
        <w:r w:rsidR="00D414EC" w:rsidRPr="00C96249">
          <w:rPr>
            <w:rStyle w:val="Hipervnculo"/>
            <w:noProof/>
          </w:rPr>
          <w:t xml:space="preserve">  Detalles macro y micro morfológicos de los hongos marinos aislados de sedimentos del manglar de Puntarenas, Costa Rica. A) B 3.2, B) Cepa B 6.1, C) Cepa C 1.1.</w:t>
        </w:r>
        <w:r w:rsidR="00D414EC">
          <w:rPr>
            <w:noProof/>
            <w:webHidden/>
          </w:rPr>
          <w:tab/>
        </w:r>
        <w:r w:rsidR="00D414EC">
          <w:rPr>
            <w:noProof/>
            <w:webHidden/>
          </w:rPr>
          <w:fldChar w:fldCharType="begin"/>
        </w:r>
        <w:r w:rsidR="00D414EC">
          <w:rPr>
            <w:noProof/>
            <w:webHidden/>
          </w:rPr>
          <w:instrText xml:space="preserve"> PAGEREF _Toc138615303 \h </w:instrText>
        </w:r>
        <w:r w:rsidR="00D414EC">
          <w:rPr>
            <w:noProof/>
            <w:webHidden/>
          </w:rPr>
        </w:r>
        <w:r w:rsidR="00D414EC">
          <w:rPr>
            <w:noProof/>
            <w:webHidden/>
          </w:rPr>
          <w:fldChar w:fldCharType="separate"/>
        </w:r>
        <w:r w:rsidR="00D414EC">
          <w:rPr>
            <w:noProof/>
            <w:webHidden/>
          </w:rPr>
          <w:t>70</w:t>
        </w:r>
        <w:r w:rsidR="00D414EC">
          <w:rPr>
            <w:noProof/>
            <w:webHidden/>
          </w:rPr>
          <w:fldChar w:fldCharType="end"/>
        </w:r>
      </w:hyperlink>
    </w:p>
    <w:p w14:paraId="01A10004" w14:textId="6E208F6A"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4" w:history="1">
        <w:r w:rsidR="00D414EC" w:rsidRPr="00C96249">
          <w:rPr>
            <w:rStyle w:val="Hipervnculo"/>
            <w:b/>
            <w:bCs/>
            <w:noProof/>
          </w:rPr>
          <w:t xml:space="preserve">Anexo 5.  </w:t>
        </w:r>
        <w:r w:rsidR="00D414EC" w:rsidRPr="00C96249">
          <w:rPr>
            <w:rStyle w:val="Hipervnculo"/>
            <w:rFonts w:eastAsia="Times New Roman" w:cs="Times New Roman"/>
            <w:noProof/>
            <w:lang w:eastAsia="es-CR"/>
          </w:rPr>
          <w:t>Árbol filogenético del gen completo ITS para las cepas de hongos marinos. En el árbol se incluyen únicamente especies que reporten actividad antimicrobiana y que fuesen aisladas de ambientes marino..</w:t>
        </w:r>
        <w:r w:rsidR="00D414EC">
          <w:rPr>
            <w:noProof/>
            <w:webHidden/>
          </w:rPr>
          <w:tab/>
        </w:r>
        <w:r w:rsidR="00D414EC">
          <w:rPr>
            <w:noProof/>
            <w:webHidden/>
          </w:rPr>
          <w:fldChar w:fldCharType="begin"/>
        </w:r>
        <w:r w:rsidR="00D414EC">
          <w:rPr>
            <w:noProof/>
            <w:webHidden/>
          </w:rPr>
          <w:instrText xml:space="preserve"> PAGEREF _Toc138615304 \h </w:instrText>
        </w:r>
        <w:r w:rsidR="00D414EC">
          <w:rPr>
            <w:noProof/>
            <w:webHidden/>
          </w:rPr>
        </w:r>
        <w:r w:rsidR="00D414EC">
          <w:rPr>
            <w:noProof/>
            <w:webHidden/>
          </w:rPr>
          <w:fldChar w:fldCharType="separate"/>
        </w:r>
        <w:r w:rsidR="00D414EC">
          <w:rPr>
            <w:noProof/>
            <w:webHidden/>
          </w:rPr>
          <w:t>71</w:t>
        </w:r>
        <w:r w:rsidR="00D414EC">
          <w:rPr>
            <w:noProof/>
            <w:webHidden/>
          </w:rPr>
          <w:fldChar w:fldCharType="end"/>
        </w:r>
      </w:hyperlink>
    </w:p>
    <w:p w14:paraId="188A5C97" w14:textId="1ECFF97F"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5" w:history="1">
        <w:r w:rsidR="00D414EC" w:rsidRPr="00C96249">
          <w:rPr>
            <w:rStyle w:val="Hipervnculo"/>
            <w:b/>
            <w:bCs/>
            <w:noProof/>
          </w:rPr>
          <w:t>Anexo 6.</w:t>
        </w:r>
        <w:r w:rsidR="00D414EC" w:rsidRPr="00C96249">
          <w:rPr>
            <w:rStyle w:val="Hipervnculo"/>
            <w:noProof/>
          </w:rPr>
          <w:t xml:space="preserve"> Ensayos de inhibición antimicrobiana obtenidos mediante el método de difusión en pozo de los extractos de la fermentación de la cepa A 4.1 (</w:t>
        </w:r>
        <w:r w:rsidR="00D414EC" w:rsidRPr="008175DF">
          <w:rPr>
            <w:rStyle w:val="Hipervnculo"/>
            <w:rFonts w:eastAsia="Times New Roman" w:cs="Times New Roman"/>
            <w:bCs/>
            <w:i/>
            <w:iCs/>
            <w:noProof/>
            <w:lang w:eastAsia="es-CR"/>
          </w:rPr>
          <w:t>Paraconiothyrium</w:t>
        </w:r>
        <w:r w:rsidR="00D414EC" w:rsidRPr="00C96249">
          <w:rPr>
            <w:rStyle w:val="Hipervnculo"/>
            <w:noProof/>
            <w:lang w:eastAsia="es-CR"/>
          </w:rPr>
          <w:t xml:space="preserve"> sp.</w:t>
        </w:r>
        <w:r w:rsidR="00D414EC" w:rsidRPr="00C96249">
          <w:rPr>
            <w:rStyle w:val="Hipervnculo"/>
            <w:noProof/>
          </w:rPr>
          <w:t>). En la figura se muestran los halos de inhibición generados por los extractos concentrados de la fermentación en co-cultivo con</w:t>
        </w:r>
        <w:r w:rsidR="00D414EC" w:rsidRPr="00D414EC">
          <w:rPr>
            <w:rStyle w:val="Hipervnculo"/>
            <w:i/>
            <w:iCs/>
            <w:noProof/>
          </w:rPr>
          <w:t xml:space="preserve"> S.aureus</w:t>
        </w:r>
        <w:r w:rsidR="00D414EC" w:rsidRPr="00C96249">
          <w:rPr>
            <w:rStyle w:val="Hipervnculo"/>
            <w:noProof/>
          </w:rPr>
          <w:t xml:space="preserve">, en co-cultivo con </w:t>
        </w:r>
        <w:r w:rsidR="00D414EC" w:rsidRPr="00D414EC">
          <w:rPr>
            <w:rStyle w:val="Hipervnculo"/>
            <w:i/>
            <w:iCs/>
            <w:noProof/>
          </w:rPr>
          <w:t>E. hormaech</w:t>
        </w:r>
        <w:r w:rsidR="00D414EC" w:rsidRPr="00D414EC">
          <w:rPr>
            <w:rStyle w:val="Hipervnculo"/>
            <w:i/>
            <w:iCs/>
            <w:noProof/>
            <w:u w:val="none"/>
          </w:rPr>
          <w:t xml:space="preserve">ei </w:t>
        </w:r>
        <w:r w:rsidR="00D414EC" w:rsidRPr="00C96249">
          <w:rPr>
            <w:rStyle w:val="Hipervnculo"/>
            <w:noProof/>
          </w:rPr>
          <w:t xml:space="preserve">y en cultivo puro </w:t>
        </w:r>
        <w:r w:rsidR="00D414EC" w:rsidRPr="00D414EC">
          <w:rPr>
            <w:rStyle w:val="Hipervnculo"/>
            <w:i/>
            <w:iCs/>
            <w:noProof/>
          </w:rPr>
          <w:t>A. baumannii, E.</w:t>
        </w:r>
        <w:r w:rsidR="00D414EC" w:rsidRPr="00C96249">
          <w:rPr>
            <w:rStyle w:val="Hipervnculo"/>
            <w:noProof/>
          </w:rPr>
          <w:t xml:space="preserve"> </w:t>
        </w:r>
        <w:r w:rsidR="00D414EC" w:rsidRPr="00D414EC">
          <w:rPr>
            <w:rStyle w:val="Hipervnculo"/>
            <w:i/>
            <w:iCs/>
            <w:noProof/>
          </w:rPr>
          <w:t>faecium, E. hormaechei,  C.albicans</w:t>
        </w:r>
        <w:r w:rsidR="00D414EC" w:rsidRPr="00C96249">
          <w:rPr>
            <w:rStyle w:val="Hipervnculo"/>
            <w:noProof/>
          </w:rPr>
          <w:t xml:space="preserve"> y </w:t>
        </w:r>
        <w:r w:rsidR="00D414EC" w:rsidRPr="00D414EC">
          <w:rPr>
            <w:rStyle w:val="Hipervnculo"/>
            <w:i/>
            <w:iCs/>
            <w:noProof/>
          </w:rPr>
          <w:t>A. niger.</w:t>
        </w:r>
        <w:r w:rsidR="00D414EC" w:rsidRPr="00C96249">
          <w:rPr>
            <w:rStyle w:val="Hipervnculo"/>
            <w:noProof/>
          </w:rPr>
          <w:t xml:space="preserve"> Además se observan los halos obtenidos de cada uno de los controles positivos y negativos.</w:t>
        </w:r>
        <w:r w:rsidR="00D414EC">
          <w:rPr>
            <w:noProof/>
            <w:webHidden/>
          </w:rPr>
          <w:tab/>
        </w:r>
        <w:r w:rsidR="00D414EC">
          <w:rPr>
            <w:noProof/>
            <w:webHidden/>
          </w:rPr>
          <w:fldChar w:fldCharType="begin"/>
        </w:r>
        <w:r w:rsidR="00D414EC">
          <w:rPr>
            <w:noProof/>
            <w:webHidden/>
          </w:rPr>
          <w:instrText xml:space="preserve"> PAGEREF _Toc138615305 \h </w:instrText>
        </w:r>
        <w:r w:rsidR="00D414EC">
          <w:rPr>
            <w:noProof/>
            <w:webHidden/>
          </w:rPr>
        </w:r>
        <w:r w:rsidR="00D414EC">
          <w:rPr>
            <w:noProof/>
            <w:webHidden/>
          </w:rPr>
          <w:fldChar w:fldCharType="separate"/>
        </w:r>
        <w:r w:rsidR="00D414EC">
          <w:rPr>
            <w:noProof/>
            <w:webHidden/>
          </w:rPr>
          <w:t>72</w:t>
        </w:r>
        <w:r w:rsidR="00D414EC">
          <w:rPr>
            <w:noProof/>
            <w:webHidden/>
          </w:rPr>
          <w:fldChar w:fldCharType="end"/>
        </w:r>
      </w:hyperlink>
    </w:p>
    <w:p w14:paraId="0F0EDD1C" w14:textId="722AC5BF" w:rsidR="00D414EC" w:rsidRDefault="0068004B">
      <w:pPr>
        <w:pStyle w:val="Tabladeilustraciones"/>
        <w:tabs>
          <w:tab w:val="right" w:leader="dot" w:pos="9350"/>
        </w:tabs>
        <w:rPr>
          <w:rFonts w:asciiTheme="minorHAnsi" w:eastAsiaTheme="minorEastAsia" w:hAnsiTheme="minorHAnsi"/>
          <w:noProof/>
          <w:kern w:val="2"/>
          <w:sz w:val="22"/>
          <w:lang w:eastAsia="es-CR"/>
          <w14:ligatures w14:val="standardContextual"/>
        </w:rPr>
      </w:pPr>
      <w:hyperlink w:anchor="_Toc138615306" w:history="1">
        <w:r w:rsidR="00D414EC" w:rsidRPr="00C96249">
          <w:rPr>
            <w:rStyle w:val="Hipervnculo"/>
            <w:b/>
            <w:bCs/>
            <w:noProof/>
          </w:rPr>
          <w:t>Anexo 7.</w:t>
        </w:r>
        <w:r w:rsidR="00D414EC" w:rsidRPr="00C96249">
          <w:rPr>
            <w:rStyle w:val="Hipervnculo"/>
            <w:noProof/>
          </w:rPr>
          <w:t xml:space="preserve"> Ensayos de inhibición antimicrobiana obtenidos mediante el método de difusión en pozo de los extractos de la fermentación de la cepa </w:t>
        </w:r>
        <w:r w:rsidR="00D414EC" w:rsidRPr="00D414EC">
          <w:rPr>
            <w:rStyle w:val="Hipervnculo"/>
            <w:i/>
            <w:iCs/>
            <w:noProof/>
          </w:rPr>
          <w:t xml:space="preserve">Penicillium sp. </w:t>
        </w:r>
        <w:r w:rsidR="00D414EC" w:rsidRPr="00D414EC">
          <w:rPr>
            <w:rStyle w:val="Hipervnculo"/>
            <w:noProof/>
          </w:rPr>
          <w:t>y</w:t>
        </w:r>
        <w:r w:rsidR="00D414EC" w:rsidRPr="00D414EC">
          <w:rPr>
            <w:rStyle w:val="Hipervnculo"/>
            <w:i/>
            <w:iCs/>
            <w:noProof/>
          </w:rPr>
          <w:t xml:space="preserve"> Aspergillus sp.</w:t>
        </w:r>
        <w:r w:rsidR="00D414EC">
          <w:rPr>
            <w:noProof/>
            <w:webHidden/>
          </w:rPr>
          <w:tab/>
        </w:r>
        <w:r w:rsidR="00D414EC">
          <w:rPr>
            <w:noProof/>
            <w:webHidden/>
          </w:rPr>
          <w:fldChar w:fldCharType="begin"/>
        </w:r>
        <w:r w:rsidR="00D414EC">
          <w:rPr>
            <w:noProof/>
            <w:webHidden/>
          </w:rPr>
          <w:instrText xml:space="preserve"> PAGEREF _Toc138615306 \h </w:instrText>
        </w:r>
        <w:r w:rsidR="00D414EC">
          <w:rPr>
            <w:noProof/>
            <w:webHidden/>
          </w:rPr>
        </w:r>
        <w:r w:rsidR="00D414EC">
          <w:rPr>
            <w:noProof/>
            <w:webHidden/>
          </w:rPr>
          <w:fldChar w:fldCharType="separate"/>
        </w:r>
        <w:r w:rsidR="00D414EC">
          <w:rPr>
            <w:noProof/>
            <w:webHidden/>
          </w:rPr>
          <w:t>73</w:t>
        </w:r>
        <w:r w:rsidR="00D414EC">
          <w:rPr>
            <w:noProof/>
            <w:webHidden/>
          </w:rPr>
          <w:fldChar w:fldCharType="end"/>
        </w:r>
      </w:hyperlink>
    </w:p>
    <w:p w14:paraId="3DD75348" w14:textId="48452864" w:rsidR="00DF3078" w:rsidRDefault="005E6C1E" w:rsidP="005E6C1E">
      <w:pPr>
        <w:pStyle w:val="Titulo10"/>
      </w:pPr>
      <w:r>
        <w:fldChar w:fldCharType="end"/>
      </w:r>
      <w:r w:rsidR="00DF3078">
        <w:br w:type="page"/>
      </w:r>
    </w:p>
    <w:p w14:paraId="0A37C021" w14:textId="09D14F2E" w:rsidR="001738DF" w:rsidRDefault="001738DF" w:rsidP="001738DF">
      <w:pPr>
        <w:pStyle w:val="Titulo10"/>
        <w:spacing w:before="0"/>
      </w:pPr>
      <w:bookmarkStart w:id="7" w:name="_Toc140204051"/>
      <w:r>
        <w:lastRenderedPageBreak/>
        <w:t>Abreviaturas o Acrónimos</w:t>
      </w:r>
      <w:bookmarkEnd w:id="7"/>
      <w:r>
        <w:t xml:space="preserve"> </w:t>
      </w:r>
    </w:p>
    <w:p w14:paraId="340817D4" w14:textId="77777777" w:rsidR="00DF3078" w:rsidRDefault="00DF3078" w:rsidP="001738DF">
      <w:pPr>
        <w:pStyle w:val="Titulo10"/>
        <w:spacing w:before="0"/>
      </w:pPr>
    </w:p>
    <w:tbl>
      <w:tblPr>
        <w:tblStyle w:val="Tablaconcuadrcula"/>
        <w:tblW w:w="5306" w:type="pct"/>
        <w:tblInd w:w="-147" w:type="dxa"/>
        <w:tblLook w:val="04A0" w:firstRow="1" w:lastRow="0" w:firstColumn="1" w:lastColumn="0" w:noHBand="0" w:noVBand="1"/>
      </w:tblPr>
      <w:tblGrid>
        <w:gridCol w:w="1300"/>
        <w:gridCol w:w="8622"/>
      </w:tblGrid>
      <w:tr w:rsidR="00ED50E0" w14:paraId="36F1877D" w14:textId="77777777" w:rsidTr="4447C96C">
        <w:trPr>
          <w:trHeight w:val="20"/>
        </w:trPr>
        <w:tc>
          <w:tcPr>
            <w:tcW w:w="655" w:type="pct"/>
          </w:tcPr>
          <w:p w14:paraId="274A394C" w14:textId="77777777" w:rsidR="00ED50E0" w:rsidRPr="00ED50E0" w:rsidRDefault="00ED50E0" w:rsidP="007079A3">
            <w:pPr>
              <w:spacing w:line="276" w:lineRule="auto"/>
            </w:pPr>
            <w:r w:rsidRPr="00ED50E0">
              <w:t>ADN</w:t>
            </w:r>
          </w:p>
        </w:tc>
        <w:tc>
          <w:tcPr>
            <w:tcW w:w="4345" w:type="pct"/>
          </w:tcPr>
          <w:p w14:paraId="6584E928" w14:textId="77777777" w:rsidR="00ED50E0" w:rsidRDefault="00ED50E0" w:rsidP="007079A3">
            <w:pPr>
              <w:spacing w:line="276" w:lineRule="auto"/>
            </w:pPr>
            <w:r>
              <w:t>Ácido desoxirribonucleico</w:t>
            </w:r>
          </w:p>
        </w:tc>
      </w:tr>
      <w:tr w:rsidR="00ED50E0" w14:paraId="196231D5" w14:textId="77777777" w:rsidTr="4447C96C">
        <w:trPr>
          <w:trHeight w:val="20"/>
        </w:trPr>
        <w:tc>
          <w:tcPr>
            <w:tcW w:w="655" w:type="pct"/>
          </w:tcPr>
          <w:p w14:paraId="6AE785B9" w14:textId="77777777" w:rsidR="00ED50E0" w:rsidRPr="00ED50E0" w:rsidRDefault="00ED50E0" w:rsidP="007079A3">
            <w:pPr>
              <w:spacing w:line="276" w:lineRule="auto"/>
            </w:pPr>
            <w:r w:rsidRPr="00ED50E0">
              <w:t>AE</w:t>
            </w:r>
          </w:p>
        </w:tc>
        <w:tc>
          <w:tcPr>
            <w:tcW w:w="4345" w:type="pct"/>
          </w:tcPr>
          <w:p w14:paraId="4F01F6B4" w14:textId="77777777" w:rsidR="00ED50E0" w:rsidRDefault="00ED50E0" w:rsidP="007079A3">
            <w:pPr>
              <w:spacing w:line="276" w:lineRule="auto"/>
            </w:pPr>
            <w:r>
              <w:t>Buffer de elución</w:t>
            </w:r>
          </w:p>
        </w:tc>
      </w:tr>
      <w:tr w:rsidR="00ED50E0" w14:paraId="7D91CB5F" w14:textId="77777777" w:rsidTr="4447C96C">
        <w:trPr>
          <w:trHeight w:val="20"/>
        </w:trPr>
        <w:tc>
          <w:tcPr>
            <w:tcW w:w="655" w:type="pct"/>
          </w:tcPr>
          <w:p w14:paraId="671E7512" w14:textId="77777777" w:rsidR="00ED50E0" w:rsidRPr="00ED50E0" w:rsidRDefault="00ED50E0" w:rsidP="007079A3">
            <w:pPr>
              <w:spacing w:line="276" w:lineRule="auto"/>
            </w:pPr>
            <w:r w:rsidRPr="00ED50E0">
              <w:t>AL</w:t>
            </w:r>
          </w:p>
        </w:tc>
        <w:tc>
          <w:tcPr>
            <w:tcW w:w="4345" w:type="pct"/>
          </w:tcPr>
          <w:p w14:paraId="167E1254" w14:textId="77777777" w:rsidR="00ED50E0" w:rsidRDefault="00ED50E0" w:rsidP="007079A3">
            <w:pPr>
              <w:spacing w:line="276" w:lineRule="auto"/>
            </w:pPr>
            <w:r>
              <w:t>Buffer de lisis</w:t>
            </w:r>
          </w:p>
        </w:tc>
      </w:tr>
      <w:tr w:rsidR="00ED50E0" w14:paraId="5EB9A81D" w14:textId="77777777" w:rsidTr="4447C96C">
        <w:trPr>
          <w:trHeight w:val="20"/>
        </w:trPr>
        <w:tc>
          <w:tcPr>
            <w:tcW w:w="655" w:type="pct"/>
          </w:tcPr>
          <w:p w14:paraId="5D33F7D1" w14:textId="77777777" w:rsidR="00ED50E0" w:rsidRPr="00ED50E0" w:rsidRDefault="00ED50E0" w:rsidP="007079A3">
            <w:pPr>
              <w:spacing w:line="276" w:lineRule="auto"/>
            </w:pPr>
            <w:r w:rsidRPr="00ED50E0">
              <w:t>ARN</w:t>
            </w:r>
          </w:p>
        </w:tc>
        <w:tc>
          <w:tcPr>
            <w:tcW w:w="4345" w:type="pct"/>
          </w:tcPr>
          <w:p w14:paraId="2DB6F3F4" w14:textId="770E0B8E" w:rsidR="00ED50E0" w:rsidRDefault="00D24418" w:rsidP="007079A3">
            <w:pPr>
              <w:spacing w:line="276" w:lineRule="auto"/>
            </w:pPr>
            <w:r>
              <w:t>Ácido</w:t>
            </w:r>
            <w:r w:rsidR="00ED50E0">
              <w:t xml:space="preserve"> </w:t>
            </w:r>
            <w:r w:rsidR="00D929B8">
              <w:t>Ribonucleico</w:t>
            </w:r>
          </w:p>
        </w:tc>
      </w:tr>
      <w:tr w:rsidR="00ED50E0" w14:paraId="3293A1A8" w14:textId="77777777" w:rsidTr="4447C96C">
        <w:trPr>
          <w:trHeight w:val="20"/>
        </w:trPr>
        <w:tc>
          <w:tcPr>
            <w:tcW w:w="655" w:type="pct"/>
          </w:tcPr>
          <w:p w14:paraId="13733D86" w14:textId="77777777" w:rsidR="00ED50E0" w:rsidRPr="00ED50E0" w:rsidRDefault="00ED50E0" w:rsidP="007079A3">
            <w:pPr>
              <w:spacing w:line="276" w:lineRule="auto"/>
            </w:pPr>
            <w:r w:rsidRPr="00ED50E0">
              <w:t>ATCC</w:t>
            </w:r>
          </w:p>
        </w:tc>
        <w:tc>
          <w:tcPr>
            <w:tcW w:w="4345" w:type="pct"/>
          </w:tcPr>
          <w:p w14:paraId="470C011D" w14:textId="77777777" w:rsidR="00ED50E0" w:rsidRDefault="00ED50E0" w:rsidP="007079A3">
            <w:pPr>
              <w:spacing w:line="276" w:lineRule="auto"/>
            </w:pPr>
            <w:r w:rsidRPr="00D6022B">
              <w:t xml:space="preserve">American </w:t>
            </w:r>
            <w:proofErr w:type="spellStart"/>
            <w:r w:rsidRPr="00D6022B">
              <w:t>Type</w:t>
            </w:r>
            <w:proofErr w:type="spellEnd"/>
            <w:r w:rsidRPr="00D6022B">
              <w:t xml:space="preserve"> Culture Collection</w:t>
            </w:r>
          </w:p>
        </w:tc>
      </w:tr>
      <w:tr w:rsidR="00ED50E0" w14:paraId="6BEE79F3" w14:textId="77777777" w:rsidTr="4447C96C">
        <w:trPr>
          <w:trHeight w:val="20"/>
        </w:trPr>
        <w:tc>
          <w:tcPr>
            <w:tcW w:w="655" w:type="pct"/>
          </w:tcPr>
          <w:p w14:paraId="64AD87FD" w14:textId="77777777" w:rsidR="00ED50E0" w:rsidRPr="00ED50E0" w:rsidRDefault="00ED50E0" w:rsidP="007079A3">
            <w:pPr>
              <w:spacing w:line="276" w:lineRule="auto"/>
            </w:pPr>
            <w:r w:rsidRPr="00ED50E0">
              <w:t>ATL</w:t>
            </w:r>
          </w:p>
        </w:tc>
        <w:tc>
          <w:tcPr>
            <w:tcW w:w="4345" w:type="pct"/>
          </w:tcPr>
          <w:p w14:paraId="7046EC91" w14:textId="77777777" w:rsidR="00ED50E0" w:rsidRDefault="00ED50E0" w:rsidP="007079A3">
            <w:pPr>
              <w:spacing w:line="276" w:lineRule="auto"/>
            </w:pPr>
            <w:r>
              <w:t xml:space="preserve">“Tissue </w:t>
            </w:r>
            <w:proofErr w:type="spellStart"/>
            <w:r>
              <w:t>lysis</w:t>
            </w:r>
            <w:proofErr w:type="spellEnd"/>
            <w:r>
              <w:t xml:space="preserve"> buffer”: tampón de lisis de tejidos</w:t>
            </w:r>
          </w:p>
        </w:tc>
      </w:tr>
      <w:tr w:rsidR="00ED50E0" w:rsidRPr="00C834F1" w14:paraId="428C11EC" w14:textId="77777777" w:rsidTr="4447C96C">
        <w:trPr>
          <w:trHeight w:val="20"/>
        </w:trPr>
        <w:tc>
          <w:tcPr>
            <w:tcW w:w="655" w:type="pct"/>
          </w:tcPr>
          <w:p w14:paraId="1280CB69" w14:textId="77777777" w:rsidR="00ED50E0" w:rsidRPr="00ED50E0" w:rsidRDefault="00ED50E0" w:rsidP="007079A3">
            <w:pPr>
              <w:spacing w:line="276" w:lineRule="auto"/>
            </w:pPr>
            <w:r w:rsidRPr="00ED50E0">
              <w:t>BLAST</w:t>
            </w:r>
          </w:p>
        </w:tc>
        <w:tc>
          <w:tcPr>
            <w:tcW w:w="4345" w:type="pct"/>
          </w:tcPr>
          <w:p w14:paraId="720846AB" w14:textId="509DA8CE" w:rsidR="00ED50E0" w:rsidRPr="007275CC" w:rsidRDefault="006719B9" w:rsidP="007079A3">
            <w:pPr>
              <w:spacing w:line="276" w:lineRule="auto"/>
              <w:rPr>
                <w:lang w:val="en-US"/>
              </w:rPr>
            </w:pPr>
            <w:r>
              <w:rPr>
                <w:lang w:val="en-US"/>
              </w:rPr>
              <w:t>“</w:t>
            </w:r>
            <w:r w:rsidR="007275CC" w:rsidRPr="007275CC">
              <w:rPr>
                <w:lang w:val="en-US"/>
              </w:rPr>
              <w:t>Basic Local Alignment Search Tool</w:t>
            </w:r>
            <w:r>
              <w:rPr>
                <w:lang w:val="en-US"/>
              </w:rPr>
              <w:t>”</w:t>
            </w:r>
          </w:p>
        </w:tc>
      </w:tr>
      <w:tr w:rsidR="00250EFE" w:rsidRPr="007275CC" w14:paraId="08F362EE" w14:textId="77777777" w:rsidTr="4447C96C">
        <w:trPr>
          <w:trHeight w:val="20"/>
        </w:trPr>
        <w:tc>
          <w:tcPr>
            <w:tcW w:w="655" w:type="pct"/>
          </w:tcPr>
          <w:p w14:paraId="46AA2500" w14:textId="4E83FE07" w:rsidR="00250EFE" w:rsidRPr="00ED50E0" w:rsidRDefault="0034134D" w:rsidP="007079A3">
            <w:pPr>
              <w:spacing w:line="276" w:lineRule="auto"/>
            </w:pPr>
            <w:r>
              <w:t>CP</w:t>
            </w:r>
          </w:p>
        </w:tc>
        <w:tc>
          <w:tcPr>
            <w:tcW w:w="4345" w:type="pct"/>
          </w:tcPr>
          <w:p w14:paraId="085A3D6E" w14:textId="11395E4A" w:rsidR="00250EFE" w:rsidRDefault="0034134D" w:rsidP="007079A3">
            <w:pPr>
              <w:spacing w:line="276" w:lineRule="auto"/>
              <w:rPr>
                <w:lang w:val="en-US"/>
              </w:rPr>
            </w:pPr>
            <w:proofErr w:type="spellStart"/>
            <w:r>
              <w:rPr>
                <w:lang w:val="en-US"/>
              </w:rPr>
              <w:t>Cultivo</w:t>
            </w:r>
            <w:proofErr w:type="spellEnd"/>
            <w:r>
              <w:rPr>
                <w:lang w:val="en-US"/>
              </w:rPr>
              <w:t xml:space="preserve"> Puro</w:t>
            </w:r>
          </w:p>
        </w:tc>
      </w:tr>
      <w:tr w:rsidR="00250EFE" w:rsidRPr="007275CC" w14:paraId="6DECF55A" w14:textId="77777777" w:rsidTr="4447C96C">
        <w:trPr>
          <w:trHeight w:val="20"/>
        </w:trPr>
        <w:tc>
          <w:tcPr>
            <w:tcW w:w="655" w:type="pct"/>
          </w:tcPr>
          <w:p w14:paraId="12115241" w14:textId="5B969B4C" w:rsidR="00250EFE" w:rsidRPr="00ED50E0" w:rsidRDefault="0034134D" w:rsidP="007079A3">
            <w:pPr>
              <w:spacing w:line="276" w:lineRule="auto"/>
            </w:pPr>
            <w:r>
              <w:t>CCSA</w:t>
            </w:r>
          </w:p>
        </w:tc>
        <w:tc>
          <w:tcPr>
            <w:tcW w:w="4345" w:type="pct"/>
          </w:tcPr>
          <w:p w14:paraId="3D8D39BE" w14:textId="1C97BD4C" w:rsidR="00250EFE" w:rsidRDefault="0034134D" w:rsidP="007079A3">
            <w:pPr>
              <w:spacing w:line="276" w:lineRule="auto"/>
              <w:rPr>
                <w:lang w:val="en-US"/>
              </w:rPr>
            </w:pPr>
            <w:r>
              <w:rPr>
                <w:lang w:val="en-US"/>
              </w:rPr>
              <w:t xml:space="preserve">Co-cultivo con </w:t>
            </w:r>
            <w:r w:rsidRPr="0034134D">
              <w:rPr>
                <w:i/>
                <w:iCs/>
                <w:lang w:val="en-US"/>
              </w:rPr>
              <w:t>Staphylococcus aureus</w:t>
            </w:r>
          </w:p>
        </w:tc>
      </w:tr>
      <w:tr w:rsidR="00250EFE" w:rsidRPr="009A4FA6" w14:paraId="51700AA8" w14:textId="77777777" w:rsidTr="4447C96C">
        <w:trPr>
          <w:trHeight w:val="20"/>
        </w:trPr>
        <w:tc>
          <w:tcPr>
            <w:tcW w:w="655" w:type="pct"/>
          </w:tcPr>
          <w:p w14:paraId="527B88B4" w14:textId="003006D6" w:rsidR="00250EFE" w:rsidRPr="00ED50E0" w:rsidRDefault="0034134D" w:rsidP="007079A3">
            <w:pPr>
              <w:spacing w:line="276" w:lineRule="auto"/>
            </w:pPr>
            <w:r>
              <w:t>CCEH</w:t>
            </w:r>
          </w:p>
        </w:tc>
        <w:tc>
          <w:tcPr>
            <w:tcW w:w="4345" w:type="pct"/>
          </w:tcPr>
          <w:p w14:paraId="68384305" w14:textId="13025651" w:rsidR="00250EFE" w:rsidRPr="009A4FA6" w:rsidRDefault="0034134D" w:rsidP="007079A3">
            <w:pPr>
              <w:spacing w:line="276" w:lineRule="auto"/>
              <w:rPr>
                <w:i/>
                <w:iCs/>
              </w:rPr>
            </w:pPr>
            <w:r w:rsidRPr="009A4FA6">
              <w:rPr>
                <w:i/>
                <w:iCs/>
              </w:rPr>
              <w:t>Co-cultivo con</w:t>
            </w:r>
            <w:r w:rsidR="009A4FA6" w:rsidRPr="009A4FA6">
              <w:rPr>
                <w:i/>
                <w:iCs/>
              </w:rPr>
              <w:t xml:space="preserve"> Enterobacter hormaechei</w:t>
            </w:r>
          </w:p>
        </w:tc>
      </w:tr>
      <w:tr w:rsidR="00FE7A27" w:rsidRPr="009A4FA6" w14:paraId="304E8470" w14:textId="77777777" w:rsidTr="4447C96C">
        <w:trPr>
          <w:trHeight w:val="20"/>
        </w:trPr>
        <w:tc>
          <w:tcPr>
            <w:tcW w:w="655" w:type="pct"/>
          </w:tcPr>
          <w:p w14:paraId="4F376A8C" w14:textId="3E90F82E" w:rsidR="00FE7A27" w:rsidRDefault="00FE7A27" w:rsidP="007079A3">
            <w:pPr>
              <w:spacing w:line="276" w:lineRule="auto"/>
            </w:pPr>
            <w:r>
              <w:t>CGB</w:t>
            </w:r>
          </w:p>
        </w:tc>
        <w:tc>
          <w:tcPr>
            <w:tcW w:w="4345" w:type="pct"/>
          </w:tcPr>
          <w:p w14:paraId="1BFF683C" w14:textId="17E9E126" w:rsidR="00FE7A27" w:rsidRPr="00FE7A27" w:rsidRDefault="00D45549" w:rsidP="007079A3">
            <w:pPr>
              <w:spacing w:line="276" w:lineRule="auto"/>
            </w:pPr>
            <w:r>
              <w:t>Clúster</w:t>
            </w:r>
            <w:r w:rsidR="00FE7A27">
              <w:t xml:space="preserve"> de Genes Biosintéticos</w:t>
            </w:r>
          </w:p>
        </w:tc>
      </w:tr>
      <w:tr w:rsidR="00ED50E0" w14:paraId="4D18CED8" w14:textId="77777777" w:rsidTr="4447C96C">
        <w:trPr>
          <w:trHeight w:val="20"/>
        </w:trPr>
        <w:tc>
          <w:tcPr>
            <w:tcW w:w="655" w:type="pct"/>
          </w:tcPr>
          <w:p w14:paraId="129851B2" w14:textId="77777777" w:rsidR="00ED50E0" w:rsidRPr="00ED50E0" w:rsidRDefault="00ED50E0" w:rsidP="007079A3">
            <w:pPr>
              <w:spacing w:line="276" w:lineRule="auto"/>
            </w:pPr>
            <w:r w:rsidRPr="00ED50E0">
              <w:t>DNTP´s</w:t>
            </w:r>
          </w:p>
        </w:tc>
        <w:tc>
          <w:tcPr>
            <w:tcW w:w="4345" w:type="pct"/>
          </w:tcPr>
          <w:p w14:paraId="7882CDA9" w14:textId="2D3844D9" w:rsidR="00ED50E0" w:rsidRDefault="006719B9" w:rsidP="007079A3">
            <w:pPr>
              <w:spacing w:line="276" w:lineRule="auto"/>
            </w:pPr>
            <w:r>
              <w:t>“</w:t>
            </w:r>
            <w:proofErr w:type="spellStart"/>
            <w:r w:rsidRPr="006719B9">
              <w:t>Deoxynucleotide</w:t>
            </w:r>
            <w:proofErr w:type="spellEnd"/>
            <w:r w:rsidRPr="006719B9">
              <w:t xml:space="preserve"> </w:t>
            </w:r>
            <w:proofErr w:type="spellStart"/>
            <w:r w:rsidRPr="006719B9">
              <w:t>Triphosphates</w:t>
            </w:r>
            <w:proofErr w:type="spellEnd"/>
            <w:r>
              <w:t xml:space="preserve">” </w:t>
            </w:r>
          </w:p>
        </w:tc>
      </w:tr>
      <w:tr w:rsidR="00ED50E0" w14:paraId="56D39290" w14:textId="77777777" w:rsidTr="4447C96C">
        <w:trPr>
          <w:trHeight w:val="20"/>
        </w:trPr>
        <w:tc>
          <w:tcPr>
            <w:tcW w:w="655" w:type="pct"/>
          </w:tcPr>
          <w:p w14:paraId="4BC41773" w14:textId="77777777" w:rsidR="00ED50E0" w:rsidRPr="00ED50E0" w:rsidRDefault="00ED50E0" w:rsidP="007079A3">
            <w:pPr>
              <w:spacing w:line="276" w:lineRule="auto"/>
            </w:pPr>
            <w:r w:rsidRPr="00ED50E0">
              <w:t>FAO</w:t>
            </w:r>
          </w:p>
        </w:tc>
        <w:tc>
          <w:tcPr>
            <w:tcW w:w="4345" w:type="pct"/>
          </w:tcPr>
          <w:p w14:paraId="3CC46E98" w14:textId="2762ECAE" w:rsidR="00ED50E0" w:rsidRDefault="00ED50E0" w:rsidP="007079A3">
            <w:pPr>
              <w:spacing w:line="276" w:lineRule="auto"/>
            </w:pPr>
            <w:r w:rsidRPr="00FE56F3">
              <w:t>La Organización de las Naciones Unidas para la Alimentación y la Agricultura</w:t>
            </w:r>
          </w:p>
        </w:tc>
      </w:tr>
      <w:tr w:rsidR="00ED50E0" w14:paraId="45CD1ABA" w14:textId="77777777" w:rsidTr="4447C96C">
        <w:trPr>
          <w:trHeight w:val="20"/>
        </w:trPr>
        <w:tc>
          <w:tcPr>
            <w:tcW w:w="655" w:type="pct"/>
          </w:tcPr>
          <w:p w14:paraId="0DAA73E2" w14:textId="77777777" w:rsidR="00ED50E0" w:rsidRPr="00ED50E0" w:rsidRDefault="00ED50E0" w:rsidP="007079A3">
            <w:pPr>
              <w:spacing w:line="276" w:lineRule="auto"/>
            </w:pPr>
            <w:r w:rsidRPr="00ED50E0">
              <w:t>FeCl3</w:t>
            </w:r>
          </w:p>
        </w:tc>
        <w:tc>
          <w:tcPr>
            <w:tcW w:w="4345" w:type="pct"/>
          </w:tcPr>
          <w:p w14:paraId="5F2C6936" w14:textId="3DB6673D" w:rsidR="00ED50E0" w:rsidRDefault="001205A8" w:rsidP="007079A3">
            <w:pPr>
              <w:spacing w:line="276" w:lineRule="auto"/>
            </w:pPr>
            <w:r w:rsidRPr="001205A8">
              <w:t>Cloruro de hierro (III)</w:t>
            </w:r>
          </w:p>
        </w:tc>
      </w:tr>
      <w:tr w:rsidR="00ED50E0" w14:paraId="2726EF72" w14:textId="77777777" w:rsidTr="4447C96C">
        <w:trPr>
          <w:trHeight w:val="20"/>
        </w:trPr>
        <w:tc>
          <w:tcPr>
            <w:tcW w:w="655" w:type="pct"/>
          </w:tcPr>
          <w:p w14:paraId="688730CD" w14:textId="77777777" w:rsidR="00ED50E0" w:rsidRPr="00ED50E0" w:rsidRDefault="00ED50E0" w:rsidP="007079A3">
            <w:pPr>
              <w:spacing w:line="276" w:lineRule="auto"/>
            </w:pPr>
            <w:r w:rsidRPr="00ED50E0">
              <w:t>HPLC</w:t>
            </w:r>
          </w:p>
        </w:tc>
        <w:tc>
          <w:tcPr>
            <w:tcW w:w="4345" w:type="pct"/>
          </w:tcPr>
          <w:p w14:paraId="25682382" w14:textId="61AA86C9" w:rsidR="00ED50E0" w:rsidRDefault="00D120F2" w:rsidP="00D346B9">
            <w:pPr>
              <w:spacing w:line="276" w:lineRule="auto"/>
              <w:jc w:val="left"/>
            </w:pPr>
            <w:r>
              <w:t>“</w:t>
            </w:r>
            <w:r w:rsidRPr="001205A8">
              <w:t xml:space="preserve">High Performance </w:t>
            </w:r>
            <w:proofErr w:type="spellStart"/>
            <w:r w:rsidRPr="001205A8">
              <w:t>Liquid</w:t>
            </w:r>
            <w:proofErr w:type="spellEnd"/>
            <w:r w:rsidRPr="001205A8">
              <w:t xml:space="preserve"> </w:t>
            </w:r>
            <w:proofErr w:type="spellStart"/>
            <w:r>
              <w:t>C</w:t>
            </w:r>
            <w:r w:rsidRPr="001205A8">
              <w:t>hromatography</w:t>
            </w:r>
            <w:proofErr w:type="spellEnd"/>
            <w:r>
              <w:t xml:space="preserve">”: </w:t>
            </w:r>
            <w:r w:rsidR="001205A8" w:rsidRPr="001205A8">
              <w:t>Cromatografía líquida de alta resolución</w:t>
            </w:r>
          </w:p>
        </w:tc>
      </w:tr>
      <w:tr w:rsidR="00181AB5" w14:paraId="39A09182" w14:textId="77777777" w:rsidTr="4447C96C">
        <w:trPr>
          <w:trHeight w:val="20"/>
        </w:trPr>
        <w:tc>
          <w:tcPr>
            <w:tcW w:w="655" w:type="pct"/>
          </w:tcPr>
          <w:p w14:paraId="7C43AFD4" w14:textId="13B6B261" w:rsidR="00181AB5" w:rsidRPr="00ED50E0" w:rsidRDefault="00181AB5" w:rsidP="007079A3">
            <w:pPr>
              <w:spacing w:line="276" w:lineRule="auto"/>
            </w:pPr>
            <w:r>
              <w:t>iTOL</w:t>
            </w:r>
          </w:p>
        </w:tc>
        <w:tc>
          <w:tcPr>
            <w:tcW w:w="4345" w:type="pct"/>
          </w:tcPr>
          <w:p w14:paraId="4BBD5632" w14:textId="5847D798" w:rsidR="00181AB5" w:rsidRDefault="00181AB5" w:rsidP="00D346B9">
            <w:pPr>
              <w:spacing w:line="276" w:lineRule="auto"/>
              <w:jc w:val="left"/>
            </w:pPr>
            <w:r w:rsidRPr="00181AB5">
              <w:t xml:space="preserve">Interactive </w:t>
            </w:r>
            <w:proofErr w:type="spellStart"/>
            <w:r w:rsidRPr="00181AB5">
              <w:t>Tree</w:t>
            </w:r>
            <w:proofErr w:type="spellEnd"/>
            <w:r w:rsidRPr="00181AB5">
              <w:t xml:space="preserve"> </w:t>
            </w:r>
            <w:proofErr w:type="spellStart"/>
            <w:r w:rsidRPr="00181AB5">
              <w:t>Of</w:t>
            </w:r>
            <w:proofErr w:type="spellEnd"/>
            <w:r w:rsidRPr="00181AB5">
              <w:t xml:space="preserve"> </w:t>
            </w:r>
            <w:proofErr w:type="spellStart"/>
            <w:r w:rsidRPr="00181AB5">
              <w:t>Life</w:t>
            </w:r>
            <w:proofErr w:type="spellEnd"/>
          </w:p>
        </w:tc>
      </w:tr>
      <w:tr w:rsidR="00ED50E0" w14:paraId="6D811279" w14:textId="77777777" w:rsidTr="4447C96C">
        <w:trPr>
          <w:trHeight w:val="20"/>
        </w:trPr>
        <w:tc>
          <w:tcPr>
            <w:tcW w:w="655" w:type="pct"/>
          </w:tcPr>
          <w:p w14:paraId="1BBCAB41" w14:textId="77777777" w:rsidR="00ED50E0" w:rsidRPr="00ED50E0" w:rsidRDefault="00ED50E0" w:rsidP="007079A3">
            <w:pPr>
              <w:spacing w:line="276" w:lineRule="auto"/>
            </w:pPr>
            <w:r w:rsidRPr="00ED50E0">
              <w:t>ITS</w:t>
            </w:r>
          </w:p>
        </w:tc>
        <w:tc>
          <w:tcPr>
            <w:tcW w:w="4345" w:type="pct"/>
          </w:tcPr>
          <w:p w14:paraId="300290FD" w14:textId="77777777" w:rsidR="00ED50E0" w:rsidRDefault="00ED50E0" w:rsidP="007079A3">
            <w:pPr>
              <w:spacing w:line="276" w:lineRule="auto"/>
            </w:pPr>
            <w:r>
              <w:t>“</w:t>
            </w:r>
            <w:proofErr w:type="spellStart"/>
            <w:r w:rsidRPr="001548B3">
              <w:t>Internal</w:t>
            </w:r>
            <w:proofErr w:type="spellEnd"/>
            <w:r w:rsidRPr="001548B3">
              <w:t xml:space="preserve"> </w:t>
            </w:r>
            <w:proofErr w:type="spellStart"/>
            <w:r w:rsidRPr="001548B3">
              <w:t>transcribed</w:t>
            </w:r>
            <w:proofErr w:type="spellEnd"/>
            <w:r w:rsidRPr="001548B3">
              <w:t xml:space="preserve"> </w:t>
            </w:r>
            <w:proofErr w:type="spellStart"/>
            <w:r w:rsidRPr="001548B3">
              <w:t>spacer</w:t>
            </w:r>
            <w:proofErr w:type="spellEnd"/>
            <w:r>
              <w:t>”: e</w:t>
            </w:r>
            <w:r w:rsidRPr="001548B3">
              <w:t xml:space="preserve">spaciador transcrito interno </w:t>
            </w:r>
          </w:p>
        </w:tc>
      </w:tr>
      <w:tr w:rsidR="00ED50E0" w14:paraId="60522AC6" w14:textId="77777777" w:rsidTr="4447C96C">
        <w:trPr>
          <w:trHeight w:val="20"/>
        </w:trPr>
        <w:tc>
          <w:tcPr>
            <w:tcW w:w="655" w:type="pct"/>
          </w:tcPr>
          <w:p w14:paraId="0BAEA0A0" w14:textId="77777777" w:rsidR="00ED50E0" w:rsidRPr="00ED50E0" w:rsidRDefault="00ED50E0" w:rsidP="007079A3">
            <w:pPr>
              <w:spacing w:line="276" w:lineRule="auto"/>
            </w:pPr>
            <w:r w:rsidRPr="00ED50E0">
              <w:t>KOH</w:t>
            </w:r>
          </w:p>
        </w:tc>
        <w:tc>
          <w:tcPr>
            <w:tcW w:w="4345" w:type="pct"/>
          </w:tcPr>
          <w:p w14:paraId="4554C68F" w14:textId="3BC79E8E" w:rsidR="00ED50E0" w:rsidRDefault="001205A8" w:rsidP="007079A3">
            <w:pPr>
              <w:spacing w:line="276" w:lineRule="auto"/>
            </w:pPr>
            <w:r>
              <w:t>Hidróxido de Sodio</w:t>
            </w:r>
          </w:p>
        </w:tc>
      </w:tr>
      <w:tr w:rsidR="00ED50E0" w14:paraId="5A7A0ABD" w14:textId="77777777" w:rsidTr="4447C96C">
        <w:trPr>
          <w:trHeight w:val="20"/>
        </w:trPr>
        <w:tc>
          <w:tcPr>
            <w:tcW w:w="655" w:type="pct"/>
          </w:tcPr>
          <w:p w14:paraId="4B3FCB11" w14:textId="77777777" w:rsidR="00ED50E0" w:rsidRPr="00ED50E0" w:rsidRDefault="00ED50E0" w:rsidP="007079A3">
            <w:pPr>
              <w:spacing w:line="276" w:lineRule="auto"/>
            </w:pPr>
            <w:r w:rsidRPr="00ED50E0">
              <w:t>LABAP</w:t>
            </w:r>
          </w:p>
        </w:tc>
        <w:tc>
          <w:tcPr>
            <w:tcW w:w="4345" w:type="pct"/>
          </w:tcPr>
          <w:p w14:paraId="695E1C8C" w14:textId="620838C5" w:rsidR="00ED50E0" w:rsidRDefault="4447C96C" w:rsidP="007079A3">
            <w:pPr>
              <w:spacing w:line="276" w:lineRule="auto"/>
            </w:pPr>
            <w:r>
              <w:t>Laboratorio de Bioinformática Aplicada</w:t>
            </w:r>
          </w:p>
        </w:tc>
      </w:tr>
      <w:tr w:rsidR="00ED50E0" w14:paraId="1C961245" w14:textId="77777777" w:rsidTr="4447C96C">
        <w:trPr>
          <w:trHeight w:val="20"/>
        </w:trPr>
        <w:tc>
          <w:tcPr>
            <w:tcW w:w="655" w:type="pct"/>
          </w:tcPr>
          <w:p w14:paraId="16FAD35F" w14:textId="77777777" w:rsidR="00ED50E0" w:rsidRPr="00ED50E0" w:rsidRDefault="00ED50E0" w:rsidP="007079A3">
            <w:pPr>
              <w:spacing w:line="276" w:lineRule="auto"/>
            </w:pPr>
            <w:r w:rsidRPr="00ED50E0">
              <w:t>LAGEN</w:t>
            </w:r>
          </w:p>
        </w:tc>
        <w:tc>
          <w:tcPr>
            <w:tcW w:w="4345" w:type="pct"/>
          </w:tcPr>
          <w:p w14:paraId="2F8BADC4" w14:textId="77777777" w:rsidR="00ED50E0" w:rsidRDefault="00ED50E0" w:rsidP="007079A3">
            <w:pPr>
              <w:spacing w:line="276" w:lineRule="auto"/>
            </w:pPr>
            <w:r>
              <w:t>Laboratorio de Análisis Genómicos</w:t>
            </w:r>
          </w:p>
        </w:tc>
      </w:tr>
      <w:tr w:rsidR="00ED50E0" w14:paraId="102A1E6D" w14:textId="77777777" w:rsidTr="4447C96C">
        <w:trPr>
          <w:trHeight w:val="20"/>
        </w:trPr>
        <w:tc>
          <w:tcPr>
            <w:tcW w:w="655" w:type="pct"/>
          </w:tcPr>
          <w:p w14:paraId="4447A148" w14:textId="77777777" w:rsidR="00ED50E0" w:rsidRPr="00ED50E0" w:rsidRDefault="00ED50E0" w:rsidP="007079A3">
            <w:pPr>
              <w:spacing w:line="276" w:lineRule="auto"/>
            </w:pPr>
            <w:r w:rsidRPr="00ED50E0">
              <w:t>LAMMAR</w:t>
            </w:r>
          </w:p>
        </w:tc>
        <w:tc>
          <w:tcPr>
            <w:tcW w:w="4345" w:type="pct"/>
          </w:tcPr>
          <w:p w14:paraId="0B031430" w14:textId="77777777" w:rsidR="00ED50E0" w:rsidRDefault="00ED50E0" w:rsidP="007079A3">
            <w:pPr>
              <w:spacing w:line="276" w:lineRule="auto"/>
            </w:pPr>
            <w:r>
              <w:t>Laboratorio de Microbiología Marina</w:t>
            </w:r>
          </w:p>
        </w:tc>
      </w:tr>
      <w:tr w:rsidR="00ED50E0" w14:paraId="7A18FBC8" w14:textId="77777777" w:rsidTr="4447C96C">
        <w:trPr>
          <w:trHeight w:val="20"/>
        </w:trPr>
        <w:tc>
          <w:tcPr>
            <w:tcW w:w="655" w:type="pct"/>
          </w:tcPr>
          <w:p w14:paraId="3ADDFCC9" w14:textId="77777777" w:rsidR="00ED50E0" w:rsidRPr="00ED50E0" w:rsidRDefault="00ED50E0" w:rsidP="007079A3">
            <w:pPr>
              <w:spacing w:line="276" w:lineRule="auto"/>
            </w:pPr>
            <w:r w:rsidRPr="00ED50E0">
              <w:t>LBBP</w:t>
            </w:r>
          </w:p>
        </w:tc>
        <w:tc>
          <w:tcPr>
            <w:tcW w:w="4345" w:type="pct"/>
          </w:tcPr>
          <w:p w14:paraId="713785E8" w14:textId="24A1027B" w:rsidR="00ED50E0" w:rsidRDefault="001205A8" w:rsidP="007079A3">
            <w:pPr>
              <w:spacing w:line="276" w:lineRule="auto"/>
            </w:pPr>
            <w:r>
              <w:t xml:space="preserve">Laboratorio de Bioquímica y Biotecnología de </w:t>
            </w:r>
            <w:r w:rsidR="003748E8">
              <w:t>Proteínas</w:t>
            </w:r>
          </w:p>
        </w:tc>
      </w:tr>
      <w:tr w:rsidR="00ED50E0" w14:paraId="6B6AF157" w14:textId="77777777" w:rsidTr="4447C96C">
        <w:trPr>
          <w:trHeight w:val="20"/>
        </w:trPr>
        <w:tc>
          <w:tcPr>
            <w:tcW w:w="655" w:type="pct"/>
          </w:tcPr>
          <w:p w14:paraId="2B801414" w14:textId="77777777" w:rsidR="00ED50E0" w:rsidRPr="00ED50E0" w:rsidRDefault="00ED50E0" w:rsidP="007079A3">
            <w:pPr>
              <w:spacing w:line="276" w:lineRule="auto"/>
            </w:pPr>
            <w:r w:rsidRPr="00ED50E0">
              <w:t>LIDETEQ</w:t>
            </w:r>
          </w:p>
        </w:tc>
        <w:tc>
          <w:tcPr>
            <w:tcW w:w="4345" w:type="pct"/>
          </w:tcPr>
          <w:p w14:paraId="6B8F16CF" w14:textId="16CA46AE" w:rsidR="00ED50E0" w:rsidRDefault="00AD4AB5" w:rsidP="007079A3">
            <w:pPr>
              <w:spacing w:line="276" w:lineRule="auto"/>
            </w:pPr>
            <w:r w:rsidRPr="00AD4AB5">
              <w:t>Laboratorio de Desarrollo de Tecnología Química</w:t>
            </w:r>
          </w:p>
        </w:tc>
      </w:tr>
      <w:tr w:rsidR="007423E1" w14:paraId="687B0B37" w14:textId="77777777" w:rsidTr="4447C96C">
        <w:trPr>
          <w:trHeight w:val="20"/>
        </w:trPr>
        <w:tc>
          <w:tcPr>
            <w:tcW w:w="655" w:type="pct"/>
          </w:tcPr>
          <w:p w14:paraId="1A1BB294" w14:textId="00A20C37" w:rsidR="007423E1" w:rsidRPr="00ED50E0" w:rsidRDefault="007423E1" w:rsidP="007079A3">
            <w:pPr>
              <w:spacing w:line="276" w:lineRule="auto"/>
            </w:pPr>
            <w:r>
              <w:t>LSU</w:t>
            </w:r>
          </w:p>
        </w:tc>
        <w:tc>
          <w:tcPr>
            <w:tcW w:w="4345" w:type="pct"/>
          </w:tcPr>
          <w:p w14:paraId="339EA70A" w14:textId="0812BD9C" w:rsidR="007423E1" w:rsidRPr="00AD4AB5" w:rsidRDefault="00D120F2" w:rsidP="007079A3">
            <w:pPr>
              <w:spacing w:line="276" w:lineRule="auto"/>
            </w:pPr>
            <w:r>
              <w:t>“</w:t>
            </w:r>
            <w:proofErr w:type="spellStart"/>
            <w:r w:rsidRPr="00D120F2">
              <w:t>Large</w:t>
            </w:r>
            <w:proofErr w:type="spellEnd"/>
            <w:r w:rsidRPr="00D120F2">
              <w:t xml:space="preserve"> </w:t>
            </w:r>
            <w:proofErr w:type="spellStart"/>
            <w:r w:rsidRPr="00D120F2">
              <w:t>Subunit</w:t>
            </w:r>
            <w:proofErr w:type="spellEnd"/>
            <w:r w:rsidRPr="00D120F2">
              <w:t xml:space="preserve"> </w:t>
            </w:r>
            <w:proofErr w:type="spellStart"/>
            <w:r w:rsidRPr="00D120F2">
              <w:t>of</w:t>
            </w:r>
            <w:proofErr w:type="spellEnd"/>
            <w:r w:rsidRPr="00D120F2">
              <w:t xml:space="preserve"> </w:t>
            </w:r>
            <w:proofErr w:type="spellStart"/>
            <w:r w:rsidRPr="00D120F2">
              <w:t>Ribosome</w:t>
            </w:r>
            <w:proofErr w:type="spellEnd"/>
            <w:r>
              <w:t xml:space="preserve">”: </w:t>
            </w:r>
            <w:r w:rsidRPr="00D120F2">
              <w:t xml:space="preserve">Subunidad grande del ribosoma </w:t>
            </w:r>
          </w:p>
        </w:tc>
      </w:tr>
      <w:tr w:rsidR="00AF6B9F" w14:paraId="4CCF9654" w14:textId="77777777" w:rsidTr="4447C96C">
        <w:trPr>
          <w:trHeight w:val="20"/>
        </w:trPr>
        <w:tc>
          <w:tcPr>
            <w:tcW w:w="655" w:type="pct"/>
          </w:tcPr>
          <w:p w14:paraId="60CFCE94" w14:textId="0B6DF9B2" w:rsidR="00AF6B9F" w:rsidRPr="00ED50E0" w:rsidRDefault="00AF6B9F" w:rsidP="007079A3">
            <w:pPr>
              <w:spacing w:line="276" w:lineRule="auto"/>
            </w:pPr>
            <w:r>
              <w:t>MEA</w:t>
            </w:r>
          </w:p>
        </w:tc>
        <w:tc>
          <w:tcPr>
            <w:tcW w:w="4345" w:type="pct"/>
          </w:tcPr>
          <w:p w14:paraId="1F34EF5D" w14:textId="3B5B2B5E" w:rsidR="00AF6B9F" w:rsidRPr="00AD4AB5" w:rsidRDefault="00AF6B9F" w:rsidP="007079A3">
            <w:pPr>
              <w:spacing w:line="276" w:lineRule="auto"/>
            </w:pPr>
            <w:r>
              <w:t>Agar Extracto de Malta</w:t>
            </w:r>
          </w:p>
        </w:tc>
      </w:tr>
      <w:tr w:rsidR="00955EF9" w14:paraId="1D7CA6A6" w14:textId="77777777" w:rsidTr="4447C96C">
        <w:trPr>
          <w:trHeight w:val="20"/>
        </w:trPr>
        <w:tc>
          <w:tcPr>
            <w:tcW w:w="655" w:type="pct"/>
          </w:tcPr>
          <w:p w14:paraId="5D153B6F" w14:textId="72CB4C4A" w:rsidR="00955EF9" w:rsidRDefault="00955EF9" w:rsidP="007079A3">
            <w:pPr>
              <w:spacing w:line="276" w:lineRule="auto"/>
            </w:pPr>
            <w:r>
              <w:t>MSI</w:t>
            </w:r>
          </w:p>
        </w:tc>
        <w:tc>
          <w:tcPr>
            <w:tcW w:w="4345" w:type="pct"/>
          </w:tcPr>
          <w:p w14:paraId="1295F249" w14:textId="715B94A8" w:rsidR="00955EF9" w:rsidRDefault="00955EF9" w:rsidP="007079A3">
            <w:pPr>
              <w:spacing w:line="276" w:lineRule="auto"/>
            </w:pPr>
            <w:r>
              <w:t>Medio sin inocular</w:t>
            </w:r>
          </w:p>
        </w:tc>
      </w:tr>
      <w:tr w:rsidR="00B56E92" w14:paraId="19244AB9" w14:textId="77777777" w:rsidTr="4447C96C">
        <w:trPr>
          <w:trHeight w:val="20"/>
        </w:trPr>
        <w:tc>
          <w:tcPr>
            <w:tcW w:w="655" w:type="pct"/>
          </w:tcPr>
          <w:p w14:paraId="4A942CDE" w14:textId="3AC435CB" w:rsidR="00B56E92" w:rsidRDefault="00B56E92" w:rsidP="007079A3">
            <w:pPr>
              <w:spacing w:line="276" w:lineRule="auto"/>
            </w:pPr>
            <w:r>
              <w:t>MH</w:t>
            </w:r>
          </w:p>
        </w:tc>
        <w:tc>
          <w:tcPr>
            <w:tcW w:w="4345" w:type="pct"/>
          </w:tcPr>
          <w:p w14:paraId="318A13BF" w14:textId="374A7FC3" w:rsidR="00B56E92" w:rsidRDefault="00B56E92" w:rsidP="007079A3">
            <w:pPr>
              <w:spacing w:line="276" w:lineRule="auto"/>
            </w:pPr>
            <w:r>
              <w:t>Agar Mueller Hinton</w:t>
            </w:r>
          </w:p>
        </w:tc>
      </w:tr>
      <w:tr w:rsidR="00ED50E0" w14:paraId="6D89F765" w14:textId="77777777" w:rsidTr="4447C96C">
        <w:trPr>
          <w:trHeight w:val="20"/>
        </w:trPr>
        <w:tc>
          <w:tcPr>
            <w:tcW w:w="655" w:type="pct"/>
          </w:tcPr>
          <w:p w14:paraId="00B99769" w14:textId="77777777" w:rsidR="00ED50E0" w:rsidRPr="00ED50E0" w:rsidRDefault="00ED50E0" w:rsidP="007079A3">
            <w:pPr>
              <w:spacing w:line="276" w:lineRule="auto"/>
            </w:pPr>
            <w:r w:rsidRPr="00ED50E0">
              <w:t>NaCl</w:t>
            </w:r>
          </w:p>
        </w:tc>
        <w:tc>
          <w:tcPr>
            <w:tcW w:w="4345" w:type="pct"/>
          </w:tcPr>
          <w:p w14:paraId="6AF253E9" w14:textId="77777777" w:rsidR="00ED50E0" w:rsidRDefault="00ED50E0" w:rsidP="007079A3">
            <w:pPr>
              <w:spacing w:line="276" w:lineRule="auto"/>
            </w:pPr>
            <w:r>
              <w:t>Cloruro de sodio</w:t>
            </w:r>
          </w:p>
        </w:tc>
      </w:tr>
      <w:tr w:rsidR="00ED50E0" w14:paraId="03D0184C" w14:textId="77777777" w:rsidTr="4447C96C">
        <w:trPr>
          <w:trHeight w:val="20"/>
        </w:trPr>
        <w:tc>
          <w:tcPr>
            <w:tcW w:w="655" w:type="pct"/>
          </w:tcPr>
          <w:p w14:paraId="60E4DCB1" w14:textId="77777777" w:rsidR="00ED50E0" w:rsidRPr="00ED50E0" w:rsidRDefault="00ED50E0" w:rsidP="007079A3">
            <w:pPr>
              <w:spacing w:line="276" w:lineRule="auto"/>
            </w:pPr>
            <w:r w:rsidRPr="00ED50E0">
              <w:t>NaOH</w:t>
            </w:r>
          </w:p>
        </w:tc>
        <w:tc>
          <w:tcPr>
            <w:tcW w:w="4345" w:type="pct"/>
          </w:tcPr>
          <w:p w14:paraId="46F36E02" w14:textId="07B3AC88" w:rsidR="00ED50E0" w:rsidRDefault="007F5016" w:rsidP="007079A3">
            <w:pPr>
              <w:spacing w:line="276" w:lineRule="auto"/>
            </w:pPr>
            <w:r w:rsidRPr="007F5016">
              <w:t>Hidróxido de sodio</w:t>
            </w:r>
          </w:p>
        </w:tc>
      </w:tr>
      <w:tr w:rsidR="00ED50E0" w:rsidRPr="00C834F1" w14:paraId="1B1436E1" w14:textId="77777777" w:rsidTr="4447C96C">
        <w:trPr>
          <w:trHeight w:val="20"/>
        </w:trPr>
        <w:tc>
          <w:tcPr>
            <w:tcW w:w="655" w:type="pct"/>
          </w:tcPr>
          <w:p w14:paraId="6140DFB8" w14:textId="77777777" w:rsidR="00ED50E0" w:rsidRPr="00ED50E0" w:rsidRDefault="00ED50E0" w:rsidP="007079A3">
            <w:pPr>
              <w:spacing w:line="276" w:lineRule="auto"/>
            </w:pPr>
            <w:r w:rsidRPr="00ED50E0">
              <w:t>NCBI</w:t>
            </w:r>
          </w:p>
        </w:tc>
        <w:tc>
          <w:tcPr>
            <w:tcW w:w="4345" w:type="pct"/>
          </w:tcPr>
          <w:p w14:paraId="10D373F5" w14:textId="77777777" w:rsidR="00ED50E0" w:rsidRPr="00FF1511" w:rsidRDefault="00ED50E0" w:rsidP="007079A3">
            <w:pPr>
              <w:spacing w:line="276" w:lineRule="auto"/>
              <w:rPr>
                <w:lang w:val="en-US"/>
              </w:rPr>
            </w:pPr>
            <w:r w:rsidRPr="00FF1511">
              <w:rPr>
                <w:lang w:val="en-US"/>
              </w:rPr>
              <w:t>National Center for Biotechnology Information</w:t>
            </w:r>
          </w:p>
        </w:tc>
      </w:tr>
      <w:tr w:rsidR="00ED50E0" w14:paraId="1E11D9AE" w14:textId="77777777" w:rsidTr="4447C96C">
        <w:trPr>
          <w:trHeight w:val="20"/>
        </w:trPr>
        <w:tc>
          <w:tcPr>
            <w:tcW w:w="655" w:type="pct"/>
          </w:tcPr>
          <w:p w14:paraId="718A040B" w14:textId="77777777" w:rsidR="00ED50E0" w:rsidRPr="00ED50E0" w:rsidRDefault="00ED50E0" w:rsidP="007079A3">
            <w:pPr>
              <w:spacing w:line="276" w:lineRule="auto"/>
            </w:pPr>
            <w:r w:rsidRPr="00ED50E0">
              <w:t>OIE</w:t>
            </w:r>
          </w:p>
        </w:tc>
        <w:tc>
          <w:tcPr>
            <w:tcW w:w="4345" w:type="pct"/>
          </w:tcPr>
          <w:p w14:paraId="56C9FD93" w14:textId="77777777" w:rsidR="00ED50E0" w:rsidRDefault="00ED50E0" w:rsidP="007079A3">
            <w:pPr>
              <w:spacing w:line="276" w:lineRule="auto"/>
            </w:pPr>
            <w:r w:rsidRPr="00FE56F3">
              <w:t>La Organización Mundial de Sanidad Animal</w:t>
            </w:r>
          </w:p>
        </w:tc>
      </w:tr>
      <w:tr w:rsidR="00ED50E0" w14:paraId="13092896" w14:textId="77777777" w:rsidTr="4447C96C">
        <w:trPr>
          <w:trHeight w:val="20"/>
        </w:trPr>
        <w:tc>
          <w:tcPr>
            <w:tcW w:w="655" w:type="pct"/>
          </w:tcPr>
          <w:p w14:paraId="2DD8A38E" w14:textId="77777777" w:rsidR="00ED50E0" w:rsidRPr="00ED50E0" w:rsidRDefault="00ED50E0" w:rsidP="007079A3">
            <w:pPr>
              <w:spacing w:line="276" w:lineRule="auto"/>
            </w:pPr>
            <w:r w:rsidRPr="00ED50E0">
              <w:t>OMS</w:t>
            </w:r>
          </w:p>
        </w:tc>
        <w:tc>
          <w:tcPr>
            <w:tcW w:w="4345" w:type="pct"/>
          </w:tcPr>
          <w:p w14:paraId="6B075307" w14:textId="77777777" w:rsidR="00ED50E0" w:rsidRDefault="00ED50E0" w:rsidP="007079A3">
            <w:pPr>
              <w:spacing w:line="276" w:lineRule="auto"/>
            </w:pPr>
            <w:r>
              <w:t>Organización Mundial de la Salud</w:t>
            </w:r>
          </w:p>
        </w:tc>
      </w:tr>
      <w:tr w:rsidR="00ED50E0" w14:paraId="05B7F4B3" w14:textId="77777777" w:rsidTr="4447C96C">
        <w:trPr>
          <w:trHeight w:val="20"/>
        </w:trPr>
        <w:tc>
          <w:tcPr>
            <w:tcW w:w="655" w:type="pct"/>
          </w:tcPr>
          <w:p w14:paraId="4904AD0E" w14:textId="77777777" w:rsidR="00ED50E0" w:rsidRPr="00ED50E0" w:rsidRDefault="00ED50E0" w:rsidP="007079A3">
            <w:pPr>
              <w:spacing w:line="276" w:lineRule="auto"/>
            </w:pPr>
            <w:r w:rsidRPr="00ED50E0">
              <w:t>PCR</w:t>
            </w:r>
          </w:p>
        </w:tc>
        <w:tc>
          <w:tcPr>
            <w:tcW w:w="4345" w:type="pct"/>
          </w:tcPr>
          <w:p w14:paraId="536FDE82" w14:textId="77777777" w:rsidR="00ED50E0" w:rsidRDefault="00ED50E0" w:rsidP="007079A3">
            <w:pPr>
              <w:spacing w:line="276" w:lineRule="auto"/>
            </w:pPr>
            <w:r>
              <w:t>Reacción de cadena polimerasa</w:t>
            </w:r>
          </w:p>
        </w:tc>
      </w:tr>
      <w:tr w:rsidR="00ED50E0" w14:paraId="5196C9B2" w14:textId="77777777" w:rsidTr="4447C96C">
        <w:trPr>
          <w:trHeight w:val="20"/>
        </w:trPr>
        <w:tc>
          <w:tcPr>
            <w:tcW w:w="655" w:type="pct"/>
          </w:tcPr>
          <w:p w14:paraId="7D3337D6" w14:textId="77777777" w:rsidR="00ED50E0" w:rsidRPr="00ED50E0" w:rsidRDefault="00ED50E0" w:rsidP="007079A3">
            <w:pPr>
              <w:spacing w:line="276" w:lineRule="auto"/>
            </w:pPr>
            <w:r w:rsidRPr="00ED50E0">
              <w:t>PDA</w:t>
            </w:r>
          </w:p>
        </w:tc>
        <w:tc>
          <w:tcPr>
            <w:tcW w:w="4345" w:type="pct"/>
          </w:tcPr>
          <w:p w14:paraId="30F21184" w14:textId="77777777" w:rsidR="00ED50E0" w:rsidRDefault="00ED50E0" w:rsidP="007079A3">
            <w:pPr>
              <w:spacing w:line="276" w:lineRule="auto"/>
            </w:pPr>
            <w:r>
              <w:t>Agar Papa Dextrosa</w:t>
            </w:r>
          </w:p>
        </w:tc>
      </w:tr>
      <w:tr w:rsidR="00ED50E0" w14:paraId="54B98FC7" w14:textId="77777777" w:rsidTr="4447C96C">
        <w:trPr>
          <w:trHeight w:val="20"/>
        </w:trPr>
        <w:tc>
          <w:tcPr>
            <w:tcW w:w="655" w:type="pct"/>
          </w:tcPr>
          <w:p w14:paraId="20C49C37" w14:textId="77777777" w:rsidR="00ED50E0" w:rsidRPr="00ED50E0" w:rsidRDefault="00ED50E0" w:rsidP="007079A3">
            <w:pPr>
              <w:spacing w:line="276" w:lineRule="auto"/>
            </w:pPr>
            <w:r w:rsidRPr="00ED50E0">
              <w:t>PH</w:t>
            </w:r>
          </w:p>
        </w:tc>
        <w:tc>
          <w:tcPr>
            <w:tcW w:w="4345" w:type="pct"/>
          </w:tcPr>
          <w:p w14:paraId="31A9A8B2" w14:textId="1017116B" w:rsidR="00ED50E0" w:rsidRDefault="005120E2" w:rsidP="007079A3">
            <w:pPr>
              <w:spacing w:line="276" w:lineRule="auto"/>
            </w:pPr>
            <w:r>
              <w:t>“</w:t>
            </w:r>
            <w:proofErr w:type="spellStart"/>
            <w:r>
              <w:t>P</w:t>
            </w:r>
            <w:r w:rsidR="00ED50E0" w:rsidRPr="00FE72AB">
              <w:t>otential</w:t>
            </w:r>
            <w:proofErr w:type="spellEnd"/>
            <w:r w:rsidR="00ED50E0" w:rsidRPr="00FE72AB">
              <w:t xml:space="preserve"> </w:t>
            </w:r>
            <w:proofErr w:type="spellStart"/>
            <w:r>
              <w:t>H</w:t>
            </w:r>
            <w:r w:rsidR="00ED50E0" w:rsidRPr="00FE72AB">
              <w:t>ydrogen</w:t>
            </w:r>
            <w:proofErr w:type="spellEnd"/>
            <w:r>
              <w:t>”</w:t>
            </w:r>
          </w:p>
        </w:tc>
      </w:tr>
      <w:tr w:rsidR="005120E2" w14:paraId="21A5F957" w14:textId="77777777" w:rsidTr="4447C96C">
        <w:trPr>
          <w:trHeight w:val="20"/>
        </w:trPr>
        <w:tc>
          <w:tcPr>
            <w:tcW w:w="655" w:type="pct"/>
          </w:tcPr>
          <w:p w14:paraId="21901A77" w14:textId="3C470A06" w:rsidR="005120E2" w:rsidRPr="00ED50E0" w:rsidRDefault="005120E2" w:rsidP="007079A3">
            <w:pPr>
              <w:spacing w:line="276" w:lineRule="auto"/>
            </w:pPr>
            <w:proofErr w:type="spellStart"/>
            <w:r w:rsidRPr="005120E2">
              <w:t>RefSeq</w:t>
            </w:r>
            <w:proofErr w:type="spellEnd"/>
          </w:p>
        </w:tc>
        <w:tc>
          <w:tcPr>
            <w:tcW w:w="4345" w:type="pct"/>
          </w:tcPr>
          <w:p w14:paraId="3054008D" w14:textId="2832CC40" w:rsidR="005120E2" w:rsidRDefault="00AC3C61" w:rsidP="007079A3">
            <w:pPr>
              <w:spacing w:line="276" w:lineRule="auto"/>
            </w:pPr>
            <w:r w:rsidRPr="00AC3C61">
              <w:t xml:space="preserve">"Reference </w:t>
            </w:r>
            <w:proofErr w:type="spellStart"/>
            <w:r w:rsidRPr="00AC3C61">
              <w:t>Sequence</w:t>
            </w:r>
            <w:proofErr w:type="spellEnd"/>
            <w:r w:rsidRPr="00AC3C61">
              <w:t>"</w:t>
            </w:r>
            <w:r>
              <w:t xml:space="preserve">: </w:t>
            </w:r>
            <w:r w:rsidRPr="00AC3C61">
              <w:t>Secuencia de Referencia</w:t>
            </w:r>
          </w:p>
        </w:tc>
      </w:tr>
      <w:tr w:rsidR="00ED50E0" w14:paraId="2D861FB8" w14:textId="77777777" w:rsidTr="4447C96C">
        <w:trPr>
          <w:trHeight w:val="20"/>
        </w:trPr>
        <w:tc>
          <w:tcPr>
            <w:tcW w:w="655" w:type="pct"/>
          </w:tcPr>
          <w:p w14:paraId="6DCD9A56" w14:textId="77777777" w:rsidR="00ED50E0" w:rsidRPr="00ED50E0" w:rsidRDefault="00ED50E0" w:rsidP="007079A3">
            <w:pPr>
              <w:spacing w:line="276" w:lineRule="auto"/>
            </w:pPr>
            <w:r w:rsidRPr="00ED50E0">
              <w:lastRenderedPageBreak/>
              <w:t>SDA</w:t>
            </w:r>
          </w:p>
        </w:tc>
        <w:tc>
          <w:tcPr>
            <w:tcW w:w="4345" w:type="pct"/>
          </w:tcPr>
          <w:p w14:paraId="03A6B54E" w14:textId="550AEEAE" w:rsidR="00ED50E0" w:rsidRDefault="00BB0386" w:rsidP="007079A3">
            <w:pPr>
              <w:spacing w:line="276" w:lineRule="auto"/>
            </w:pPr>
            <w:r w:rsidRPr="00BB0386">
              <w:t>Agar Sabouraud Dextros</w:t>
            </w:r>
            <w:r>
              <w:t>a</w:t>
            </w:r>
          </w:p>
        </w:tc>
      </w:tr>
      <w:tr w:rsidR="00ED50E0" w14:paraId="3DB925E0" w14:textId="77777777" w:rsidTr="4447C96C">
        <w:trPr>
          <w:trHeight w:val="20"/>
        </w:trPr>
        <w:tc>
          <w:tcPr>
            <w:tcW w:w="655" w:type="pct"/>
          </w:tcPr>
          <w:p w14:paraId="0D7B9A08" w14:textId="77777777" w:rsidR="00ED50E0" w:rsidRPr="00ED50E0" w:rsidRDefault="00ED50E0" w:rsidP="007079A3">
            <w:pPr>
              <w:spacing w:line="276" w:lineRule="auto"/>
            </w:pPr>
            <w:r w:rsidRPr="00ED50E0">
              <w:t>TBE</w:t>
            </w:r>
          </w:p>
        </w:tc>
        <w:tc>
          <w:tcPr>
            <w:tcW w:w="4345" w:type="pct"/>
          </w:tcPr>
          <w:p w14:paraId="59D0E39F" w14:textId="77777777" w:rsidR="00ED50E0" w:rsidRDefault="00ED50E0" w:rsidP="007079A3">
            <w:pPr>
              <w:spacing w:line="276" w:lineRule="auto"/>
            </w:pPr>
            <w:r>
              <w:t>Tampón T</w:t>
            </w:r>
            <w:r w:rsidRPr="00192A4C">
              <w:t>ris, borato y EDTA</w:t>
            </w:r>
            <w:r>
              <w:rPr>
                <w:rFonts w:ascii="Arial" w:hAnsi="Arial" w:cs="Arial"/>
                <w:color w:val="BDC1C6"/>
                <w:sz w:val="21"/>
                <w:szCs w:val="21"/>
                <w:shd w:val="clear" w:color="auto" w:fill="202124"/>
              </w:rPr>
              <w:t xml:space="preserve"> </w:t>
            </w:r>
          </w:p>
        </w:tc>
      </w:tr>
      <w:tr w:rsidR="007423E1" w14:paraId="379E1A8E" w14:textId="77777777" w:rsidTr="4447C96C">
        <w:trPr>
          <w:trHeight w:val="20"/>
        </w:trPr>
        <w:tc>
          <w:tcPr>
            <w:tcW w:w="655" w:type="pct"/>
          </w:tcPr>
          <w:p w14:paraId="4744627D" w14:textId="534FFC2A" w:rsidR="007423E1" w:rsidRPr="00ED50E0" w:rsidRDefault="007423E1" w:rsidP="007079A3">
            <w:pPr>
              <w:spacing w:line="276" w:lineRule="auto"/>
            </w:pPr>
            <w:r>
              <w:t>UV</w:t>
            </w:r>
          </w:p>
        </w:tc>
        <w:tc>
          <w:tcPr>
            <w:tcW w:w="4345" w:type="pct"/>
          </w:tcPr>
          <w:p w14:paraId="25834295" w14:textId="253EB7C3" w:rsidR="007423E1" w:rsidRDefault="007423E1" w:rsidP="007079A3">
            <w:pPr>
              <w:spacing w:line="276" w:lineRule="auto"/>
            </w:pPr>
            <w:r w:rsidRPr="007423E1">
              <w:t>Ultravioleta</w:t>
            </w:r>
          </w:p>
        </w:tc>
      </w:tr>
      <w:tr w:rsidR="00ED50E0" w14:paraId="4A62960F" w14:textId="77777777" w:rsidTr="4447C96C">
        <w:trPr>
          <w:trHeight w:val="20"/>
        </w:trPr>
        <w:tc>
          <w:tcPr>
            <w:tcW w:w="655" w:type="pct"/>
          </w:tcPr>
          <w:p w14:paraId="02EED76C" w14:textId="77777777" w:rsidR="00ED50E0" w:rsidRPr="00ED50E0" w:rsidRDefault="00ED50E0" w:rsidP="007079A3">
            <w:pPr>
              <w:spacing w:line="276" w:lineRule="auto"/>
            </w:pPr>
            <w:r w:rsidRPr="00ED50E0">
              <w:t>YPG</w:t>
            </w:r>
          </w:p>
        </w:tc>
        <w:tc>
          <w:tcPr>
            <w:tcW w:w="4345" w:type="pct"/>
          </w:tcPr>
          <w:p w14:paraId="1FCB03EE" w14:textId="77777777" w:rsidR="00ED50E0" w:rsidRDefault="00ED50E0" w:rsidP="007079A3">
            <w:pPr>
              <w:spacing w:line="276" w:lineRule="auto"/>
            </w:pPr>
            <w:r>
              <w:t>Extracto de Levadura-Peptona-Glucosa</w:t>
            </w:r>
          </w:p>
        </w:tc>
      </w:tr>
      <w:tr w:rsidR="00ED50E0" w14:paraId="47787A58" w14:textId="77777777" w:rsidTr="4447C96C">
        <w:trPr>
          <w:trHeight w:val="20"/>
        </w:trPr>
        <w:tc>
          <w:tcPr>
            <w:tcW w:w="655" w:type="pct"/>
          </w:tcPr>
          <w:p w14:paraId="43238AB3" w14:textId="77777777" w:rsidR="00ED50E0" w:rsidRPr="00ED50E0" w:rsidRDefault="00ED50E0" w:rsidP="007079A3">
            <w:pPr>
              <w:spacing w:line="276" w:lineRule="auto"/>
            </w:pPr>
            <w:r w:rsidRPr="00ED50E0">
              <w:t>YPGA</w:t>
            </w:r>
          </w:p>
        </w:tc>
        <w:tc>
          <w:tcPr>
            <w:tcW w:w="4345" w:type="pct"/>
          </w:tcPr>
          <w:p w14:paraId="458CD948" w14:textId="77777777" w:rsidR="00ED50E0" w:rsidRDefault="00ED50E0" w:rsidP="007079A3">
            <w:pPr>
              <w:spacing w:line="276" w:lineRule="auto"/>
            </w:pPr>
            <w:r>
              <w:t>Agar Extracto de Levadura-Peptona-Glucosa</w:t>
            </w:r>
          </w:p>
        </w:tc>
      </w:tr>
      <w:tr w:rsidR="009162E6" w14:paraId="23B33DB4" w14:textId="77777777" w:rsidTr="4447C96C">
        <w:trPr>
          <w:trHeight w:val="20"/>
        </w:trPr>
        <w:tc>
          <w:tcPr>
            <w:tcW w:w="655" w:type="pct"/>
          </w:tcPr>
          <w:p w14:paraId="0605B289" w14:textId="4F087580" w:rsidR="009162E6" w:rsidRPr="00ED50E0" w:rsidRDefault="009162E6" w:rsidP="007079A3">
            <w:pPr>
              <w:spacing w:line="276" w:lineRule="auto"/>
            </w:pPr>
            <w:r>
              <w:t>28S</w:t>
            </w:r>
          </w:p>
        </w:tc>
        <w:tc>
          <w:tcPr>
            <w:tcW w:w="4345" w:type="pct"/>
          </w:tcPr>
          <w:p w14:paraId="239EF1E9" w14:textId="7E1E6F94" w:rsidR="009162E6" w:rsidRDefault="00BC42CA" w:rsidP="007079A3">
            <w:pPr>
              <w:spacing w:line="276" w:lineRule="auto"/>
            </w:pPr>
            <w:r w:rsidRPr="00BC42CA">
              <w:t>ARN ribosomal 28S</w:t>
            </w:r>
          </w:p>
        </w:tc>
      </w:tr>
    </w:tbl>
    <w:p w14:paraId="2E8A4690" w14:textId="77777777" w:rsidR="00DF3078" w:rsidRDefault="00DF3078">
      <w:pPr>
        <w:spacing w:line="259" w:lineRule="auto"/>
        <w:jc w:val="left"/>
        <w:rPr>
          <w:rFonts w:eastAsiaTheme="majorEastAsia" w:cs="Times New Roman"/>
          <w:b/>
          <w:sz w:val="28"/>
          <w:szCs w:val="32"/>
        </w:rPr>
      </w:pPr>
      <w:r>
        <w:br w:type="page"/>
      </w:r>
    </w:p>
    <w:p w14:paraId="7622CB9B" w14:textId="406AF260" w:rsidR="00DF6D94" w:rsidRDefault="0002234B" w:rsidP="00DF6D94">
      <w:pPr>
        <w:pStyle w:val="Titulo10"/>
        <w:spacing w:before="0"/>
      </w:pPr>
      <w:bookmarkStart w:id="8" w:name="_Toc140204052"/>
      <w:r>
        <w:lastRenderedPageBreak/>
        <w:t>Resumen</w:t>
      </w:r>
      <w:bookmarkEnd w:id="8"/>
    </w:p>
    <w:p w14:paraId="1751B83D" w14:textId="77777777" w:rsidR="00DF6D94" w:rsidRDefault="00DF6D94" w:rsidP="009C3631">
      <w:pPr>
        <w:pStyle w:val="Titulo10"/>
        <w:spacing w:before="0" w:line="240" w:lineRule="auto"/>
      </w:pPr>
    </w:p>
    <w:p w14:paraId="40B724F9" w14:textId="77777777" w:rsidR="007D564C" w:rsidRDefault="007D564C" w:rsidP="00C72DBC">
      <w:pPr>
        <w:spacing w:after="0"/>
        <w:ind w:firstLine="708"/>
      </w:pPr>
    </w:p>
    <w:p w14:paraId="519F229D" w14:textId="512F8753" w:rsidR="003F540B" w:rsidRDefault="0071676B" w:rsidP="0049249F">
      <w:pPr>
        <w:spacing w:after="0"/>
        <w:ind w:firstLine="708"/>
      </w:pPr>
      <w:r>
        <w:t>Los hongos marinos son fuente prometedora de nuevos compuestos con potencial biotecnológico al desarrollarse en ambiente</w:t>
      </w:r>
      <w:r w:rsidR="00997CFC">
        <w:t>s</w:t>
      </w:r>
      <w:r>
        <w:t xml:space="preserve"> único</w:t>
      </w:r>
      <w:r w:rsidR="0065446D">
        <w:t xml:space="preserve">s </w:t>
      </w:r>
      <w:r>
        <w:t>y competitivo</w:t>
      </w:r>
      <w:r w:rsidR="0065446D">
        <w:t>s</w:t>
      </w:r>
      <w:r>
        <w:t xml:space="preserve">. Asimismo, la resistencia </w:t>
      </w:r>
      <w:r w:rsidR="0065446D">
        <w:t>antimicrobiana</w:t>
      </w:r>
      <w:r>
        <w:t xml:space="preserve"> es un importante desafío de salud pública y obtener nuevos </w:t>
      </w:r>
      <w:r w:rsidR="0065446D">
        <w:t>compuestos</w:t>
      </w:r>
      <w:r>
        <w:t xml:space="preserve"> es una </w:t>
      </w:r>
      <w:r w:rsidR="009C2566">
        <w:t>alternativa</w:t>
      </w:r>
      <w:r>
        <w:t xml:space="preserve"> para combatirlo, especialmente </w:t>
      </w:r>
      <w:r w:rsidR="00625865">
        <w:t>mediante</w:t>
      </w:r>
      <w:r>
        <w:t xml:space="preserve"> organismos poco estudiados, como los hongos marinos </w:t>
      </w:r>
      <w:r w:rsidR="00625865">
        <w:t>de</w:t>
      </w:r>
      <w:r>
        <w:t xml:space="preserve"> manglares de Costa Rica, ya que actualmente su diversidad y potencial biotecnológic</w:t>
      </w:r>
      <w:r w:rsidR="00C7385C">
        <w:t>o</w:t>
      </w:r>
      <w:r>
        <w:t xml:space="preserve"> permanece desconocida</w:t>
      </w:r>
      <w:r w:rsidR="003E3C6B">
        <w:t xml:space="preserve">. </w:t>
      </w:r>
      <w:r w:rsidR="00BC3912">
        <w:t>E</w:t>
      </w:r>
      <w:r w:rsidR="003F540B" w:rsidRPr="00DC2073">
        <w:t xml:space="preserve">l objetivo de la investigación fue evaluar mediante ensayos </w:t>
      </w:r>
      <w:r w:rsidR="003F540B" w:rsidRPr="00D9443D">
        <w:rPr>
          <w:i/>
          <w:iCs/>
        </w:rPr>
        <w:t xml:space="preserve">in vitro </w:t>
      </w:r>
      <w:r w:rsidR="003F540B" w:rsidRPr="00DC2073">
        <w:t xml:space="preserve">el potencial de cepas de hongos marinos aislados de sedimentos de manglar para la obtención de moléculas con actividad antimicrobiana. Se aislaron hongos marinos de sedimentos del manglar de Puntarenas, Costa Rica, se caracterizaron morfológicamente y se evaluó su actividad antibacteriana contra patógenos del grupo ESKAPE mediante estimulación con bajas concentraciones de NaCl y en co-cultivo bacteriano. Las 3 cepas con </w:t>
      </w:r>
      <w:r w:rsidR="00250F79">
        <w:t>mejores rendimientos</w:t>
      </w:r>
      <w:r w:rsidR="003F540B" w:rsidRPr="00DC2073">
        <w:t xml:space="preserve"> se identificaron y se fermentaron en co-cultivo con </w:t>
      </w:r>
      <w:r w:rsidR="003F540B" w:rsidRPr="00DC2073">
        <w:rPr>
          <w:i/>
          <w:iCs/>
        </w:rPr>
        <w:t>Staphylococcus aureus</w:t>
      </w:r>
      <w:r w:rsidR="003F540B" w:rsidRPr="00DC2073">
        <w:t xml:space="preserve"> y </w:t>
      </w:r>
      <w:r w:rsidR="003F540B" w:rsidRPr="00DC2073">
        <w:rPr>
          <w:i/>
          <w:iCs/>
        </w:rPr>
        <w:t>Enterobacter hormaechei</w:t>
      </w:r>
      <w:r w:rsidR="0086388D">
        <w:t>.</w:t>
      </w:r>
      <w:r w:rsidR="003F540B" w:rsidRPr="00DC2073">
        <w:t xml:space="preserve"> La actividad antimicrobiana de los extractos crudos y los fraccionamientos por </w:t>
      </w:r>
      <w:r w:rsidR="003E3C6B">
        <w:t>RP-</w:t>
      </w:r>
      <w:r w:rsidR="003F540B" w:rsidRPr="00DC2073">
        <w:t xml:space="preserve">HPLC de </w:t>
      </w:r>
      <w:r w:rsidR="0032284E">
        <w:t>los cultivos líquidos</w:t>
      </w:r>
      <w:r w:rsidR="003F540B" w:rsidRPr="00DC2073">
        <w:t xml:space="preserve"> se evaluó con bacterias ESKAPE y 3 hongos de importancia médica. Además, se generó un análisis bioinformático de genómica comparativa para valorar </w:t>
      </w:r>
      <w:r w:rsidR="00765806">
        <w:t>su</w:t>
      </w:r>
      <w:r w:rsidR="003F540B" w:rsidRPr="00DC2073">
        <w:t xml:space="preserve"> potencial metabólic</w:t>
      </w:r>
      <w:r w:rsidR="00765806">
        <w:t>o</w:t>
      </w:r>
      <w:r w:rsidR="003F540B" w:rsidRPr="00DC2073">
        <w:t>. Se aislaron 21 cepas de hongos marinos con alta diversidad morfológica. La ausencia de NaCl y el co-cultivo estimularon la actividad antibacteriana en 5 aislamientos</w:t>
      </w:r>
      <w:r w:rsidR="00862B76">
        <w:t>.</w:t>
      </w:r>
      <w:r w:rsidR="003170A4">
        <w:t xml:space="preserve"> </w:t>
      </w:r>
      <w:r w:rsidR="00603650">
        <w:t>Los</w:t>
      </w:r>
      <w:r w:rsidR="003170A4">
        <w:t xml:space="preserve"> </w:t>
      </w:r>
      <w:r w:rsidR="008652E5">
        <w:t xml:space="preserve">3 </w:t>
      </w:r>
      <w:r w:rsidR="003170A4">
        <w:t>hongos con</w:t>
      </w:r>
      <w:r w:rsidR="003F540B" w:rsidRPr="00DC2073">
        <w:t xml:space="preserve"> mayor actividad</w:t>
      </w:r>
      <w:r w:rsidR="00603650">
        <w:t xml:space="preserve"> se</w:t>
      </w:r>
      <w:r w:rsidR="003F540B" w:rsidRPr="00DC2073">
        <w:t xml:space="preserve"> identifica</w:t>
      </w:r>
      <w:r w:rsidR="00603650">
        <w:t xml:space="preserve">ron </w:t>
      </w:r>
      <w:r w:rsidR="00716122">
        <w:t>dentro de</w:t>
      </w:r>
      <w:r w:rsidR="00EC0993">
        <w:t xml:space="preserve"> los</w:t>
      </w:r>
      <w:r w:rsidR="00C120BE">
        <w:t xml:space="preserve"> </w:t>
      </w:r>
      <w:r w:rsidR="003F540B" w:rsidRPr="00DC2073">
        <w:t>géneros</w:t>
      </w:r>
      <w:r w:rsidR="00EC0993">
        <w:t>:</w:t>
      </w:r>
      <w:r w:rsidR="003F540B" w:rsidRPr="00DC2073">
        <w:t xml:space="preserve"> </w:t>
      </w:r>
      <w:r w:rsidR="003F540B" w:rsidRPr="00DC2073">
        <w:rPr>
          <w:i/>
          <w:iCs/>
        </w:rPr>
        <w:t>Penicillium</w:t>
      </w:r>
      <w:r w:rsidR="003F540B" w:rsidRPr="00DC2073">
        <w:t xml:space="preserve">, </w:t>
      </w:r>
      <w:r w:rsidR="003F540B" w:rsidRPr="00DC2073">
        <w:rPr>
          <w:i/>
          <w:iCs/>
        </w:rPr>
        <w:t>Aspergillus</w:t>
      </w:r>
      <w:r w:rsidR="003F540B" w:rsidRPr="00DC2073">
        <w:t xml:space="preserve"> y </w:t>
      </w:r>
      <w:r w:rsidR="003F540B" w:rsidRPr="00DC2073">
        <w:rPr>
          <w:i/>
          <w:iCs/>
        </w:rPr>
        <w:t>Paraconiothyrium</w:t>
      </w:r>
      <w:r w:rsidR="0089364D">
        <w:t xml:space="preserve">, </w:t>
      </w:r>
      <w:r w:rsidR="007E75B5">
        <w:t>y</w:t>
      </w:r>
      <w:r w:rsidR="003F540B" w:rsidRPr="00DC2073">
        <w:t xml:space="preserve"> se detectó actividad antimicrobiana en estimulación por co-cultivo, especialmente en </w:t>
      </w:r>
      <w:r w:rsidR="003F540B" w:rsidRPr="00DC2073">
        <w:rPr>
          <w:i/>
          <w:iCs/>
        </w:rPr>
        <w:t>Aspergillus</w:t>
      </w:r>
      <w:r w:rsidR="003F540B" w:rsidRPr="00DC2073">
        <w:t xml:space="preserve"> y </w:t>
      </w:r>
      <w:r w:rsidR="003F540B" w:rsidRPr="00DC2073">
        <w:rPr>
          <w:i/>
          <w:iCs/>
        </w:rPr>
        <w:t>Penicillium</w:t>
      </w:r>
      <w:r w:rsidR="003F540B" w:rsidRPr="00DC2073">
        <w:t xml:space="preserve"> contra </w:t>
      </w:r>
      <w:r w:rsidR="003F540B" w:rsidRPr="00DC2073">
        <w:rPr>
          <w:i/>
          <w:iCs/>
        </w:rPr>
        <w:t>Candida albicans</w:t>
      </w:r>
      <w:r w:rsidR="003F540B" w:rsidRPr="00DC2073">
        <w:t xml:space="preserve">. El análisis bioinformático permitió identificar relaciones entre los clusters de genes </w:t>
      </w:r>
      <w:r w:rsidR="003F540B" w:rsidRPr="00DC2073">
        <w:rPr>
          <w:lang w:eastAsia="es-CR"/>
        </w:rPr>
        <w:t>codificantes a moléculas antimicrobiana</w:t>
      </w:r>
      <w:r w:rsidR="00997CFC">
        <w:rPr>
          <w:lang w:eastAsia="es-CR"/>
        </w:rPr>
        <w:t>s</w:t>
      </w:r>
      <w:r w:rsidR="003F540B" w:rsidRPr="00DC2073">
        <w:t>. Este estudio representa el primer reporte sobre hongos marinos con actividad antimicrobiana aislados de ecosistemas de manglar en Costa Rica y resalta la importancia de la bioprospección de microorganismos con potencial biotecnológico en ambientes marinos costeros.</w:t>
      </w:r>
    </w:p>
    <w:p w14:paraId="7C6F2F1C" w14:textId="4AC9B39D" w:rsidR="00BC3912" w:rsidRDefault="00BC3912" w:rsidP="00BC3912">
      <w:pPr>
        <w:spacing w:after="0"/>
      </w:pPr>
    </w:p>
    <w:p w14:paraId="11BA35F8" w14:textId="0FF3549E" w:rsidR="00DF6D94" w:rsidRDefault="00DF6D94" w:rsidP="4447C96C">
      <w:pPr>
        <w:spacing w:after="0"/>
        <w:ind w:firstLine="708"/>
        <w:sectPr w:rsidR="00DF6D94" w:rsidSect="00F52B8E">
          <w:footerReference w:type="default" r:id="rId10"/>
          <w:pgSz w:w="12240" w:h="15840"/>
          <w:pgMar w:top="1440" w:right="1440" w:bottom="1440" w:left="1440" w:header="709" w:footer="709" w:gutter="0"/>
          <w:pgNumType w:fmt="upperRoman" w:start="1"/>
          <w:cols w:space="708"/>
          <w:docGrid w:linePitch="360"/>
        </w:sectPr>
      </w:pPr>
    </w:p>
    <w:p w14:paraId="2FB51461" w14:textId="77777777" w:rsidR="00DC6E9A" w:rsidRDefault="00DC6E9A" w:rsidP="0002234B">
      <w:pPr>
        <w:pStyle w:val="Titulo10"/>
        <w:numPr>
          <w:ilvl w:val="0"/>
          <w:numId w:val="14"/>
        </w:numPr>
      </w:pPr>
      <w:bookmarkStart w:id="9" w:name="_Toc24018759"/>
      <w:bookmarkStart w:id="10" w:name="_Toc140204053"/>
      <w:r w:rsidRPr="004A654E">
        <w:lastRenderedPageBreak/>
        <w:t>Introducción</w:t>
      </w:r>
      <w:bookmarkEnd w:id="9"/>
      <w:bookmarkEnd w:id="10"/>
    </w:p>
    <w:p w14:paraId="50DBAA4C" w14:textId="77777777" w:rsidR="00DC6E9A" w:rsidRPr="00C55E60" w:rsidRDefault="00DC6E9A" w:rsidP="009C3631">
      <w:pPr>
        <w:spacing w:after="0" w:line="240" w:lineRule="auto"/>
        <w:jc w:val="center"/>
        <w:rPr>
          <w:rFonts w:cs="Times New Roman"/>
          <w:b/>
          <w:sz w:val="28"/>
        </w:rPr>
      </w:pPr>
    </w:p>
    <w:p w14:paraId="16211661" w14:textId="4C250FFA" w:rsidR="00DC6E9A" w:rsidRDefault="00DC6E9A" w:rsidP="00DC6E9A">
      <w:pPr>
        <w:spacing w:after="0"/>
        <w:ind w:firstLine="708"/>
        <w:rPr>
          <w:rFonts w:cs="Times New Roman"/>
        </w:rPr>
      </w:pPr>
      <w:r>
        <w:rPr>
          <w:rFonts w:cs="Times New Roman"/>
        </w:rPr>
        <w:t xml:space="preserve">Los ecosistemas marinos representan un gran reservorio de riqueza, pues cuentan con una abundante diversidad de especies, diferentes condiciones ambientales y muchos de los organismos que habitan, incluyendo los microorganismos, presentan adaptaciones evolutivas que les permiten sobrevivir y competir con otros individuos por un nicho ecológico.  Estas características únicas, convierten al océano en un espacio ideal para realizar bioprospección, ya que se pueden aprovechar estos mecanismos naturales para obtener nuevos compuestos bioactivos. Dentro de éstos, los microorganismos marinos han adquirido la capacidad de producir moléculas únicas y de alta actividad biológica como los de actividad antimicrobiana. Esta capacidad puede ser aprovechada mediante procesos biotecnológicos como nueva fuente de compuestos con la capacidad de inhibir el crecimiento bacteriano y combatir así, la </w:t>
      </w:r>
      <w:r w:rsidR="00532B50">
        <w:rPr>
          <w:rFonts w:cs="Times New Roman"/>
        </w:rPr>
        <w:t xml:space="preserve">actual </w:t>
      </w:r>
      <w:r>
        <w:rPr>
          <w:rFonts w:cs="Times New Roman"/>
        </w:rPr>
        <w:t>resistencia a los antibióticos.</w:t>
      </w:r>
    </w:p>
    <w:p w14:paraId="384C97B6" w14:textId="77777777" w:rsidR="00DC6E9A" w:rsidRDefault="00DC6E9A" w:rsidP="00DC6E9A">
      <w:pPr>
        <w:spacing w:after="0"/>
        <w:ind w:firstLine="708"/>
        <w:rPr>
          <w:rFonts w:cs="Times New Roman"/>
        </w:rPr>
      </w:pPr>
    </w:p>
    <w:p w14:paraId="6D64EEE4" w14:textId="77777777" w:rsidR="00DC6E9A" w:rsidRPr="00346505" w:rsidRDefault="00DC6E9A" w:rsidP="00062B62">
      <w:pPr>
        <w:pStyle w:val="Titulo20"/>
        <w:spacing w:after="0"/>
      </w:pPr>
      <w:bookmarkStart w:id="11" w:name="_Toc24018760"/>
      <w:bookmarkStart w:id="12" w:name="_Toc140204054"/>
      <w:r>
        <w:t xml:space="preserve">1.1 </w:t>
      </w:r>
      <w:r w:rsidRPr="00346505">
        <w:t>Antecedentes</w:t>
      </w:r>
      <w:bookmarkEnd w:id="11"/>
      <w:bookmarkEnd w:id="12"/>
    </w:p>
    <w:p w14:paraId="542D8F7F" w14:textId="049D4F80" w:rsidR="00DC6E9A" w:rsidRDefault="00DC6E9A" w:rsidP="00DC6E9A">
      <w:pPr>
        <w:ind w:firstLine="708"/>
        <w:rPr>
          <w:rFonts w:cs="Times New Roman"/>
          <w:szCs w:val="24"/>
        </w:rPr>
      </w:pPr>
      <w:r>
        <w:rPr>
          <w:rFonts w:cs="Times New Roman"/>
          <w:szCs w:val="24"/>
        </w:rPr>
        <w:t>Tanto los hongos terrestres como los hongos marinos</w:t>
      </w:r>
      <w:r w:rsidRPr="00B141E3">
        <w:rPr>
          <w:rFonts w:cs="Times New Roman"/>
          <w:szCs w:val="24"/>
        </w:rPr>
        <w:t xml:space="preserve"> son objeto de investigación por su capacidad de producir </w:t>
      </w:r>
      <w:r>
        <w:rPr>
          <w:rFonts w:cs="Times New Roman"/>
          <w:szCs w:val="24"/>
        </w:rPr>
        <w:t xml:space="preserve">una gran variedad de </w:t>
      </w:r>
      <w:r w:rsidRPr="00B141E3">
        <w:rPr>
          <w:rFonts w:cs="Times New Roman"/>
          <w:szCs w:val="24"/>
        </w:rPr>
        <w:t>metabolitos secundarios</w:t>
      </w:r>
      <w:r>
        <w:rPr>
          <w:rFonts w:cs="Times New Roman"/>
          <w:szCs w:val="24"/>
        </w:rPr>
        <w:t xml:space="preserve">. Estas moléculas son atractivas debido a que, como lo menciona </w:t>
      </w:r>
      <w:bookmarkStart w:id="13" w:name="_Hlk15909073"/>
      <w:r>
        <w:rPr>
          <w:rFonts w:cs="Times New Roman"/>
          <w:szCs w:val="24"/>
        </w:rPr>
        <w:fldChar w:fldCharType="begin" w:fldLock="1"/>
      </w:r>
      <w:r w:rsidR="004627ED">
        <w:rPr>
          <w:rFonts w:cs="Times New Roman"/>
          <w:szCs w:val="24"/>
        </w:rPr>
        <w:instrText>ADDIN CSL_CITATION {"citationItems":[{"id":"ITEM-1","itemData":{"DOI":"10.3390/md11103601","ISBN":"8620288233888","ISSN":"16603397","abstract":"Many metabolites with novel structures and biological activities have been isolated from the mangrove fungi in the South China Sea, such as anthracenediones, xyloketals, sesquiterpenoids, chromones, lactones, coumarins and isocoumarin derivatives, xanthones, and peroxides. Some compounds have anticancer, antibacterial, antifungal and antiviral properties, but the biosynthesis of these compounds is still limited. This review summarizes the advances in the study of secondary metabolites from the mangrove-derived fungi in the South China Sea, and their biological activities reported between 2008 and mid-2013.","author":[{"dropping-particle":"","family":"Wang","given":"Xin","non-dropping-particle":"","parse-names":false,"suffix":""},{"dropping-particle":"","family":"Mao","given":"Zhi Gang","non-dropping-particle":"","parse-names":false,"suffix":""},{"dropping-particle":"","family":"Song","given":"Bing Bing","non-dropping-particle":"","parse-names":false,"suffix":""},{"dropping-particle":"","family":"Chen","given":"Chun Hua","non-dropping-particle":"","parse-names":false,"suffix":""},{"dropping-particle":"","family":"Xiao","given":"Wei Wei","non-dropping-particle":"","parse-names":false,"suffix":""},{"dropping-particle":"","family":"Hu","given":"Bin","non-dropping-particle":"","parse-names":false,"suffix":""},{"dropping-particle":"","family":"Wang","given":"Ji Wen","non-dropping-particle":"","parse-names":false,"suffix":""},{"dropping-particle":"","family":"Jiang","given":"Xiao Bing","non-dropping-particle":"","parse-names":false,"suffix":""},{"dropping-particle":"","family":"Zhu","given":"Yong Hong","non-dropping-particle":"","parse-names":false,"suffix":""},{"dropping-particle":"","family":"Wang","given":"Hai Jun","non-dropping-particle":"","parse-names":false,"suffix":""}],"container-title":"Marine Drugs","id":"ITEM-1","issue":"10","issued":{"date-parts":[["2013"]]},"page":"3601-3616","title":"Advances in the study of the structures and bioactivities of metabolites isolated from mangrove-derived fungi in the South China Sea","type":"article-journal","volume":"11"},"uris":["http://www.mendeley.com/documents/?uuid=f2ff76e6-f1db-47d5-936f-661981726d90"]}],"mendeley":{"formattedCitation":"(X. Wang et al., 2013)","plainTextFormattedCitation":"(X. Wang et al., 2013)","previouslyFormattedCitation":"(X. Wang et al., 2013)"},"properties":{"noteIndex":0},"schema":"https://github.com/citation-style-language/schema/raw/master/csl-citation.json"}</w:instrText>
      </w:r>
      <w:r>
        <w:rPr>
          <w:rFonts w:cs="Times New Roman"/>
          <w:szCs w:val="24"/>
        </w:rPr>
        <w:fldChar w:fldCharType="separate"/>
      </w:r>
      <w:r w:rsidR="00A87FD6" w:rsidRPr="00A87FD6">
        <w:rPr>
          <w:rFonts w:cs="Times New Roman"/>
          <w:noProof/>
          <w:szCs w:val="24"/>
        </w:rPr>
        <w:t>(X. Wang et al., 2013)</w:t>
      </w:r>
      <w:r>
        <w:rPr>
          <w:rFonts w:cs="Times New Roman"/>
          <w:szCs w:val="24"/>
        </w:rPr>
        <w:fldChar w:fldCharType="end"/>
      </w:r>
      <w:r w:rsidRPr="00DA6509">
        <w:rPr>
          <w:rFonts w:cs="Times New Roman"/>
          <w:szCs w:val="24"/>
        </w:rPr>
        <w:t>,</w:t>
      </w:r>
      <w:bookmarkEnd w:id="13"/>
      <w:r w:rsidRPr="00DA6509">
        <w:rPr>
          <w:rFonts w:cs="Times New Roman"/>
          <w:szCs w:val="24"/>
        </w:rPr>
        <w:t xml:space="preserve"> no forman parte esencial de</w:t>
      </w:r>
      <w:r>
        <w:rPr>
          <w:rFonts w:cs="Times New Roman"/>
          <w:szCs w:val="24"/>
        </w:rPr>
        <w:t xml:space="preserve">l </w:t>
      </w:r>
      <w:r w:rsidRPr="00DA6509">
        <w:rPr>
          <w:rFonts w:cs="Times New Roman"/>
          <w:szCs w:val="24"/>
        </w:rPr>
        <w:t>funcionamiento,</w:t>
      </w:r>
      <w:r>
        <w:rPr>
          <w:rFonts w:cs="Times New Roman"/>
          <w:szCs w:val="24"/>
        </w:rPr>
        <w:t xml:space="preserve"> desarrollo o reproducción </w:t>
      </w:r>
      <w:r w:rsidRPr="00DA6509">
        <w:rPr>
          <w:rFonts w:cs="Times New Roman"/>
          <w:szCs w:val="24"/>
        </w:rPr>
        <w:t>principal del organismo</w:t>
      </w:r>
      <w:r>
        <w:rPr>
          <w:rFonts w:cs="Times New Roman"/>
          <w:szCs w:val="24"/>
        </w:rPr>
        <w:t xml:space="preserve"> y</w:t>
      </w:r>
      <w:r w:rsidRPr="00DA6509">
        <w:rPr>
          <w:rFonts w:cs="Times New Roman"/>
          <w:szCs w:val="24"/>
        </w:rPr>
        <w:t xml:space="preserve"> son utilizados como herramienta para la interacción con otros individuos</w:t>
      </w:r>
      <w:r>
        <w:rPr>
          <w:rFonts w:cs="Times New Roman"/>
          <w:szCs w:val="24"/>
        </w:rPr>
        <w:t>. El primer compuesto aislado de un hongo marino fue la Cefalosporina C en el año 1949 a partir de</w:t>
      </w:r>
      <w:r w:rsidRPr="00017042">
        <w:rPr>
          <w:rFonts w:cs="Times New Roman"/>
          <w:i/>
          <w:szCs w:val="24"/>
        </w:rPr>
        <w:t xml:space="preserve"> </w:t>
      </w:r>
      <w:bookmarkStart w:id="14" w:name="_Hlk15909896"/>
      <w:r w:rsidRPr="00B141E3">
        <w:rPr>
          <w:rFonts w:cs="Times New Roman"/>
          <w:i/>
          <w:szCs w:val="24"/>
        </w:rPr>
        <w:t>Acremonium chrysogenum</w:t>
      </w:r>
      <w:bookmarkEnd w:id="14"/>
      <w:r>
        <w:rPr>
          <w:rFonts w:cs="Times New Roman"/>
          <w:szCs w:val="24"/>
        </w:rPr>
        <w:t>. Este compuesto</w:t>
      </w:r>
      <w:r>
        <w:rPr>
          <w:rFonts w:cs="Times New Roman"/>
          <w:i/>
          <w:szCs w:val="24"/>
        </w:rPr>
        <w:t xml:space="preserve"> </w:t>
      </w:r>
      <w:r>
        <w:rPr>
          <w:rFonts w:cs="Times New Roman"/>
          <w:szCs w:val="24"/>
        </w:rPr>
        <w:t xml:space="preserve">presenta propiedades antimicrobianas y ha sido utilizado como base para la creación de </w:t>
      </w:r>
      <w:bookmarkStart w:id="15" w:name="_Hlk15910037"/>
      <w:r>
        <w:rPr>
          <w:rFonts w:cs="Times New Roman"/>
          <w:szCs w:val="24"/>
        </w:rPr>
        <w:t xml:space="preserve">antibióticos sintéticos análogos </w:t>
      </w:r>
      <w:r w:rsidRPr="00B141E3">
        <w:rPr>
          <w:rFonts w:cs="Times New Roman"/>
          <w:szCs w:val="24"/>
        </w:rPr>
        <w:fldChar w:fldCharType="begin" w:fldLock="1"/>
      </w:r>
      <w:r>
        <w:rPr>
          <w:rFonts w:cs="Times New Roman"/>
          <w:szCs w:val="24"/>
        </w:rPr>
        <w:instrText>ADDIN CSL_CITATION {"citationItems":[{"id":"ITEM-1","itemData":{"DOI":"10.1007/978-3-319-54304-8","ISBN":"9783319543031","author":[{"dropping-particle":"","family":"Raghukumar","given":"Seshagiri","non-dropping-particle":"","parse-names":false,"suffix":""}],"editor":[{"dropping-particle":"","family":"Fungi","given":"Marine","non-dropping-particle":"","parse-names":false,"suffix":""}],"id":"ITEM-1","issued":{"date-parts":[["2017"]]},"number-of-pages":"207-250","publisher-place":"India","title":"Fungi in Coastal and Oceanic Marine Ecosystems","type":"book"},"uris":["http://www.mendeley.com/documents/?uuid=6b2edb4a-fe16-4a06-add5-879c73bd9824"]},{"id":"ITEM-2","itemData":{"DOI":"10.3390/md13074137","ISSN":"16603397","PMID":"26133554","abstract":"Marine fungi are potential producers of bioactive compounds that may have pharmacological and medicinal applications. Fungi were cultured from marine brown algae and identified using multiple target genes to confirm phylogenetic placement. These target genes included the internal transcribed spacer (ITS), the nuclear large subunit (LSU), and the β-tubulin region. Various biological activities of marine-derived fungi were evaluated, including their antifungal, antioxidant and cellulolytic enzyme activities. As a result, a total of 50 fungi was isolated from the brown algae Sargassum sp. Among the 50 isolated fungi, Corollospora angusta was the dominant species in this study. The genus Arthrinium showed a relatively strong antifungal activity to all of the target plant pathogenic fungi. In particular, Arthrinium saccharicola KUC21221 showed high radical scavenging activity and the highest activities in terms of filter paper units (0.39 U/mL), endoglucanase activity (0.38 U/mL), and β-glucosidase activity (1.04 U/mL).","author":[{"dropping-particle":"","family":"Hong","given":"Joo Hyun","non-dropping-particle":"","parse-names":false,"suffix":""},{"dropping-particle":"","family":"Jang","given":"Seokyoon","non-dropping-particle":"","parse-names":false,"suffix":""},{"dropping-particle":"","family":"Heo","given":"Young Mok","non-dropping-particle":"","parse-names":false,"suffix":""},{"dropping-particle":"","family":"Min","given":"Mihee","non-dropping-particle":"","parse-names":false,"suffix":""},{"dropping-particle":"","family":"Lee","given":"Hwanhwi","non-dropping-particle":"","parse-names":false,"suffix":""},{"dropping-particle":"","family":"Lee","given":"Young Min","non-dropping-particle":"","parse-names":false,"suffix":""},{"dropping-particle":"","family":"Lee","given":"Hanbyul","non-dropping-particle":"","parse-names":false,"suffix":""},{"dropping-particle":"","family":"Kim","given":"Jae Jin","non-dropping-particle":"","parse-names":false,"suffix":""}],"container-title":"Marine Drugs","id":"ITEM-2","issue":"7","issued":{"date-parts":[["2015"]]},"title":"Investigation of marine-derived fungal diversity and their exploitable biological activities","type":"article-journal","volume":"13"},"uris":["http://www.mendeley.com/documents/?uuid=72c2d8bf-8d0e-30a4-9a00-a9f21752262c"]}],"mendeley":{"formattedCitation":"(Hong et al., 2015; Raghukumar, 2017)","plainTextFormattedCitation":"(Hong et al., 2015; Raghukumar, 2017)","previouslyFormattedCitation":"(Hong et al., 2015; Raghukumar, 2017)"},"properties":{"noteIndex":0},"schema":"https://github.com/citation-style-language/schema/raw/master/csl-citation.json"}</w:instrText>
      </w:r>
      <w:r w:rsidRPr="00B141E3">
        <w:rPr>
          <w:rFonts w:cs="Times New Roman"/>
          <w:szCs w:val="24"/>
        </w:rPr>
        <w:fldChar w:fldCharType="separate"/>
      </w:r>
      <w:r w:rsidRPr="00C362A1">
        <w:rPr>
          <w:rFonts w:cs="Times New Roman"/>
          <w:noProof/>
          <w:szCs w:val="24"/>
        </w:rPr>
        <w:t>(Hong et al., 2015; Raghukumar, 2017)</w:t>
      </w:r>
      <w:r w:rsidRPr="00B141E3">
        <w:rPr>
          <w:rFonts w:cs="Times New Roman"/>
          <w:szCs w:val="24"/>
        </w:rPr>
        <w:fldChar w:fldCharType="end"/>
      </w:r>
      <w:bookmarkEnd w:id="15"/>
      <w:r w:rsidRPr="00B141E3">
        <w:rPr>
          <w:rFonts w:cs="Times New Roman"/>
          <w:szCs w:val="24"/>
        </w:rPr>
        <w:t>.</w:t>
      </w:r>
      <w:r>
        <w:rPr>
          <w:rFonts w:cs="Times New Roman"/>
          <w:szCs w:val="24"/>
        </w:rPr>
        <w:t xml:space="preserve"> Este evento marcó el inicio a</w:t>
      </w:r>
      <w:r w:rsidRPr="00B141E3">
        <w:rPr>
          <w:rFonts w:cs="Times New Roman"/>
          <w:szCs w:val="24"/>
        </w:rPr>
        <w:t xml:space="preserve"> diversos estudios enfocados </w:t>
      </w:r>
      <w:r>
        <w:rPr>
          <w:rFonts w:cs="Times New Roman"/>
          <w:szCs w:val="24"/>
        </w:rPr>
        <w:t>a</w:t>
      </w:r>
      <w:r w:rsidRPr="00B141E3">
        <w:rPr>
          <w:rFonts w:cs="Times New Roman"/>
          <w:szCs w:val="24"/>
        </w:rPr>
        <w:t>l aislamiento</w:t>
      </w:r>
      <w:r>
        <w:rPr>
          <w:rFonts w:cs="Times New Roman"/>
          <w:szCs w:val="24"/>
        </w:rPr>
        <w:t xml:space="preserve"> de hongos marinos con el objetivo de obtener</w:t>
      </w:r>
      <w:r w:rsidRPr="00B141E3">
        <w:rPr>
          <w:rFonts w:cs="Times New Roman"/>
          <w:szCs w:val="24"/>
        </w:rPr>
        <w:t xml:space="preserve"> nuevos compuestos </w:t>
      </w:r>
      <w:r>
        <w:rPr>
          <w:rFonts w:cs="Times New Roman"/>
          <w:szCs w:val="24"/>
        </w:rPr>
        <w:t>con</w:t>
      </w:r>
      <w:r w:rsidRPr="00B141E3">
        <w:rPr>
          <w:rFonts w:cs="Times New Roman"/>
          <w:szCs w:val="24"/>
        </w:rPr>
        <w:t xml:space="preserve"> actividad </w:t>
      </w:r>
      <w:r>
        <w:rPr>
          <w:rFonts w:cs="Times New Roman"/>
          <w:szCs w:val="24"/>
        </w:rPr>
        <w:t>antimicrobiana</w:t>
      </w:r>
      <w:r w:rsidRPr="00B141E3">
        <w:rPr>
          <w:rFonts w:cs="Times New Roman"/>
          <w:szCs w:val="24"/>
        </w:rPr>
        <w:t>.</w:t>
      </w:r>
    </w:p>
    <w:p w14:paraId="72E6DFEA" w14:textId="4997AB38" w:rsidR="00DC6E9A" w:rsidRDefault="00DC6E9A" w:rsidP="00DC6E9A">
      <w:pPr>
        <w:ind w:firstLine="708"/>
        <w:rPr>
          <w:rFonts w:cs="Times New Roman"/>
          <w:szCs w:val="24"/>
        </w:rPr>
      </w:pPr>
      <w:r>
        <w:rPr>
          <w:rFonts w:cs="Times New Roman"/>
          <w:szCs w:val="24"/>
        </w:rPr>
        <w:t xml:space="preserve">Los metabolitos secundarios aislados de organismos marinos presentan mayores tasas de actividad antimicrobiana en comparación con los compuestos producidos por organismos terrestres, característica que fue comprobada por </w:t>
      </w:r>
      <w:bookmarkStart w:id="16" w:name="_Hlk15910926"/>
      <w:r>
        <w:rPr>
          <w:rFonts w:cs="Times New Roman"/>
          <w:szCs w:val="24"/>
        </w:rPr>
        <w:fldChar w:fldCharType="begin" w:fldLock="1"/>
      </w:r>
      <w:r>
        <w:rPr>
          <w:rFonts w:cs="Times New Roman"/>
          <w:szCs w:val="24"/>
        </w:rPr>
        <w:instrText>ADDIN CSL_CITATION {"citationItems":[{"id":"ITEM-1","itemData":{"author":[{"dropping-particle":"","family":"Cuomo","given":"V.","non-dropping-particle":"","parse-names":false,"suffix":""},{"dropping-particle":"","family":"Palomba","given":"I.","non-dropping-particle":"","parse-names":false,"suffix":""},{"dropping-particle":"","family":"Perretti","given":"A.","non-dropping-particle":"","parse-names":false,"suffix":""},{"dropping-particle":"","family":"Guerriero","given":"A.","non-dropping-particle":"","parse-names":false,"suffix":""},{"dropping-particle":"","family":"D’Ambrosio","given":"M.","non-dropping-particle":"","parse-names":false,"suffix":""},{"dropping-particle":"","family":"Pietra","given":"F.","non-dropping-particle":"","parse-names":false,"suffix":""}],"container-title":"Mar. Biotech.","id":"ITEM-1","issue":"2","issued":{"date-parts":[["1995"]]},"page":"199-204","title":"Antimicrobial activities from marine fungi","type":"article-journal"},"uris":["http://www.mendeley.com/documents/?uuid=47ae26f3-bd70-4250-a5d8-1f6141c0fd6e"]}],"mendeley":{"formattedCitation":"(Cuomo et al., 1995)","manualFormatting":"Cuomo y colaboradores ","plainTextFormattedCitation":"(Cuomo et al., 1995)","previouslyFormattedCitation":"(Cuomo et al., 1995)"},"properties":{"noteIndex":0},"schema":"https://github.com/citation-style-language/schema/raw/master/csl-citation.json"}</w:instrText>
      </w:r>
      <w:r>
        <w:rPr>
          <w:rFonts w:cs="Times New Roman"/>
          <w:szCs w:val="24"/>
        </w:rPr>
        <w:fldChar w:fldCharType="separate"/>
      </w:r>
      <w:r w:rsidRPr="00C9670F">
        <w:rPr>
          <w:rFonts w:cs="Times New Roman"/>
          <w:noProof/>
          <w:szCs w:val="24"/>
        </w:rPr>
        <w:t xml:space="preserve">Cuomo </w:t>
      </w:r>
      <w:r>
        <w:rPr>
          <w:rFonts w:cs="Times New Roman"/>
          <w:noProof/>
          <w:szCs w:val="24"/>
        </w:rPr>
        <w:t xml:space="preserve">y colaboradores </w:t>
      </w:r>
      <w:r>
        <w:rPr>
          <w:rFonts w:cs="Times New Roman"/>
          <w:szCs w:val="24"/>
        </w:rPr>
        <w:fldChar w:fldCharType="end"/>
      </w:r>
      <w:r>
        <w:rPr>
          <w:rFonts w:cs="Times New Roman"/>
          <w:szCs w:val="24"/>
        </w:rPr>
        <w:t>en el año 1995</w:t>
      </w:r>
      <w:bookmarkEnd w:id="16"/>
      <w:r>
        <w:rPr>
          <w:rFonts w:cs="Times New Roman"/>
          <w:szCs w:val="24"/>
        </w:rPr>
        <w:t xml:space="preserve">, cuando evaluaron el potencial antimicrobiano de 1 500 cepas terrestres y las compararon con cepas marinas del mismo orden. Hoy en día, los hongos marinos utilizados para la bioprospección biotecnológica de compuestos antibacteriales y antifúngicos son aislados </w:t>
      </w:r>
      <w:r w:rsidR="00C0188D">
        <w:rPr>
          <w:rFonts w:cs="Times New Roman"/>
          <w:szCs w:val="24"/>
        </w:rPr>
        <w:t>principalmente</w:t>
      </w:r>
      <w:r>
        <w:rPr>
          <w:rFonts w:cs="Times New Roman"/>
          <w:szCs w:val="24"/>
        </w:rPr>
        <w:t xml:space="preserve"> de algas, esponjas y de manglares </w:t>
      </w:r>
      <w:bookmarkStart w:id="17" w:name="_Hlk15911040"/>
      <w:r>
        <w:rPr>
          <w:rFonts w:cs="Times New Roman"/>
          <w:szCs w:val="24"/>
        </w:rPr>
        <w:fldChar w:fldCharType="begin" w:fldLock="1"/>
      </w:r>
      <w:r w:rsidR="00794E54">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Fungi","type":"article-journal","volume":"13"},"uris":["http://www.mendeley.com/documents/?uuid=a560cc4c-f05b-4e6e-8bd3-2970e15c7624"]},{"id":"ITEM-2","itemData":{"DOI":"10.3390/md17010042","ISBN":"1613759185","ISSN":"16603397","PMID":"30634599","abstract":"Despite the rapid development of molecular techniques relevant for natural product research, culture isolates remain the primary source from which natural products chemists discover and obtain new molecules from microbial sources. Techniques for obtaining and identifying microbial isolates (such as filamentous fungi) are thus of crucial importance for a successful natural products’ discovery program. This review is presented as a “best-practices guide” to the collection and isolation of marine fungi for natural products research. Many of these practices are proven techniques used by mycologists for the isolation of a broad diversity of fungi, while others, such as the construction of marine baiting stations and the collection and processing of sea foam using dilution to extinction plating techniques, are methodological adaptations for specialized use in marine/aquatic environments. To this day, marine fungi, Sensu stricto, remain one of the few underexplored resources of natural products. Cultivability is one of the main limitations hindering the discovery of natural products from marine fungi. Through encouraged collaboration with marine mycologists and the sharing of historically proven mycological practices for the isolation of marine fungi, our goal is to provide natural products chemists with the necessary tools to explore this resource in-depth and discover new and potentially novel natural products.","author":[{"dropping-particle":"","family":"Overy","given":"David P.","non-dropping-particle":"","parse-names":false,"suffix":""},{"dropping-particle":"","family":"Rämä","given":"Teppo","non-dropping-particle":"","parse-names":false,"suffix":""},{"dropping-particle":"","family":"Oosterhuis","given":"Rylee","non-dropping-particle":"","parse-names":false,"suffix":""},{"dropping-particle":"","family":"Walker","given":"Allison K.","non-dropping-particle":"","parse-names":false,"suffix":""},{"dropping-particle":"","family":"Pang","given":"Ka Lai","non-dropping-particle":"","parse-names":false,"suffix":""}],"container-title":"Marine Drugs","id":"ITEM-2","issue":"1","issued":{"date-parts":[["2019"]]},"title":"The neglected marine fungi, sensu stricto, and their isolation for natural products’ discovery","type":"article-journal","volume":"17"},"uris":["http://www.mendeley.com/documents/?uuid=f5707f3d-0917-49a6-ba70-aeeaa6fe783c"]}],"mendeley":{"formattedCitation":"(Overy, Rämä, Oosterhuis, Walker, &amp; Pang, 2019; L. Xu et al., 2015)","manualFormatting":"(Overy, Rämä, Oosterhuis, Walker, &amp; Pang, 2019).  L. Xu et al. desde el año 2015","plainTextFormattedCitation":"(Overy, Rämä, Oosterhuis, Walker, &amp; Pang, 2019; L. Xu et al., 2015)","previouslyFormattedCitation":"(Overy, Rämä, Oosterhuis, Walker, &amp; Pang, 2019; L. Xu et al., 2015)"},"properties":{"noteIndex":0},"schema":"https://github.com/citation-style-language/schema/raw/master/csl-citation.json"}</w:instrText>
      </w:r>
      <w:r>
        <w:rPr>
          <w:rFonts w:cs="Times New Roman"/>
          <w:szCs w:val="24"/>
        </w:rPr>
        <w:fldChar w:fldCharType="separate"/>
      </w:r>
      <w:r w:rsidR="00C0188D" w:rsidRPr="00C0188D">
        <w:rPr>
          <w:rFonts w:cs="Times New Roman"/>
          <w:noProof/>
          <w:szCs w:val="24"/>
        </w:rPr>
        <w:t>(Overy, Rämä, Oosterhuis, Walker, &amp; Pang, 2019</w:t>
      </w:r>
      <w:r w:rsidR="00C0188D">
        <w:rPr>
          <w:rFonts w:cs="Times New Roman"/>
          <w:noProof/>
          <w:szCs w:val="24"/>
        </w:rPr>
        <w:t>)</w:t>
      </w:r>
      <w:r w:rsidR="007411F2">
        <w:rPr>
          <w:rFonts w:cs="Times New Roman"/>
          <w:noProof/>
          <w:szCs w:val="24"/>
        </w:rPr>
        <w:t>.</w:t>
      </w:r>
      <w:r w:rsidR="00C0188D">
        <w:rPr>
          <w:rFonts w:cs="Times New Roman"/>
          <w:noProof/>
          <w:szCs w:val="24"/>
        </w:rPr>
        <w:t xml:space="preserve"> </w:t>
      </w:r>
      <w:r w:rsidR="00C0188D" w:rsidRPr="00C0188D">
        <w:rPr>
          <w:rFonts w:cs="Times New Roman"/>
          <w:noProof/>
          <w:szCs w:val="24"/>
        </w:rPr>
        <w:t xml:space="preserve"> L. Xu et al.</w:t>
      </w:r>
      <w:r w:rsidR="007411F2">
        <w:rPr>
          <w:rFonts w:cs="Times New Roman"/>
          <w:noProof/>
          <w:szCs w:val="24"/>
        </w:rPr>
        <w:t xml:space="preserve"> </w:t>
      </w:r>
      <w:r w:rsidR="00EB525D">
        <w:rPr>
          <w:rFonts w:cs="Times New Roman"/>
          <w:noProof/>
          <w:szCs w:val="24"/>
        </w:rPr>
        <w:t xml:space="preserve">desde el </w:t>
      </w:r>
      <w:r w:rsidR="00EB525D">
        <w:rPr>
          <w:rFonts w:cs="Times New Roman"/>
          <w:noProof/>
          <w:szCs w:val="24"/>
        </w:rPr>
        <w:lastRenderedPageBreak/>
        <w:t xml:space="preserve">año </w:t>
      </w:r>
      <w:r w:rsidR="00C0188D" w:rsidRPr="00C0188D">
        <w:rPr>
          <w:rFonts w:cs="Times New Roman"/>
          <w:noProof/>
          <w:szCs w:val="24"/>
        </w:rPr>
        <w:t>2015</w:t>
      </w:r>
      <w:r>
        <w:rPr>
          <w:rFonts w:cs="Times New Roman"/>
          <w:szCs w:val="24"/>
        </w:rPr>
        <w:fldChar w:fldCharType="end"/>
      </w:r>
      <w:bookmarkEnd w:id="17"/>
      <w:r w:rsidR="00EB525D">
        <w:rPr>
          <w:rFonts w:cs="Times New Roman"/>
          <w:szCs w:val="24"/>
        </w:rPr>
        <w:t>,</w:t>
      </w:r>
      <w:r>
        <w:rPr>
          <w:rFonts w:cs="Times New Roman"/>
          <w:szCs w:val="24"/>
        </w:rPr>
        <w:t xml:space="preserve"> recopilaron información acerca de aislamientos fúngicos alrededor del mundo y reportaron </w:t>
      </w:r>
      <w:bookmarkStart w:id="18" w:name="_Hlk15911207"/>
      <w:r>
        <w:rPr>
          <w:rFonts w:cs="Times New Roman"/>
          <w:szCs w:val="24"/>
        </w:rPr>
        <w:t>700 compuestos distribuidos en 105 aislamientos, de los cuales, 285 poseen actividad antimicrobiana y 116 son catalogados como compuestos novedosos</w:t>
      </w:r>
      <w:bookmarkStart w:id="19" w:name="_Hlk15911059"/>
      <w:bookmarkEnd w:id="18"/>
      <w:r>
        <w:rPr>
          <w:rFonts w:cs="Times New Roman"/>
          <w:szCs w:val="24"/>
        </w:rPr>
        <w:t xml:space="preserve">. Los géneros más importantes en cuanto a producción de antimicrobianos son </w:t>
      </w:r>
      <w:r w:rsidR="003748E8" w:rsidRPr="002F6AC9">
        <w:rPr>
          <w:rFonts w:cs="Times New Roman"/>
          <w:i/>
          <w:szCs w:val="24"/>
        </w:rPr>
        <w:t>Aspergillus</w:t>
      </w:r>
      <w:r>
        <w:rPr>
          <w:rFonts w:cs="Times New Roman"/>
          <w:szCs w:val="24"/>
        </w:rPr>
        <w:t xml:space="preserve"> y </w:t>
      </w:r>
      <w:r w:rsidRPr="002F6AC9">
        <w:rPr>
          <w:rFonts w:cs="Times New Roman"/>
          <w:i/>
          <w:szCs w:val="24"/>
        </w:rPr>
        <w:t>Penicillium</w:t>
      </w:r>
      <w:r>
        <w:rPr>
          <w:rFonts w:cs="Times New Roman"/>
          <w:szCs w:val="24"/>
        </w:rPr>
        <w:t xml:space="preserve"> </w:t>
      </w:r>
      <w:bookmarkStart w:id="20" w:name="_Hlk15911236"/>
      <w:bookmarkEnd w:id="19"/>
      <w:r>
        <w:rPr>
          <w:rFonts w:cs="Times New Roman"/>
          <w:szCs w:val="24"/>
        </w:rPr>
        <w:fldChar w:fldCharType="begin" w:fldLock="1"/>
      </w:r>
      <w:r w:rsidR="00070258">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Fungi","type":"article-journal","volume":"13"},"uris":["http://www.mendeley.com/documents/?uuid=a560cc4c-f05b-4e6e-8bd3-2970e15c7624"]},{"id":"ITEM-2","itemData":{"DOI":"10.3390/md16110408","ISBN":"3908125391","ISSN":"16603397","abstract":"The impact of bioactive compounds from natural sources on human life, particularly in pharmacology and biotechnology, has challenged the scientific community to explore new environmental contexts and the associated microbial diversity. [...]","author":[{"dropping-particle":"","family":"Nicoletti","given":"Rosario","non-dropping-particle":"","parse-names":false,"suffix":""},{"dropping-particle":"","family":"Vinale","given":"Francesco","non-dropping-particle":"","parse-names":false,"suffix":""}],"container-title":"Marine Drugs","id":"ITEM-2","issue":"11","issued":{"date-parts":[["2018"]]},"page":"15-17","title":"Bioactive Compounds from Marine-Derived &lt;i&gt;Aspergillus, Penicillium, Talaromyces&lt;/i&gt; and &lt;i&gt;Trichoderma&lt;/i&gt; Species","type":"article-journal","volume":"16"},"uris":["http://www.mendeley.com/documents/?uuid=2fa173df-fa4f-4f54-aadb-d3fa337bc780"]},{"id":"ITEM-3","itemData":{"DOI":"10.3390/md14010019","ISSN":"16603397","PMID":"26784209","abstract":"Marine fungi represent a huge potential for new natural products and an increased number of new metabolites have become known over the past years, while much of the hidden potential still needs to be uncovered. Representative examples of biodiversity studies of marine fungi and of natural products from a diverse selection of marine fungi from the author’s lab are highlighting important aspects of this research. If one considers the huge phylogenetic diversity of marine fungi and their almost ubiquitous distribution, and realizes that most of the published work on secondary metabolites of marine fungi has focused on just a few genera, strictly speaking Penicillium, Aspergillus and maybe also Fusarium and Cladosporium, the diversity of marine fungi is not adequately represented in investigations on their secondary metabolites and the less studied species deserve special attention. In addition to results on recently discovered new secondary metabolites of Penicillium species, the diversity of fungi in selected marine habitats is highlighted and examples of groups of secondary metabolites produced by representatives of a variety of different genera and their bioactivities are presented. Special focus is given to the production of groups of derivatives of metabolites by the fungi and to significant differences in biological activities due to small structural changes.","author":[{"dropping-particle":"","family":"Imhoff","given":"Johannes F.","non-dropping-particle":"","parse-names":false,"suffix":""}],"container-title":"Marine Drugs","id":"ITEM-3","issue":"1","issued":{"date-parts":[["2016"]]},"title":"Natural products from marine fungi - Still an underrepresented resource","type":"article-journal","volume":"14"},"uris":["http://www.mendeley.com/documents/?uuid=54c796df-5ff9-444a-818d-4b469d20e11b"]},{"id":"ITEM-4","itemData":{"DOI":"10.1007/s11101-020-09705-5","ISBN":"0123456789","ISSN":"1572980X","abstract":"Marine fungi with complex genetic backgrounds and large metagenomes are a main source of marine natural products in the past 20 years. This review highlights the sources of marine fungal strains, structures and antimicrobial activity of 272 compounds derived from marine fungi reported from 1998 to 2019.","author":[{"dropping-particle":"","family":"Wang","given":"Cong","non-dropping-particle":"","parse-names":false,"suffix":""},{"dropping-particle":"","family":"Tang","given":"Siyan","non-dropping-particle":"","parse-names":false,"suffix":""},{"dropping-particle":"","family":"Cao","given":"Shugeng","non-dropping-particle":"","parse-names":false,"suffix":""}],"container-title":"Phytochemistry Reviews","id":"ITEM-4","issue":"1","issued":{"date-parts":[["2021"]]},"number-of-pages":"85-117","publisher":"Springer Netherlands","title":"Antimicrobial compounds from marine fungi","type":"book","volume":"20"},"uris":["http://www.mendeley.com/documents/?uuid=4944bdf0-d577-462c-97cf-d733dc514846"]}],"mendeley":{"formattedCitation":"(Imhoff, 2016; Nicoletti &amp; Vinale, 2018; C. Wang, Tang, &amp; Cao, 2021; L. Xu et al., 2015)","plainTextFormattedCitation":"(Imhoff, 2016; Nicoletti &amp; Vinale, 2018; C. Wang, Tang, &amp; Cao, 2021; L. Xu et al., 2015)","previouslyFormattedCitation":"(Imhoff, 2016; Nicoletti &amp; Vinale, 2018; C. Wang, Tang, &amp; Cao, 2021; L. Xu et al., 2015)"},"properties":{"noteIndex":0},"schema":"https://github.com/citation-style-language/schema/raw/master/csl-citation.json"}</w:instrText>
      </w:r>
      <w:r>
        <w:rPr>
          <w:rFonts w:cs="Times New Roman"/>
          <w:szCs w:val="24"/>
        </w:rPr>
        <w:fldChar w:fldCharType="separate"/>
      </w:r>
      <w:r w:rsidR="00794E54" w:rsidRPr="00794E54">
        <w:rPr>
          <w:rFonts w:cs="Times New Roman"/>
          <w:noProof/>
          <w:szCs w:val="24"/>
        </w:rPr>
        <w:t>(Imhoff, 2016; Nicoletti &amp; Vinale, 2018; C. Wang, Tang, &amp; Cao, 2021; L. Xu et al., 2015)</w:t>
      </w:r>
      <w:r>
        <w:rPr>
          <w:rFonts w:cs="Times New Roman"/>
          <w:szCs w:val="24"/>
        </w:rPr>
        <w:fldChar w:fldCharType="end"/>
      </w:r>
    </w:p>
    <w:p w14:paraId="1E28F99D" w14:textId="29F10C86" w:rsidR="00DC6E9A" w:rsidRDefault="00DC6E9A" w:rsidP="00DC6E9A">
      <w:pPr>
        <w:ind w:firstLine="708"/>
        <w:rPr>
          <w:rFonts w:cs="Times New Roman"/>
          <w:szCs w:val="24"/>
        </w:rPr>
      </w:pPr>
      <w:bookmarkStart w:id="21" w:name="_Hlk15911446"/>
      <w:bookmarkEnd w:id="20"/>
      <w:r>
        <w:rPr>
          <w:rFonts w:cs="Times New Roman"/>
          <w:szCs w:val="24"/>
        </w:rPr>
        <w:t xml:space="preserve">Entre los metabolitos secundarios con actividad antimicrobiana que presentan mayor interés comercial, se encuentran los péptidos antimicrobianos (PAM´s). Entre </w:t>
      </w:r>
      <w:r w:rsidRPr="00167967">
        <w:rPr>
          <w:rFonts w:cs="Times New Roman"/>
          <w:szCs w:val="24"/>
        </w:rPr>
        <w:t>1985 y 2012</w:t>
      </w:r>
      <w:r>
        <w:rPr>
          <w:rFonts w:cs="Times New Roman"/>
          <w:szCs w:val="24"/>
        </w:rPr>
        <w:t>,</w:t>
      </w:r>
      <w:r w:rsidRPr="00167967">
        <w:rPr>
          <w:rFonts w:cs="Times New Roman"/>
          <w:szCs w:val="24"/>
        </w:rPr>
        <w:t xml:space="preserve"> la bioprospección marina</w:t>
      </w:r>
      <w:r>
        <w:rPr>
          <w:rFonts w:cs="Times New Roman"/>
          <w:szCs w:val="24"/>
        </w:rPr>
        <w:t>,</w:t>
      </w:r>
      <w:r w:rsidRPr="00167967">
        <w:rPr>
          <w:rFonts w:cs="Times New Roman"/>
          <w:szCs w:val="24"/>
        </w:rPr>
        <w:t xml:space="preserve"> </w:t>
      </w:r>
      <w:r>
        <w:rPr>
          <w:rFonts w:cs="Times New Roman"/>
          <w:szCs w:val="24"/>
        </w:rPr>
        <w:t>demostró que estos</w:t>
      </w:r>
      <w:r w:rsidRPr="00167967">
        <w:rPr>
          <w:rFonts w:cs="Times New Roman"/>
          <w:szCs w:val="24"/>
        </w:rPr>
        <w:t xml:space="preserve"> péptidos </w:t>
      </w:r>
      <w:r>
        <w:rPr>
          <w:rFonts w:cs="Times New Roman"/>
          <w:szCs w:val="24"/>
        </w:rPr>
        <w:t>presentaron</w:t>
      </w:r>
      <w:r w:rsidRPr="00167967">
        <w:rPr>
          <w:rFonts w:cs="Times New Roman"/>
          <w:szCs w:val="24"/>
        </w:rPr>
        <w:t xml:space="preserve"> la mayor proporción de compuestos bioactivos encontrados</w:t>
      </w:r>
      <w:r>
        <w:rPr>
          <w:rFonts w:cs="Times New Roman"/>
          <w:szCs w:val="24"/>
        </w:rPr>
        <w:t xml:space="preserve"> </w:t>
      </w:r>
      <w:r>
        <w:rPr>
          <w:rFonts w:cs="Times New Roman"/>
          <w:szCs w:val="24"/>
        </w:rPr>
        <w:fldChar w:fldCharType="begin" w:fldLock="1"/>
      </w:r>
      <w:r>
        <w:rPr>
          <w:rFonts w:cs="Times New Roman"/>
          <w:szCs w:val="24"/>
        </w:rPr>
        <w:instrText>ADDIN CSL_CITATION {"citationItems":[{"id":"ITEM-1","itemData":{"DOI":"10.3390/md13010202","ISSN":"16603397","abstract":"Every year, hundreds of new compounds are discovered from the metabolites of marine organisms. Finding new and useful compounds is one of the crucial drivers for this field of research. Here we describe the statistics of bioactive compounds discovered from marine organisms from 1985 to 2012. This work is based on our database, which contains information on more than 15,000 chemical substances including 4196 bioactive marine natural products. We performed a comprehensive statistical analysis to understand the characteristics of the novel bioactive compounds and detail temporal trends, chemical structures, species distribution, and research progress. We hope this meta-analysis will provide useful information for research into the bioactivity of marine natural products and drug development.","author":[{"dropping-particle":"","family":"Hu","given":"Yiwen","non-dropping-particle":"","parse-names":false,"suffix":""},{"dropping-particle":"","family":"Chen","given":"Jiahui","non-dropping-particle":"","parse-names":false,"suffix":""},{"dropping-particle":"","family":"Hu","given":"Guping","non-dropping-particle":"","parse-names":false,"suffix":""},{"dropping-particle":"","family":"Yu","given":"Jianchen","non-dropping-particle":"","parse-names":false,"suffix":""},{"dropping-particle":"","family":"Zhu","given":"Xun","non-dropping-particle":"","parse-names":false,"suffix":""},{"dropping-particle":"","family":"Lin","given":"Yongcheng","non-dropping-particle":"","parse-names":false,"suffix":""},{"dropping-particle":"","family":"Chen","given":"Shengping","non-dropping-particle":"","parse-names":false,"suffix":""},{"dropping-particle":"","family":"Yuan","given":"Jie","non-dropping-particle":"","parse-names":false,"suffix":""}],"container-title":"Marine Drugs","id":"ITEM-1","issue":"1","issued":{"date-parts":[["2015"]]},"page":"202-221","title":"Statistical research on the bioactivity of new marine natural products discovered during the 28 years from 1985 to 2012","type":"article-journal","volume":"13"},"uris":["http://www.mendeley.com/documents/?uuid=91218960-ef6c-42a0-9359-1fcb087ecfc2"]}],"mendeley":{"formattedCitation":"(Hu et al., 2015)","plainTextFormattedCitation":"(Hu et al., 2015)","previouslyFormattedCitation":"(Hu et al., 2015)"},"properties":{"noteIndex":0},"schema":"https://github.com/citation-style-language/schema/raw/master/csl-citation.json"}</w:instrText>
      </w:r>
      <w:r>
        <w:rPr>
          <w:rFonts w:cs="Times New Roman"/>
          <w:szCs w:val="24"/>
        </w:rPr>
        <w:fldChar w:fldCharType="separate"/>
      </w:r>
      <w:r w:rsidRPr="00167967">
        <w:rPr>
          <w:rFonts w:cs="Times New Roman"/>
          <w:noProof/>
          <w:szCs w:val="24"/>
        </w:rPr>
        <w:t>(Hu et al., 2015)</w:t>
      </w:r>
      <w:r>
        <w:rPr>
          <w:rFonts w:cs="Times New Roman"/>
          <w:szCs w:val="24"/>
        </w:rPr>
        <w:fldChar w:fldCharType="end"/>
      </w:r>
      <w:r>
        <w:rPr>
          <w:rFonts w:cs="Times New Roman"/>
          <w:szCs w:val="24"/>
        </w:rPr>
        <w:t xml:space="preserve">. En el año 2014, a partir de los hongos </w:t>
      </w:r>
      <w:r>
        <w:rPr>
          <w:rFonts w:cs="Times New Roman"/>
          <w:i/>
          <w:szCs w:val="24"/>
        </w:rPr>
        <w:t xml:space="preserve">Phomopsis </w:t>
      </w:r>
      <w:r>
        <w:rPr>
          <w:rFonts w:cs="Times New Roman"/>
          <w:szCs w:val="24"/>
        </w:rPr>
        <w:t xml:space="preserve">sp. y </w:t>
      </w:r>
      <w:r>
        <w:rPr>
          <w:rFonts w:cs="Times New Roman"/>
          <w:i/>
          <w:szCs w:val="24"/>
        </w:rPr>
        <w:t xml:space="preserve">Alternaria </w:t>
      </w:r>
      <w:r>
        <w:rPr>
          <w:rFonts w:cs="Times New Roman"/>
          <w:szCs w:val="24"/>
        </w:rPr>
        <w:t>sp., obtenidos de una muestra de manglar, se aislaron dos ciclotetrapéptidos con fuerte actividad ant</w:t>
      </w:r>
      <w:r w:rsidRPr="005D15A6">
        <w:rPr>
          <w:rFonts w:cs="Times New Roman"/>
          <w:szCs w:val="24"/>
        </w:rPr>
        <w:t>ifúngica</w:t>
      </w:r>
      <w:r>
        <w:rPr>
          <w:rFonts w:cs="Times New Roman"/>
          <w:szCs w:val="24"/>
        </w:rPr>
        <w:t xml:space="preserve"> </w:t>
      </w:r>
      <w:r>
        <w:rPr>
          <w:rFonts w:cs="Times New Roman"/>
          <w:szCs w:val="24"/>
        </w:rPr>
        <w:fldChar w:fldCharType="begin" w:fldLock="1"/>
      </w:r>
      <w:r w:rsidR="00755888">
        <w:rPr>
          <w:rFonts w:cs="Times New Roman"/>
          <w:szCs w:val="24"/>
        </w:rPr>
        <w:instrText>ADDIN CSL_CITATION {"citationItems":[{"id":"ITEM-1","itemData":{"DOI":"10.4103/0973-1296.141781","ISSN":"0973-1296","abstract":"A new cyclic tetrapeptide, cyclo-(l-leucyl-trans-4-hydroxy-l-prolyl-d-leucyl-trans-4-hydroxy-l-proline) (1), was isolated from the co-culture broth of two mangrove fungi Phomopsis sp. K38 and Alternaria sp. E33. The structure of 1 was determined by analysis of spectroscopic data and Marfey's analytic method. Primary bioassay demonstrated that compound 1 exhibited moderate to high inhibitory activity against four crop-threatening fungi including Gaeumannomyces graminis, Rhizoctonia cerealis, Helminthosporium sativum and Fusarium graminearum as compared with triadimefon.","author":[{"dropping-particle":"","family":"Huang","given":"Song","non-dropping-particle":"","parse-names":false,"suffix":""},{"dropping-particle":"","family":"Ding","given":"Weijia","non-dropping-particle":"","parse-names":false,"suffix":""},{"dropping-particle":"","family":"Li","given":"Chunyuan","non-dropping-particle":"","parse-names":false,"suffix":""},{"dropping-particle":"","family":"Cox","given":"Daniel G.","non-dropping-particle":"","parse-names":false,"suffix":""}],"container-title":"Pharmacognosy Magazine","id":"ITEM-1","issue":"40","issued":{"date-parts":[["2014"]]},"page":"410","title":"Two new cyclopeptides from the co-culture broth of two marine mangrove fungi and their antifungal activity","type":"article-journal","volume":"10"},"uris":["http://www.mendeley.com/documents/?uuid=42dd3904-f312-4cfe-9d03-392fbe3c04ca"]}],"mendeley":{"formattedCitation":"(S. Huang, Ding, Li, &amp; Cox, 2014)","plainTextFormattedCitation":"(S. Huang, Ding, Li, &amp; Cox, 2014)","previouslyFormattedCitation":"(S. Huang, Ding, Li, &amp; Cox, 2014)"},"properties":{"noteIndex":0},"schema":"https://github.com/citation-style-language/schema/raw/master/csl-citation.json"}</w:instrText>
      </w:r>
      <w:r>
        <w:rPr>
          <w:rFonts w:cs="Times New Roman"/>
          <w:szCs w:val="24"/>
        </w:rPr>
        <w:fldChar w:fldCharType="separate"/>
      </w:r>
      <w:r w:rsidR="00F9375B" w:rsidRPr="00F9375B">
        <w:rPr>
          <w:rFonts w:cs="Times New Roman"/>
          <w:noProof/>
          <w:szCs w:val="24"/>
        </w:rPr>
        <w:t>(S. Huang, Ding, Li, &amp; Cox, 2014)</w:t>
      </w:r>
      <w:r>
        <w:rPr>
          <w:rFonts w:cs="Times New Roman"/>
          <w:szCs w:val="24"/>
        </w:rPr>
        <w:fldChar w:fldCharType="end"/>
      </w:r>
      <w:r>
        <w:rPr>
          <w:rFonts w:cs="Times New Roman"/>
          <w:szCs w:val="24"/>
        </w:rPr>
        <w:t xml:space="preserve">. </w:t>
      </w:r>
      <w:r w:rsidR="00086D2E">
        <w:rPr>
          <w:rFonts w:cs="Times New Roman"/>
          <w:szCs w:val="24"/>
        </w:rPr>
        <w:t>Sin embargo, actualmente también se siguen aislando este tipo de compuestos</w:t>
      </w:r>
      <w:r>
        <w:rPr>
          <w:rFonts w:cs="Times New Roman"/>
          <w:szCs w:val="24"/>
        </w:rPr>
        <w:t xml:space="preserve">, </w:t>
      </w:r>
      <w:r w:rsidR="003C18E7">
        <w:rPr>
          <w:rFonts w:cs="Times New Roman"/>
          <w:szCs w:val="24"/>
        </w:rPr>
        <w:t>por ejemplo,</w:t>
      </w:r>
      <w:r>
        <w:rPr>
          <w:rFonts w:cs="Times New Roman"/>
          <w:szCs w:val="24"/>
        </w:rPr>
        <w:t xml:space="preserve"> de </w:t>
      </w:r>
      <w:r w:rsidR="008124C1" w:rsidRPr="008124C1">
        <w:rPr>
          <w:rFonts w:cs="Times New Roman"/>
          <w:i/>
          <w:iCs/>
          <w:szCs w:val="24"/>
        </w:rPr>
        <w:t xml:space="preserve">Acremonium </w:t>
      </w:r>
      <w:proofErr w:type="spellStart"/>
      <w:r w:rsidR="008124C1" w:rsidRPr="008124C1">
        <w:rPr>
          <w:rFonts w:cs="Times New Roman"/>
          <w:i/>
          <w:iCs/>
          <w:szCs w:val="24"/>
        </w:rPr>
        <w:t>persicinum</w:t>
      </w:r>
      <w:proofErr w:type="spellEnd"/>
      <w:r w:rsidR="008124C1">
        <w:rPr>
          <w:rFonts w:cs="Times New Roman"/>
          <w:szCs w:val="24"/>
        </w:rPr>
        <w:t xml:space="preserve"> </w:t>
      </w:r>
      <w:r w:rsidR="00A36856">
        <w:rPr>
          <w:rFonts w:cs="Times New Roman"/>
          <w:szCs w:val="24"/>
        </w:rPr>
        <w:t xml:space="preserve">marino </w:t>
      </w:r>
      <w:r>
        <w:rPr>
          <w:rFonts w:cs="Times New Roman"/>
          <w:szCs w:val="24"/>
        </w:rPr>
        <w:t>se reportó la actividad inhibitoria contra la bacteria</w:t>
      </w:r>
      <w:r w:rsidR="008124C1">
        <w:rPr>
          <w:rFonts w:cs="Times New Roman"/>
          <w:i/>
          <w:szCs w:val="24"/>
        </w:rPr>
        <w:t xml:space="preserve"> </w:t>
      </w:r>
      <w:r w:rsidR="008871DE" w:rsidRPr="008871DE">
        <w:rPr>
          <w:rFonts w:cs="Times New Roman"/>
          <w:i/>
          <w:szCs w:val="24"/>
        </w:rPr>
        <w:t xml:space="preserve">Staphylococcus </w:t>
      </w:r>
      <w:proofErr w:type="spellStart"/>
      <w:r w:rsidR="008871DE" w:rsidRPr="008871DE">
        <w:rPr>
          <w:rFonts w:cs="Times New Roman"/>
          <w:i/>
          <w:szCs w:val="24"/>
        </w:rPr>
        <w:t>epidermidis</w:t>
      </w:r>
      <w:proofErr w:type="spellEnd"/>
      <w:r>
        <w:rPr>
          <w:rFonts w:cs="Times New Roman"/>
          <w:i/>
          <w:szCs w:val="24"/>
        </w:rPr>
        <w:t xml:space="preserve">, </w:t>
      </w:r>
      <w:r>
        <w:rPr>
          <w:rFonts w:cs="Times New Roman"/>
          <w:szCs w:val="24"/>
        </w:rPr>
        <w:t>por acción de ciclihexapéptidos fúngicos</w:t>
      </w:r>
      <w:r w:rsidR="008871DE">
        <w:rPr>
          <w:rFonts w:cs="Times New Roman"/>
          <w:szCs w:val="24"/>
        </w:rPr>
        <w:t xml:space="preserve"> </w:t>
      </w:r>
      <w:r w:rsidR="00070258">
        <w:rPr>
          <w:rFonts w:cs="Times New Roman"/>
          <w:szCs w:val="24"/>
        </w:rPr>
        <w:fldChar w:fldCharType="begin" w:fldLock="1"/>
      </w:r>
      <w:r w:rsidR="00E14A2A">
        <w:rPr>
          <w:rFonts w:cs="Times New Roman"/>
          <w:szCs w:val="24"/>
        </w:rPr>
        <w:instrText>ADDIN CSL_CITATION {"citationItems":[{"id":"ITEM-1","itemData":{"DOI":"10.3390/md17100559","ISBN":"2022405110","ISSN":"16603397","PMID":"31569458","abstract":"Fungal marine microorganisms are a valuable source of bioactive natural products. Fungal secondary metabolites mainly comprise alkaloids, terpenoids, peptides, polyketides, steroids, and lactones. Proteins and peptides from marine fungi show minimal human toxicity and less adverse effects comparable to synthetic drugs. This review summarizes the chemistry and the biological activities of peptides that were isolated and structurally elucidated from marine fungi. Relevant fungal genera including Acremonium, Ascotricha, Aspergillus, Asteromyces, Ceratodictyon, Clonostachys, Emericella, Exserohilum, Microsporum, Metarrhizium, Penicillium, Scytalidium, Simplicillium, Stachylidium, Talaromyces, Trichoderma, as well as Zygosporium were extensively reviewed. About 131 peptides were reported from these 17 genera and their structures were unambiguously determined using 1D and 2D NMR (one and two dimensional nuclear magnetic resonance) techniques in addition to HRMS (high resolution mass spectrometry). Marfey and Mosher reactions were used to confirm the identity of these compounds. About 53% of the isolated peptides exhibited cytotoxic, antimicrobial, and antiviral activity, meanwhile, few of them showed antidiabetic, lipid lowering, and anti-inflammatory activity. However 47% of the isolated peptides showed no activity with respect to the examined biological activity and thus required further in depth biological assessment. In conclusion, when searching for bioactive natural products, it is worth exploring more peptides of fungal origin and assessing their biological activities.","author":[{"dropping-particle":"","family":"Youssef","given":"Fadia S.","non-dropping-particle":"","parse-names":false,"suffix":""},{"dropping-particle":"","family":"Ashour","given":"Mohamed L.","non-dropping-particle":"","parse-names":false,"suffix":""},{"dropping-particle":"","family":"Singab","given":"Abdel Nasser B.","non-dropping-particle":"","parse-names":false,"suffix":""},{"dropping-particle":"","family":"Wink","given":"Michael","non-dropping-particle":"","parse-names":false,"suffix":""}],"container-title":"Marine Drugs","id":"ITEM-1","issue":"10","issued":{"date-parts":[["2019"]]},"title":"A comprehensive review of bioactive peptides from marine fungi and their biological significance","type":"article-journal","volume":"17"},"uris":["http://www.mendeley.com/documents/?uuid=6b31936b-3b21-44ca-9ac2-6f2de650ceb9"]}],"mendeley":{"formattedCitation":"(Youssef, Ashour, Singab, &amp; Wink, 2019)","plainTextFormattedCitation":"(Youssef, Ashour, Singab, &amp; Wink, 2019)","previouslyFormattedCitation":"(Youssef, Ashour, Singab, &amp; Wink, 2019)"},"properties":{"noteIndex":0},"schema":"https://github.com/citation-style-language/schema/raw/master/csl-citation.json"}</w:instrText>
      </w:r>
      <w:r w:rsidR="00070258">
        <w:rPr>
          <w:rFonts w:cs="Times New Roman"/>
          <w:szCs w:val="24"/>
        </w:rPr>
        <w:fldChar w:fldCharType="separate"/>
      </w:r>
      <w:r w:rsidR="00070258" w:rsidRPr="00070258">
        <w:rPr>
          <w:rFonts w:cs="Times New Roman"/>
          <w:noProof/>
          <w:szCs w:val="24"/>
        </w:rPr>
        <w:t>(Youssef, Ashour, Singab, &amp; Wink, 2019)</w:t>
      </w:r>
      <w:r w:rsidR="00070258">
        <w:rPr>
          <w:rFonts w:cs="Times New Roman"/>
          <w:szCs w:val="24"/>
        </w:rPr>
        <w:fldChar w:fldCharType="end"/>
      </w:r>
      <w:r>
        <w:rPr>
          <w:rFonts w:cs="Times New Roman"/>
          <w:szCs w:val="24"/>
        </w:rPr>
        <w:t xml:space="preserve">. </w:t>
      </w:r>
    </w:p>
    <w:p w14:paraId="24FCBB34" w14:textId="4A9E22C1" w:rsidR="00DC6E9A" w:rsidRDefault="00DC6E9A" w:rsidP="00DC6E9A">
      <w:pPr>
        <w:ind w:firstLine="708"/>
        <w:rPr>
          <w:rFonts w:cs="Times New Roman"/>
          <w:szCs w:val="24"/>
        </w:rPr>
      </w:pPr>
      <w:r>
        <w:rPr>
          <w:rFonts w:cs="Times New Roman"/>
          <w:szCs w:val="24"/>
        </w:rPr>
        <w:t xml:space="preserve">Los metabolitos con actividad antibiótica son moléculas atractivas de estudio a nivel mundial. Sin embargo, los investigadores líderes en desarrollo y comercialización de éstas residen en la región asiática. En una revisión bibliográfica de </w:t>
      </w:r>
      <w:proofErr w:type="spellStart"/>
      <w:r>
        <w:rPr>
          <w:rFonts w:cs="Times New Roman"/>
          <w:szCs w:val="24"/>
        </w:rPr>
        <w:t>Hu</w:t>
      </w:r>
      <w:proofErr w:type="spellEnd"/>
      <w:r>
        <w:rPr>
          <w:rFonts w:cs="Times New Roman"/>
          <w:szCs w:val="24"/>
        </w:rPr>
        <w:t xml:space="preserve"> et al. (2015) sobre aislamientos fúngicos, la mayor cantidad de investigaciones y productos aislados se han generado en China. Debido a que este país genera mucha investigación e invierte muchos recursos en el descubrimiento de nuevos compuestos </w:t>
      </w:r>
      <w:r>
        <w:rPr>
          <w:rFonts w:cs="Times New Roman"/>
          <w:szCs w:val="24"/>
        </w:rPr>
        <w:fldChar w:fldCharType="begin" w:fldLock="1"/>
      </w:r>
      <w:r w:rsidR="0040596A">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Fungi","type":"article-journal","volume":"13"},"uris":["http://www.mendeley.com/documents/?uuid=a560cc4c-f05b-4e6e-8bd3-2970e15c7624"]}],"mendeley":{"formattedCitation":"(L. Xu et al., 2015)","plainTextFormattedCitation":"(L. Xu et al., 2015)","previouslyFormattedCitation":"(L. Xu et al., 2015)"},"properties":{"noteIndex":0},"schema":"https://github.com/citation-style-language/schema/raw/master/csl-citation.json"}</w:instrText>
      </w:r>
      <w:r>
        <w:rPr>
          <w:rFonts w:cs="Times New Roman"/>
          <w:szCs w:val="24"/>
        </w:rPr>
        <w:fldChar w:fldCharType="separate"/>
      </w:r>
      <w:r w:rsidR="00902F56" w:rsidRPr="00902F56">
        <w:rPr>
          <w:rFonts w:cs="Times New Roman"/>
          <w:noProof/>
          <w:szCs w:val="24"/>
        </w:rPr>
        <w:t>(L. Xu et al., 2015)</w:t>
      </w:r>
      <w:r>
        <w:rPr>
          <w:rFonts w:cs="Times New Roman"/>
          <w:szCs w:val="24"/>
        </w:rPr>
        <w:fldChar w:fldCharType="end"/>
      </w:r>
      <w:r>
        <w:rPr>
          <w:rFonts w:cs="Times New Roman"/>
          <w:szCs w:val="24"/>
        </w:rPr>
        <w:t>. Mientras se observa este crecimiento en la región oriental, existe un vacío de información general, el cuál es más evidente en la región centroamericana. En Costa Rica</w:t>
      </w:r>
      <w:r w:rsidRPr="005658D7">
        <w:rPr>
          <w:rFonts w:cs="Times New Roman"/>
          <w:szCs w:val="24"/>
        </w:rPr>
        <w:t>, se cuenta con poc</w:t>
      </w:r>
      <w:r>
        <w:rPr>
          <w:rFonts w:cs="Times New Roman"/>
          <w:szCs w:val="24"/>
        </w:rPr>
        <w:t>os reportes de hongos marinos y la información publicada acerca de bioprospección es nula.</w:t>
      </w:r>
    </w:p>
    <w:p w14:paraId="0EA67217" w14:textId="7D4618D2" w:rsidR="00DC6E9A" w:rsidRDefault="4447C96C" w:rsidP="4447C96C">
      <w:pPr>
        <w:ind w:firstLine="708"/>
        <w:rPr>
          <w:rFonts w:cs="Times New Roman"/>
        </w:rPr>
      </w:pPr>
      <w:r w:rsidRPr="4447C96C">
        <w:rPr>
          <w:rFonts w:cs="Times New Roman"/>
        </w:rPr>
        <w:t xml:space="preserve">El primer registro de un hongo marino en Costa Rica, se realizó en el año 1990, en el área de Punta Morales, donde </w:t>
      </w:r>
      <w:r w:rsidR="00DC6E9A" w:rsidRPr="4447C96C">
        <w:rPr>
          <w:rFonts w:cs="Times New Roman"/>
        </w:rPr>
        <w:fldChar w:fldCharType="begin" w:fldLock="1"/>
      </w:r>
      <w:r w:rsidR="00DC6E9A" w:rsidRPr="4447C96C">
        <w:rPr>
          <w:rFonts w:cs="Times New Roman"/>
        </w:rPr>
        <w:instrText>ADDIN CSL_CITATION {"citationItems":[{"id":"ITEM-1","itemData":{"author":[{"dropping-particle":"","family":"Ulken","given":"Annemarle","non-dropping-particle":"","parse-names":false,"suffix":""},{"dropping-particle":"","family":"Víquez","given":"Roxana","non-dropping-particle":"","parse-names":false,"suffix":""},{"dropping-particle":"","family":"Valiente","given":"Carmen","non-dropping-particle":"","parse-names":false,"suffix":""},{"dropping-particle":"","family":"Campos","given":"Mitzi","non-dropping-particle":"","parse-names":false,"suffix":""}],"container-title":"Rev. Biol. Trop.","id":"ITEM-1","issue":"1984","issued":{"date-parts":[["1990"]]},"page":"243-250","title":"Marine fungi (&lt;i&gt;Chytridiornycetes and Thraustochytriales&lt;/i&gt;) frorn a rnangrove area at Punta Morales, Golfo de Nicoya, Costa Rica","type":"article-journal","volume":"38"},"uris":["http://www.mendeley.com/documents/?uuid=1ced0d0c-84b1-4647-8271-e7ed3b9f955c"]}],"mendeley":{"formattedCitation":"(Ulken, Víquez, Valiente, &amp; Campos, 1990)","manualFormatting":"Ulken, Víquez, Valiente, &amp; Campos (1990)","plainTextFormattedCitation":"(Ulken, Víquez, Valiente, &amp; Campos, 1990)","previouslyFormattedCitation":"(Ulken, Víquez, Valiente, &amp; Campos, 1990)"},"properties":{"noteIndex":0},"schema":"https://github.com/citation-style-language/schema/raw/master/csl-citation.json"}</w:instrText>
      </w:r>
      <w:r w:rsidR="00DC6E9A" w:rsidRPr="4447C96C">
        <w:rPr>
          <w:rFonts w:cs="Times New Roman"/>
        </w:rPr>
        <w:fldChar w:fldCharType="separate"/>
      </w:r>
      <w:r w:rsidRPr="4447C96C">
        <w:rPr>
          <w:rFonts w:cs="Times New Roman"/>
          <w:noProof/>
        </w:rPr>
        <w:t>Ulken, Víquez, Valiente, &amp; Campos (1990)</w:t>
      </w:r>
      <w:r w:rsidR="00DC6E9A" w:rsidRPr="4447C96C">
        <w:rPr>
          <w:rFonts w:cs="Times New Roman"/>
        </w:rPr>
        <w:fldChar w:fldCharType="end"/>
      </w:r>
      <w:r w:rsidRPr="4447C96C">
        <w:rPr>
          <w:rFonts w:cs="Times New Roman"/>
        </w:rPr>
        <w:t xml:space="preserve"> lograron identificar especies del filo </w:t>
      </w:r>
      <w:r w:rsidRPr="4447C96C">
        <w:rPr>
          <w:rFonts w:cs="Times New Roman"/>
          <w:i/>
          <w:iCs/>
        </w:rPr>
        <w:t>Chytridiomycota</w:t>
      </w:r>
      <w:r w:rsidRPr="4447C96C">
        <w:rPr>
          <w:rFonts w:cs="Times New Roman"/>
        </w:rPr>
        <w:t xml:space="preserve">; </w:t>
      </w:r>
      <w:proofErr w:type="spellStart"/>
      <w:r w:rsidRPr="4447C96C">
        <w:rPr>
          <w:rFonts w:cs="Times New Roman"/>
          <w:i/>
          <w:iCs/>
        </w:rPr>
        <w:t>Thraustochytrium</w:t>
      </w:r>
      <w:proofErr w:type="spellEnd"/>
      <w:r w:rsidRPr="4447C96C">
        <w:rPr>
          <w:rFonts w:cs="Times New Roman"/>
          <w:i/>
          <w:iCs/>
        </w:rPr>
        <w:t xml:space="preserve"> </w:t>
      </w:r>
      <w:r w:rsidRPr="4447C96C">
        <w:rPr>
          <w:rFonts w:cs="Times New Roman"/>
        </w:rPr>
        <w:t xml:space="preserve">sp. y </w:t>
      </w:r>
      <w:proofErr w:type="spellStart"/>
      <w:r w:rsidRPr="4447C96C">
        <w:rPr>
          <w:rFonts w:cs="Times New Roman"/>
          <w:i/>
          <w:iCs/>
        </w:rPr>
        <w:t>Labyrinthula</w:t>
      </w:r>
      <w:proofErr w:type="spellEnd"/>
      <w:r w:rsidRPr="4447C96C">
        <w:rPr>
          <w:rFonts w:cs="Times New Roman"/>
          <w:i/>
          <w:iCs/>
        </w:rPr>
        <w:t xml:space="preserve"> </w:t>
      </w:r>
      <w:r w:rsidRPr="4447C96C">
        <w:rPr>
          <w:rFonts w:cs="Times New Roman"/>
        </w:rPr>
        <w:t>sp</w:t>
      </w:r>
      <w:r w:rsidRPr="4447C96C">
        <w:rPr>
          <w:rFonts w:cs="Times New Roman"/>
          <w:i/>
          <w:iCs/>
        </w:rPr>
        <w:t xml:space="preserve">.  </w:t>
      </w:r>
      <w:r w:rsidRPr="4447C96C">
        <w:rPr>
          <w:rFonts w:cs="Times New Roman"/>
        </w:rPr>
        <w:t xml:space="preserve">Hasta veinticinco años después, en el 2015, se encontraron diversos hongos </w:t>
      </w:r>
      <w:r w:rsidR="003F5ABD">
        <w:rPr>
          <w:rFonts w:cs="Times New Roman"/>
        </w:rPr>
        <w:t>marinos en las zonas de mínimo oxígeno,</w:t>
      </w:r>
      <w:r w:rsidRPr="4447C96C">
        <w:rPr>
          <w:rFonts w:cs="Times New Roman"/>
        </w:rPr>
        <w:t xml:space="preserve"> mediante </w:t>
      </w:r>
      <w:proofErr w:type="spellStart"/>
      <w:r w:rsidRPr="4447C96C">
        <w:rPr>
          <w:rFonts w:cs="Times New Roman"/>
        </w:rPr>
        <w:t>pirosecuenciación</w:t>
      </w:r>
      <w:proofErr w:type="spellEnd"/>
      <w:r w:rsidRPr="4447C96C">
        <w:rPr>
          <w:rFonts w:cs="Times New Roman"/>
        </w:rPr>
        <w:t xml:space="preserve"> del gen 18S ARNr </w:t>
      </w:r>
      <w:r w:rsidR="00DC6E9A" w:rsidRPr="4447C96C">
        <w:rPr>
          <w:rFonts w:cs="Times New Roman"/>
        </w:rPr>
        <w:fldChar w:fldCharType="begin" w:fldLock="1"/>
      </w:r>
      <w:r w:rsidR="00DC6E9A" w:rsidRPr="4447C96C">
        <w:rPr>
          <w:rFonts w:cs="Times New Roman"/>
        </w:rPr>
        <w:instrText>ADDIN CSL_CITATION {"citationItems":[{"id":"ITEM-1","itemData":{"DOI":"10.5194/bgd-12-13483-2015","ISSN":"18106285","abstract":"&lt;p&gt;&lt;strong&gt;Abstract.&lt;/strong&gt; Marine planktonic protists, including microalgae and protistan grazers, are an important contributor to global primary production and carbon and mineral cycles, however, little is known about their population shifts along the oxic-anoxic gradient in the water column. We used 454 pyrosequencing of the 18S rRNA gene and gene transcripts to study the community composition of whole and active protists throughout a water column in the Costa Rica Dome, where a stable oxygen minimum zone (OMZ) exists at a depth of 400~700 m. A clear shift of protist composition from photosynthetic &lt;i&gt;Dinoflagellates&lt;/i&gt; in the surface to potential parasitic &lt;i&gt;Dinoflagellates&lt;/i&gt; and &lt;i&gt;Ciliates&lt;/i&gt; in the deeper water was revealed along the vertical profile at both rRNA and rDNA levels. Those protist groups recovered only at the rDNA level represent either lysed aggregates sinking from the upper waters or potential hosts for parasitic groups. UPGMA clustering demonstrated that total and active protists in the anoxic core of OMZ (550 m) were distinct from those in other water depths. The reduced community diversity and presence of a parasitic/symbiotic trophic lifestyle in the OMZ, especially the anoxic core, suggests that OMZs can exert a selective pressure on protist communities. Such changes in community structure and a shift in trophic lifestyle could result in a modulation of the microbial loop and associated biogeochemical cycling.&lt;/p&gt;","author":[{"dropping-particle":"","family":"Jing","given":"H.","non-dropping-particle":"","parse-names":false,"suffix":""},{"dropping-particle":"","family":"Rocke","given":"E.","non-dropping-particle":"","parse-names":false,"suffix":""},{"dropping-particle":"","family":"Kong","given":"L.","non-dropping-particle":"","parse-names":false,"suffix":""},{"dropping-particle":"","family":"Xia","given":"X.","non-dropping-particle":"","parse-names":false,"suffix":""},{"dropping-particle":"","family":"Liu","given":"H.","non-dropping-particle":"","parse-names":false,"suffix":""},{"dropping-particle":"","family":"Landry","given":"M. R.","non-dropping-particle":"","parse-names":false,"suffix":""}],"container-title":"Biogeosciences Discussions","id":"ITEM-1","issue":"16","issued":{"date-parts":[["2015"]]},"page":"13483-13509","title":"Protist communities in a marine oxygen minimum zone off Costa Rica by 454 pyrosequencing","type":"article-journal","volume":"12"},"uris":["http://www.mendeley.com/documents/?uuid=f0b1e763-ec3b-4b80-89ee-6fb6a4ebfc89"]}],"mendeley":{"formattedCitation":"(Jing et al., 2015)","plainTextFormattedCitation":"(Jing et al., 2015)","previouslyFormattedCitation":"(Jing et al., 2015)"},"properties":{"noteIndex":0},"schema":"https://github.com/citation-style-language/schema/raw/master/csl-citation.json"}</w:instrText>
      </w:r>
      <w:r w:rsidR="00DC6E9A" w:rsidRPr="4447C96C">
        <w:rPr>
          <w:rFonts w:cs="Times New Roman"/>
        </w:rPr>
        <w:fldChar w:fldCharType="separate"/>
      </w:r>
      <w:r w:rsidRPr="4447C96C">
        <w:rPr>
          <w:rFonts w:cs="Times New Roman"/>
          <w:noProof/>
        </w:rPr>
        <w:t>(Jing et al., 2015)</w:t>
      </w:r>
      <w:r w:rsidR="00DC6E9A" w:rsidRPr="4447C96C">
        <w:rPr>
          <w:rFonts w:cs="Times New Roman"/>
        </w:rPr>
        <w:fldChar w:fldCharType="end"/>
      </w:r>
      <w:r w:rsidRPr="4447C96C">
        <w:rPr>
          <w:rFonts w:cs="Times New Roman"/>
        </w:rPr>
        <w:t xml:space="preserve"> y subsecuentemente se han realizado estudios de hongos marinos en patogenicidad en octocorales </w:t>
      </w:r>
      <w:r w:rsidR="00DC6E9A" w:rsidRPr="4447C96C">
        <w:rPr>
          <w:rFonts w:cs="Times New Roman"/>
        </w:rPr>
        <w:fldChar w:fldCharType="begin" w:fldLock="1"/>
      </w:r>
      <w:r w:rsidR="00DC6E9A" w:rsidRPr="4447C96C">
        <w:rPr>
          <w:rFonts w:cs="Times New Roman"/>
        </w:rPr>
        <w:instrText>ADDIN CSL_CITATION {"citationItems":[{"id":"ITEM-1","itemData":{"author":[{"dropping-particle":"","family":"Calderón-Hernández","given":"Alejandra María","non-dropping-particle":"","parse-names":false,"suffix":""}],"container-title":"Posgrado Regional de Ciencias Veterinarias Tropicales","id":"ITEM-1","issued":{"date-parts":[["2017"]]},"number-of-pages":"1-115","publisher":"Universidad Nacional de Costa Rica","title":"Aislamiento e identificación de hongos en octocorales del Caribe de Costa Rica durante el Niño 2015-2016","type":"thesis"},"uris":["http://www.mendeley.com/documents/?uuid=aab3c3b3-c4f9-48d4-8216-f4cac0d261ed"]}],"mendeley":{"formattedCitation":"(Calderón-Hernández, 2017)","manualFormatting":"(Calderón-Hernández, 2017)","plainTextFormattedCitation":"(Calderón-Hernández, 2017)","previouslyFormattedCitation":"(Calderón-Hernández, 2017)"},"properties":{"noteIndex":0},"schema":"https://github.com/citation-style-language/schema/raw/master/csl-citation.json"}</w:instrText>
      </w:r>
      <w:r w:rsidR="00DC6E9A" w:rsidRPr="4447C96C">
        <w:rPr>
          <w:rFonts w:cs="Times New Roman"/>
        </w:rPr>
        <w:fldChar w:fldCharType="separate"/>
      </w:r>
      <w:r w:rsidRPr="4447C96C">
        <w:rPr>
          <w:rFonts w:cs="Times New Roman"/>
          <w:noProof/>
        </w:rPr>
        <w:t>(Calderón-Hernández, 2017)</w:t>
      </w:r>
      <w:r w:rsidR="00DC6E9A" w:rsidRPr="4447C96C">
        <w:rPr>
          <w:rFonts w:cs="Times New Roman"/>
        </w:rPr>
        <w:fldChar w:fldCharType="end"/>
      </w:r>
      <w:r w:rsidRPr="4447C96C">
        <w:rPr>
          <w:rFonts w:cs="Times New Roman"/>
        </w:rPr>
        <w:t xml:space="preserve">. Por último, el registro más reciente se realizó en el corredor marino Isla del Coco-Galápagos, en el </w:t>
      </w:r>
      <w:r w:rsidRPr="4447C96C">
        <w:rPr>
          <w:rFonts w:cs="Times New Roman"/>
        </w:rPr>
        <w:lastRenderedPageBreak/>
        <w:t xml:space="preserve">cual, mediante el uso de metagenómica, se reportaron al menos cinco filos de hongos </w:t>
      </w:r>
      <w:r w:rsidR="00DC6E9A" w:rsidRPr="4447C96C">
        <w:rPr>
          <w:rFonts w:cs="Times New Roman"/>
        </w:rPr>
        <w:fldChar w:fldCharType="begin" w:fldLock="1"/>
      </w:r>
      <w:r w:rsidR="00DC6E9A" w:rsidRPr="4447C96C">
        <w:rPr>
          <w:rFonts w:cs="Times New Roman"/>
        </w:rPr>
        <w:instrText>ADDIN CSL_CITATION {"citationItems":[{"id":"ITEM-1","itemData":{"DOI":"/10.18845/tm.v31i4.3974","author":[{"dropping-particle":"","family":"Rojas-Jiménez","given":"Keilor","non-dropping-particle":"","parse-names":false,"suffix":""}],"container-title":"Tecnología en Marcha","id":"ITEM-1","issue":"4","issued":{"date-parts":[["2018"]]},"page":"157-166","title":"Microorganismos del corredor marino Isla del Coco-Galápagos : diversidad funcional y de especies","type":"article-journal","volume":"31"},"uris":["http://www.mendeley.com/documents/?uuid=8994b08f-ffb7-48e3-b333-7ef7aa741125"]}],"mendeley":{"formattedCitation":"(Rojas-Jiménez, 2018)","plainTextFormattedCitation":"(Rojas-Jiménez, 2018)","previouslyFormattedCitation":"(Rojas-Jiménez, 2018)"},"properties":{"noteIndex":0},"schema":"https://github.com/citation-style-language/schema/raw/master/csl-citation.json"}</w:instrText>
      </w:r>
      <w:r w:rsidR="00DC6E9A" w:rsidRPr="4447C96C">
        <w:rPr>
          <w:rFonts w:cs="Times New Roman"/>
        </w:rPr>
        <w:fldChar w:fldCharType="separate"/>
      </w:r>
      <w:r w:rsidRPr="4447C96C">
        <w:rPr>
          <w:rFonts w:cs="Times New Roman"/>
          <w:noProof/>
        </w:rPr>
        <w:t>(Rojas-Jiménez, 2018)</w:t>
      </w:r>
      <w:r w:rsidR="00DC6E9A" w:rsidRPr="4447C96C">
        <w:rPr>
          <w:rFonts w:cs="Times New Roman"/>
        </w:rPr>
        <w:fldChar w:fldCharType="end"/>
      </w:r>
      <w:r w:rsidRPr="4447C96C">
        <w:rPr>
          <w:rFonts w:cs="Times New Roman"/>
        </w:rPr>
        <w:t xml:space="preserve">. </w:t>
      </w:r>
    </w:p>
    <w:bookmarkEnd w:id="21"/>
    <w:p w14:paraId="227398AD" w14:textId="77777777" w:rsidR="00DC6E9A" w:rsidRDefault="00DC6E9A" w:rsidP="00DC6E9A">
      <w:pPr>
        <w:ind w:firstLine="708"/>
        <w:rPr>
          <w:rFonts w:cs="Times New Roman"/>
          <w:szCs w:val="24"/>
        </w:rPr>
      </w:pPr>
      <w:r>
        <w:rPr>
          <w:rFonts w:cs="Times New Roman"/>
          <w:szCs w:val="24"/>
        </w:rPr>
        <w:t xml:space="preserve">De igual manera sucede con los registros de hongos terrestres, los reportes son alarmantemente bajos; siendo uno de los únicos reportes nacionales el de metabolitos secundarios aislados de endófitos de plantas herbáceas y algunos árboles </w:t>
      </w:r>
      <w:r>
        <w:rPr>
          <w:rFonts w:cs="Times New Roman"/>
          <w:szCs w:val="24"/>
        </w:rPr>
        <w:fldChar w:fldCharType="begin" w:fldLock="1"/>
      </w:r>
      <w:r>
        <w:rPr>
          <w:rFonts w:cs="Times New Roman"/>
          <w:szCs w:val="24"/>
        </w:rPr>
        <w:instrText>ADDIN CSL_CITATION {"citationItems":[{"id":"ITEM-1","itemData":{"DOI":"10.1186/1471-2261-9-19","ISBN":"1471-2261 (Electronic)\\n1471-2261 (Linking)","ISSN":"14712261","PMID":"19460143","author":[{"dropping-particle":"","family":"Schulz","given":"Barbara","non-dropping-particle":"","parse-names":false,"suffix":""},{"dropping-particle":"","family":"Boyle","given":"Christine","non-dropping-particle":"","parse-names":false,"suffix":""},{"dropping-particle":"","family":"Draeger","given":"Siegfried","non-dropping-particle":"","parse-names":false,"suffix":""},{"dropping-particle":"","family":"Römmert","given":"Anne-katrin","non-dropping-particle":"","parse-names":false,"suffix":""},{"dropping-particle":"","family":"Krohn","given":"Karsten","non-dropping-particle":"","parse-names":false,"suffix":""}],"id":"ITEM-1","issue":"106","issued":{"date-parts":[["2002"]]},"page":"996-1004","title":"Endophytic fungi: a source of novel biologically active secondary metabolites","type":"article-journal","volume":"9"},"uris":["http://www.mendeley.com/documents/?uuid=6c23150a-ad9b-430a-b094-d1a425599d81"]}],"mendeley":{"formattedCitation":"(Schulz, Boyle, Draeger, Römmert, &amp; Krohn, 2002)","plainTextFormattedCitation":"(Schulz, Boyle, Draeger, Römmert, &amp; Krohn, 2002)","previouslyFormattedCitation":"(Schulz, Boyle, Draeger, Römmert, &amp; Krohn, 2002)"},"properties":{"noteIndex":0},"schema":"https://github.com/citation-style-language/schema/raw/master/csl-citation.json"}</w:instrText>
      </w:r>
      <w:r>
        <w:rPr>
          <w:rFonts w:cs="Times New Roman"/>
          <w:szCs w:val="24"/>
        </w:rPr>
        <w:fldChar w:fldCharType="separate"/>
      </w:r>
      <w:r w:rsidRPr="0086027B">
        <w:rPr>
          <w:rFonts w:cs="Times New Roman"/>
          <w:noProof/>
          <w:szCs w:val="24"/>
        </w:rPr>
        <w:t>(Schulz, Boyle, Draeger, Römmert, &amp; Krohn, 2002)</w:t>
      </w:r>
      <w:r>
        <w:rPr>
          <w:rFonts w:cs="Times New Roman"/>
          <w:szCs w:val="24"/>
        </w:rPr>
        <w:fldChar w:fldCharType="end"/>
      </w:r>
      <w:r>
        <w:rPr>
          <w:rFonts w:cs="Times New Roman"/>
          <w:szCs w:val="24"/>
        </w:rPr>
        <w:t>.</w:t>
      </w:r>
    </w:p>
    <w:p w14:paraId="47B4E0CA" w14:textId="77777777" w:rsidR="00DC6E9A" w:rsidRPr="005658D7" w:rsidRDefault="00DC6E9A" w:rsidP="00DC6E9A">
      <w:pPr>
        <w:rPr>
          <w:rFonts w:cs="Times New Roman"/>
          <w:szCs w:val="24"/>
        </w:rPr>
      </w:pPr>
    </w:p>
    <w:p w14:paraId="01208B37" w14:textId="77777777" w:rsidR="00DC6E9A" w:rsidRPr="00346505" w:rsidRDefault="00DC6E9A" w:rsidP="00DC6E9A">
      <w:pPr>
        <w:pStyle w:val="Titulo20"/>
        <w:spacing w:after="0"/>
      </w:pPr>
      <w:bookmarkStart w:id="22" w:name="_Toc24018761"/>
      <w:bookmarkStart w:id="23" w:name="_Toc140204055"/>
      <w:r>
        <w:t xml:space="preserve">1.2 </w:t>
      </w:r>
      <w:r w:rsidRPr="00346505">
        <w:t>Justificación</w:t>
      </w:r>
      <w:bookmarkEnd w:id="22"/>
      <w:bookmarkEnd w:id="23"/>
    </w:p>
    <w:p w14:paraId="2ACEB423" w14:textId="77777777" w:rsidR="00DC6E9A" w:rsidRDefault="00DC6E9A" w:rsidP="00DC6E9A">
      <w:pPr>
        <w:rPr>
          <w:rFonts w:cs="Times New Roman"/>
        </w:rPr>
      </w:pPr>
      <w:r>
        <w:rPr>
          <w:rFonts w:cs="Times New Roman"/>
          <w:b/>
        </w:rPr>
        <w:tab/>
      </w:r>
      <w:r w:rsidRPr="006D08F6">
        <w:rPr>
          <w:rFonts w:cs="Times New Roman"/>
        </w:rPr>
        <w:t xml:space="preserve">En los últimos años las bacterias han adquirido resistencia a los antibióticos y cada vez </w:t>
      </w:r>
      <w:r>
        <w:rPr>
          <w:rFonts w:cs="Times New Roman"/>
        </w:rPr>
        <w:t xml:space="preserve">se requiere de una mayor concentración </w:t>
      </w:r>
      <w:r w:rsidRPr="006D08F6">
        <w:rPr>
          <w:rFonts w:cs="Times New Roman"/>
        </w:rPr>
        <w:t xml:space="preserve">de </w:t>
      </w:r>
      <w:r>
        <w:rPr>
          <w:rFonts w:cs="Times New Roman"/>
        </w:rPr>
        <w:t>estos para su tratamiento</w:t>
      </w:r>
      <w:r w:rsidRPr="006D08F6">
        <w:rPr>
          <w:rFonts w:cs="Times New Roman"/>
        </w:rPr>
        <w:t xml:space="preserve">. </w:t>
      </w:r>
      <w:r>
        <w:rPr>
          <w:rFonts w:cs="Times New Roman"/>
        </w:rPr>
        <w:t xml:space="preserve"> Esta problemática es provocada, entre otras razones, </w:t>
      </w:r>
      <w:bookmarkStart w:id="24" w:name="_Hlk16356908"/>
      <w:r>
        <w:rPr>
          <w:rFonts w:cs="Times New Roman"/>
        </w:rPr>
        <w:t>por la prescripción inapropiada de los mismos, su excesivo uso en la agricultura y ganadería, las</w:t>
      </w:r>
      <w:r w:rsidRPr="006D08F6">
        <w:rPr>
          <w:rFonts w:cs="Times New Roman"/>
        </w:rPr>
        <w:t xml:space="preserve"> malas prácticas de </w:t>
      </w:r>
      <w:r>
        <w:rPr>
          <w:rFonts w:cs="Times New Roman"/>
        </w:rPr>
        <w:t>consumo</w:t>
      </w:r>
      <w:r w:rsidRPr="006D08F6">
        <w:rPr>
          <w:rFonts w:cs="Times New Roman"/>
        </w:rPr>
        <w:t xml:space="preserve">, </w:t>
      </w:r>
      <w:r>
        <w:rPr>
          <w:rFonts w:cs="Times New Roman"/>
        </w:rPr>
        <w:t xml:space="preserve">sumado al </w:t>
      </w:r>
      <w:r w:rsidRPr="006D08F6">
        <w:rPr>
          <w:rFonts w:cs="Times New Roman"/>
        </w:rPr>
        <w:t>desconocimiento y negligencia</w:t>
      </w:r>
      <w:r>
        <w:rPr>
          <w:rFonts w:cs="Times New Roman"/>
        </w:rPr>
        <w:t xml:space="preserve">, además, de la poca disponibilidad de nuevos antibióticos, lo que ha generado la utilización repetida y desmedida de la misma oferta de antibióticos </w:t>
      </w:r>
      <w:r>
        <w:rPr>
          <w:rFonts w:cs="Times New Roman"/>
        </w:rPr>
        <w:fldChar w:fldCharType="begin" w:fldLock="1"/>
      </w:r>
      <w:r>
        <w:rPr>
          <w:rFonts w:cs="Times New Roman"/>
        </w:rPr>
        <w:instrText>ADDIN CSL_CITATION {"citationItems":[{"id":"ITEM-1","itemData":{"DOI":"10.5796/electrochemistry.82.749","ISBN":"6082633695","ISSN":"21862451","PMID":"10559251","abstract":"Exposure of HepG2 cells to beta-naphthoflavone (beta-NF) or pyrrolidine dithiocarbamate (PDTC) resulted in the up-regulation of the gamma- glutamylcysteine synthetase catalytic (GCS(h)) and regulatory (GCS(l)) subunit genes. Increased expression was associated with an increase in the binding of Nrf2 to electrophile response elements (EpRE) in the promoters of these genes. Nrf2 overexpression increased the activity of GCS(h) and GCS(l) promoter/reporter transgenes. Overexpression of an MafK dominant negative mutant decreased Nrf2 binding to GCS EpRE sequences, inhibited the inducible expression of GCS(h) and GCS(l) promoter/reporter transgenes, and reduced endogenous GCS gene induction. beta-NF and PDTC exposure also increased steady-state levels of MafG mRNA. In addition to Nrf2, small Maf and JunD proteins were detected in GCS(h)EpRE-protein complexes and, to a lesser extent, in GCS(l)EpRE-protein complexes. The Nrf2-associated expression of GCS promoter/reporter transgenes was inhibited by overexpression of MafG. Inhibition of protein synthesis by cycloheximide partially decreased inducibility by PDTC or beta-NF and resulted in significant increases in GCS mRNA at late time points, when GCS mRNA levels are normally declining. We hypothesize that, in response to beta-NF and PDTC, the GCS subunit genes are transcriptionally up-regulated by Nrf2-basic leucine zipper complexes, containing either JunD or small Maf protein, depending on the particular GCS EpRE target sequence and the inducer. Following maximal induction, down-regulation of the two genes is mediated via a protein synthesis-dependent mechanism.","author":[{"dropping-particle":"","family":"Ventola","given":"C. Lee","non-dropping-particle":"","parse-names":false,"suffix":""}],"container-title":"Pharmacy and Therapeutics","id":"ITEM-1","issue":"4","issued":{"date-parts":[["2015"]]},"page":"278-283","title":"The Antibiotic Resistance Crisis","type":"article-journal","volume":"40"},"uris":["http://www.mendeley.com/documents/?uuid=567f92d9-c63f-4b35-89bd-eeceb22b2595"]}],"mendeley":{"formattedCitation":"(Ventola, 2015)","plainTextFormattedCitation":"(Ventola, 2015)","previouslyFormattedCitation":"(Ventola, 2015)"},"properties":{"noteIndex":0},"schema":"https://github.com/citation-style-language/schema/raw/master/csl-citation.json"}</w:instrText>
      </w:r>
      <w:r>
        <w:rPr>
          <w:rFonts w:cs="Times New Roman"/>
        </w:rPr>
        <w:fldChar w:fldCharType="separate"/>
      </w:r>
      <w:r w:rsidRPr="00BD599E">
        <w:rPr>
          <w:rFonts w:cs="Times New Roman"/>
          <w:noProof/>
        </w:rPr>
        <w:t>(Ventola, 2015)</w:t>
      </w:r>
      <w:r>
        <w:rPr>
          <w:rFonts w:cs="Times New Roman"/>
        </w:rPr>
        <w:fldChar w:fldCharType="end"/>
      </w:r>
      <w:bookmarkEnd w:id="24"/>
      <w:r>
        <w:rPr>
          <w:rFonts w:cs="Times New Roman"/>
        </w:rPr>
        <w:t xml:space="preserve">. La </w:t>
      </w:r>
      <w:bookmarkStart w:id="25" w:name="_Hlk16358344"/>
      <w:r>
        <w:rPr>
          <w:rFonts w:cs="Times New Roman"/>
          <w:szCs w:val="24"/>
        </w:rPr>
        <w:t>O</w:t>
      </w:r>
      <w:r w:rsidRPr="00FE459B">
        <w:rPr>
          <w:rFonts w:cs="Times New Roman"/>
          <w:szCs w:val="24"/>
        </w:rPr>
        <w:t xml:space="preserve">rganización </w:t>
      </w:r>
      <w:r>
        <w:rPr>
          <w:rFonts w:cs="Times New Roman"/>
          <w:szCs w:val="24"/>
        </w:rPr>
        <w:t>M</w:t>
      </w:r>
      <w:r w:rsidRPr="00FE459B">
        <w:rPr>
          <w:rFonts w:cs="Times New Roman"/>
          <w:szCs w:val="24"/>
        </w:rPr>
        <w:t xml:space="preserve">undial de la </w:t>
      </w:r>
      <w:r>
        <w:rPr>
          <w:rFonts w:cs="Times New Roman"/>
          <w:szCs w:val="24"/>
        </w:rPr>
        <w:t>S</w:t>
      </w:r>
      <w:r w:rsidRPr="00FE459B">
        <w:rPr>
          <w:rFonts w:cs="Times New Roman"/>
          <w:szCs w:val="24"/>
        </w:rPr>
        <w:t>alud</w:t>
      </w:r>
      <w:r>
        <w:rPr>
          <w:rFonts w:cs="Times New Roman"/>
          <w:szCs w:val="24"/>
        </w:rPr>
        <w:t xml:space="preserve"> (OMS)</w:t>
      </w:r>
      <w:r w:rsidRPr="00FE459B">
        <w:rPr>
          <w:rFonts w:cs="Times New Roman"/>
          <w:szCs w:val="24"/>
        </w:rPr>
        <w:t xml:space="preserve"> </w:t>
      </w:r>
      <w:bookmarkEnd w:id="25"/>
      <w:r>
        <w:rPr>
          <w:rFonts w:cs="Times New Roman"/>
          <w:szCs w:val="24"/>
        </w:rPr>
        <w:t xml:space="preserve">nombra a la </w:t>
      </w:r>
      <w:bookmarkStart w:id="26" w:name="_Hlk16358321"/>
      <w:r>
        <w:rPr>
          <w:rFonts w:cs="Times New Roman"/>
          <w:szCs w:val="24"/>
        </w:rPr>
        <w:t xml:space="preserve">resistencia de antimicrobianos </w:t>
      </w:r>
      <w:r w:rsidRPr="00FE459B">
        <w:rPr>
          <w:rFonts w:cs="Times New Roman"/>
          <w:szCs w:val="24"/>
        </w:rPr>
        <w:t>como uno de los principales retos de la humanidad</w:t>
      </w:r>
      <w:bookmarkEnd w:id="26"/>
      <w:r>
        <w:rPr>
          <w:rFonts w:cs="Times New Roman"/>
          <w:szCs w:val="24"/>
        </w:rPr>
        <w:t xml:space="preserve"> y realiza,</w:t>
      </w:r>
      <w:r w:rsidRPr="00FE459B">
        <w:rPr>
          <w:rFonts w:cs="Times New Roman"/>
          <w:szCs w:val="24"/>
        </w:rPr>
        <w:t xml:space="preserve"> con ayuda del programa </w:t>
      </w:r>
      <w:bookmarkStart w:id="27" w:name="_Hlk16358563"/>
      <w:r>
        <w:rPr>
          <w:rFonts w:cs="Times New Roman"/>
          <w:szCs w:val="24"/>
        </w:rPr>
        <w:t>“</w:t>
      </w:r>
      <w:r w:rsidRPr="00FE459B">
        <w:rPr>
          <w:rFonts w:cs="Times New Roman"/>
          <w:szCs w:val="24"/>
        </w:rPr>
        <w:t>One Heath</w:t>
      </w:r>
      <w:r>
        <w:rPr>
          <w:rFonts w:cs="Times New Roman"/>
          <w:szCs w:val="24"/>
        </w:rPr>
        <w:t>” la búsqueda y el diseño de políticas, investigación e implementación de programas y legislaciones que involucren múltiples sectores para dar mejoras a la salud pública (</w:t>
      </w:r>
      <w:proofErr w:type="spellStart"/>
      <w:r>
        <w:rPr>
          <w:rFonts w:cs="Times New Roman"/>
          <w:szCs w:val="24"/>
        </w:rPr>
        <w:t>World</w:t>
      </w:r>
      <w:proofErr w:type="spellEnd"/>
      <w:r>
        <w:rPr>
          <w:rFonts w:cs="Times New Roman"/>
          <w:szCs w:val="24"/>
        </w:rPr>
        <w:t xml:space="preserve"> </w:t>
      </w:r>
      <w:proofErr w:type="spellStart"/>
      <w:r>
        <w:rPr>
          <w:rFonts w:cs="Times New Roman"/>
          <w:szCs w:val="24"/>
        </w:rPr>
        <w:t>Health</w:t>
      </w:r>
      <w:proofErr w:type="spellEnd"/>
      <w:r>
        <w:rPr>
          <w:rFonts w:cs="Times New Roman"/>
          <w:szCs w:val="24"/>
        </w:rPr>
        <w:t xml:space="preserve"> </w:t>
      </w:r>
      <w:proofErr w:type="spellStart"/>
      <w:r>
        <w:rPr>
          <w:rFonts w:cs="Times New Roman"/>
          <w:szCs w:val="24"/>
        </w:rPr>
        <w:t>Organization</w:t>
      </w:r>
      <w:proofErr w:type="spellEnd"/>
      <w:r>
        <w:rPr>
          <w:rFonts w:cs="Times New Roman"/>
          <w:szCs w:val="24"/>
        </w:rPr>
        <w:t>-WHO, 2017)</w:t>
      </w:r>
      <w:r>
        <w:rPr>
          <w:rFonts w:cs="Times New Roman"/>
        </w:rPr>
        <w:t xml:space="preserve">. </w:t>
      </w:r>
      <w:bookmarkEnd w:id="27"/>
    </w:p>
    <w:p w14:paraId="56E16B9E" w14:textId="77777777" w:rsidR="00DC6E9A" w:rsidRDefault="00DC6E9A" w:rsidP="00DC6E9A">
      <w:pPr>
        <w:ind w:firstLine="708"/>
        <w:rPr>
          <w:rFonts w:cs="Times New Roman"/>
        </w:rPr>
      </w:pPr>
      <w:r w:rsidRPr="00996E7C">
        <w:rPr>
          <w:rFonts w:cs="Times New Roman"/>
        </w:rPr>
        <w:t xml:space="preserve">Además, la </w:t>
      </w:r>
      <w:r>
        <w:rPr>
          <w:rFonts w:cs="Times New Roman"/>
        </w:rPr>
        <w:t>OMS</w:t>
      </w:r>
      <w:r w:rsidRPr="00996E7C">
        <w:rPr>
          <w:rFonts w:cs="Times New Roman"/>
        </w:rPr>
        <w:t xml:space="preserve"> ha incluido a </w:t>
      </w:r>
      <w:bookmarkStart w:id="28" w:name="_Hlk16358653"/>
      <w:r w:rsidRPr="00996E7C">
        <w:rPr>
          <w:rFonts w:cs="Times New Roman"/>
        </w:rPr>
        <w:t>la comunidad científica entre uno de lo</w:t>
      </w:r>
      <w:r>
        <w:rPr>
          <w:rFonts w:cs="Times New Roman"/>
        </w:rPr>
        <w:t xml:space="preserve">s ejes mundiales para indagar en nuevas alternativas para combatir la resistencia antimicrobiana </w:t>
      </w:r>
      <w:r>
        <w:rPr>
          <w:rFonts w:cs="Times New Roman"/>
        </w:rPr>
        <w:fldChar w:fldCharType="begin" w:fldLock="1"/>
      </w:r>
      <w:r>
        <w:rPr>
          <w:rFonts w:cs="Times New Roman"/>
        </w:rPr>
        <w:instrText>ADDIN CSL_CITATION {"citationItems":[{"id":"ITEM-1","itemData":{"DOI":"10.1002/anie.201506818","ISBN":"1521-3773 (Electronic)\\r1433-7851 (Linking)","ISSN":"15213773","PMID":"27000559","abstract":"Finding strategies against the development of antibiotic resistance is a major global challenge for the life sciences community and for public health. The past decades have seen a dramatic worldwide increase in human-pathogenic bacteria that are resistant to one or multiple antibiotics. More and more infections caused by resistant microorganisms fail to respond to conventional treatment, and in some cases, even last-resort antibiotics have lost their power. In addition, industry pipelines for the development of novel antibiotics have run dry over the past decades. A recent world health day by the World Health Organization titled \"Combat drug resistance: no action today means no cure tomorrow\" triggered an increase in research activity, and several promising strategies have been developed to restore treatment options against infections by resistant bacterial pathogens.","author":[{"dropping-particle":"","family":"Chellat","given":"Mathieu F.","non-dropping-particle":"","parse-names":false,"suffix":""},{"dropping-particle":"","family":"Raguž","given":"Luka","non-dropping-particle":"","parse-names":false,"suffix":""},{"dropping-particle":"","family":"Riedl","given":"Rainer","non-dropping-particle":"","parse-names":false,"suffix":""}],"container-title":"Angewandte Chemie - International Edition","id":"ITEM-1","issue":"23","issued":{"date-parts":[["2016"]]},"page":"6600-6626","title":"Targeting Antibiotic Resistance","type":"article-journal","volume":"55"},"uris":["http://www.mendeley.com/documents/?uuid=e635b7f2-493f-4d46-903e-d3b69d999cb3"]}],"mendeley":{"formattedCitation":"(Chellat, Raguž, &amp; Riedl, 2016)","plainTextFormattedCitation":"(Chellat, Raguž, &amp; Riedl, 2016)","previouslyFormattedCitation":"(Chellat, Raguž, &amp; Riedl, 2016)"},"properties":{"noteIndex":0},"schema":"https://github.com/citation-style-language/schema/raw/master/csl-citation.json"}</w:instrText>
      </w:r>
      <w:r>
        <w:rPr>
          <w:rFonts w:cs="Times New Roman"/>
        </w:rPr>
        <w:fldChar w:fldCharType="separate"/>
      </w:r>
      <w:r w:rsidRPr="00996E7C">
        <w:rPr>
          <w:rFonts w:cs="Times New Roman"/>
          <w:noProof/>
        </w:rPr>
        <w:t>(Chellat, Raguž, &amp; Riedl, 2016)</w:t>
      </w:r>
      <w:r>
        <w:rPr>
          <w:rFonts w:cs="Times New Roman"/>
        </w:rPr>
        <w:fldChar w:fldCharType="end"/>
      </w:r>
      <w:bookmarkEnd w:id="28"/>
      <w:r w:rsidRPr="00996E7C">
        <w:rPr>
          <w:rFonts w:cs="Times New Roman"/>
        </w:rPr>
        <w:t xml:space="preserve">. </w:t>
      </w:r>
      <w:r>
        <w:rPr>
          <w:rFonts w:cs="Times New Roman"/>
        </w:rPr>
        <w:t xml:space="preserve"> Sin embargo, no solamente la OMS </w:t>
      </w:r>
      <w:bookmarkStart w:id="29" w:name="_Hlk16358734"/>
      <w:r>
        <w:rPr>
          <w:rFonts w:cs="Times New Roman"/>
        </w:rPr>
        <w:t>se ha pronunciado al respecto, también lo han hecho la</w:t>
      </w:r>
      <w:r w:rsidRPr="00C769AA">
        <w:rPr>
          <w:rFonts w:cs="Times New Roman"/>
        </w:rPr>
        <w:t xml:space="preserve"> Organización de las Naciones Unidas para la Agricultura y la Alimentación (FAO)</w:t>
      </w:r>
      <w:r>
        <w:rPr>
          <w:rFonts w:cs="Times New Roman"/>
        </w:rPr>
        <w:t xml:space="preserve"> con el plan de acción contra la resistencia antibacteriana que inició en el 2016 con prospección al 2020 </w:t>
      </w:r>
      <w:r>
        <w:rPr>
          <w:rFonts w:cs="Times New Roman"/>
        </w:rPr>
        <w:fldChar w:fldCharType="begin" w:fldLock="1"/>
      </w:r>
      <w:r>
        <w:rPr>
          <w:rFonts w:cs="Times New Roman"/>
        </w:rPr>
        <w:instrText>ADDIN CSL_CITATION {"citationItems":[{"id":"ITEM-1","itemData":{"DOI":"10.1136/bmj.317.7161.764","ISSN":"0959-8138","abstract":"Supporting the food and agriculture sectors in implementing the Global Action Plan on Antimicrobial Resistance to minimize the impact of antimicrobial resistance","author":[{"dropping-particle":"","family":"Food and Agriculture Organization of the United Nations","given":"","non-dropping-particle":"","parse-names":false,"suffix":""}],"container-title":"FOOD AND AGRICULTURE ORGANIZATION OF THE UNITED NATIONS","id":"ITEM-1","issue":"7161","issued":{"date-parts":[["2016"]]},"page":"764-770","title":"The FAO Action Plan on Antimicrobial Resistance 2016-2020","type":"article-journal","volume":"317"},"uris":["http://www.mendeley.com/documents/?uuid=90e671be-6f44-4178-9578-9a882ddc3df8"]}],"mendeley":{"formattedCitation":"(Food and Agriculture Organization of the United Nations, 2016)","plainTextFormattedCitation":"(Food and Agriculture Organization of the United Nations, 2016)","previouslyFormattedCitation":"(Food and Agriculture Organization of the United Nations, 2016)"},"properties":{"noteIndex":0},"schema":"https://github.com/citation-style-language/schema/raw/master/csl-citation.json"}</w:instrText>
      </w:r>
      <w:r>
        <w:rPr>
          <w:rFonts w:cs="Times New Roman"/>
        </w:rPr>
        <w:fldChar w:fldCharType="separate"/>
      </w:r>
      <w:r w:rsidRPr="007B619C">
        <w:rPr>
          <w:rFonts w:cs="Times New Roman"/>
          <w:noProof/>
        </w:rPr>
        <w:t>(Food and Agriculture Organization of the United Nations, 2016)</w:t>
      </w:r>
      <w:r>
        <w:rPr>
          <w:rFonts w:cs="Times New Roman"/>
        </w:rPr>
        <w:fldChar w:fldCharType="end"/>
      </w:r>
      <w:r>
        <w:rPr>
          <w:rFonts w:cs="Times New Roman"/>
        </w:rPr>
        <w:t xml:space="preserve"> y la </w:t>
      </w:r>
      <w:r w:rsidRPr="00C769AA">
        <w:rPr>
          <w:rFonts w:cs="Times New Roman"/>
        </w:rPr>
        <w:t>Organización Mundial de Sanidad Animal</w:t>
      </w:r>
      <w:r>
        <w:rPr>
          <w:rFonts w:cs="Times New Roman"/>
        </w:rPr>
        <w:t xml:space="preserve"> </w:t>
      </w:r>
      <w:r w:rsidRPr="00C769AA">
        <w:rPr>
          <w:rFonts w:cs="Times New Roman"/>
        </w:rPr>
        <w:t>(OIE)</w:t>
      </w:r>
      <w:r>
        <w:rPr>
          <w:rFonts w:cs="Times New Roman"/>
        </w:rPr>
        <w:t xml:space="preserve">. Estas tres organizaciones participan en el Plan Global contra resistencia Antimicrobiana adoptado en el año 2015 </w:t>
      </w:r>
      <w:r>
        <w:rPr>
          <w:rFonts w:cs="Times New Roman"/>
        </w:rPr>
        <w:fldChar w:fldCharType="begin" w:fldLock="1"/>
      </w:r>
      <w:r>
        <w:rPr>
          <w:rFonts w:cs="Times New Roman"/>
        </w:rPr>
        <w:instrText>ADDIN CSL_CITATION {"citationItems":[{"id":"ITEM-1","itemData":{"DOI":"ISBN 978 92 4 150976 3","ISBN":"978-92-4-150976-3","ISSN":"978 92 4 150976 3","PMID":"21134814","abstract":"At the Sixty-eight World Health Assembly in May 2015, the World Health Assembly endorsed a global action plan to tackle antimicrobial resistance - including antibiotic resistance, the most urgent drug resistance trend. Antimicrobial resistance is occurring everywhere in the world, compromising our ability to treat infectious diseases, as well as undermining many other advances in health and medicine. The goal of the draft global action plan is to ensure, for as long as possible, continuity of successful treatment and prevention of infectious diseases with effective and safe medicines that are quality-assured, used in a responsible way, and accessible to all who need them. The global action plan is available at the link below. Global action plan on antimicrobial resistance Draft resolution - A68/A/CONF./1 Rev. 1 To achieve this goal, the global action plan sets out five strategic objectives: to improve awareness and understanding of antimicrobial resistance; to strengthen knowledge through surveillance and research; to reduce the incidence of infection; to optimize the use of antimicrobial agents; and develop the economic case for sustainable investment that takes account of the needs of all countries, and increase investment in new medicines, diagnostic tools, vaccines and other interventions. Development of this plan was guided by the advice of countries and key stakeholders, based on several multistakeholder consultations at different global and regional forums. More information on the development of the global action plan In the course of the development of the global action plan, the WHO Secretariat considered many existing plans, initiatives and activities. Information on these plans and activities has been summarized and is made available at the link below. Related initiatives and activities","author":[{"dropping-particle":"","family":"WHO","given":"","non-dropping-particle":"","parse-names":false,"suffix":""}],"container-title":"WHO Press","id":"ITEM-1","issued":{"date-parts":[["2015"]]},"page":"1-28","title":"Global action plan on antimicrobial resistance.","type":"article-journal"},"uris":["http://www.mendeley.com/documents/?uuid=49e50811-efda-48d5-8529-d454cc3aa9f4"]}],"mendeley":{"formattedCitation":"(WHO, 2015)","plainTextFormattedCitation":"(WHO, 2015)","previouslyFormattedCitation":"(WHO, 2015)"},"properties":{"noteIndex":0},"schema":"https://github.com/citation-style-language/schema/raw/master/csl-citation.json"}</w:instrText>
      </w:r>
      <w:r>
        <w:rPr>
          <w:rFonts w:cs="Times New Roman"/>
        </w:rPr>
        <w:fldChar w:fldCharType="separate"/>
      </w:r>
      <w:r w:rsidRPr="00F21A15">
        <w:rPr>
          <w:rFonts w:cs="Times New Roman"/>
          <w:noProof/>
        </w:rPr>
        <w:t>(WHO, 2015)</w:t>
      </w:r>
      <w:r>
        <w:rPr>
          <w:rFonts w:cs="Times New Roman"/>
        </w:rPr>
        <w:fldChar w:fldCharType="end"/>
      </w:r>
      <w:r>
        <w:rPr>
          <w:rFonts w:cs="Times New Roman"/>
        </w:rPr>
        <w:t>.</w:t>
      </w:r>
    </w:p>
    <w:bookmarkEnd w:id="29"/>
    <w:p w14:paraId="20EA827D" w14:textId="77777777" w:rsidR="00DC6E9A" w:rsidRPr="00996E7C" w:rsidRDefault="00DC6E9A" w:rsidP="00995DE5">
      <w:pPr>
        <w:spacing w:before="240"/>
        <w:rPr>
          <w:rFonts w:cs="Times New Roman"/>
        </w:rPr>
      </w:pPr>
      <w:r>
        <w:rPr>
          <w:rFonts w:cs="Times New Roman"/>
        </w:rPr>
        <w:tab/>
        <w:t xml:space="preserve">Costa Rica por su parte, mediante el Ministerio de Salud, estableció </w:t>
      </w:r>
      <w:bookmarkStart w:id="30" w:name="_Hlk16358982"/>
      <w:r>
        <w:rPr>
          <w:rFonts w:cs="Times New Roman"/>
        </w:rPr>
        <w:t>“</w:t>
      </w:r>
      <w:r w:rsidRPr="003317BD">
        <w:rPr>
          <w:rFonts w:cs="Times New Roman"/>
        </w:rPr>
        <w:t>La Comisión Nacional de Lucha contra la resistencia Antimicrobiana</w:t>
      </w:r>
      <w:r>
        <w:rPr>
          <w:rFonts w:cs="Times New Roman"/>
        </w:rPr>
        <w:t>”, la cual se encargó de crear el “</w:t>
      </w:r>
      <w:r w:rsidRPr="003317BD">
        <w:rPr>
          <w:rFonts w:cs="Times New Roman"/>
        </w:rPr>
        <w:t xml:space="preserve">Plan </w:t>
      </w:r>
      <w:r>
        <w:rPr>
          <w:rFonts w:cs="Times New Roman"/>
        </w:rPr>
        <w:t>d</w:t>
      </w:r>
      <w:r w:rsidRPr="003317BD">
        <w:rPr>
          <w:rFonts w:cs="Times New Roman"/>
        </w:rPr>
        <w:t xml:space="preserve">e Acción Nacional </w:t>
      </w:r>
      <w:r>
        <w:rPr>
          <w:rFonts w:cs="Times New Roman"/>
        </w:rPr>
        <w:t>d</w:t>
      </w:r>
      <w:r w:rsidRPr="003317BD">
        <w:rPr>
          <w:rFonts w:cs="Times New Roman"/>
        </w:rPr>
        <w:t xml:space="preserve">e </w:t>
      </w:r>
      <w:r>
        <w:rPr>
          <w:rFonts w:cs="Times New Roman"/>
        </w:rPr>
        <w:t>l</w:t>
      </w:r>
      <w:r w:rsidRPr="003317BD">
        <w:rPr>
          <w:rFonts w:cs="Times New Roman"/>
        </w:rPr>
        <w:t xml:space="preserve">ucha </w:t>
      </w:r>
      <w:r>
        <w:rPr>
          <w:rFonts w:cs="Times New Roman"/>
        </w:rPr>
        <w:t>c</w:t>
      </w:r>
      <w:r w:rsidRPr="003317BD">
        <w:rPr>
          <w:rFonts w:cs="Times New Roman"/>
        </w:rPr>
        <w:t xml:space="preserve">ontra </w:t>
      </w:r>
      <w:r>
        <w:rPr>
          <w:rFonts w:cs="Times New Roman"/>
        </w:rPr>
        <w:t>l</w:t>
      </w:r>
      <w:r w:rsidRPr="003317BD">
        <w:rPr>
          <w:rFonts w:cs="Times New Roman"/>
        </w:rPr>
        <w:t xml:space="preserve">a Resistencia </w:t>
      </w:r>
      <w:r>
        <w:rPr>
          <w:rFonts w:cs="Times New Roman"/>
        </w:rPr>
        <w:t>a</w:t>
      </w:r>
      <w:r w:rsidRPr="003317BD">
        <w:rPr>
          <w:rFonts w:cs="Times New Roman"/>
        </w:rPr>
        <w:t xml:space="preserve"> </w:t>
      </w:r>
      <w:r>
        <w:rPr>
          <w:rFonts w:cs="Times New Roman"/>
        </w:rPr>
        <w:t>l</w:t>
      </w:r>
      <w:r w:rsidRPr="003317BD">
        <w:rPr>
          <w:rFonts w:cs="Times New Roman"/>
        </w:rPr>
        <w:t>os Antimicrobianos</w:t>
      </w:r>
      <w:r>
        <w:rPr>
          <w:rFonts w:cs="Times New Roman"/>
        </w:rPr>
        <w:t>,</w:t>
      </w:r>
      <w:r w:rsidRPr="003317BD">
        <w:rPr>
          <w:rFonts w:cs="Times New Roman"/>
        </w:rPr>
        <w:t xml:space="preserve"> 2018-2025</w:t>
      </w:r>
      <w:r>
        <w:rPr>
          <w:rFonts w:cs="Times New Roman"/>
        </w:rPr>
        <w:t>”.</w:t>
      </w:r>
      <w:bookmarkEnd w:id="30"/>
      <w:r>
        <w:rPr>
          <w:rFonts w:cs="Times New Roman"/>
        </w:rPr>
        <w:t xml:space="preserve"> Este plan busca </w:t>
      </w:r>
      <w:bookmarkStart w:id="31" w:name="_Hlk16359006"/>
      <w:r>
        <w:rPr>
          <w:rFonts w:cs="Times New Roman"/>
        </w:rPr>
        <w:t>“v</w:t>
      </w:r>
      <w:r w:rsidRPr="003317BD">
        <w:rPr>
          <w:rFonts w:cs="Times New Roman"/>
        </w:rPr>
        <w:t xml:space="preserve">igilar, contener y controlar de forma integrada la resistencia a los antimicrobianos que abarque </w:t>
      </w:r>
      <w:r w:rsidRPr="003317BD">
        <w:rPr>
          <w:rFonts w:cs="Times New Roman"/>
        </w:rPr>
        <w:lastRenderedPageBreak/>
        <w:t>salud humana, salud animal y salud vegetal</w:t>
      </w:r>
      <w:r>
        <w:rPr>
          <w:rFonts w:cs="Times New Roman"/>
        </w:rPr>
        <w:t xml:space="preserve">” </w:t>
      </w:r>
      <w:r>
        <w:rPr>
          <w:rFonts w:cs="Times New Roman"/>
        </w:rPr>
        <w:fldChar w:fldCharType="begin" w:fldLock="1"/>
      </w:r>
      <w:r>
        <w:rPr>
          <w:rFonts w:cs="Times New Roman"/>
        </w:rPr>
        <w:instrText>ADDIN CSL_CITATION {"citationItems":[{"id":"ITEM-1","itemData":{"DOI":"10.22201/fq.18708404e.2004.3.66178","ISBN":"8436944542","ISSN":"0187-893X","abstract":"5-6 حزيران","author":[{"dropping-particle":"","family":"Gobierno de Costa Rica","given":"Gobierno de Costa Rica","non-dropping-particle":"","parse-names":false,"suffix":""}],"container-title":"Gobierno del Bicentenario 2018-2022","id":"ITEM-1","issue":"2","issued":{"date-parts":[["2018"]]},"page":"2017-2019","title":"Plan de acción Nacional de lucha contra la resistencia de los antimicrobianos Costa Rica 2018-2025","type":"article-journal","volume":"15"},"uris":["http://www.mendeley.com/documents/?uuid=28081a1b-60bc-4e05-9d4b-6cf7bdae5e94"]}],"mendeley":{"formattedCitation":"(Gobierno de Costa Rica, 2018)","plainTextFormattedCitation":"(Gobierno de Costa Rica, 2018)","previouslyFormattedCitation":"(Gobierno de Costa Rica, 2018)"},"properties":{"noteIndex":0},"schema":"https://github.com/citation-style-language/schema/raw/master/csl-citation.json"}</w:instrText>
      </w:r>
      <w:r>
        <w:rPr>
          <w:rFonts w:cs="Times New Roman"/>
        </w:rPr>
        <w:fldChar w:fldCharType="separate"/>
      </w:r>
      <w:r w:rsidRPr="00EF3A1F">
        <w:rPr>
          <w:rFonts w:cs="Times New Roman"/>
          <w:noProof/>
        </w:rPr>
        <w:t>(Gobierno de Costa Rica, 2018)</w:t>
      </w:r>
      <w:r>
        <w:rPr>
          <w:rFonts w:cs="Times New Roman"/>
        </w:rPr>
        <w:fldChar w:fldCharType="end"/>
      </w:r>
      <w:bookmarkEnd w:id="31"/>
      <w:r>
        <w:rPr>
          <w:rFonts w:cs="Times New Roman"/>
        </w:rPr>
        <w:t xml:space="preserve">. Además, entre sus múltiples puntos de acción, busca </w:t>
      </w:r>
      <w:bookmarkStart w:id="32" w:name="_Hlk16360061"/>
      <w:r>
        <w:rPr>
          <w:rFonts w:cs="Times New Roman"/>
        </w:rPr>
        <w:t xml:space="preserve">invertir en estudios de investigación que colaboren a entender mejor los procesos que generan resistencia e incentivar investigaciones para el </w:t>
      </w:r>
      <w:r w:rsidRPr="0057313D">
        <w:rPr>
          <w:rFonts w:cs="Times New Roman"/>
        </w:rPr>
        <w:t xml:space="preserve">desarrollo de alternativas </w:t>
      </w:r>
      <w:r>
        <w:rPr>
          <w:rFonts w:cs="Times New Roman"/>
        </w:rPr>
        <w:t xml:space="preserve">y </w:t>
      </w:r>
      <w:r w:rsidRPr="0057313D">
        <w:rPr>
          <w:rFonts w:cs="Times New Roman"/>
        </w:rPr>
        <w:t xml:space="preserve">nuevos </w:t>
      </w:r>
      <w:r>
        <w:rPr>
          <w:rFonts w:cs="Times New Roman"/>
        </w:rPr>
        <w:t>compuestos para combatir enfermedades ligadas a esta resistencia</w:t>
      </w:r>
      <w:bookmarkEnd w:id="32"/>
      <w:r>
        <w:rPr>
          <w:rFonts w:cs="Times New Roman"/>
        </w:rPr>
        <w:t>.</w:t>
      </w:r>
    </w:p>
    <w:p w14:paraId="5F9CB313" w14:textId="25898538" w:rsidR="00DC6E9A" w:rsidRDefault="00DC6E9A" w:rsidP="00995DE5">
      <w:pPr>
        <w:ind w:firstLine="708"/>
        <w:rPr>
          <w:rFonts w:cs="Times New Roman"/>
        </w:rPr>
      </w:pPr>
      <w:r>
        <w:rPr>
          <w:rFonts w:cs="Times New Roman"/>
        </w:rPr>
        <w:t xml:space="preserve">Bajo este marco, es necesario realizar </w:t>
      </w:r>
      <w:r w:rsidRPr="006D08F6">
        <w:rPr>
          <w:rFonts w:cs="Times New Roman"/>
        </w:rPr>
        <w:t xml:space="preserve">esfuerzos exhaustivos para obtener nuevas opciones que permitan </w:t>
      </w:r>
      <w:r w:rsidR="00372D9C">
        <w:rPr>
          <w:rFonts w:cs="Times New Roman"/>
        </w:rPr>
        <w:t>eliminar</w:t>
      </w:r>
      <w:r w:rsidRPr="006D08F6">
        <w:rPr>
          <w:rFonts w:cs="Times New Roman"/>
        </w:rPr>
        <w:t xml:space="preserve"> o inhibir el crecimiento de las bacterias</w:t>
      </w:r>
      <w:r>
        <w:rPr>
          <w:rFonts w:cs="Times New Roman"/>
        </w:rPr>
        <w:t xml:space="preserve"> resistentes. A nivel mundial se efectúan </w:t>
      </w:r>
      <w:r w:rsidRPr="006D08F6">
        <w:rPr>
          <w:rFonts w:cs="Times New Roman"/>
        </w:rPr>
        <w:t xml:space="preserve">investigaciones para conocer </w:t>
      </w:r>
      <w:r>
        <w:rPr>
          <w:rFonts w:cs="Times New Roman"/>
        </w:rPr>
        <w:t xml:space="preserve">mejor </w:t>
      </w:r>
      <w:r w:rsidRPr="006D08F6">
        <w:rPr>
          <w:rFonts w:cs="Times New Roman"/>
        </w:rPr>
        <w:t xml:space="preserve">los mecanismos </w:t>
      </w:r>
      <w:r>
        <w:rPr>
          <w:rFonts w:cs="Times New Roman"/>
        </w:rPr>
        <w:t>que generan resistencia, de la misma manera se</w:t>
      </w:r>
      <w:r w:rsidRPr="006D08F6">
        <w:rPr>
          <w:rFonts w:cs="Times New Roman"/>
        </w:rPr>
        <w:t xml:space="preserve"> </w:t>
      </w:r>
      <w:r>
        <w:rPr>
          <w:rFonts w:cs="Times New Roman"/>
        </w:rPr>
        <w:t>indagan nuevos métodos que puedan</w:t>
      </w:r>
      <w:r w:rsidRPr="006D08F6">
        <w:rPr>
          <w:rFonts w:cs="Times New Roman"/>
        </w:rPr>
        <w:t xml:space="preserve"> reemplazar </w:t>
      </w:r>
      <w:r>
        <w:rPr>
          <w:rFonts w:cs="Times New Roman"/>
        </w:rPr>
        <w:t>o acompañar los tratamientos actuales. Entre las</w:t>
      </w:r>
      <w:r w:rsidRPr="006D08F6">
        <w:rPr>
          <w:rFonts w:cs="Times New Roman"/>
        </w:rPr>
        <w:t xml:space="preserve"> alternativas que ha</w:t>
      </w:r>
      <w:r>
        <w:rPr>
          <w:rFonts w:cs="Times New Roman"/>
        </w:rPr>
        <w:t>n</w:t>
      </w:r>
      <w:r w:rsidRPr="006D08F6">
        <w:rPr>
          <w:rFonts w:cs="Times New Roman"/>
        </w:rPr>
        <w:t xml:space="preserve"> tomado </w:t>
      </w:r>
      <w:r>
        <w:rPr>
          <w:rFonts w:cs="Times New Roman"/>
        </w:rPr>
        <w:t>considerable</w:t>
      </w:r>
      <w:r w:rsidRPr="006D08F6">
        <w:rPr>
          <w:rFonts w:cs="Times New Roman"/>
        </w:rPr>
        <w:t xml:space="preserve"> fuerza</w:t>
      </w:r>
      <w:r>
        <w:rPr>
          <w:rFonts w:cs="Times New Roman"/>
        </w:rPr>
        <w:t>,</w:t>
      </w:r>
      <w:r w:rsidRPr="006D08F6">
        <w:rPr>
          <w:rFonts w:cs="Times New Roman"/>
        </w:rPr>
        <w:t xml:space="preserve"> se</w:t>
      </w:r>
      <w:r>
        <w:rPr>
          <w:rFonts w:cs="Times New Roman"/>
        </w:rPr>
        <w:t xml:space="preserve"> encuentra</w:t>
      </w:r>
      <w:r w:rsidRPr="006D08F6">
        <w:rPr>
          <w:rFonts w:cs="Times New Roman"/>
        </w:rPr>
        <w:t xml:space="preserve"> la búsqueda de</w:t>
      </w:r>
      <w:r>
        <w:rPr>
          <w:rFonts w:cs="Times New Roman"/>
        </w:rPr>
        <w:t xml:space="preserve"> nuevos</w:t>
      </w:r>
      <w:r w:rsidRPr="006D08F6">
        <w:rPr>
          <w:rFonts w:cs="Times New Roman"/>
        </w:rPr>
        <w:t xml:space="preserve"> </w:t>
      </w:r>
      <w:r>
        <w:rPr>
          <w:rFonts w:cs="Times New Roman"/>
        </w:rPr>
        <w:t>compuestos bioactivos</w:t>
      </w:r>
      <w:r w:rsidRPr="006D08F6">
        <w:rPr>
          <w:rFonts w:cs="Times New Roman"/>
        </w:rPr>
        <w:t xml:space="preserve"> que</w:t>
      </w:r>
      <w:r>
        <w:rPr>
          <w:rFonts w:cs="Times New Roman"/>
        </w:rPr>
        <w:t xml:space="preserve"> posean la capacidad de inhibir</w:t>
      </w:r>
      <w:r w:rsidRPr="006D08F6">
        <w:rPr>
          <w:rFonts w:cs="Times New Roman"/>
        </w:rPr>
        <w:t xml:space="preserve"> </w:t>
      </w:r>
      <w:r>
        <w:rPr>
          <w:rFonts w:cs="Times New Roman"/>
        </w:rPr>
        <w:t>el</w:t>
      </w:r>
      <w:r w:rsidRPr="006D08F6">
        <w:rPr>
          <w:rFonts w:cs="Times New Roman"/>
        </w:rPr>
        <w:t xml:space="preserve"> crecimiento bacteriano o permitan </w:t>
      </w:r>
      <w:r>
        <w:rPr>
          <w:rFonts w:cs="Times New Roman"/>
        </w:rPr>
        <w:t>destruir</w:t>
      </w:r>
      <w:r w:rsidRPr="006D08F6">
        <w:rPr>
          <w:rFonts w:cs="Times New Roman"/>
        </w:rPr>
        <w:t xml:space="preserve"> por completo </w:t>
      </w:r>
      <w:r>
        <w:rPr>
          <w:rFonts w:cs="Times New Roman"/>
        </w:rPr>
        <w:t xml:space="preserve">a los patógenos, para aislarlos o sintetizarlos y luego, utilizarlos a nivel farmacéutico como nuevos antibióticos. </w:t>
      </w:r>
    </w:p>
    <w:p w14:paraId="198ECC8D" w14:textId="4CA2ACAD" w:rsidR="00DC6E9A" w:rsidRDefault="00DC6E9A" w:rsidP="00DC6E9A">
      <w:pPr>
        <w:ind w:firstLine="708"/>
        <w:rPr>
          <w:rFonts w:cs="Times New Roman"/>
        </w:rPr>
      </w:pPr>
      <w:r>
        <w:rPr>
          <w:rFonts w:cs="Times New Roman"/>
        </w:rPr>
        <w:t xml:space="preserve">Una fuente fundamental de moléculas bioactivas son los microorganismos, que se han caracterizado por contribuir a la producción de gran cantidad de fármacos de uso común en la </w:t>
      </w:r>
      <w:bookmarkStart w:id="33" w:name="_Hlk16360206"/>
      <w:r>
        <w:rPr>
          <w:rFonts w:cs="Times New Roman"/>
        </w:rPr>
        <w:t xml:space="preserve">actualidad </w:t>
      </w:r>
      <w:r>
        <w:rPr>
          <w:rFonts w:cs="Times New Roman"/>
        </w:rPr>
        <w:fldChar w:fldCharType="begin" w:fldLock="1"/>
      </w:r>
      <w:r>
        <w:rPr>
          <w:rFonts w:cs="Times New Roman"/>
        </w:rPr>
        <w:instrText>ADDIN CSL_CITATION {"citationItems":[{"id":"ITEM-1","itemData":{"DOI":"10.1007/s10295-013-1325-z","ISBN":"1367-5435","ISSN":"13675435","PMID":"23990168","abstract":"Microbes are the leading producers of useful natural products. Natural products from microbes and plants make excellent drugs. Significant portions of the microbial genomes are devoted to production of these useful secondary metabolites. A single microbe can make a number of secondary metabolites, as high as 50 compounds. The most useful products include antibiotics, anticancer agents, immunosuppressants, but products for many other applications, e.g., antivirals, anthelmintics, enzyme inhibitors, nutraceuticals, polymers, surfactants, bioherbicides, and vaccines have been commercialized. Unfortunately, due to the decrease in natural product discovery efforts, drug discovery has decreased in the past 20 years. The reasons include excessive costs for clinical trials, too short a window before the products become generics, difficulty in discovery of antibiotics against resistant organisms, and short treatment times by patients for products such as antibiotics. Despite these difficulties, technology to discover new drugs has advanced, e.g., combinatorial chemistry of natural product scaffolds, discoveries in biodiversity, genome mining, and systems biology. Of great help would be government extension of the time before products become generic.","author":[{"dropping-particle":"","family":"Demain","given":"Arnold L.","non-dropping-particle":"","parse-names":false,"suffix":""}],"container-title":"Journal of Industrial Microbiology and Biotechnology","id":"ITEM-1","issue":"2","issued":{"date-parts":[["2014"]]},"page":"185-201","title":"Importance of microbial natural products and the need to revitalize their discovery","type":"article-journal","volume":"41"},"uris":["http://www.mendeley.com/documents/?uuid=6a244cfd-1459-40e0-a8b3-adc0f6e55105"]},{"id":"ITEM-2","itemData":{"DOI":"10.1111/1751-7915.12123","ISBN":"1751-7915 (Electronic)\\r1751-7915 (Linking)","ISSN":"17517915","PMID":"24661414","abstract":"There is an increased need for new drug leads to treat diseases in humans, animals and plants. A dramatic example is represented by the need for novel and more effective antibiotics to combat multidrug-resistant microbial pathogens. Natural products represent a major source of approved drugs and still play an important role in supplying chemical diversity, despite a decreased interest by large pharmaceutical companies. Novel approaches must be implemented to decrease the chances of rediscovering the tens of thousands of known natural products. In this review, we present an overview of natural product screening, focusing particularly on microbial products. Different approaches can be implemented to increase the probability of finding new bioactive molecules. We thus present the rationale and selected examples of the use of hypersensitive assays; of accessing unexplored microorganisms, including the metagenome; and of genome mining. We then focus our attention on the technology platform that we are currently using, consisting of approximately 70,000 microbial strains, mostly actinomycetes and filamentous fungi, and discuss about high-quality screening in the search for bioactive molecules. Finally, two case studies are discussed, including the spark that arose interest in the compound: in the case of orthoformimycin, the novel mechanism of action predicted a novel structural class; in the case of NAI-112, structural similarity pointed out to a possible in vivo activity. Both predictions were then experimentally confirmed.","author":[{"dropping-particle":"","family":"Monciardini","given":"Paolo","non-dropping-particle":"","parse-names":false,"suffix":""},{"dropping-particle":"","family":"Iorio","given":"Marianna","non-dropping-particle":"","parse-names":false,"suffix":""},{"dropping-particle":"","family":"Maffioli","given":"Sonia","non-dropping-particle":"","parse-names":false,"suffix":""},{"dropping-particle":"","family":"Sosio","given":"Margherita","non-dropping-particle":"","parse-names":false,"suffix":""},{"dropping-particle":"","family":"Donadio","given":"Stefano","non-dropping-particle":"","parse-names":false,"suffix":""}],"container-title":"Microbial Biotechnology","id":"ITEM-2","issue":"3","issued":{"date-parts":[["2014"]]},"page":"209-220","title":"Discovering new bioactive molecules from microbial sources","type":"article-journal","volume":"7"},"uris":["http://www.mendeley.com/documents/?uuid=625cd509-b1d3-4f6b-b264-ab91db4219f8"]}],"mendeley":{"formattedCitation":"(Demain, 2014; Monciardini, Iorio, Maffioli, Sosio, &amp; Donadio, 2014)","plainTextFormattedCitation":"(Demain, 2014; Monciardini, Iorio, Maffioli, Sosio, &amp; Donadio, 2014)","previouslyFormattedCitation":"(Demain, 2014; Monciardini, Iorio, Maffioli, Sosio, &amp; Donadio, 2014)"},"properties":{"noteIndex":0},"schema":"https://github.com/citation-style-language/schema/raw/master/csl-citation.json"}</w:instrText>
      </w:r>
      <w:r>
        <w:rPr>
          <w:rFonts w:cs="Times New Roman"/>
        </w:rPr>
        <w:fldChar w:fldCharType="separate"/>
      </w:r>
      <w:r w:rsidRPr="00B7334D">
        <w:rPr>
          <w:rFonts w:cs="Times New Roman"/>
          <w:noProof/>
        </w:rPr>
        <w:t>(Demain, 2014; Monciardini, Iorio, Maffioli, Sosio, &amp; Donadio, 2014)</w:t>
      </w:r>
      <w:r>
        <w:rPr>
          <w:rFonts w:cs="Times New Roman"/>
        </w:rPr>
        <w:fldChar w:fldCharType="end"/>
      </w:r>
      <w:bookmarkEnd w:id="33"/>
      <w:r>
        <w:rPr>
          <w:rFonts w:cs="Times New Roman"/>
        </w:rPr>
        <w:t xml:space="preserve">. Entre los de mayor importancia y potencial biotecnológico se encuentran los de origen marino, nicho que se ha distinguido por ser fuente metabolitos secundarios. Los microorganismos marinos pueden </w:t>
      </w:r>
      <w:bookmarkStart w:id="34" w:name="_Hlk16360293"/>
      <w:r>
        <w:rPr>
          <w:rFonts w:cs="Times New Roman"/>
        </w:rPr>
        <w:t>acumular y producir compuestos únicos, sus</w:t>
      </w:r>
      <w:r w:rsidRPr="006D08F6">
        <w:rPr>
          <w:rFonts w:cs="Times New Roman"/>
        </w:rPr>
        <w:t xml:space="preserve"> </w:t>
      </w:r>
      <w:r>
        <w:rPr>
          <w:rFonts w:cs="Times New Roman"/>
        </w:rPr>
        <w:t xml:space="preserve">metabolitos </w:t>
      </w:r>
      <w:r w:rsidRPr="006D08F6">
        <w:rPr>
          <w:rFonts w:cs="Times New Roman"/>
        </w:rPr>
        <w:t xml:space="preserve">secundarios </w:t>
      </w:r>
      <w:r>
        <w:rPr>
          <w:rFonts w:cs="Times New Roman"/>
        </w:rPr>
        <w:t>presentan estructuras diferentes y características bioactivas mejores que los compuestos obtenidos en ecosistemas terrestres. Esto es debido a</w:t>
      </w:r>
      <w:r w:rsidRPr="006D08F6">
        <w:rPr>
          <w:rFonts w:cs="Times New Roman"/>
        </w:rPr>
        <w:t xml:space="preserve"> l</w:t>
      </w:r>
      <w:r w:rsidR="00BB683C">
        <w:rPr>
          <w:rFonts w:cs="Times New Roman"/>
        </w:rPr>
        <w:t xml:space="preserve">os gradientes </w:t>
      </w:r>
      <w:r w:rsidRPr="006D08F6">
        <w:rPr>
          <w:rFonts w:cs="Times New Roman"/>
        </w:rPr>
        <w:t>ambientales</w:t>
      </w:r>
      <w:r>
        <w:rPr>
          <w:rFonts w:cs="Times New Roman"/>
        </w:rPr>
        <w:t xml:space="preserve"> y a las condiciones únicas</w:t>
      </w:r>
      <w:r w:rsidRPr="006D08F6">
        <w:rPr>
          <w:rFonts w:cs="Times New Roman"/>
        </w:rPr>
        <w:t xml:space="preserve"> </w:t>
      </w:r>
      <w:r>
        <w:rPr>
          <w:rFonts w:cs="Times New Roman"/>
        </w:rPr>
        <w:t>que tienen lugar en</w:t>
      </w:r>
      <w:r w:rsidRPr="006D08F6">
        <w:rPr>
          <w:rFonts w:cs="Times New Roman"/>
        </w:rPr>
        <w:t xml:space="preserve"> </w:t>
      </w:r>
      <w:r>
        <w:rPr>
          <w:rFonts w:cs="Times New Roman"/>
        </w:rPr>
        <w:t>estos</w:t>
      </w:r>
      <w:r w:rsidRPr="006D08F6">
        <w:rPr>
          <w:rFonts w:cs="Times New Roman"/>
        </w:rPr>
        <w:t xml:space="preserve"> ecosistemas </w:t>
      </w:r>
      <w:r w:rsidRPr="00C5694B">
        <w:rPr>
          <w:rFonts w:cs="Times New Roman"/>
        </w:rPr>
        <w:fldChar w:fldCharType="begin" w:fldLock="1"/>
      </w:r>
      <w:r>
        <w:rPr>
          <w:rFonts w:cs="Times New Roman"/>
        </w:rPr>
        <w:instrText>ADDIN CSL_CITATION {"citationItems":[{"id":"ITEM-1","itemData":{"DOI":"10.3389/fmicb.2015.00269","ISSN":"1664302X","PMID":"25914680","author":[{"dropping-particle":"","family":"Bonugli-Santos","given":"Rafaella C.","non-dropping-particle":"","parse-names":false,"suffix":""},{"dropping-particle":"","family":"Santos Vasconcelos","given":"Maria R.","non-dropping-particle":"dos","parse-names":false,"suffix":""},{"dropping-particle":"","family":"Passarini","given":"Michel R. Z.","non-dropping-particle":"","parse-names":false,"suffix":""},{"dropping-particle":"","family":"Vieira","given":"Gabriela A. L.","non-dropping-particle":"","parse-names":false,"suffix":""},{"dropping-particle":"","family":"Lopes","given":"Viviane C. P.","non-dropping-particle":"","parse-names":false,"suffix":""},{"dropping-particle":"","family":"Mainardi","given":"Pedro H.","non-dropping-particle":"","parse-names":false,"suffix":""},{"dropping-particle":"","family":"Santos","given":"Juliana A.","non-dropping-particle":"dos","parse-names":false,"suffix":""},{"dropping-particle":"","family":"Azevedo Duarte","given":"Lidia","non-dropping-particle":"de","parse-names":false,"suffix":""},{"dropping-particle":"","family":"Otero","given":"Igor V. R.","non-dropping-particle":"","parse-names":false,"suffix":""},{"dropping-particle":"","family":"Silva Yoshida","given":"Aline M.","non-dropping-particle":"da","parse-names":false,"suffix":""},{"dropping-particle":"","family":"Feitosa","given":"Valker A.","non-dropping-particle":"","parse-names":false,"suffix":""},{"dropping-particle":"","family":"Pessoa","given":"Adalberto","non-dropping-particle":"","parse-names":false,"suffix":""},{"dropping-particle":"","family":"Sette","given":"Lara D.","non-dropping-particle":"","parse-names":false,"suffix":""}],"container-title":"Frontiers in Microbiology","id":"ITEM-1","issue":"April","issued":{"date-parts":[["2015"]]},"title":"Marine-derived fungi: diversity of enzymes and biotechnological applications","type":"article-journal","volume":"6"},"uris":["http://www.mendeley.com/documents/?uuid=d530f399-0994-464c-92e3-279e86afb418"]},{"id":"ITEM-2","itemData":{"DOI":"10.3390/md14070137","ISBN":"1660-3397","ISSN":"16603397","PMID":"27455283","abstract":"Filamentous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Drugs","id":"ITEM-2","issue":"7","issued":{"date-parts":[["2016"]]},"page":"1-20","title":"From discovery to production: Biotechnology of marine fungi for the production of new antibiotics","type":"article-journal","volume":"14"},"uris":["http://www.mendeley.com/documents/?uuid=d49c8156-56dc-4f8c-86ba-e3310fc2870a"]}],"mendeley":{"formattedCitation":"(Bonugli-Santos et al., 2015; Silber, Kramer, Labes, &amp; Tasdemir, 2016)","plainTextFormattedCitation":"(Bonugli-Santos et al., 2015; Silber, Kramer, Labes, &amp; Tasdemir, 2016)","previouslyFormattedCitation":"(Bonugli-Santos et al., 2015; Silber, Kramer, Labes, &amp; Tasdemir, 2016)"},"properties":{"noteIndex":0},"schema":"https://github.com/citation-style-language/schema/raw/master/csl-citation.json"}</w:instrText>
      </w:r>
      <w:r w:rsidRPr="00C5694B">
        <w:rPr>
          <w:rFonts w:cs="Times New Roman"/>
        </w:rPr>
        <w:fldChar w:fldCharType="separate"/>
      </w:r>
      <w:r w:rsidRPr="00B67ECD">
        <w:rPr>
          <w:rFonts w:cs="Times New Roman"/>
          <w:noProof/>
        </w:rPr>
        <w:t>(Bonugli-Santos et al., 2015; Silber, Kramer, Labes, &amp; Tasdemir, 2016)</w:t>
      </w:r>
      <w:r w:rsidRPr="00C5694B">
        <w:rPr>
          <w:rFonts w:cs="Times New Roman"/>
        </w:rPr>
        <w:fldChar w:fldCharType="end"/>
      </w:r>
      <w:r w:rsidRPr="00C5694B">
        <w:rPr>
          <w:rFonts w:cs="Times New Roman"/>
        </w:rPr>
        <w:t>.</w:t>
      </w:r>
      <w:r>
        <w:rPr>
          <w:rFonts w:cs="Times New Roman"/>
        </w:rPr>
        <w:t xml:space="preserve">  </w:t>
      </w:r>
      <w:bookmarkEnd w:id="34"/>
    </w:p>
    <w:p w14:paraId="1649FF3D" w14:textId="64D04B11" w:rsidR="00DC6E9A" w:rsidRDefault="00DC6E9A" w:rsidP="00DC6E9A">
      <w:pPr>
        <w:rPr>
          <w:rFonts w:cs="Times New Roman"/>
        </w:rPr>
      </w:pPr>
      <w:r>
        <w:rPr>
          <w:rFonts w:cs="Times New Roman"/>
        </w:rPr>
        <w:tab/>
      </w:r>
      <w:r w:rsidRPr="00E86255">
        <w:rPr>
          <w:rFonts w:cs="Times New Roman"/>
          <w:lang w:val="es-ES"/>
        </w:rPr>
        <w:t xml:space="preserve">El conocimiento sobre las propiedades de los </w:t>
      </w:r>
      <w:proofErr w:type="spellStart"/>
      <w:r w:rsidRPr="00E86255">
        <w:rPr>
          <w:rFonts w:cs="Times New Roman"/>
          <w:lang w:val="es-ES"/>
        </w:rPr>
        <w:t>ho</w:t>
      </w:r>
      <w:r w:rsidRPr="006A3ED0">
        <w:rPr>
          <w:rFonts w:cs="Times New Roman"/>
        </w:rPr>
        <w:t>ngos</w:t>
      </w:r>
      <w:proofErr w:type="spellEnd"/>
      <w:r w:rsidRPr="006A3ED0">
        <w:rPr>
          <w:rFonts w:cs="Times New Roman"/>
        </w:rPr>
        <w:t xml:space="preserve"> marinos en Costa Rica </w:t>
      </w:r>
      <w:r>
        <w:rPr>
          <w:rFonts w:cs="Times New Roman"/>
        </w:rPr>
        <w:t xml:space="preserve">presenta pocos registros robustos, lo que genera un vacío en el conocimiento en esta área, sobre todo en aspectos relacionados con la diversidad, dispersión y abundancia de hongos en los diferentes ecosistemas marinos del país. </w:t>
      </w:r>
      <w:r w:rsidRPr="006D08F6">
        <w:rPr>
          <w:rFonts w:cs="Times New Roman"/>
        </w:rPr>
        <w:t xml:space="preserve">Por </w:t>
      </w:r>
      <w:r>
        <w:rPr>
          <w:rFonts w:cs="Times New Roman"/>
        </w:rPr>
        <w:t>lo tanto</w:t>
      </w:r>
      <w:r w:rsidRPr="006D08F6">
        <w:rPr>
          <w:rFonts w:cs="Times New Roman"/>
        </w:rPr>
        <w:t>,</w:t>
      </w:r>
      <w:r>
        <w:rPr>
          <w:rFonts w:cs="Times New Roman"/>
        </w:rPr>
        <w:t xml:space="preserve"> el propósito de este</w:t>
      </w:r>
      <w:r w:rsidRPr="006D08F6">
        <w:rPr>
          <w:rFonts w:cs="Times New Roman"/>
        </w:rPr>
        <w:t xml:space="preserve"> trabajo de investigación </w:t>
      </w:r>
      <w:r>
        <w:rPr>
          <w:rFonts w:cs="Times New Roman"/>
        </w:rPr>
        <w:t xml:space="preserve">es conocer el potencial biotecnológico de producción de metabolitos secundarios con actividad antimicrobiana en diferentes aislamientos de hongos marinos provenientes de sedimentos de manglar y por otra parte </w:t>
      </w:r>
      <w:r w:rsidRPr="006D08F6">
        <w:rPr>
          <w:rFonts w:cs="Times New Roman"/>
        </w:rPr>
        <w:t xml:space="preserve">pretende </w:t>
      </w:r>
      <w:r>
        <w:rPr>
          <w:rFonts w:cs="Times New Roman"/>
        </w:rPr>
        <w:t>también, evidenciar y aportar al escaso</w:t>
      </w:r>
      <w:r w:rsidRPr="006D08F6">
        <w:rPr>
          <w:rFonts w:cs="Times New Roman"/>
        </w:rPr>
        <w:t xml:space="preserve"> registro</w:t>
      </w:r>
      <w:r>
        <w:rPr>
          <w:rFonts w:cs="Times New Roman"/>
        </w:rPr>
        <w:t xml:space="preserve"> </w:t>
      </w:r>
      <w:r w:rsidRPr="006D08F6">
        <w:rPr>
          <w:rFonts w:cs="Times New Roman"/>
        </w:rPr>
        <w:t>de</w:t>
      </w:r>
      <w:r>
        <w:rPr>
          <w:rFonts w:cs="Times New Roman"/>
        </w:rPr>
        <w:t xml:space="preserve"> </w:t>
      </w:r>
      <w:r w:rsidR="00CA09B5">
        <w:rPr>
          <w:rFonts w:cs="Times New Roman"/>
        </w:rPr>
        <w:t xml:space="preserve">aislamientos </w:t>
      </w:r>
      <w:r>
        <w:rPr>
          <w:rFonts w:cs="Times New Roman"/>
        </w:rPr>
        <w:t>de</w:t>
      </w:r>
      <w:r w:rsidRPr="006D08F6">
        <w:rPr>
          <w:rFonts w:cs="Times New Roman"/>
        </w:rPr>
        <w:t xml:space="preserve"> hongos </w:t>
      </w:r>
      <w:r>
        <w:rPr>
          <w:rFonts w:cs="Times New Roman"/>
        </w:rPr>
        <w:t>marinos en Costa Rica.</w:t>
      </w:r>
      <w:r w:rsidRPr="006D08F6">
        <w:rPr>
          <w:rFonts w:cs="Times New Roman"/>
        </w:rPr>
        <w:t xml:space="preserve"> </w:t>
      </w:r>
    </w:p>
    <w:p w14:paraId="2FD17B9C" w14:textId="77777777" w:rsidR="00DC6E9A" w:rsidRDefault="00DC6E9A" w:rsidP="00DC6E9A">
      <w:pPr>
        <w:rPr>
          <w:rFonts w:cs="Times New Roman"/>
        </w:rPr>
      </w:pPr>
    </w:p>
    <w:p w14:paraId="127FEF35" w14:textId="77777777" w:rsidR="00DC6E9A" w:rsidRPr="00346505" w:rsidRDefault="00DC6E9A" w:rsidP="00696215">
      <w:pPr>
        <w:pStyle w:val="Titulo20"/>
        <w:spacing w:after="0"/>
      </w:pPr>
      <w:bookmarkStart w:id="35" w:name="_Toc24018762"/>
      <w:bookmarkStart w:id="36" w:name="_Toc140204056"/>
      <w:r>
        <w:lastRenderedPageBreak/>
        <w:t xml:space="preserve">1.3 </w:t>
      </w:r>
      <w:r w:rsidRPr="00346505">
        <w:t>Planteamiento del Problema</w:t>
      </w:r>
      <w:bookmarkEnd w:id="35"/>
      <w:bookmarkEnd w:id="36"/>
    </w:p>
    <w:p w14:paraId="51088E6F" w14:textId="77777777" w:rsidR="00DC6E9A" w:rsidRDefault="00DC6E9A" w:rsidP="00DC6E9A">
      <w:pPr>
        <w:spacing w:before="240" w:after="0"/>
        <w:rPr>
          <w:rFonts w:cs="Times New Roman"/>
        </w:rPr>
      </w:pPr>
      <w:r>
        <w:rPr>
          <w:rFonts w:cs="Times New Roman"/>
        </w:rPr>
        <w:tab/>
        <w:t xml:space="preserve">Debido a la capacidad de producción de metabolitos secundarios con actividad antimicrobiana, sumado a la poca investigación en torno a hongos marinos en Costa Rica, se pretende determinar </w:t>
      </w:r>
      <w:r w:rsidRPr="004A654E">
        <w:rPr>
          <w:rFonts w:cs="Times New Roman"/>
        </w:rPr>
        <w:t>¿</w:t>
      </w:r>
      <w:r>
        <w:rPr>
          <w:rFonts w:cs="Times New Roman"/>
        </w:rPr>
        <w:t>C</w:t>
      </w:r>
      <w:r w:rsidRPr="004A654E">
        <w:rPr>
          <w:rFonts w:cs="Times New Roman"/>
        </w:rPr>
        <w:t xml:space="preserve">uál es el potencial de cepas de hongos marinos aislados de sedimentos de manglar para la </w:t>
      </w:r>
      <w:r>
        <w:rPr>
          <w:rFonts w:cs="Times New Roman"/>
        </w:rPr>
        <w:t>obtención de moléculas con actividad antimicrobiana</w:t>
      </w:r>
      <w:r w:rsidRPr="004A654E">
        <w:rPr>
          <w:rFonts w:cs="Times New Roman"/>
        </w:rPr>
        <w:t>?</w:t>
      </w:r>
    </w:p>
    <w:p w14:paraId="504D0B6B" w14:textId="77777777" w:rsidR="00DC6E9A" w:rsidRDefault="00DC6E9A" w:rsidP="00DC6E9A">
      <w:pPr>
        <w:spacing w:before="240" w:after="0"/>
        <w:rPr>
          <w:rFonts w:cs="Times New Roman"/>
        </w:rPr>
      </w:pPr>
    </w:p>
    <w:p w14:paraId="36BBF292" w14:textId="77777777" w:rsidR="00DC6E9A" w:rsidRPr="00696215" w:rsidRDefault="00DC6E9A" w:rsidP="00DC6E9A">
      <w:pPr>
        <w:pStyle w:val="Titulo20"/>
        <w:spacing w:before="240"/>
        <w:rPr>
          <w:sz w:val="28"/>
          <w:szCs w:val="22"/>
        </w:rPr>
      </w:pPr>
      <w:bookmarkStart w:id="37" w:name="_Toc24018763"/>
      <w:bookmarkStart w:id="38" w:name="_Toc140204057"/>
      <w:r w:rsidRPr="00696215">
        <w:rPr>
          <w:sz w:val="28"/>
          <w:szCs w:val="22"/>
        </w:rPr>
        <w:t>1.4 Objetivos</w:t>
      </w:r>
      <w:bookmarkEnd w:id="37"/>
      <w:bookmarkEnd w:id="38"/>
    </w:p>
    <w:p w14:paraId="635597B0" w14:textId="77777777" w:rsidR="00DC6E9A" w:rsidRPr="002733CE" w:rsidRDefault="00DC6E9A" w:rsidP="00696215">
      <w:pPr>
        <w:pStyle w:val="Titulo3"/>
        <w:spacing w:before="0"/>
      </w:pPr>
      <w:bookmarkStart w:id="39" w:name="_Toc24018764"/>
      <w:bookmarkStart w:id="40" w:name="_Toc140204058"/>
      <w:r w:rsidRPr="002733CE">
        <w:t>1.4.1 Objetivo General</w:t>
      </w:r>
      <w:bookmarkEnd w:id="39"/>
      <w:bookmarkEnd w:id="40"/>
    </w:p>
    <w:p w14:paraId="65A9342B" w14:textId="77777777" w:rsidR="00DC6E9A" w:rsidRDefault="00DC6E9A" w:rsidP="00696215">
      <w:pPr>
        <w:spacing w:after="0"/>
        <w:rPr>
          <w:rFonts w:cs="Times New Roman"/>
        </w:rPr>
      </w:pPr>
      <w:r>
        <w:rPr>
          <w:rFonts w:cs="Times New Roman"/>
        </w:rPr>
        <w:tab/>
        <w:t xml:space="preserve"> </w:t>
      </w:r>
      <w:r w:rsidRPr="004A654E">
        <w:rPr>
          <w:rFonts w:cs="Times New Roman"/>
        </w:rPr>
        <w:t xml:space="preserve">Evaluar mediante ensayos </w:t>
      </w:r>
      <w:r w:rsidRPr="00A80FE6">
        <w:rPr>
          <w:rFonts w:cs="Times New Roman"/>
          <w:i/>
        </w:rPr>
        <w:t>in vitro</w:t>
      </w:r>
      <w:r w:rsidRPr="004A654E">
        <w:rPr>
          <w:rFonts w:cs="Times New Roman"/>
        </w:rPr>
        <w:t xml:space="preserve"> el potencial de cepas de hongos marinos aislados de sedimentos de manglar para la </w:t>
      </w:r>
      <w:r>
        <w:rPr>
          <w:rFonts w:cs="Times New Roman"/>
        </w:rPr>
        <w:t>obtención de moléculas con actividad antimicrobiana.</w:t>
      </w:r>
    </w:p>
    <w:p w14:paraId="274351C7" w14:textId="77777777" w:rsidR="00DC6E9A" w:rsidRPr="004A654E" w:rsidRDefault="00DC6E9A" w:rsidP="00DC6E9A">
      <w:pPr>
        <w:spacing w:after="0"/>
        <w:rPr>
          <w:rFonts w:cs="Times New Roman"/>
        </w:rPr>
      </w:pPr>
    </w:p>
    <w:p w14:paraId="5CA5184E" w14:textId="77777777" w:rsidR="00DC6E9A" w:rsidRPr="00346505" w:rsidRDefault="00DC6E9A" w:rsidP="00696215">
      <w:pPr>
        <w:pStyle w:val="Titulo3"/>
        <w:spacing w:before="0"/>
      </w:pPr>
      <w:bookmarkStart w:id="41" w:name="_Toc24018765"/>
      <w:bookmarkStart w:id="42" w:name="_Toc140204059"/>
      <w:r>
        <w:t xml:space="preserve">1.4.1 </w:t>
      </w:r>
      <w:r w:rsidRPr="00346505">
        <w:t>Objetivos Específicos</w:t>
      </w:r>
      <w:bookmarkEnd w:id="41"/>
      <w:bookmarkEnd w:id="42"/>
      <w:r w:rsidRPr="00346505">
        <w:tab/>
      </w:r>
    </w:p>
    <w:p w14:paraId="44A26072" w14:textId="77777777" w:rsidR="00DC6E9A" w:rsidRPr="00352D6C" w:rsidRDefault="00DC6E9A" w:rsidP="00696215">
      <w:pPr>
        <w:pStyle w:val="Prrafodelista"/>
        <w:numPr>
          <w:ilvl w:val="0"/>
          <w:numId w:val="10"/>
        </w:numPr>
        <w:rPr>
          <w:rFonts w:cs="Times New Roman"/>
        </w:rPr>
      </w:pPr>
      <w:r w:rsidRPr="00352D6C">
        <w:rPr>
          <w:rFonts w:cs="Times New Roman"/>
        </w:rPr>
        <w:t xml:space="preserve">Determinar </w:t>
      </w:r>
      <w:r>
        <w:rPr>
          <w:rFonts w:cs="Times New Roman"/>
        </w:rPr>
        <w:t xml:space="preserve">mediante ensayos </w:t>
      </w:r>
      <w:r>
        <w:rPr>
          <w:rFonts w:cs="Times New Roman"/>
          <w:i/>
        </w:rPr>
        <w:t xml:space="preserve">in </w:t>
      </w:r>
      <w:r w:rsidRPr="006A6E4F">
        <w:rPr>
          <w:rFonts w:cs="Times New Roman"/>
          <w:i/>
        </w:rPr>
        <w:t>vitro</w:t>
      </w:r>
      <w:r>
        <w:rPr>
          <w:rFonts w:cs="Times New Roman"/>
          <w:i/>
        </w:rPr>
        <w:t xml:space="preserve"> </w:t>
      </w:r>
      <w:r w:rsidRPr="006A6E4F">
        <w:rPr>
          <w:rFonts w:cs="Times New Roman"/>
        </w:rPr>
        <w:t>la</w:t>
      </w:r>
      <w:r w:rsidRPr="00352D6C">
        <w:rPr>
          <w:rFonts w:cs="Times New Roman"/>
        </w:rPr>
        <w:t xml:space="preserve"> actividad antimicrobiana de 1</w:t>
      </w:r>
      <w:r>
        <w:rPr>
          <w:rFonts w:cs="Times New Roman"/>
        </w:rPr>
        <w:t>2</w:t>
      </w:r>
      <w:r w:rsidRPr="00352D6C">
        <w:rPr>
          <w:rFonts w:cs="Times New Roman"/>
        </w:rPr>
        <w:t xml:space="preserve"> cepas de hongos marinos aisladas de sedimentos de manglar.</w:t>
      </w:r>
    </w:p>
    <w:p w14:paraId="245AD5C6" w14:textId="3532C1F6" w:rsidR="00DC6E9A" w:rsidRDefault="00DC6E9A" w:rsidP="00DC6E9A">
      <w:pPr>
        <w:pStyle w:val="Prrafodelista"/>
        <w:numPr>
          <w:ilvl w:val="0"/>
          <w:numId w:val="10"/>
        </w:numPr>
        <w:spacing w:before="240"/>
        <w:rPr>
          <w:rFonts w:cs="Times New Roman"/>
        </w:rPr>
      </w:pPr>
      <w:r w:rsidRPr="00352D6C">
        <w:rPr>
          <w:rFonts w:cs="Times New Roman"/>
        </w:rPr>
        <w:t>Identificar</w:t>
      </w:r>
      <w:r>
        <w:rPr>
          <w:rFonts w:cs="Times New Roman"/>
        </w:rPr>
        <w:t xml:space="preserve"> la naturaleza química de al menos una molécula presente en las fracciones que muestren actividad antimicrobiana obtenidas a partir del medio de cultivo utilizado en </w:t>
      </w:r>
      <w:r w:rsidR="004C7EAD">
        <w:rPr>
          <w:rFonts w:cs="Times New Roman"/>
        </w:rPr>
        <w:t>un cultivo líquido de las cepas</w:t>
      </w:r>
      <w:r>
        <w:rPr>
          <w:rFonts w:cs="Times New Roman"/>
        </w:rPr>
        <w:t xml:space="preserve"> fúngica</w:t>
      </w:r>
      <w:r w:rsidR="004C7EAD">
        <w:rPr>
          <w:rFonts w:cs="Times New Roman"/>
        </w:rPr>
        <w:t>s.</w:t>
      </w:r>
    </w:p>
    <w:p w14:paraId="4BC7D709" w14:textId="6F6D6DC9" w:rsidR="00DC6E9A" w:rsidRDefault="4447C96C" w:rsidP="00DC6E9A">
      <w:pPr>
        <w:pStyle w:val="Prrafodelista"/>
        <w:numPr>
          <w:ilvl w:val="0"/>
          <w:numId w:val="10"/>
        </w:numPr>
        <w:spacing w:before="240"/>
        <w:rPr>
          <w:rFonts w:cs="Times New Roman"/>
        </w:rPr>
      </w:pPr>
      <w:r w:rsidRPr="4447C96C">
        <w:rPr>
          <w:rFonts w:cs="Times New Roman"/>
        </w:rPr>
        <w:t>Caracterizar de forma morfológica y molecular las cepas que presentaron potencial antimicrobiano.</w:t>
      </w:r>
    </w:p>
    <w:p w14:paraId="4C914065" w14:textId="77777777" w:rsidR="00DC6E9A" w:rsidRDefault="00DC6E9A" w:rsidP="00DC6E9A">
      <w:pPr>
        <w:pStyle w:val="Prrafodelista"/>
        <w:spacing w:before="240"/>
        <w:ind w:left="1425"/>
      </w:pPr>
    </w:p>
    <w:p w14:paraId="7B605182" w14:textId="77777777" w:rsidR="00DC6E9A" w:rsidRDefault="00DC6E9A" w:rsidP="00DC6E9A">
      <w:pPr>
        <w:pStyle w:val="Prrafodelista"/>
        <w:spacing w:before="240"/>
        <w:ind w:left="1425"/>
      </w:pPr>
    </w:p>
    <w:p w14:paraId="3923DADE" w14:textId="77777777" w:rsidR="00DC6E9A" w:rsidRDefault="00DC6E9A" w:rsidP="00DC6E9A">
      <w:pPr>
        <w:pStyle w:val="Prrafodelista"/>
        <w:spacing w:before="240"/>
        <w:ind w:left="1425"/>
      </w:pPr>
    </w:p>
    <w:p w14:paraId="46657FCF" w14:textId="77777777" w:rsidR="00707EAD" w:rsidRDefault="00707EAD" w:rsidP="00DC6E9A">
      <w:pPr>
        <w:pStyle w:val="Prrafodelista"/>
        <w:spacing w:before="240"/>
        <w:ind w:left="1425"/>
      </w:pPr>
    </w:p>
    <w:p w14:paraId="74BC9215" w14:textId="77777777" w:rsidR="00707EAD" w:rsidRDefault="00707EAD" w:rsidP="00DC6E9A">
      <w:pPr>
        <w:pStyle w:val="Prrafodelista"/>
        <w:spacing w:before="240"/>
        <w:ind w:left="1425"/>
      </w:pPr>
    </w:p>
    <w:p w14:paraId="52579B9F" w14:textId="77777777" w:rsidR="0085009A" w:rsidRDefault="0085009A" w:rsidP="00DC6E9A">
      <w:pPr>
        <w:pStyle w:val="Prrafodelista"/>
        <w:spacing w:before="240"/>
        <w:ind w:left="1425"/>
      </w:pPr>
    </w:p>
    <w:p w14:paraId="64171DB3" w14:textId="77777777" w:rsidR="0085009A" w:rsidRDefault="0085009A" w:rsidP="00DC6E9A">
      <w:pPr>
        <w:pStyle w:val="Prrafodelista"/>
        <w:spacing w:before="240"/>
        <w:ind w:left="1425"/>
      </w:pPr>
    </w:p>
    <w:p w14:paraId="2F904D31" w14:textId="77777777" w:rsidR="00DC6E9A" w:rsidRDefault="00DC6E9A" w:rsidP="00DC6E9A">
      <w:pPr>
        <w:pStyle w:val="Prrafodelista"/>
        <w:spacing w:before="240"/>
        <w:ind w:left="1425"/>
        <w:rPr>
          <w:rFonts w:cs="Times New Roman"/>
          <w:b/>
        </w:rPr>
      </w:pPr>
    </w:p>
    <w:p w14:paraId="4DEE22C6" w14:textId="77777777" w:rsidR="00DC6E9A" w:rsidRDefault="00DC6E9A" w:rsidP="00DC6E9A">
      <w:pPr>
        <w:pStyle w:val="Prrafodelista"/>
        <w:spacing w:before="240"/>
        <w:ind w:left="1425"/>
        <w:rPr>
          <w:rFonts w:cs="Times New Roman"/>
          <w:b/>
        </w:rPr>
      </w:pPr>
    </w:p>
    <w:p w14:paraId="43B8D4D4" w14:textId="77777777" w:rsidR="00DC6E9A" w:rsidRDefault="00DC6E9A" w:rsidP="0002234B">
      <w:pPr>
        <w:pStyle w:val="Titulo10"/>
        <w:numPr>
          <w:ilvl w:val="0"/>
          <w:numId w:val="14"/>
        </w:numPr>
      </w:pPr>
      <w:bookmarkStart w:id="43" w:name="_Toc24018766"/>
      <w:bookmarkStart w:id="44" w:name="_Toc140204060"/>
      <w:r>
        <w:lastRenderedPageBreak/>
        <w:t>Marco Teórico</w:t>
      </w:r>
      <w:bookmarkEnd w:id="43"/>
      <w:bookmarkEnd w:id="44"/>
    </w:p>
    <w:p w14:paraId="24C9AD1F" w14:textId="77777777" w:rsidR="00DC6E9A" w:rsidRPr="00A67DE8" w:rsidRDefault="00DC6E9A" w:rsidP="00DC6E9A">
      <w:pPr>
        <w:pStyle w:val="Prrafodelista"/>
        <w:spacing w:after="0"/>
        <w:ind w:left="1425"/>
        <w:jc w:val="center"/>
        <w:rPr>
          <w:rFonts w:cs="Times New Roman"/>
          <w:b/>
          <w:sz w:val="28"/>
        </w:rPr>
      </w:pPr>
    </w:p>
    <w:p w14:paraId="68034B83" w14:textId="77777777" w:rsidR="00DC6E9A" w:rsidRDefault="00DC6E9A" w:rsidP="00DC6E9A">
      <w:pPr>
        <w:spacing w:after="120"/>
        <w:ind w:firstLine="709"/>
        <w:rPr>
          <w:rFonts w:cs="Times New Roman"/>
        </w:rPr>
      </w:pPr>
      <w:r>
        <w:rPr>
          <w:rFonts w:cs="Times New Roman"/>
        </w:rPr>
        <w:t xml:space="preserve">Los ecosistemas marinos representan uno de los ambientes más importantes y constituyen uno de los mayores reservorios de diversidad de organismos. El océano es el hogar de los mayores productores de metabolitos secundarios y de moléculas con propiedades bioactivas de todo el mundo </w:t>
      </w:r>
      <w:r>
        <w:rPr>
          <w:rFonts w:cs="Times New Roman"/>
        </w:rPr>
        <w:fldChar w:fldCharType="begin" w:fldLock="1"/>
      </w:r>
      <w:r>
        <w:rPr>
          <w:rFonts w:cs="Times New Roman"/>
        </w:rPr>
        <w:instrText>ADDIN CSL_CITATION {"citationItems":[{"id":"ITEM-1","itemData":{"DOI":"10.3390/md16110408","ISBN":"3908125391","ISSN":"16603397","abstract":"The impact of bioactive compounds from natural sources on human life, particularly in pharmacology and biotechnology, has challenged the scientific community to explore new environmental contexts and the associated microbial diversity. [...]","author":[{"dropping-particle":"","family":"Nicoletti","given":"Rosario","non-dropping-particle":"","parse-names":false,"suffix":""},{"dropping-particle":"","family":"Vinale","given":"Francesco","non-dropping-particle":"","parse-names":false,"suffix":""}],"container-title":"Marine Drugs","id":"ITEM-1","issue":"11","issued":{"date-parts":[["2018"]]},"page":"15-17","title":"Bioactive Compounds from Marine-Derived &lt;i&gt;Aspergillus, Penicillium, Talaromyces&lt;/i&gt; and &lt;i&gt;Trichoderma&lt;/i&gt; Species","type":"article-journal","volume":"16"},"uris":["http://www.mendeley.com/documents/?uuid=2fa173df-fa4f-4f54-aadb-d3fa337bc780"]}],"mendeley":{"formattedCitation":"(Nicoletti &amp; Vinale, 2018)","plainTextFormattedCitation":"(Nicoletti &amp; Vinale, 2018)","previouslyFormattedCitation":"(Nicoletti &amp; Vinale, 2018)"},"properties":{"noteIndex":0},"schema":"https://github.com/citation-style-language/schema/raw/master/csl-citation.json"}</w:instrText>
      </w:r>
      <w:r>
        <w:rPr>
          <w:rFonts w:cs="Times New Roman"/>
        </w:rPr>
        <w:fldChar w:fldCharType="separate"/>
      </w:r>
      <w:r w:rsidRPr="00A9577B">
        <w:rPr>
          <w:rFonts w:cs="Times New Roman"/>
          <w:noProof/>
        </w:rPr>
        <w:t>(Nicoletti &amp; Vinale, 2018)</w:t>
      </w:r>
      <w:r>
        <w:rPr>
          <w:rFonts w:cs="Times New Roman"/>
        </w:rPr>
        <w:fldChar w:fldCharType="end"/>
      </w:r>
      <w:r>
        <w:rPr>
          <w:rFonts w:cs="Times New Roman"/>
        </w:rPr>
        <w:t xml:space="preserve">. De aquí se han logrado obtener moléculas con actividad citotóxica, antidiabética, </w:t>
      </w:r>
      <w:proofErr w:type="spellStart"/>
      <w:r>
        <w:rPr>
          <w:rFonts w:cs="Times New Roman"/>
        </w:rPr>
        <w:t>antibacterial</w:t>
      </w:r>
      <w:proofErr w:type="spellEnd"/>
      <w:r>
        <w:rPr>
          <w:rFonts w:cs="Times New Roman"/>
        </w:rPr>
        <w:t xml:space="preserve">, antifúngica, antioxidante, antiinflamatoria, antivírica, antitumural, antituberculosis, entre otras. </w:t>
      </w:r>
      <w:r>
        <w:rPr>
          <w:rFonts w:cs="Times New Roman"/>
        </w:rPr>
        <w:fldChar w:fldCharType="begin" w:fldLock="1"/>
      </w:r>
      <w:r>
        <w:rPr>
          <w:rFonts w:cs="Times New Roman"/>
        </w:rPr>
        <w:instrText>ADDIN CSL_CITATION {"citationItems":[{"id":"ITEM-1","itemData":{"DOI":"10.3389/fmicb.2015.00269","ISSN":"1664302X","PMID":"25914680","author":[{"dropping-particle":"","family":"Bonugli-Santos","given":"Rafaella C.","non-dropping-particle":"","parse-names":false,"suffix":""},{"dropping-particle":"","family":"Santos Vasconcelos","given":"Maria R.","non-dropping-particle":"dos","parse-names":false,"suffix":""},{"dropping-particle":"","family":"Passarini","given":"Michel R. Z.","non-dropping-particle":"","parse-names":false,"suffix":""},{"dropping-particle":"","family":"Vieira","given":"Gabriela A. L.","non-dropping-particle":"","parse-names":false,"suffix":""},{"dropping-particle":"","family":"Lopes","given":"Viviane C. P.","non-dropping-particle":"","parse-names":false,"suffix":""},{"dropping-particle":"","family":"Mainardi","given":"Pedro H.","non-dropping-particle":"","parse-names":false,"suffix":""},{"dropping-particle":"","family":"Santos","given":"Juliana A.","non-dropping-particle":"dos","parse-names":false,"suffix":""},{"dropping-particle":"","family":"Azevedo Duarte","given":"Lidia","non-dropping-particle":"de","parse-names":false,"suffix":""},{"dropping-particle":"","family":"Otero","given":"Igor V. R.","non-dropping-particle":"","parse-names":false,"suffix":""},{"dropping-particle":"","family":"Silva Yoshida","given":"Aline M.","non-dropping-particle":"da","parse-names":false,"suffix":""},{"dropping-particle":"","family":"Feitosa","given":"Valker A.","non-dropping-particle":"","parse-names":false,"suffix":""},{"dropping-particle":"","family":"Pessoa","given":"Adalberto","non-dropping-particle":"","parse-names":false,"suffix":""},{"dropping-particle":"","family":"Sette","given":"Lara D.","non-dropping-particle":"","parse-names":false,"suffix":""}],"container-title":"Frontiers in Microbiology","id":"ITEM-1","issue":"April","issued":{"date-parts":[["2015"]]},"title":"Marine-derived fungi: diversity of enzymes and biotechnological applications","type":"article-journal","volume":"6"},"uris":["http://www.mendeley.com/documents/?uuid=d530f399-0994-464c-92e3-279e86afb418"]}],"mendeley":{"formattedCitation":"(Bonugli-Santos et al., 2015)","plainTextFormattedCitation":"(Bonugli-Santos et al., 2015)","previouslyFormattedCitation":"(Bonugli-Santos et al., 2015)"},"properties":{"noteIndex":0},"schema":"https://github.com/citation-style-language/schema/raw/master/csl-citation.json"}</w:instrText>
      </w:r>
      <w:r>
        <w:rPr>
          <w:rFonts w:cs="Times New Roman"/>
        </w:rPr>
        <w:fldChar w:fldCharType="separate"/>
      </w:r>
      <w:r w:rsidRPr="006D57E6">
        <w:rPr>
          <w:rFonts w:cs="Times New Roman"/>
          <w:noProof/>
        </w:rPr>
        <w:t>(Bonugli-Santos et al., 2015)</w:t>
      </w:r>
      <w:r>
        <w:rPr>
          <w:rFonts w:cs="Times New Roman"/>
        </w:rPr>
        <w:fldChar w:fldCharType="end"/>
      </w:r>
      <w:r>
        <w:rPr>
          <w:rFonts w:cs="Times New Roman"/>
        </w:rPr>
        <w:t xml:space="preserve">. En muchas ocasiones, estos compuestos bioactivos tienen la peculiaridad de ser únicos en su clase y muestran también elevada actividad biológica, debido a que le facilitan a sus organismos productores la adaptación y sobrevivencia a las condiciones especiales que caracterizan a los ambientes marinos </w:t>
      </w:r>
      <w:r>
        <w:rPr>
          <w:rFonts w:cs="Times New Roman"/>
        </w:rPr>
        <w:fldChar w:fldCharType="begin" w:fldLock="1"/>
      </w:r>
      <w:r>
        <w:rPr>
          <w:rFonts w:cs="Times New Roman"/>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antibiotics","type":"article-journal","volume":"14"},"uris":["http://www.mendeley.com/documents/?uuid=d49c8156-56dc-4f8c-86ba-e3310fc2870a"]},{"id":"ITEM-2","itemData":{"DOI":"10.3390/md13010202","ISSN":"16603397","abstract":"Every year, hundreds of new compounds are discovered from the metabolites of marine organisms. Finding new and useful compounds is one of the crucial drivers for this field of research. Here we describe the statistics of bioactive compounds discovered from marine organisms from 1985 to 2012. This work is based on our database, which contains information on more than 15,000 chemical substances including 4196 bioactive marine natural products. We performed a comprehensive statistical analysis to understand the characteristics of the novel bioactive compounds and detail temporal trends, chemical structures, species distribution, and research progress. We hope this meta-analysis will provide useful information for research into the bioactivity of marine natural products and drug development.","author":[{"dropping-particle":"","family":"Hu","given":"Yiwen","non-dropping-particle":"","parse-names":false,"suffix":""},{"dropping-particle":"","family":"Chen","given":"Jiahui","non-dropping-particle":"","parse-names":false,"suffix":""},{"dropping-particle":"","family":"Hu","given":"Guping","non-dropping-particle":"","parse-names":false,"suffix":""},{"dropping-particle":"","family":"Yu","given":"Jianchen","non-dropping-particle":"","parse-names":false,"suffix":""},{"dropping-particle":"","family":"Zhu","given":"Xun","non-dropping-particle":"","parse-names":false,"suffix":""},{"dropping-particle":"","family":"Lin","given":"Yongcheng","non-dropping-particle":"","parse-names":false,"suffix":""},{"dropping-particle":"","family":"Chen","given":"Shengping","non-dropping-particle":"","parse-names":false,"suffix":""},{"dropping-particle":"","family":"Yuan","given":"Jie","non-dropping-particle":"","parse-names":false,"suffix":""}],"container-title":"Marine Drugs","id":"ITEM-2","issue":"1","issued":{"date-parts":[["2015"]]},"page":"202-221","title":"Statistical research on the bioactivity of new marine natural products discovered during the 28 years from 1985 to 2012","type":"article-journal","volume":"13"},"uris":["http://www.mendeley.com/documents/?uuid=91218960-ef6c-42a0-9359-1fcb087ecfc2"]}],"mendeley":{"formattedCitation":"(Hu et al., 2015; Silber et al., 2016)","plainTextFormattedCitation":"(Hu et al., 2015; Silber et al., 2016)","previouslyFormattedCitation":"(Hu et al., 2015; Silber et al., 2016)"},"properties":{"noteIndex":0},"schema":"https://github.com/citation-style-language/schema/raw/master/csl-citation.json"}</w:instrText>
      </w:r>
      <w:r>
        <w:rPr>
          <w:rFonts w:cs="Times New Roman"/>
        </w:rPr>
        <w:fldChar w:fldCharType="separate"/>
      </w:r>
      <w:r w:rsidRPr="00B67ECD">
        <w:rPr>
          <w:rFonts w:cs="Times New Roman"/>
          <w:noProof/>
        </w:rPr>
        <w:t>(Hu et al., 2015; Silber et al., 2016)</w:t>
      </w:r>
      <w:r>
        <w:rPr>
          <w:rFonts w:cs="Times New Roman"/>
        </w:rPr>
        <w:fldChar w:fldCharType="end"/>
      </w:r>
      <w:r>
        <w:rPr>
          <w:rFonts w:cs="Times New Roman"/>
        </w:rPr>
        <w:t>.</w:t>
      </w:r>
    </w:p>
    <w:p w14:paraId="6174C4D8" w14:textId="1CBF1B1B" w:rsidR="00DC6E9A" w:rsidRDefault="00DC6E9A" w:rsidP="00DC6E9A">
      <w:pPr>
        <w:spacing w:after="120"/>
        <w:ind w:firstLine="709"/>
        <w:rPr>
          <w:rFonts w:cs="Times New Roman"/>
        </w:rPr>
      </w:pPr>
      <w:r>
        <w:rPr>
          <w:rFonts w:cs="Times New Roman"/>
        </w:rPr>
        <w:t xml:space="preserve"> Los microorganismos marinos representan también un grupo de gran interés, se desempeñan como intermediarios de energía y parte importante en el ciclo de regeneración de nutrientes al actuar como descomponedores y recicladores de materia orgánica muerta y en descomposición </w:t>
      </w:r>
      <w:r>
        <w:rPr>
          <w:rFonts w:cs="Times New Roman"/>
        </w:rPr>
        <w:fldChar w:fldCharType="begin" w:fldLock="1"/>
      </w:r>
      <w:r>
        <w:rPr>
          <w:rFonts w:cs="Times New Roman"/>
        </w:rPr>
        <w:instrText>ADDIN CSL_CITATION {"citationItems":[{"id":"ITEM-1","itemData":{"DOI":"10.3389/fmicb.2015.00269","ISSN":"1664302X","PMID":"25914680","author":[{"dropping-particle":"","family":"Bonugli-Santos","given":"Rafaella C.","non-dropping-particle":"","parse-names":false,"suffix":""},{"dropping-particle":"","family":"Santos Vasconcelos","given":"Maria R.","non-dropping-particle":"dos","parse-names":false,"suffix":""},{"dropping-particle":"","family":"Passarini","given":"Michel R. Z.","non-dropping-particle":"","parse-names":false,"suffix":""},{"dropping-particle":"","family":"Vieira","given":"Gabriela A. L.","non-dropping-particle":"","parse-names":false,"suffix":""},{"dropping-particle":"","family":"Lopes","given":"Viviane C. P.","non-dropping-particle":"","parse-names":false,"suffix":""},{"dropping-particle":"","family":"Mainardi","given":"Pedro H.","non-dropping-particle":"","parse-names":false,"suffix":""},{"dropping-particle":"","family":"Santos","given":"Juliana A.","non-dropping-particle":"dos","parse-names":false,"suffix":""},{"dropping-particle":"","family":"Azevedo Duarte","given":"Lidia","non-dropping-particle":"de","parse-names":false,"suffix":""},{"dropping-particle":"","family":"Otero","given":"Igor V. R.","non-dropping-particle":"","parse-names":false,"suffix":""},{"dropping-particle":"","family":"Silva Yoshida","given":"Aline M.","non-dropping-particle":"da","parse-names":false,"suffix":""},{"dropping-particle":"","family":"Feitosa","given":"Valker A.","non-dropping-particle":"","parse-names":false,"suffix":""},{"dropping-particle":"","family":"Pessoa","given":"Adalberto","non-dropping-particle":"","parse-names":false,"suffix":""},{"dropping-particle":"","family":"Sette","given":"Lara D.","non-dropping-particle":"","parse-names":false,"suffix":""}],"container-title":"Frontiers in Microbiology","id":"ITEM-1","issue":"April","issued":{"date-parts":[["2015"]]},"title":"Marine-derived fungi: diversity of enzymes and biotechnological applications","type":"article-journal","volume":"6"},"uris":["http://www.mendeley.com/documents/?uuid=d530f399-0994-464c-92e3-279e86afb418"]},{"id":"ITEM-2","itemData":{"DOI":"10.1007/978-3-319-54304-8","ISBN":"9783319543031","author":[{"dropping-particle":"","family":"Raghukumar","given":"Seshagiri","non-dropping-particle":"","parse-names":false,"suffix":""}],"editor":[{"dropping-particle":"","family":"Fungi","given":"Marine","non-dropping-particle":"","parse-names":false,"suffix":""}],"id":"ITEM-2","issued":{"date-parts":[["2017"]]},"number-of-pages":"207-250","publisher-place":"India","title":"Fungi in Coastal and Oceanic Marine Ecosystems","type":"book"},"uris":["http://www.mendeley.com/documents/?uuid=6b2edb4a-fe16-4a06-add5-879c73bd9824"]}],"mendeley":{"formattedCitation":"(Bonugli-Santos et al., 2015; Raghukumar, 2017)","plainTextFormattedCitation":"(Bonugli-Santos et al., 2015; Raghukumar, 2017)","previouslyFormattedCitation":"(Bonugli-Santos et al., 2015; Raghukumar, 2017)"},"properties":{"noteIndex":0},"schema":"https://github.com/citation-style-language/schema/raw/master/csl-citation.json"}</w:instrText>
      </w:r>
      <w:r>
        <w:rPr>
          <w:rFonts w:cs="Times New Roman"/>
        </w:rPr>
        <w:fldChar w:fldCharType="separate"/>
      </w:r>
      <w:r w:rsidRPr="00B8143B">
        <w:rPr>
          <w:rFonts w:cs="Times New Roman"/>
          <w:noProof/>
        </w:rPr>
        <w:t>(Bonugli-Santos et al., 2015; Raghukumar, 2017)</w:t>
      </w:r>
      <w:r>
        <w:rPr>
          <w:rFonts w:cs="Times New Roman"/>
        </w:rPr>
        <w:fldChar w:fldCharType="end"/>
      </w:r>
      <w:r>
        <w:rPr>
          <w:rFonts w:cs="Times New Roman"/>
        </w:rPr>
        <w:t xml:space="preserve">.  </w:t>
      </w:r>
      <w:r>
        <w:rPr>
          <w:rFonts w:cs="Times New Roman"/>
        </w:rPr>
        <w:fldChar w:fldCharType="begin" w:fldLock="1"/>
      </w:r>
      <w:r>
        <w:rPr>
          <w:rFonts w:cs="Times New Roman"/>
        </w:rPr>
        <w:instrText>ADDIN CSL_CITATION {"citationItems":[{"id":"ITEM-1","itemData":{"DOI":"doi.org/10.1007/978-3-030-04675-0_1","ISBN":"9783030046750","author":[{"dropping-particle":"","family":"Pandey","given":"Abhishek","non-dropping-particle":"","parse-names":false,"suffix":""}],"container-title":"Pharmaceuticals from Microbes","id":"ITEM-1","issued":{"date-parts":[["2019"]]},"page":"1-25","publisher-place":"India","title":"Pharmacological Potential of Marine Microbes","type":"chapter"},"uris":["http://www.mendeley.com/documents/?uuid=a2e79249-d6d3-4029-a4f6-3195b25ce1f1"]}],"mendeley":{"formattedCitation":"(Pandey, 2019)","manualFormatting":"Pandey (2019) ","plainTextFormattedCitation":"(Pandey, 2019)","previouslyFormattedCitation":"(Pandey, 2019)"},"properties":{"noteIndex":0},"schema":"https://github.com/citation-style-language/schema/raw/master/csl-citation.json"}</w:instrText>
      </w:r>
      <w:r>
        <w:rPr>
          <w:rFonts w:cs="Times New Roman"/>
        </w:rPr>
        <w:fldChar w:fldCharType="separate"/>
      </w:r>
      <w:r w:rsidRPr="00A9577B">
        <w:rPr>
          <w:rFonts w:cs="Times New Roman"/>
          <w:noProof/>
        </w:rPr>
        <w:t>Pandey</w:t>
      </w:r>
      <w:r>
        <w:rPr>
          <w:rFonts w:cs="Times New Roman"/>
          <w:noProof/>
        </w:rPr>
        <w:t xml:space="preserve"> (2019) </w:t>
      </w:r>
      <w:r>
        <w:rPr>
          <w:rFonts w:cs="Times New Roman"/>
        </w:rPr>
        <w:fldChar w:fldCharType="end"/>
      </w:r>
      <w:r>
        <w:rPr>
          <w:rFonts w:cs="Times New Roman"/>
        </w:rPr>
        <w:t xml:space="preserve">determinó que la microbiología marina constituye una de las áreas de mayor importancia y de mayor crecimiento de la ciencia actual, donde los avances en torno a la biología molecular y de detección remota permiten </w:t>
      </w:r>
      <w:r w:rsidR="002822CD">
        <w:rPr>
          <w:rFonts w:cs="Times New Roman"/>
        </w:rPr>
        <w:t xml:space="preserve">complementar </w:t>
      </w:r>
      <w:r w:rsidR="009A4869">
        <w:rPr>
          <w:rFonts w:cs="Times New Roman"/>
        </w:rPr>
        <w:t xml:space="preserve">entre </w:t>
      </w:r>
      <w:r>
        <w:rPr>
          <w:rFonts w:cs="Times New Roman"/>
        </w:rPr>
        <w:t>la abundancia y diversidad microbiana, los procesos de simbiosis, patogenicidad y la interacción de estos con otros organismos.</w:t>
      </w:r>
    </w:p>
    <w:p w14:paraId="57B06DA8" w14:textId="5CB65093" w:rsidR="00DC6E9A" w:rsidRDefault="00DC6E9A" w:rsidP="00DC6E9A">
      <w:pPr>
        <w:spacing w:after="0"/>
        <w:ind w:firstLine="708"/>
        <w:rPr>
          <w:rFonts w:cs="Times New Roman"/>
        </w:rPr>
      </w:pPr>
      <w:r>
        <w:rPr>
          <w:rFonts w:cs="Times New Roman"/>
        </w:rPr>
        <w:t xml:space="preserve">El potencial biotecnológico microbiano radica, en contraposición con los macroorganismos marinos, en que algunos microorganismos poseen la ventaja de ser fácilmente cultivables y permiten una producción más viable y sostenible </w:t>
      </w:r>
      <w:r>
        <w:rPr>
          <w:rFonts w:cs="Times New Roman"/>
        </w:rPr>
        <w:fldChar w:fldCharType="begin" w:fldLock="1"/>
      </w:r>
      <w:r>
        <w:rPr>
          <w:rFonts w:cs="Times New Roman"/>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antibiotics","type":"article-journal","volume":"14"},"uris":["http://www.mendeley.com/documents/?uuid=d49c8156-56dc-4f8c-86ba-e3310fc2870a"]}],"mendeley":{"formattedCitation":"(Silber et al., 2016)","plainTextFormattedCitation":"(Silber et al., 2016)","previouslyFormattedCitation":"(Silber et al., 2016)"},"properties":{"noteIndex":0},"schema":"https://github.com/citation-style-language/schema/raw/master/csl-citation.json"}</w:instrText>
      </w:r>
      <w:r>
        <w:rPr>
          <w:rFonts w:cs="Times New Roman"/>
        </w:rPr>
        <w:fldChar w:fldCharType="separate"/>
      </w:r>
      <w:r w:rsidRPr="00716141">
        <w:rPr>
          <w:rFonts w:cs="Times New Roman"/>
          <w:noProof/>
        </w:rPr>
        <w:t>(Silber et al., 2016)</w:t>
      </w:r>
      <w:r>
        <w:rPr>
          <w:rFonts w:cs="Times New Roman"/>
        </w:rPr>
        <w:fldChar w:fldCharType="end"/>
      </w:r>
      <w:r>
        <w:rPr>
          <w:rFonts w:cs="Times New Roman"/>
        </w:rPr>
        <w:t xml:space="preserve">. Por otro lado, se ha descubierto que muchos microorganismos son los verdaderos productores de los compuestos bioactivos que se creían eran producidos por ciertos macroorganismos </w:t>
      </w:r>
      <w:r>
        <w:rPr>
          <w:rFonts w:cs="Times New Roman"/>
        </w:rPr>
        <w:fldChar w:fldCharType="begin" w:fldLock="1"/>
      </w:r>
      <w:r>
        <w:rPr>
          <w:rFonts w:cs="Times New Roman"/>
        </w:rPr>
        <w:instrText>ADDIN CSL_CITATION {"citationItems":[{"id":"ITEM-1","itemData":{"DOI":"10.3390/md16110408","ISBN":"3908125391","ISSN":"16603397","abstract":"The impact of bioactive compounds from natural sources on human life, particularly in pharmacology and biotechnology, has challenged the scientific community to explore new environmental contexts and the associated microbial diversity. [...]","author":[{"dropping-particle":"","family":"Nicoletti","given":"Rosario","non-dropping-particle":"","parse-names":false,"suffix":""},{"dropping-particle":"","family":"Vinale","given":"Francesco","non-dropping-particle":"","parse-names":false,"suffix":""}],"container-title":"Marine Drugs","id":"ITEM-1","issue":"11","issued":{"date-parts":[["2018"]]},"page":"15-17","title":"Bioactive Compounds from Marine-Derived &lt;i&gt;Aspergillus, Penicillium, Talaromyces&lt;/i&gt; and &lt;i&gt;Trichoderma&lt;/i&gt; Species","type":"article-journal","volume":"16"},"uris":["http://www.mendeley.com/documents/?uuid=2fa173df-fa4f-4f54-aadb-d3fa337bc780"]}],"mendeley":{"formattedCitation":"(Nicoletti &amp; Vinale, 2018)","plainTextFormattedCitation":"(Nicoletti &amp; Vinale, 2018)","previouslyFormattedCitation":"(Nicoletti &amp; Vinale, 2018)"},"properties":{"noteIndex":0},"schema":"https://github.com/citation-style-language/schema/raw/master/csl-citation.json"}</w:instrText>
      </w:r>
      <w:r>
        <w:rPr>
          <w:rFonts w:cs="Times New Roman"/>
        </w:rPr>
        <w:fldChar w:fldCharType="separate"/>
      </w:r>
      <w:r w:rsidRPr="00327A94">
        <w:rPr>
          <w:rFonts w:cs="Times New Roman"/>
          <w:noProof/>
        </w:rPr>
        <w:t>(Nicoletti &amp; Vinale, 2018)</w:t>
      </w:r>
      <w:r>
        <w:rPr>
          <w:rFonts w:cs="Times New Roman"/>
        </w:rPr>
        <w:fldChar w:fldCharType="end"/>
      </w:r>
      <w:r>
        <w:rPr>
          <w:rFonts w:cs="Times New Roman"/>
        </w:rPr>
        <w:t xml:space="preserve">. No obstante, </w:t>
      </w:r>
      <w:r w:rsidR="00324B29">
        <w:rPr>
          <w:rFonts w:cs="Times New Roman"/>
        </w:rPr>
        <w:t>a pesar de la</w:t>
      </w:r>
      <w:r>
        <w:rPr>
          <w:rFonts w:cs="Times New Roman"/>
        </w:rPr>
        <w:t xml:space="preserve"> biodiversidad reportada, importancia ecológica y potencial biotecnológico, </w:t>
      </w:r>
      <w:r w:rsidR="00324B29">
        <w:rPr>
          <w:rFonts w:cs="Times New Roman"/>
        </w:rPr>
        <w:t xml:space="preserve">sigue habiendo </w:t>
      </w:r>
      <w:r w:rsidR="009A0A65">
        <w:rPr>
          <w:rFonts w:cs="Times New Roman"/>
        </w:rPr>
        <w:t xml:space="preserve">dificultades para cultivar otro grupo de microorganismos, ya que estima </w:t>
      </w:r>
      <w:r>
        <w:rPr>
          <w:rFonts w:cs="Times New Roman"/>
        </w:rPr>
        <w:t xml:space="preserve">se ha explorado menos del 0.1% de la diversidad microbiana total, por ahora este 0.1% no se ha logrado caracterizar fielmente a nivel taxonómico, por lo que menos se llegaría a conocer de las características químicas ligadas a ellos </w:t>
      </w:r>
      <w:r>
        <w:rPr>
          <w:rFonts w:cs="Times New Roman"/>
        </w:rPr>
        <w:fldChar w:fldCharType="begin" w:fldLock="1"/>
      </w:r>
      <w:r>
        <w:rPr>
          <w:rFonts w:cs="Times New Roman"/>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antibiotics","type":"article-journal","volume":"14"},"uris":["http://www.mendeley.com/documents/?uuid=d49c8156-56dc-4f8c-86ba-e3310fc2870a"]}],"mendeley":{"formattedCitation":"(Silber et al., 2016)","plainTextFormattedCitation":"(Silber et al., 2016)","previouslyFormattedCitation":"(Silber et al., 2016)"},"properties":{"noteIndex":0},"schema":"https://github.com/citation-style-language/schema/raw/master/csl-citation.json"}</w:instrText>
      </w:r>
      <w:r>
        <w:rPr>
          <w:rFonts w:cs="Times New Roman"/>
        </w:rPr>
        <w:fldChar w:fldCharType="separate"/>
      </w:r>
      <w:r w:rsidRPr="00BE4BC8">
        <w:rPr>
          <w:rFonts w:cs="Times New Roman"/>
          <w:noProof/>
        </w:rPr>
        <w:t>(Silber et al., 2016)</w:t>
      </w:r>
      <w:r>
        <w:rPr>
          <w:rFonts w:cs="Times New Roman"/>
        </w:rPr>
        <w:fldChar w:fldCharType="end"/>
      </w:r>
      <w:r>
        <w:rPr>
          <w:rFonts w:cs="Times New Roman"/>
        </w:rPr>
        <w:t xml:space="preserve">. </w:t>
      </w:r>
    </w:p>
    <w:p w14:paraId="266BA20C" w14:textId="77777777" w:rsidR="00DC6E9A" w:rsidRPr="00BE4BC8" w:rsidRDefault="00DC6E9A" w:rsidP="00DC6E9A">
      <w:pPr>
        <w:spacing w:after="0"/>
        <w:rPr>
          <w:rFonts w:cs="Times New Roman"/>
          <w:szCs w:val="24"/>
        </w:rPr>
      </w:pPr>
    </w:p>
    <w:p w14:paraId="0A345BF0" w14:textId="77777777" w:rsidR="00DC6E9A" w:rsidRPr="00BE4BC8" w:rsidRDefault="00DC6E9A" w:rsidP="00062B62">
      <w:pPr>
        <w:pStyle w:val="Titulo20"/>
        <w:spacing w:after="0"/>
      </w:pPr>
      <w:bookmarkStart w:id="45" w:name="_Toc24018767"/>
      <w:bookmarkStart w:id="46" w:name="_Toc140204061"/>
      <w:r>
        <w:lastRenderedPageBreak/>
        <w:t xml:space="preserve">2.1 </w:t>
      </w:r>
      <w:r w:rsidRPr="00BE4BC8">
        <w:t>Hongos marinos: Características y ecología</w:t>
      </w:r>
      <w:bookmarkEnd w:id="45"/>
      <w:bookmarkEnd w:id="46"/>
    </w:p>
    <w:p w14:paraId="15B7B4CC" w14:textId="762FE349" w:rsidR="00DC6E9A" w:rsidRDefault="00DC6E9A" w:rsidP="00DC6E9A">
      <w:pPr>
        <w:spacing w:after="0"/>
        <w:ind w:firstLine="708"/>
        <w:rPr>
          <w:rFonts w:cs="Times New Roman"/>
          <w:szCs w:val="24"/>
        </w:rPr>
      </w:pPr>
      <w:r>
        <w:rPr>
          <w:rFonts w:cs="Times New Roman"/>
          <w:szCs w:val="24"/>
        </w:rPr>
        <w:t xml:space="preserve">Los hongos marinos, al igual que sus similares terrestres, son organismos eucariotas con nutrición osmoheterotrófica y obtienen su alimento disolviendo las sustancias orgánicas para luego absorberlas a través de su superficie celular </w:t>
      </w:r>
      <w:r>
        <w:rPr>
          <w:rFonts w:cs="Times New Roman"/>
          <w:szCs w:val="24"/>
        </w:rPr>
        <w:fldChar w:fldCharType="begin" w:fldLock="1"/>
      </w:r>
      <w:r>
        <w:rPr>
          <w:rFonts w:cs="Times New Roman"/>
          <w:szCs w:val="24"/>
        </w:rPr>
        <w:instrText>ADDIN CSL_CITATION {"citationItems":[{"id":"ITEM-1","itemData":{"DOI":"10.1007/978-3-319-54304-8","ISBN":"9783319543031","author":[{"dropping-particle":"","family":"Raghukumar","given":"Seshagiri","non-dropping-particle":"","parse-names":false,"suffix":""}],"editor":[{"dropping-particle":"","family":"Fungi","given":"Marine","non-dropping-particle":"","parse-names":false,"suffix":""}],"id":"ITEM-1","issued":{"date-parts":[["2017"]]},"number-of-pages":"207-250","publisher-place":"India","title":"Fungi in Coastal and Oceanic Marine Ecosystems","type":"book"},"uris":["http://www.mendeley.com/documents/?uuid=6b2edb4a-fe16-4a06-add5-879c73bd9824"]}],"mendeley":{"formattedCitation":"(Raghukumar, 2017)","plainTextFormattedCitation":"(Raghukumar, 2017)","previouslyFormattedCitation":"(Raghukumar, 2017)"},"properties":{"noteIndex":0},"schema":"https://github.com/citation-style-language/schema/raw/master/csl-citation.json"}</w:instrText>
      </w:r>
      <w:r>
        <w:rPr>
          <w:rFonts w:cs="Times New Roman"/>
          <w:szCs w:val="24"/>
        </w:rPr>
        <w:fldChar w:fldCharType="separate"/>
      </w:r>
      <w:r w:rsidRPr="008F171F">
        <w:rPr>
          <w:rFonts w:cs="Times New Roman"/>
          <w:noProof/>
          <w:szCs w:val="24"/>
        </w:rPr>
        <w:t>(Raghukumar, 2017)</w:t>
      </w:r>
      <w:r>
        <w:rPr>
          <w:rFonts w:cs="Times New Roman"/>
          <w:szCs w:val="24"/>
        </w:rPr>
        <w:fldChar w:fldCharType="end"/>
      </w:r>
      <w:r>
        <w:rPr>
          <w:rFonts w:cs="Times New Roman"/>
          <w:szCs w:val="24"/>
        </w:rPr>
        <w:t xml:space="preserve">. Son cosmopolitas y pueden ser encontrados en un amplio rango de ambientes, distribuyéndose desde lo profundo del océano hasta puntos lejanos del planeta como los polos árticos </w:t>
      </w:r>
      <w:r>
        <w:rPr>
          <w:rFonts w:cs="Times New Roman"/>
          <w:szCs w:val="24"/>
        </w:rPr>
        <w:fldChar w:fldCharType="begin" w:fldLock="1"/>
      </w:r>
      <w:r>
        <w:rPr>
          <w:rFonts w:cs="Times New Roman"/>
          <w:szCs w:val="24"/>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antibiotics","type":"article-journal","volume":"14"},"uris":["http://www.mendeley.com/documents/?uuid=d49c8156-56dc-4f8c-86ba-e3310fc2870a"]},{"id":"ITEM-2","itemData":{"DOI":"10.1039/c8np00092a","ISBN":"9781118101179","ISSN":"14604752","PMID":"20111802","abstract":"This review covers the literature published in 2014 for marine natural products (MNPs), with 1116 citations (753 for the period January to December 2014) referring to compounds isolated from marine microorganisms and phytoplankton, green, brown and red algae, sponges, cnidarians, bryozoans, molluscs, tunicates, echinoderms, mangroves and other intertidal plants and microorganisms. The emphasis is on new compounds (1378 in 456 papers for 2014), together with the relevant biological activities, source organisms and country of origin. Reviews, biosynthetic studies, first syntheses, and syntheses that lead to the revision of structures or stereochemistries, have been included.","author":[{"dropping-particle":"","family":"Carroll","given":"Anthony R.","non-dropping-particle":"","parse-names":false,"suffix":""},{"dropping-particle":"","family":"Copp","given":"Brent R.","non-dropping-particle":"","parse-names":false,"suffix":""},{"dropping-particle":"","family":"Davis","given":"Rohan A.","non-dropping-particle":"","parse-names":false,"suffix":""},{"dropping-particle":"","family":"Keyzers","given":"Robert A.","non-dropping-particle":"","parse-names":false,"suffix":""},{"dropping-particle":"","family":"Prinsep","given":"Michèle R.","non-dropping-particle":"","parse-names":false,"suffix":""}],"container-title":"Natural Product Reports","id":"ITEM-2","issue":"1","issued":{"date-parts":[["2017"]]},"page":"122-173","title":"Marine natural products","type":"article-journal","volume":"36"},"uris":["http://www.mendeley.com/documents/?uuid=012cbcdd-d7c8-4c32-8e29-1156f9461c56"]}],"mendeley":{"formattedCitation":"(Carroll, Copp, Davis, Keyzers, &amp; Prinsep, 2017; Silber et al., 2016)","plainTextFormattedCitation":"(Carroll, Copp, Davis, Keyzers, &amp; Prinsep, 2017; Silber et al., 2016)","previouslyFormattedCitation":"(Carroll, Copp, Davis, Keyzers, &amp; Prinsep, 2017; Silber et al., 2016)"},"properties":{"noteIndex":0},"schema":"https://github.com/citation-style-language/schema/raw/master/csl-citation.json"}</w:instrText>
      </w:r>
      <w:r>
        <w:rPr>
          <w:rFonts w:cs="Times New Roman"/>
          <w:szCs w:val="24"/>
        </w:rPr>
        <w:fldChar w:fldCharType="separate"/>
      </w:r>
      <w:r w:rsidRPr="005405E7">
        <w:rPr>
          <w:rFonts w:cs="Times New Roman"/>
          <w:noProof/>
          <w:szCs w:val="24"/>
        </w:rPr>
        <w:t>(Carroll, Copp, Davis, Keyzers, &amp; Prinsep, 2017; Silber et al., 2016)</w:t>
      </w:r>
      <w:r>
        <w:rPr>
          <w:rFonts w:cs="Times New Roman"/>
          <w:szCs w:val="24"/>
        </w:rPr>
        <w:fldChar w:fldCharType="end"/>
      </w:r>
      <w:r>
        <w:rPr>
          <w:rFonts w:cs="Times New Roman"/>
          <w:szCs w:val="24"/>
        </w:rPr>
        <w:t xml:space="preserve">. Son muchos los factores que determinan la presencia y abundancia de hongos en ecosistemas marinos y pueden verse ligados a condiciones fisicoquímicas como lo son: la temperatura, el </w:t>
      </w:r>
      <w:r w:rsidR="00A36A2C">
        <w:rPr>
          <w:rFonts w:cs="Times New Roman"/>
          <w:szCs w:val="24"/>
        </w:rPr>
        <w:t>p</w:t>
      </w:r>
      <w:r>
        <w:rPr>
          <w:rFonts w:cs="Times New Roman"/>
          <w:szCs w:val="24"/>
        </w:rPr>
        <w:t xml:space="preserve">H, la salinidad, la irradiación UV y la escasez de nutrientes </w:t>
      </w:r>
      <w:r>
        <w:rPr>
          <w:rFonts w:cs="Times New Roman"/>
          <w:szCs w:val="24"/>
        </w:rPr>
        <w:fldChar w:fldCharType="begin" w:fldLock="1"/>
      </w:r>
      <w:r>
        <w:rPr>
          <w:rFonts w:cs="Times New Roman"/>
          <w:szCs w:val="24"/>
        </w:rPr>
        <w:instrText>ADDIN CSL_CITATION {"citationItems":[{"id":"ITEM-1","itemData":{"DOI":"10.3389/fmicb.2015.00903","ISSN":"1664302X","PMID":"26441853","abstract":"Natural product search is undergoing resurgence upon the discovery of a huge previously unknown potential for secondary metabolite (SM) production hidden in microbial genomes. This is also the case for filamentous fungi, since their genomes contain a high number of \"orphan\" SM gene clusters. Recent estimates indicate that only 5% of existing fungal species have been described, thus the potential for the discovery of novel metabolites in fungi is huge. In this context, fungi thriving in harsh environments are of particular interest since they are outstanding producers of unusual chemical structures. At present, there are around 16 genomes from extreme environment-isolated fungi in databases. In a preliminary analysis of three of these genomes we found that several of the predicted SM gene clusters are probably involved in the biosynthesis of compounds not yet described. Genome mining strategies allow the exploitation of the information in genome sequences for the discovery of new natural compounds. The synergy between genome mining strategies and the expected abundance of SMs in fungi from extreme environments is a promising path to discover new natural compounds as a source of medically useful drugs.","author":[{"dropping-particle":"","family":"Chávez","given":"Renato","non-dropping-particle":"","parse-names":false,"suffix":""},{"dropping-particle":"","family":"Fierro","given":"Francisco","non-dropping-particle":"","parse-names":false,"suffix":""},{"dropping-particle":"","family":"García-Rico","given":"Ramón O.","non-dropping-particle":"","parse-names":false,"suffix":""},{"dropping-particle":"","family":"Vaca","given":"Inmaculada","non-dropping-particle":"","parse-names":false,"suffix":""}],"container-title":"Frontiers in Microbiology","id":"ITEM-1","issue":"SEP","issued":{"date-parts":[["2015"]]},"page":"1-7","title":"Filamentous fungi from extreme environments as a promising source of novel bioactive secondary metabolites","type":"article-journal","volume":"6"},"uris":["http://www.mendeley.com/documents/?uuid=a325f522-3437-4950-871e-34bb06dbf8e7"]}],"mendeley":{"formattedCitation":"(Chávez, Fierro, García-Rico, &amp; Vaca, 2015)","plainTextFormattedCitation":"(Chávez, Fierro, García-Rico, &amp; Vaca, 2015)","previouslyFormattedCitation":"(Chávez, Fierro, García-Rico, &amp; Vaca, 2015)"},"properties":{"noteIndex":0},"schema":"https://github.com/citation-style-language/schema/raw/master/csl-citation.json"}</w:instrText>
      </w:r>
      <w:r>
        <w:rPr>
          <w:rFonts w:cs="Times New Roman"/>
          <w:szCs w:val="24"/>
        </w:rPr>
        <w:fldChar w:fldCharType="separate"/>
      </w:r>
      <w:r w:rsidRPr="00956127">
        <w:rPr>
          <w:rFonts w:cs="Times New Roman"/>
          <w:noProof/>
          <w:szCs w:val="24"/>
        </w:rPr>
        <w:t>(Chávez, Fierro, García-Rico, &amp; Vaca, 2015)</w:t>
      </w:r>
      <w:r>
        <w:rPr>
          <w:rFonts w:cs="Times New Roman"/>
          <w:szCs w:val="24"/>
        </w:rPr>
        <w:fldChar w:fldCharType="end"/>
      </w:r>
      <w:r>
        <w:rPr>
          <w:rFonts w:cs="Times New Roman"/>
          <w:szCs w:val="24"/>
        </w:rPr>
        <w:t>.</w:t>
      </w:r>
    </w:p>
    <w:p w14:paraId="439FA8D6" w14:textId="77777777" w:rsidR="00DC6E9A" w:rsidRDefault="00DC6E9A" w:rsidP="00DC6E9A">
      <w:pPr>
        <w:spacing w:before="240"/>
        <w:ind w:firstLine="708"/>
        <w:rPr>
          <w:rFonts w:cs="Times New Roman"/>
          <w:szCs w:val="24"/>
        </w:rPr>
      </w:pPr>
      <w:r>
        <w:rPr>
          <w:rFonts w:cs="Times New Roman"/>
          <w:szCs w:val="24"/>
        </w:rPr>
        <w:t xml:space="preserve">Estos organismos pueden ser clasificados en dos grandes grupos según su ecología como: hongos marinos facultativos u hongos marinos obligados. La primera clasificación hace referencia a hongos terrestres que poseen la capacidad de crecer y reproducirse en ambientes marinos (o acuáticos en general), mientras que los hongos marinos obligados, pueden crecer y reproducirse estrictamente en ambientes marinos. Sin embargo, existe una tercera categoría para los hongos a los cuales no se les puede demostrar a ciencia cierta su naturaleza, por lo tanto, son clasificados como hongos de origen marino y representan la mayor cantidad de hongos reportados </w:t>
      </w:r>
      <w:r>
        <w:rPr>
          <w:rFonts w:cs="Times New Roman"/>
          <w:szCs w:val="24"/>
        </w:rPr>
        <w:fldChar w:fldCharType="begin" w:fldLock="1"/>
      </w:r>
      <w:r>
        <w:rPr>
          <w:rFonts w:cs="Times New Roman"/>
          <w:szCs w:val="24"/>
        </w:rPr>
        <w:instrText>ADDIN CSL_CITATION {"citationItems":[{"id":"ITEM-1","itemData":{"DOI":"10.3389/fmicb.2015.00269","ISSN":"1664302X","PMID":"25914680","author":[{"dropping-particle":"","family":"Bonugli-Santos","given":"Rafaella C.","non-dropping-particle":"","parse-names":false,"suffix":""},{"dropping-particle":"","family":"Santos Vasconcelos","given":"Maria R.","non-dropping-particle":"dos","parse-names":false,"suffix":""},{"dropping-particle":"","family":"Passarini","given":"Michel R. Z.","non-dropping-particle":"","parse-names":false,"suffix":""},{"dropping-particle":"","family":"Vieira","given":"Gabriela A. L.","non-dropping-particle":"","parse-names":false,"suffix":""},{"dropping-particle":"","family":"Lopes","given":"Viviane C. P.","non-dropping-particle":"","parse-names":false,"suffix":""},{"dropping-particle":"","family":"Mainardi","given":"Pedro H.","non-dropping-particle":"","parse-names":false,"suffix":""},{"dropping-particle":"","family":"Santos","given":"Juliana A.","non-dropping-particle":"dos","parse-names":false,"suffix":""},{"dropping-particle":"","family":"Azevedo Duarte","given":"Lidia","non-dropping-particle":"de","parse-names":false,"suffix":""},{"dropping-particle":"","family":"Otero","given":"Igor V. R.","non-dropping-particle":"","parse-names":false,"suffix":""},{"dropping-particle":"","family":"Silva Yoshida","given":"Aline M.","non-dropping-particle":"da","parse-names":false,"suffix":""},{"dropping-particle":"","family":"Feitosa","given":"Valker A.","non-dropping-particle":"","parse-names":false,"suffix":""},{"dropping-particle":"","family":"Pessoa","given":"Adalberto","non-dropping-particle":"","parse-names":false,"suffix":""},{"dropping-particle":"","family":"Sette","given":"Lara D.","non-dropping-particle":"","parse-names":false,"suffix":""}],"container-title":"Frontiers in Microbiology","id":"ITEM-1","issue":"April","issued":{"date-parts":[["2015"]]},"title":"Marine-derived fungi: diversity of enzymes and biotechnological applications","type":"article-journal","volume":"6"},"uris":["http://www.mendeley.com/documents/?uuid=d530f399-0994-464c-92e3-279e86afb418"]},{"id":"ITEM-2","itemData":{"DOI":"10.1007/978-3-319-54304-8","ISBN":"9783319543031","author":[{"dropping-particle":"","family":"Raghukumar","given":"Seshagiri","non-dropping-particle":"","parse-names":false,"suffix":""}],"editor":[{"dropping-particle":"","family":"Fungi","given":"Marine","non-dropping-particle":"","parse-names":false,"suffix":""}],"id":"ITEM-2","issued":{"date-parts":[["2017"]]},"number-of-pages":"207-250","publisher-place":"India","title":"Fungi in Coastal and Oceanic Marine Ecosystems","type":"book"},"uris":["http://www.mendeley.com/documents/?uuid=6b2edb4a-fe16-4a06-add5-879c73bd9824"]}],"mendeley":{"formattedCitation":"(Bonugli-Santos et al., 2015; Raghukumar, 2017)","plainTextFormattedCitation":"(Bonugli-Santos et al., 2015; Raghukumar, 2017)","previouslyFormattedCitation":"(Bonugli-Santos et al., 2015; Raghukumar, 2017)"},"properties":{"noteIndex":0},"schema":"https://github.com/citation-style-language/schema/raw/master/csl-citation.json"}</w:instrText>
      </w:r>
      <w:r>
        <w:rPr>
          <w:rFonts w:cs="Times New Roman"/>
          <w:szCs w:val="24"/>
        </w:rPr>
        <w:fldChar w:fldCharType="separate"/>
      </w:r>
      <w:r w:rsidRPr="00527F1E">
        <w:rPr>
          <w:rFonts w:cs="Times New Roman"/>
          <w:noProof/>
          <w:szCs w:val="24"/>
        </w:rPr>
        <w:t>(Bonugli-Santos et al., 2015; Raghukumar, 2017)</w:t>
      </w:r>
      <w:r>
        <w:rPr>
          <w:rFonts w:cs="Times New Roman"/>
          <w:szCs w:val="24"/>
        </w:rPr>
        <w:fldChar w:fldCharType="end"/>
      </w:r>
      <w:r>
        <w:rPr>
          <w:rFonts w:cs="Times New Roman"/>
          <w:szCs w:val="24"/>
        </w:rPr>
        <w:t xml:space="preserve">.  </w:t>
      </w:r>
    </w:p>
    <w:p w14:paraId="5F1CF275" w14:textId="77777777" w:rsidR="00DC6E9A" w:rsidRDefault="00DC6E9A" w:rsidP="00DC6E9A">
      <w:pPr>
        <w:spacing w:after="0"/>
        <w:ind w:firstLine="708"/>
        <w:rPr>
          <w:rFonts w:cs="Times New Roman"/>
          <w:szCs w:val="24"/>
        </w:rPr>
      </w:pPr>
      <w:r w:rsidRPr="006257D8">
        <w:rPr>
          <w:rFonts w:cs="Times New Roman"/>
          <w:szCs w:val="24"/>
        </w:rPr>
        <w:t>En los ecosistemas marinos los hongos</w:t>
      </w:r>
      <w:r>
        <w:rPr>
          <w:rFonts w:cs="Times New Roman"/>
          <w:szCs w:val="24"/>
        </w:rPr>
        <w:t xml:space="preserve"> pueden encontrarse asociados a otros organismos, ya sea de manera endófita o epífita o simplemente pueden contar con vida libre </w:t>
      </w:r>
      <w:r>
        <w:rPr>
          <w:rFonts w:cs="Times New Roman"/>
          <w:szCs w:val="24"/>
        </w:rPr>
        <w:fldChar w:fldCharType="begin" w:fldLock="1"/>
      </w:r>
      <w:r>
        <w:rPr>
          <w:rFonts w:cs="Times New Roman"/>
          <w:szCs w:val="24"/>
        </w:rPr>
        <w:instrText>ADDIN CSL_CITATION {"citationItems":[{"id":"ITEM-1","itemData":{"DOI":"10.1016/j.funeco.2015.09.003","ISSN":"17545048","abstract":"Fungi are essential components of marine ecosystems, yet very little is known about their global distribution and diversity in the marine environment. In this study, we analyzed marine fungal community structure at a global scale using the International Census of Marine Microbes dataset. Marine fungal communities sampled from both the water column and sediments were compared. Based on the sequences of the nuclear ribosomal small subunit V9 region, 2200 operational taxonomic units (OTUs) were identified at 97% similarity. There was a significant distinction between the pelagic and benthic communities, with 15.4% OTUs shared between the two realms. Environmental factors, particularly sample depth, oxygen, and nitrate, strongly correlated with the fungal community composition and explained more variance than did geographic distance. This study represents the first global-scale analysis of marine fungal community structure, and highlights potential opportunities for research in marine fungal ecology and biogeography.","author":[{"dropping-particle":"","family":"Tisthammer","given":"Kaho H.","non-dropping-particle":"","parse-names":false,"suffix":""},{"dropping-particle":"","family":"Cobian","given":"Gerald Manuel","non-dropping-particle":"","parse-names":false,"suffix":""},{"dropping-particle":"","family":"Amend","given":"Anthony Stuart","non-dropping-particle":"","parse-names":false,"suffix":""}],"container-title":"Fungal Ecology","id":"ITEM-1","issued":{"date-parts":[["2016"]]},"page":"39-46","publisher":"Elsevier Ltd","title":"Global biogeography of marine fungi is shaped by the environment","type":"article-journal","volume":"19"},"uris":["http://www.mendeley.com/documents/?uuid=743c1bef-2f8a-431b-b1fc-9f5fd9e41f01"]}],"mendeley":{"formattedCitation":"(Tisthammer, Cobian, &amp; Amend, 2016)","plainTextFormattedCitation":"(Tisthammer, Cobian, &amp; Amend, 2016)","previouslyFormattedCitation":"(Tisthammer, Cobian, &amp; Amend, 2016)"},"properties":{"noteIndex":0},"schema":"https://github.com/citation-style-language/schema/raw/master/csl-citation.json"}</w:instrText>
      </w:r>
      <w:r>
        <w:rPr>
          <w:rFonts w:cs="Times New Roman"/>
          <w:szCs w:val="24"/>
        </w:rPr>
        <w:fldChar w:fldCharType="separate"/>
      </w:r>
      <w:r w:rsidRPr="005405E7">
        <w:rPr>
          <w:rFonts w:cs="Times New Roman"/>
          <w:noProof/>
          <w:szCs w:val="24"/>
        </w:rPr>
        <w:t>(Tisthammer, Cobian, &amp; Amend, 2016)</w:t>
      </w:r>
      <w:r>
        <w:rPr>
          <w:rFonts w:cs="Times New Roman"/>
          <w:szCs w:val="24"/>
        </w:rPr>
        <w:fldChar w:fldCharType="end"/>
      </w:r>
      <w:r>
        <w:rPr>
          <w:rFonts w:cs="Times New Roman"/>
          <w:szCs w:val="24"/>
        </w:rPr>
        <w:t xml:space="preserve">. Esta asociación con otros organismos puede desarrollarse de manera simbiótica, ya sea de forma mutualista, </w:t>
      </w:r>
      <w:proofErr w:type="spellStart"/>
      <w:r>
        <w:rPr>
          <w:rFonts w:cs="Times New Roman"/>
          <w:szCs w:val="24"/>
        </w:rPr>
        <w:t>comensalista</w:t>
      </w:r>
      <w:proofErr w:type="spellEnd"/>
      <w:r>
        <w:rPr>
          <w:rFonts w:cs="Times New Roman"/>
          <w:szCs w:val="24"/>
        </w:rPr>
        <w:t xml:space="preserve"> o </w:t>
      </w:r>
      <w:proofErr w:type="spellStart"/>
      <w:r>
        <w:rPr>
          <w:rFonts w:cs="Times New Roman"/>
          <w:szCs w:val="24"/>
        </w:rPr>
        <w:t>parasitista</w:t>
      </w:r>
      <w:proofErr w:type="spellEnd"/>
      <w:r>
        <w:rPr>
          <w:rFonts w:cs="Times New Roman"/>
          <w:szCs w:val="24"/>
        </w:rPr>
        <w:t xml:space="preserve"> como </w:t>
      </w:r>
      <w:proofErr w:type="spellStart"/>
      <w:r>
        <w:rPr>
          <w:rFonts w:cs="Times New Roman"/>
          <w:szCs w:val="24"/>
        </w:rPr>
        <w:t>ecto</w:t>
      </w:r>
      <w:proofErr w:type="spellEnd"/>
      <w:r>
        <w:rPr>
          <w:rFonts w:cs="Times New Roman"/>
          <w:szCs w:val="24"/>
        </w:rPr>
        <w:t xml:space="preserve"> o </w:t>
      </w:r>
      <w:proofErr w:type="spellStart"/>
      <w:r>
        <w:rPr>
          <w:rFonts w:cs="Times New Roman"/>
          <w:szCs w:val="24"/>
        </w:rPr>
        <w:t>endobiontes</w:t>
      </w:r>
      <w:proofErr w:type="spellEnd"/>
      <w:r>
        <w:rPr>
          <w:rFonts w:cs="Times New Roman"/>
          <w:szCs w:val="24"/>
        </w:rPr>
        <w:t xml:space="preserve">. También, pueden asociarse de manera </w:t>
      </w:r>
      <w:proofErr w:type="spellStart"/>
      <w:r>
        <w:rPr>
          <w:rFonts w:cs="Times New Roman"/>
          <w:szCs w:val="24"/>
        </w:rPr>
        <w:t>saprotrófica</w:t>
      </w:r>
      <w:proofErr w:type="spellEnd"/>
      <w:r>
        <w:rPr>
          <w:rFonts w:cs="Times New Roman"/>
          <w:szCs w:val="24"/>
        </w:rPr>
        <w:t xml:space="preserve">, alimentándose de materia orgánica en descomposición, afectando positivamente en el reciclaje del detritus marino que involucra varios procesos </w:t>
      </w:r>
      <w:r>
        <w:rPr>
          <w:rFonts w:cs="Times New Roman"/>
          <w:szCs w:val="24"/>
        </w:rPr>
        <w:fldChar w:fldCharType="begin" w:fldLock="1"/>
      </w:r>
      <w:r>
        <w:rPr>
          <w:rFonts w:cs="Times New Roman"/>
          <w:szCs w:val="24"/>
        </w:rPr>
        <w:instrText>ADDIN CSL_CITATION {"citationItems":[{"id":"ITEM-1","itemData":{"author":[{"dropping-particle":"","family":"Valiela","given":"I.","non-dropping-particle":"","parse-names":false,"suffix":""},{"dropping-particle":"","family":"Wilson","given":"J.","non-dropping-particle":"","parse-names":false,"suffix":""},{"dropping-particle":"","family":"Buchsbaum","given":"R.","non-dropping-particle":"","parse-names":false,"suffix":""},{"dropping-particle":"","family":"Rietsma","given":"C.","non-dropping-particle":"","parse-names":false,"suffix":""},{"dropping-particle":"","family":"Bryant","given":"D.","non-dropping-particle":"","parse-names":false,"suffix":""},{"dropping-particle":"","family":"Foreman","given":"K.","non-dropping-particle":"","parse-names":false,"suffix":""}],"container-title":"Bull Mar Sci","id":"ITEM-1","issued":{"date-parts":[["1984"]]},"page":"261–269","title":"Importance of chemical composition of salt marsh litter on decay rates and feeding by detritivores","type":"article-journal","volume":"35"},"uris":["http://www.mendeley.com/documents/?uuid=ebfd2ba0-50d4-489b-99b2-07166a6f4fe8"]}],"mendeley":{"formattedCitation":"(Valiela et al., 1984)","plainTextFormattedCitation":"(Valiela et al., 1984)","previouslyFormattedCitation":"(Valiela et al., 1984)"},"properties":{"noteIndex":0},"schema":"https://github.com/citation-style-language/schema/raw/master/csl-citation.json"}</w:instrText>
      </w:r>
      <w:r>
        <w:rPr>
          <w:rFonts w:cs="Times New Roman"/>
          <w:szCs w:val="24"/>
        </w:rPr>
        <w:fldChar w:fldCharType="separate"/>
      </w:r>
      <w:r w:rsidRPr="000C2259">
        <w:rPr>
          <w:rFonts w:cs="Times New Roman"/>
          <w:noProof/>
          <w:szCs w:val="24"/>
        </w:rPr>
        <w:t>(Valiela et al., 1984)</w:t>
      </w:r>
      <w:r>
        <w:rPr>
          <w:rFonts w:cs="Times New Roman"/>
          <w:szCs w:val="24"/>
        </w:rPr>
        <w:fldChar w:fldCharType="end"/>
      </w:r>
      <w:r>
        <w:rPr>
          <w:rFonts w:cs="Times New Roman"/>
          <w:szCs w:val="24"/>
        </w:rPr>
        <w:t xml:space="preserve">. Estas interacciones ocurren en diversidad de sustratos y organismos, tales como: materia inorgánica (troncos, columna de agua), invertebrados (esponjas, cnidarios), vertebrados (peces) y planta marinas (pastos, macroalgas, manglares) </w:t>
      </w:r>
      <w:r>
        <w:rPr>
          <w:rFonts w:cs="Times New Roman"/>
          <w:szCs w:val="24"/>
        </w:rPr>
        <w:fldChar w:fldCharType="begin" w:fldLock="1"/>
      </w:r>
      <w:r>
        <w:rPr>
          <w:rFonts w:cs="Times New Roman"/>
          <w:szCs w:val="24"/>
        </w:rPr>
        <w:instrText>ADDIN CSL_CITATION {"citationItems":[{"id":"ITEM-1","itemData":{"DOI":"10.1007/s13225-015-0339-4","ISSN":"18789129","abstract":"This paper lists the accepted names and classification of marine fungi, updating the scheme presented in 2009. The classification includes 1,112 species (in 472 genera): Ascomycota 805 (in 352 genera), Basidiomycota 21 species (in 17 genera), Chytridiomycota and related phyla 26 species (in 13 genera), Zygomycota three (in two genera), Blastocladiomycota one species (one genus), asexual morphs of filamentous fungi 43 (in 26 genera); and marine yeasts: Ascomycota 138 species (in 35 genera), Basidiomycota 75 species (in 26 genera). These fungi belong to 129 families and 65 orders. The Halosphaeriaceae remains the largest family of marine fungi with 141 species in 59 genera, while the most specious genera are Aspergillus (47 species), Penicillium (39 species) and the yeast genus Candida (64 species). The review includes details of recent higher order nomenclature changes, and accounts of new families, genera and species described over the past 5 years. © 2015, School of Science.","author":[{"dropping-particle":"","family":"Jones","given":"E. B.Gareth","non-dropping-particle":"","parse-names":false,"suffix":""},{"dropping-particle":"","family":"Suetrong","given":"Satinee","non-dropping-particle":"","parse-names":false,"suffix":""},{"dropping-particle":"","family":"Sakayaroj","given":"Jariya","non-dropping-particle":"","parse-names":false,"suffix":""},{"dropping-particle":"","family":"Bahkali","given":"Ali H.","non-dropping-particle":"","parse-names":false,"suffix":""},{"dropping-particle":"","family":"Abdel-Wahab","given":"Mohamed A.","non-dropping-particle":"","parse-names":false,"suffix":""},{"dropping-particle":"","family":"Boekhout","given":"Teun","non-dropping-particle":"","parse-names":false,"suffix":""},{"dropping-particle":"","family":"Pang","given":"Ka Lai","non-dropping-particle":"","parse-names":false,"suffix":""}],"container-title":"Fungal Diversity","id":"ITEM-1","issue":"1","issued":{"date-parts":[["2015"]]},"page":"1-72","title":"Classification of marine &lt;i&gt;Ascomycota, Basidiomycota, Blastocladiomycota&lt;/i&gt; and &lt;i&gt;Chytridiomycota&lt;/i&gt;","type":"article-journal","volume":"73"},"uris":["http://www.mendeley.com/documents/?uuid=e49d16f1-6c6c-4b2f-bc6f-59b30f40c6da"]},{"id":"ITEM-2","itemData":{"DOI":"10.3390/md14010019","ISSN":"16603397","PMID":"26784209","abstract":"Marine fungi represent a huge potential for new natural products and an increased number of new metabolites have become known over the past years, while much of the hidden potential still needs to be uncovered. Representative examples of biodiversity studies of marine fungi and of natural products from a diverse selection of marine fungi from the author’s lab are highlighting important aspects of this research. If one considers the huge phylogenetic diversity of marine fungi and their almost ubiquitous distribution, and realizes that most of the published work on secondary metabolites of marine fungi has focused on just a few genera, strictly speaking Penicillium, Aspergillus and maybe also Fusarium and Cladosporium, the diversity of marine fungi is not adequately represented in investigations on their secondary metabolites and the less studied species deserve special attention. In addition to results on recently discovered new secondary metabolites of Penicillium species, the diversity of fungi in selected marine habitats is highlighted and examples of groups of secondary metabolites produced by representatives of a variety of different genera and their bioactivities are presented. Special focus is given to the production of groups of derivatives of metabolites by the fungi and to significant differences in biological activities due to small structural changes.","author":[{"dropping-particle":"","family":"Imhoff","given":"Johannes F.","non-dropping-particle":"","parse-names":false,"suffix":""}],"container-title":"Marine Drugs","id":"ITEM-2","issue":"1","issued":{"date-parts":[["2016"]]},"title":"Natural products from marine fungi - Still an underrepresented resource","type":"article-journal","volume":"14"},"uris":["http://www.mendeley.com/documents/?uuid=54c796df-5ff9-444a-818d-4b469d20e11b"]}],"mendeley":{"formattedCitation":"(Imhoff, 2016; Jones et al., 2015)","manualFormatting":"(Jones et al., 2015; Imhoff, 2016)","plainTextFormattedCitation":"(Imhoff, 2016; Jones et al., 2015)","previouslyFormattedCitation":"(Imhoff, 2016; Jones et al., 2015)"},"properties":{"noteIndex":0},"schema":"https://github.com/citation-style-language/schema/raw/master/csl-citation.json"}</w:instrText>
      </w:r>
      <w:r>
        <w:rPr>
          <w:rFonts w:cs="Times New Roman"/>
          <w:szCs w:val="24"/>
        </w:rPr>
        <w:fldChar w:fldCharType="separate"/>
      </w:r>
      <w:r w:rsidRPr="00940965">
        <w:rPr>
          <w:rFonts w:cs="Times New Roman"/>
          <w:noProof/>
          <w:szCs w:val="24"/>
        </w:rPr>
        <w:t>(Jones et al., 2015</w:t>
      </w:r>
      <w:r>
        <w:rPr>
          <w:rFonts w:cs="Times New Roman"/>
          <w:noProof/>
          <w:szCs w:val="24"/>
        </w:rPr>
        <w:t xml:space="preserve">; </w:t>
      </w:r>
      <w:r w:rsidRPr="00940965">
        <w:rPr>
          <w:rFonts w:cs="Times New Roman"/>
          <w:noProof/>
          <w:szCs w:val="24"/>
        </w:rPr>
        <w:t>Imhoff, 2016)</w:t>
      </w:r>
      <w:r>
        <w:rPr>
          <w:rFonts w:cs="Times New Roman"/>
          <w:szCs w:val="24"/>
        </w:rPr>
        <w:fldChar w:fldCharType="end"/>
      </w:r>
      <w:r>
        <w:rPr>
          <w:rFonts w:cs="Times New Roman"/>
          <w:szCs w:val="24"/>
        </w:rPr>
        <w:t xml:space="preserve">. </w:t>
      </w:r>
    </w:p>
    <w:p w14:paraId="748E4EBD" w14:textId="77777777" w:rsidR="00DC6E9A" w:rsidRDefault="00DC6E9A" w:rsidP="00DC6E9A">
      <w:pPr>
        <w:spacing w:before="240"/>
        <w:ind w:firstLine="708"/>
        <w:rPr>
          <w:rFonts w:cs="Times New Roman"/>
          <w:szCs w:val="24"/>
        </w:rPr>
      </w:pPr>
      <w:r>
        <w:rPr>
          <w:rFonts w:cs="Times New Roman"/>
          <w:szCs w:val="24"/>
        </w:rPr>
        <w:t xml:space="preserve">En cuanto a la clasificación taxonómica de los hongos marinos, han ocurrido varios cambios desde que se creó la primera designación por </w:t>
      </w:r>
      <w:r>
        <w:rPr>
          <w:rFonts w:cs="Times New Roman"/>
          <w:szCs w:val="24"/>
        </w:rPr>
        <w:fldChar w:fldCharType="begin" w:fldLock="1"/>
      </w:r>
      <w:r>
        <w:rPr>
          <w:rFonts w:cs="Times New Roman"/>
          <w:szCs w:val="24"/>
        </w:rPr>
        <w:instrText>ADDIN CSL_CITATION {"citationItems":[{"id":"ITEM-1","itemData":{"author":[{"dropping-particle":"","family":"Johnson","given":"T.W.","non-dropping-particle":"","parse-names":false,"suffix":""},{"dropping-particle":"","family":"Sparrow","given":"F.K.","non-dropping-particle":"","parse-names":false,"suffix":""}],"id":"ITEM-1","issued":{"date-parts":[["1961"]]},"publisher":"J. Cramer","publisher-place":"Germany","title":"Fungi in Oceans and Estuaries","type":"book"},"uris":["http://www.mendeley.com/documents/?uuid=78c47913-b0fe-4b27-a5d0-282e69c593ce"]}],"mendeley":{"formattedCitation":"(Johnson &amp; Sparrow, 1961)","manualFormatting":"Johnson &amp; Sparrow","plainTextFormattedCitation":"(Johnson &amp; Sparrow, 1961)","previouslyFormattedCitation":"(Johnson &amp; Sparrow, 1961)"},"properties":{"noteIndex":0},"schema":"https://github.com/citation-style-language/schema/raw/master/csl-citation.json"}</w:instrText>
      </w:r>
      <w:r>
        <w:rPr>
          <w:rFonts w:cs="Times New Roman"/>
          <w:szCs w:val="24"/>
        </w:rPr>
        <w:fldChar w:fldCharType="separate"/>
      </w:r>
      <w:r w:rsidRPr="006D623B">
        <w:rPr>
          <w:rFonts w:cs="Times New Roman"/>
          <w:noProof/>
          <w:szCs w:val="24"/>
        </w:rPr>
        <w:t>Johnson &amp; Sparrow</w:t>
      </w:r>
      <w:r>
        <w:rPr>
          <w:rFonts w:cs="Times New Roman"/>
          <w:szCs w:val="24"/>
        </w:rPr>
        <w:fldChar w:fldCharType="end"/>
      </w:r>
      <w:r>
        <w:rPr>
          <w:rFonts w:cs="Times New Roman"/>
          <w:szCs w:val="24"/>
        </w:rPr>
        <w:t xml:space="preserve"> en el año 1961 debido no solamente al descubrimiento y expansión de nuevas especies, sino también por la influencia de </w:t>
      </w:r>
      <w:r>
        <w:rPr>
          <w:rFonts w:cs="Times New Roman"/>
          <w:szCs w:val="24"/>
        </w:rPr>
        <w:lastRenderedPageBreak/>
        <w:t xml:space="preserve">los estudios moleculares que han provocado reclasificaciones y reordenamientos. La mayoría de los hongos incluyen tanto organismos unicelulares como pluricelulares o miceliales y </w:t>
      </w:r>
      <w:proofErr w:type="spellStart"/>
      <w:r>
        <w:rPr>
          <w:rFonts w:cs="Times New Roman"/>
          <w:szCs w:val="24"/>
        </w:rPr>
        <w:t>uni</w:t>
      </w:r>
      <w:proofErr w:type="spellEnd"/>
      <w:r>
        <w:rPr>
          <w:rFonts w:cs="Times New Roman"/>
          <w:szCs w:val="24"/>
        </w:rPr>
        <w:t xml:space="preserve"> o </w:t>
      </w:r>
      <w:proofErr w:type="spellStart"/>
      <w:r>
        <w:rPr>
          <w:rFonts w:cs="Times New Roman"/>
          <w:szCs w:val="24"/>
        </w:rPr>
        <w:t>polinucleados</w:t>
      </w:r>
      <w:proofErr w:type="spellEnd"/>
      <w:r>
        <w:rPr>
          <w:rFonts w:cs="Times New Roman"/>
          <w:szCs w:val="24"/>
        </w:rPr>
        <w:t xml:space="preserve">. Sin embargo, hay que tomar en cuenta que algunos organismos son considerados pseudo-hongos e inclusive se han creado nuevas categorías para ellos </w:t>
      </w:r>
      <w:r>
        <w:rPr>
          <w:rFonts w:cs="Times New Roman"/>
          <w:szCs w:val="24"/>
        </w:rPr>
        <w:fldChar w:fldCharType="begin" w:fldLock="1"/>
      </w:r>
      <w:r>
        <w:rPr>
          <w:rFonts w:cs="Times New Roman"/>
          <w:szCs w:val="24"/>
        </w:rPr>
        <w:instrText>ADDIN CSL_CITATION {"citationItems":[{"id":"ITEM-1","itemData":{"DOI":"10.1007/s13225-018-0401-0","ISBN":"0123456789","ISSN":"18789129","abstract":"Cardiovascular diseases (CVDs) are a group of disorders affecting heart and blood vessels. However, protective roles are proposed for Dietary Approaches to Stop Hypertension (DASH)-style diets.","author":[{"dropping-particle":"","family":"Tedersoo","given":"Leho","non-dropping-particle":"","parse-names":false,"suffix":""},{"dropping-particle":"","family":"Sánchez-Ramírez","given":"Santiago","non-dropping-particle":"","parse-names":false,"suffix":""},{"dropping-particle":"","family":"Kõljalg","given":"Urmas","non-dropping-particle":"","parse-names":false,"suffix":""},{"dropping-particle":"","family":"Bahram","given":"Mohammad","non-dropping-particle":"","parse-names":false,"suffix":""},{"dropping-particle":"","family":"Döring","given":"Markus","non-dropping-particle":"","parse-names":false,"suffix":""},{"dropping-particle":"","family":"Schigel","given":"Dmitry","non-dropping-particle":"","parse-names":false,"suffix":""},{"dropping-particle":"","family":"May","given":"Tom","non-dropping-particle":"","parse-names":false,"suffix":""},{"dropping-particle":"","family":"Ryberg","given":"Martin","non-dropping-particle":"","parse-names":false,"suffix":""},{"dropping-particle":"","family":"Abarenkov","given":"Kessy","non-dropping-particle":"","parse-names":false,"suffix":""}],"container-title":"Fungal Diversity","id":"ITEM-1","issue":"1","issued":{"date-parts":[["2018"]]},"page":"135-159","title":"High-level classification of the Fungi and a tool for evolutionary ecological analyses","type":"article-journal","volume":"90"},"uris":["http://www.mendeley.com/documents/?uuid=c18787ce-b820-43b3-a450-4b6cc9eb0812"]},{"id":"ITEM-2","itemData":{"DOI":"10.1007/s13225-015-0339-4","ISSN":"18789129","abstract":"This paper lists the accepted names and classification of marine fungi, updating the scheme presented in 2009. The classification includes 1,112 species (in 472 genera): Ascomycota 805 (in 352 genera), Basidiomycota 21 species (in 17 genera), Chytridiomycota and related phyla 26 species (in 13 genera), Zygomycota three (in two genera), Blastocladiomycota one species (one genus), asexual morphs of filamentous fungi 43 (in 26 genera); and marine yeasts: Ascomycota 138 species (in 35 genera), Basidiomycota 75 species (in 26 genera). These fungi belong to 129 families and 65 orders. The Halosphaeriaceae remains the largest family of marine fungi with 141 species in 59 genera, while the most specious genera are Aspergillus (47 species), Penicillium (39 species) and the yeast genus Candida (64 species). The review includes details of recent higher order nomenclature changes, and accounts of new families, genera and species described over the past 5 years. © 2015, School of Science.","author":[{"dropping-particle":"","family":"Jones","given":"E. B.Gareth","non-dropping-particle":"","parse-names":false,"suffix":""},{"dropping-particle":"","family":"Suetrong","given":"Satinee","non-dropping-particle":"","parse-names":false,"suffix":""},{"dropping-particle":"","family":"Sakayaroj","given":"Jariya","non-dropping-particle":"","parse-names":false,"suffix":""},{"dropping-particle":"","family":"Bahkali","given":"Ali H.","non-dropping-particle":"","parse-names":false,"suffix":""},{"dropping-particle":"","family":"Abdel-Wahab","given":"Mohamed A.","non-dropping-particle":"","parse-names":false,"suffix":""},{"dropping-particle":"","family":"Boekhout","given":"Teun","non-dropping-particle":"","parse-names":false,"suffix":""},{"dropping-particle":"","family":"Pang","given":"Ka Lai","non-dropping-particle":"","parse-names":false,"suffix":""}],"container-title":"Fungal Diversity","id":"ITEM-2","issue":"1","issued":{"date-parts":[["2015"]]},"page":"1-72","title":"Classification of marine &lt;i&gt;Ascomycota, Basidiomycota, Blastocladiomycota&lt;/i&gt; and &lt;i&gt;Chytridiomycota&lt;/i&gt;","type":"article-journal","volume":"73"},"uris":["http://www.mendeley.com/documents/?uuid=e49d16f1-6c6c-4b2f-bc6f-59b30f40c6da"]},{"id":"ITEM-3","itemData":{"DOI":"10.1007/978-3-319-54304-8","ISBN":"9783319543031","author":[{"dropping-particle":"","family":"Raghukumar","given":"Seshagiri","non-dropping-particle":"","parse-names":false,"suffix":""}],"editor":[{"dropping-particle":"","family":"Fungi","given":"Marine","non-dropping-particle":"","parse-names":false,"suffix":""}],"id":"ITEM-3","issued":{"date-parts":[["2017"]]},"number-of-pages":"207-250","publisher-place":"India","title":"Fungi in Coastal and Oceanic Marine Ecosystems","type":"book"},"uris":["http://www.mendeley.com/documents/?uuid=6b2edb4a-fe16-4a06-add5-879c73bd9824"]}],"mendeley":{"formattedCitation":"(Jones et al., 2015; Raghukumar, 2017; Tedersoo et al., 2018)","plainTextFormattedCitation":"(Jones et al., 2015; Raghukumar, 2017; Tedersoo et al., 2018)","previouslyFormattedCitation":"(Jones et al., 2015; Raghukumar, 2017; Tedersoo et al., 2018)"},"properties":{"noteIndex":0},"schema":"https://github.com/citation-style-language/schema/raw/master/csl-citation.json"}</w:instrText>
      </w:r>
      <w:r>
        <w:rPr>
          <w:rFonts w:cs="Times New Roman"/>
          <w:szCs w:val="24"/>
        </w:rPr>
        <w:fldChar w:fldCharType="separate"/>
      </w:r>
      <w:r w:rsidRPr="0098001E">
        <w:rPr>
          <w:rFonts w:cs="Times New Roman"/>
          <w:noProof/>
          <w:szCs w:val="24"/>
        </w:rPr>
        <w:t>(Jones et al., 2015; Raghukumar, 2017; Tedersoo et al., 2018)</w:t>
      </w:r>
      <w:r>
        <w:rPr>
          <w:rFonts w:cs="Times New Roman"/>
          <w:szCs w:val="24"/>
        </w:rPr>
        <w:fldChar w:fldCharType="end"/>
      </w:r>
      <w:r>
        <w:rPr>
          <w:rFonts w:cs="Times New Roman"/>
          <w:szCs w:val="24"/>
        </w:rPr>
        <w:t xml:space="preserve">.  </w:t>
      </w:r>
    </w:p>
    <w:p w14:paraId="126F9981" w14:textId="77777777" w:rsidR="00DC6E9A" w:rsidRDefault="00DC6E9A" w:rsidP="00DC6E9A">
      <w:pPr>
        <w:spacing w:before="240"/>
        <w:ind w:firstLine="708"/>
        <w:rPr>
          <w:rFonts w:cs="Times New Roman"/>
          <w:szCs w:val="24"/>
        </w:rPr>
      </w:pPr>
      <w:r>
        <w:rPr>
          <w:rFonts w:cs="Times New Roman"/>
          <w:szCs w:val="24"/>
        </w:rPr>
        <w:t xml:space="preserve">Los hongos marinos en su gran mayoría pertenecen a los filos: </w:t>
      </w:r>
      <w:r w:rsidRPr="006257D8">
        <w:rPr>
          <w:rFonts w:cs="Times New Roman"/>
          <w:i/>
          <w:szCs w:val="24"/>
        </w:rPr>
        <w:t>Ascomycota, Basidiomycota</w:t>
      </w:r>
      <w:r>
        <w:rPr>
          <w:rFonts w:cs="Times New Roman"/>
          <w:szCs w:val="24"/>
        </w:rPr>
        <w:t xml:space="preserve"> y </w:t>
      </w:r>
      <w:r w:rsidRPr="006257D8">
        <w:rPr>
          <w:rFonts w:cs="Times New Roman"/>
          <w:i/>
          <w:szCs w:val="24"/>
        </w:rPr>
        <w:t>Chrithidiomycota</w:t>
      </w:r>
      <w:r>
        <w:rPr>
          <w:rFonts w:cs="Times New Roman"/>
          <w:szCs w:val="24"/>
        </w:rPr>
        <w:t xml:space="preserve"> </w:t>
      </w:r>
      <w:r>
        <w:rPr>
          <w:rFonts w:cs="Times New Roman"/>
          <w:szCs w:val="24"/>
        </w:rPr>
        <w:fldChar w:fldCharType="begin" w:fldLock="1"/>
      </w:r>
      <w:r>
        <w:rPr>
          <w:rFonts w:cs="Times New Roman"/>
          <w:szCs w:val="24"/>
        </w:rPr>
        <w:instrText>ADDIN CSL_CITATION {"citationItems":[{"id":"ITEM-1","itemData":{"DOI":"10.1515/bot-2017-0048","ISSN":"0006-8055","author":[{"dropping-particle":"","family":"Pang","given":"K.P.","non-dropping-particle":"","parse-names":false,"suffix":""},{"dropping-particle":"","family":"Jones","given":"E. B. Gareth","non-dropping-particle":"","parse-names":false,"suffix":""}],"container-title":"Botanica Marina","id":"ITEM-1","issue":"4","issued":{"date-parts":[["2017"]]},"title":"Recent advances in marine mycology","type":"article-journal","volume":"60"},"uris":["http://www.mendeley.com/documents/?uuid=efbe1382-ac98-42d8-8807-3d4428fbc73a"]}],"mendeley":{"formattedCitation":"(Pang &amp; Jones, 2017)","plainTextFormattedCitation":"(Pang &amp; Jones, 2017)","previouslyFormattedCitation":"(Pang &amp; Jones, 2017)"},"properties":{"noteIndex":0},"schema":"https://github.com/citation-style-language/schema/raw/master/csl-citation.json"}</w:instrText>
      </w:r>
      <w:r>
        <w:rPr>
          <w:rFonts w:cs="Times New Roman"/>
          <w:szCs w:val="24"/>
        </w:rPr>
        <w:fldChar w:fldCharType="separate"/>
      </w:r>
      <w:r w:rsidRPr="00D55B20">
        <w:rPr>
          <w:rFonts w:cs="Times New Roman"/>
          <w:noProof/>
          <w:szCs w:val="24"/>
        </w:rPr>
        <w:t>(Pang &amp; Jones, 2017)</w:t>
      </w:r>
      <w:r>
        <w:rPr>
          <w:rFonts w:cs="Times New Roman"/>
          <w:szCs w:val="24"/>
        </w:rPr>
        <w:fldChar w:fldCharType="end"/>
      </w:r>
      <w:r>
        <w:rPr>
          <w:rFonts w:cs="Times New Roman"/>
          <w:szCs w:val="24"/>
        </w:rPr>
        <w:t xml:space="preserve">. El filo </w:t>
      </w:r>
      <w:r w:rsidRPr="00BA2298">
        <w:rPr>
          <w:rFonts w:cs="Times New Roman"/>
          <w:i/>
          <w:szCs w:val="24"/>
        </w:rPr>
        <w:t>Ascomycota</w:t>
      </w:r>
      <w:r>
        <w:rPr>
          <w:rFonts w:cs="Times New Roman"/>
          <w:szCs w:val="24"/>
        </w:rPr>
        <w:t xml:space="preserve"> se compone en su mayoría de hongos saprofitos o parásitos miceliales y levaduras y la reproducción asexual es mediada por la producción de conidias. Los hongos del filo </w:t>
      </w:r>
      <w:r w:rsidRPr="006257D8">
        <w:rPr>
          <w:rFonts w:cs="Times New Roman"/>
          <w:i/>
          <w:szCs w:val="24"/>
        </w:rPr>
        <w:t>Basidiomycota</w:t>
      </w:r>
      <w:r>
        <w:rPr>
          <w:rFonts w:cs="Times New Roman"/>
          <w:szCs w:val="24"/>
        </w:rPr>
        <w:t xml:space="preserve"> son hongos en su mayoría terrestres, saprófitos o simbiontes, se reproducen sexual o asexualmente y lo integran tanto hongos micelares como levaduras. Por último, el filo </w:t>
      </w:r>
      <w:r w:rsidRPr="006257D8">
        <w:rPr>
          <w:rFonts w:cs="Times New Roman"/>
          <w:i/>
          <w:szCs w:val="24"/>
        </w:rPr>
        <w:t>Chytridiomycota</w:t>
      </w:r>
      <w:r>
        <w:rPr>
          <w:rFonts w:cs="Times New Roman"/>
          <w:szCs w:val="24"/>
        </w:rPr>
        <w:t xml:space="preserve"> está formado por la unión de células individuales o en conjunto para formar talos, su reproducción asexual se da por medio de zoosporas uniflageladas, mientras que la sexual se da por fusión de gametos, estos hongos pueden ser parásitos o saprofitos </w:t>
      </w:r>
      <w:r>
        <w:rPr>
          <w:rFonts w:cs="Times New Roman"/>
          <w:szCs w:val="24"/>
        </w:rPr>
        <w:fldChar w:fldCharType="begin" w:fldLock="1"/>
      </w:r>
      <w:r>
        <w:rPr>
          <w:rFonts w:cs="Times New Roman"/>
          <w:szCs w:val="24"/>
        </w:rPr>
        <w:instrText>ADDIN CSL_CITATION {"citationItems":[{"id":"ITEM-1","itemData":{"DOI":"10.1007/978-3-319-54304-8","ISBN":"9783319543031","author":[{"dropping-particle":"","family":"Raghukumar","given":"Seshagiri","non-dropping-particle":"","parse-names":false,"suffix":""}],"editor":[{"dropping-particle":"","family":"Fungi","given":"Marine","non-dropping-particle":"","parse-names":false,"suffix":""}],"id":"ITEM-1","issued":{"date-parts":[["2017"]]},"number-of-pages":"207-250","publisher-place":"India","title":"Fungi in Coastal and Oceanic Marine Ecosystems","type":"book"},"uris":["http://www.mendeley.com/documents/?uuid=6b2edb4a-fe16-4a06-add5-879c73bd9824"]}],"mendeley":{"formattedCitation":"(Raghukumar, 2017)","plainTextFormattedCitation":"(Raghukumar, 2017)","previouslyFormattedCitation":"(Raghukumar, 2017)"},"properties":{"noteIndex":0},"schema":"https://github.com/citation-style-language/schema/raw/master/csl-citation.json"}</w:instrText>
      </w:r>
      <w:r>
        <w:rPr>
          <w:rFonts w:cs="Times New Roman"/>
          <w:szCs w:val="24"/>
        </w:rPr>
        <w:fldChar w:fldCharType="separate"/>
      </w:r>
      <w:r w:rsidRPr="00EA11D0">
        <w:rPr>
          <w:rFonts w:cs="Times New Roman"/>
          <w:noProof/>
          <w:szCs w:val="24"/>
        </w:rPr>
        <w:t>(Raghukumar, 2017)</w:t>
      </w:r>
      <w:r>
        <w:rPr>
          <w:rFonts w:cs="Times New Roman"/>
          <w:szCs w:val="24"/>
        </w:rPr>
        <w:fldChar w:fldCharType="end"/>
      </w:r>
      <w:r>
        <w:rPr>
          <w:rFonts w:cs="Times New Roman"/>
          <w:szCs w:val="24"/>
        </w:rPr>
        <w:t xml:space="preserve">. Otros filos son: </w:t>
      </w:r>
      <w:r w:rsidRPr="006257D8">
        <w:rPr>
          <w:rFonts w:cs="Times New Roman"/>
          <w:i/>
          <w:szCs w:val="24"/>
        </w:rPr>
        <w:t>Zygomycota</w:t>
      </w:r>
      <w:r>
        <w:rPr>
          <w:rFonts w:cs="Times New Roman"/>
          <w:szCs w:val="24"/>
        </w:rPr>
        <w:t xml:space="preserve">, </w:t>
      </w:r>
      <w:r w:rsidRPr="006257D8">
        <w:rPr>
          <w:rFonts w:cs="Times New Roman"/>
          <w:i/>
          <w:szCs w:val="24"/>
        </w:rPr>
        <w:t>Blastocladiomycota</w:t>
      </w:r>
      <w:r>
        <w:rPr>
          <w:rFonts w:cs="Times New Roman"/>
          <w:szCs w:val="24"/>
        </w:rPr>
        <w:t xml:space="preserve">, </w:t>
      </w:r>
      <w:r w:rsidRPr="006257D8">
        <w:rPr>
          <w:rFonts w:cs="Times New Roman"/>
          <w:i/>
          <w:szCs w:val="24"/>
        </w:rPr>
        <w:t>Entomophthoromycota</w:t>
      </w:r>
      <w:r>
        <w:rPr>
          <w:rFonts w:cs="Times New Roman"/>
          <w:szCs w:val="24"/>
        </w:rPr>
        <w:t xml:space="preserve">, </w:t>
      </w:r>
      <w:r w:rsidRPr="006257D8">
        <w:rPr>
          <w:rFonts w:cs="Times New Roman"/>
          <w:i/>
          <w:szCs w:val="24"/>
        </w:rPr>
        <w:t>Mucoromycota</w:t>
      </w:r>
      <w:r>
        <w:rPr>
          <w:rFonts w:cs="Times New Roman"/>
          <w:szCs w:val="24"/>
        </w:rPr>
        <w:t xml:space="preserve">, </w:t>
      </w:r>
      <w:r w:rsidRPr="006257D8">
        <w:rPr>
          <w:rFonts w:cs="Times New Roman"/>
          <w:i/>
          <w:szCs w:val="24"/>
        </w:rPr>
        <w:t>Glomeromycota</w:t>
      </w:r>
      <w:r>
        <w:rPr>
          <w:rFonts w:cs="Times New Roman"/>
          <w:szCs w:val="24"/>
        </w:rPr>
        <w:t xml:space="preserve">, </w:t>
      </w:r>
      <w:r w:rsidRPr="006257D8">
        <w:rPr>
          <w:rFonts w:cs="Times New Roman"/>
          <w:i/>
          <w:szCs w:val="24"/>
        </w:rPr>
        <w:t>Neocallimastigomycota</w:t>
      </w:r>
      <w:r>
        <w:rPr>
          <w:rFonts w:cs="Times New Roman"/>
          <w:szCs w:val="24"/>
        </w:rPr>
        <w:t xml:space="preserve">.  </w:t>
      </w:r>
    </w:p>
    <w:p w14:paraId="5E60B29E" w14:textId="68D1A199" w:rsidR="00DC6E9A" w:rsidRDefault="00DC6E9A" w:rsidP="00DC6E9A">
      <w:pPr>
        <w:spacing w:before="240"/>
        <w:rPr>
          <w:rFonts w:cs="Times New Roman"/>
          <w:szCs w:val="24"/>
        </w:rPr>
      </w:pPr>
      <w:r>
        <w:rPr>
          <w:rFonts w:cs="Times New Roman"/>
          <w:szCs w:val="24"/>
        </w:rPr>
        <w:tab/>
        <w:t xml:space="preserve">Los análisis moleculares han logrado confirmar la dominancia de los Ascomicetes y Basidiomicetes presentes en los diferentes ecosistemas marinos </w:t>
      </w:r>
      <w:r>
        <w:rPr>
          <w:rFonts w:cs="Times New Roman"/>
          <w:szCs w:val="24"/>
        </w:rPr>
        <w:fldChar w:fldCharType="begin" w:fldLock="1"/>
      </w:r>
      <w:r>
        <w:rPr>
          <w:rFonts w:cs="Times New Roman"/>
          <w:szCs w:val="24"/>
        </w:rPr>
        <w:instrText>ADDIN CSL_CITATION {"citationItems":[{"id":"ITEM-1","itemData":{"DOI":"10.1515/bot-2017-0048","ISSN":"0006-8055","author":[{"dropping-particle":"","family":"Pang","given":"K.P.","non-dropping-particle":"","parse-names":false,"suffix":""},{"dropping-particle":"","family":"Jones","given":"E. B. Gareth","non-dropping-particle":"","parse-names":false,"suffix":""}],"container-title":"Botanica Marina","id":"ITEM-1","issue":"4","issued":{"date-parts":[["2017"]]},"title":"Recent advances in marine mycology","type":"article-journal","volume":"60"},"uris":["http://www.mendeley.com/documents/?uuid=efbe1382-ac98-42d8-8807-3d4428fbc73a"]}],"mendeley":{"formattedCitation":"(Pang &amp; Jones, 2017)","plainTextFormattedCitation":"(Pang &amp; Jones, 2017)","previouslyFormattedCitation":"(Pang &amp; Jones, 2017)"},"properties":{"noteIndex":0},"schema":"https://github.com/citation-style-language/schema/raw/master/csl-citation.json"}</w:instrText>
      </w:r>
      <w:r>
        <w:rPr>
          <w:rFonts w:cs="Times New Roman"/>
          <w:szCs w:val="24"/>
        </w:rPr>
        <w:fldChar w:fldCharType="separate"/>
      </w:r>
      <w:r w:rsidRPr="00DC26DD">
        <w:rPr>
          <w:rFonts w:cs="Times New Roman"/>
          <w:noProof/>
          <w:szCs w:val="24"/>
        </w:rPr>
        <w:t>(Pang &amp; Jones, 2017)</w:t>
      </w:r>
      <w:r>
        <w:rPr>
          <w:rFonts w:cs="Times New Roman"/>
          <w:szCs w:val="24"/>
        </w:rPr>
        <w:fldChar w:fldCharType="end"/>
      </w:r>
      <w:r>
        <w:rPr>
          <w:rFonts w:cs="Times New Roman"/>
          <w:szCs w:val="24"/>
        </w:rPr>
        <w:t xml:space="preserve">. Del mismo modo, muchos de los hongos marinos que se han logrado aislar e identificar en estos ambientes pertenecen a géneros idénticos a los comúnmente encontrados en los entornos terrestres, entre ellos se puede mencionar </w:t>
      </w:r>
      <w:r w:rsidR="002070F4" w:rsidRPr="004073FD">
        <w:rPr>
          <w:rFonts w:cs="Times New Roman"/>
          <w:i/>
          <w:szCs w:val="24"/>
        </w:rPr>
        <w:t>Aspergillus</w:t>
      </w:r>
      <w:r>
        <w:rPr>
          <w:rFonts w:cs="Times New Roman"/>
          <w:szCs w:val="24"/>
        </w:rPr>
        <w:t xml:space="preserve">, </w:t>
      </w:r>
      <w:r w:rsidRPr="004073FD">
        <w:rPr>
          <w:rFonts w:cs="Times New Roman"/>
          <w:i/>
          <w:szCs w:val="24"/>
        </w:rPr>
        <w:t>Penicillium</w:t>
      </w:r>
      <w:r>
        <w:rPr>
          <w:rFonts w:cs="Times New Roman"/>
          <w:szCs w:val="24"/>
        </w:rPr>
        <w:t xml:space="preserve">, </w:t>
      </w:r>
      <w:r w:rsidRPr="004073FD">
        <w:rPr>
          <w:rFonts w:cs="Times New Roman"/>
          <w:i/>
          <w:szCs w:val="24"/>
        </w:rPr>
        <w:t>Fusarium</w:t>
      </w:r>
      <w:r>
        <w:rPr>
          <w:rFonts w:cs="Times New Roman"/>
          <w:szCs w:val="24"/>
        </w:rPr>
        <w:t xml:space="preserve">, </w:t>
      </w:r>
      <w:r w:rsidRPr="000B6BED">
        <w:rPr>
          <w:rFonts w:cs="Times New Roman"/>
          <w:i/>
          <w:szCs w:val="24"/>
        </w:rPr>
        <w:t>Cephalosporium</w:t>
      </w:r>
      <w:r w:rsidRPr="000B6BED">
        <w:rPr>
          <w:rFonts w:cs="Times New Roman"/>
          <w:szCs w:val="24"/>
        </w:rPr>
        <w:t xml:space="preserve"> </w:t>
      </w:r>
      <w:r>
        <w:rPr>
          <w:rFonts w:cs="Times New Roman"/>
          <w:szCs w:val="24"/>
        </w:rPr>
        <w:t xml:space="preserve">y </w:t>
      </w:r>
      <w:r w:rsidRPr="000B6BED">
        <w:rPr>
          <w:rFonts w:cs="Times New Roman"/>
          <w:i/>
          <w:szCs w:val="24"/>
        </w:rPr>
        <w:t>Trichoderma</w:t>
      </w:r>
      <w:r>
        <w:rPr>
          <w:rFonts w:cs="Times New Roman"/>
          <w:szCs w:val="24"/>
        </w:rPr>
        <w:t xml:space="preserve"> </w:t>
      </w:r>
      <w:r>
        <w:rPr>
          <w:rFonts w:cs="Times New Roman"/>
          <w:szCs w:val="24"/>
        </w:rPr>
        <w:fldChar w:fldCharType="begin" w:fldLock="1"/>
      </w:r>
      <w:r>
        <w:rPr>
          <w:rFonts w:cs="Times New Roman"/>
          <w:szCs w:val="24"/>
        </w:rPr>
        <w:instrText>ADDIN CSL_CITATION {"citationItems":[{"id":"ITEM-1","itemData":{"DOI":"10.3390/md13074137","ISSN":"16603397","PMID":"26133554","abstract":"Marine fungi are potential producers of bioactive compounds that may have pharmacological and medicinal applications. Fungi were cultured from marine brown algae and identified using multiple target genes to confirm phylogenetic placement. These target genes included the internal transcribed spacer (ITS), the nuclear large subunit (LSU), and the β-tubulin region. Various biological activities of marine-derived fungi were evaluated, including their antifungal, antioxidant and cellulolytic enzyme activities. As a result, a total of 50 fungi was isolated from the brown algae Sargassum sp. Among the 50 isolated fungi, Corollospora angusta was the dominant species in this study. The genus Arthrinium showed a relatively strong antifungal activity to all of the target plant pathogenic fungi. In particular, Arthrinium saccharicola KUC21221 showed high radical scavenging activity and the highest activities in terms of filter paper units (0.39 U/mL), endoglucanase activity (0.38 U/mL), and β-glucosidase activity (1.04 U/mL).","author":[{"dropping-particle":"","family":"Hong","given":"Joo Hyun","non-dropping-particle":"","parse-names":false,"suffix":""},{"dropping-particle":"","family":"Jang","given":"Seokyoon","non-dropping-particle":"","parse-names":false,"suffix":""},{"dropping-particle":"","family":"Heo","given":"Young Mok","non-dropping-particle":"","parse-names":false,"suffix":""},{"dropping-particle":"","family":"Min","given":"Mihee","non-dropping-particle":"","parse-names":false,"suffix":""},{"dropping-particle":"","family":"Lee","given":"Hwanhwi","non-dropping-particle":"","parse-names":false,"suffix":""},{"dropping-particle":"","family":"Lee","given":"Young Min","non-dropping-particle":"","parse-names":false,"suffix":""},{"dropping-particle":"","family":"Lee","given":"Hanbyul","non-dropping-particle":"","parse-names":false,"suffix":""},{"dropping-particle":"","family":"Kim","given":"Jae Jin","non-dropping-particle":"","parse-names":false,"suffix":""}],"container-title":"Marine Drugs","id":"ITEM-1","issue":"7","issued":{"date-parts":[["2015"]]},"title":"Investigation of marine-derived fungal diversity and their exploitable biological activities","type":"article-journal","volume":"13"},"uris":["http://www.mendeley.com/documents/?uuid=72c2d8bf-8d0e-30a4-9a00-a9f21752262c"]}],"mendeley":{"formattedCitation":"(Hong et al., 2015)","plainTextFormattedCitation":"(Hong et al., 2015)","previouslyFormattedCitation":"(Hong et al., 2015)"},"properties":{"noteIndex":0},"schema":"https://github.com/citation-style-language/schema/raw/master/csl-citation.json"}</w:instrText>
      </w:r>
      <w:r>
        <w:rPr>
          <w:rFonts w:cs="Times New Roman"/>
          <w:szCs w:val="24"/>
        </w:rPr>
        <w:fldChar w:fldCharType="separate"/>
      </w:r>
      <w:r w:rsidRPr="000B6BED">
        <w:rPr>
          <w:rFonts w:cs="Times New Roman"/>
          <w:noProof/>
          <w:szCs w:val="24"/>
        </w:rPr>
        <w:t>(Hong et al., 2015)</w:t>
      </w:r>
      <w:r>
        <w:rPr>
          <w:rFonts w:cs="Times New Roman"/>
          <w:szCs w:val="24"/>
        </w:rPr>
        <w:fldChar w:fldCharType="end"/>
      </w:r>
      <w:r>
        <w:rPr>
          <w:rFonts w:cs="Times New Roman"/>
          <w:szCs w:val="24"/>
        </w:rPr>
        <w:t xml:space="preserve">. Una recopilación de información de </w:t>
      </w:r>
      <w:r w:rsidRPr="00DC26DD">
        <w:rPr>
          <w:rFonts w:cs="Times New Roman"/>
          <w:szCs w:val="24"/>
        </w:rPr>
        <w:fldChar w:fldCharType="begin" w:fldLock="1"/>
      </w:r>
      <w:r>
        <w:rPr>
          <w:rFonts w:cs="Times New Roman"/>
          <w:szCs w:val="24"/>
        </w:rPr>
        <w:instrText>ADDIN CSL_CITATION {"citationItems":[{"id":"ITEM-1","itemData":{"DOI":"10.1007/s13225-015-0339-4","ISSN":"18789129","abstract":"This paper lists the accepted names and classification of marine fungi, updating the scheme presented in 2009. The classification includes 1,112 species (in 472 genera): Ascomycota 805 (in 352 genera), Basidiomycota 21 species (in 17 genera), Chytridiomycota and related phyla 26 species (in 13 genera), Zygomycota three (in two genera), Blastocladiomycota one species (one genus), asexual morphs of filamentous fungi 43 (in 26 genera); and marine yeasts: Ascomycota 138 species (in 35 genera), Basidiomycota 75 species (in 26 genera). These fungi belong to 129 families and 65 orders. The Halosphaeriaceae remains the largest family of marine fungi with 141 species in 59 genera, while the most specious genera are Aspergillus (47 species), Penicillium (39 species) and the yeast genus Candida (64 species). The review includes details of recent higher order nomenclature changes, and accounts of new families, genera and species described over the past 5 years. © 2015, School of Science.","author":[{"dropping-particle":"","family":"Jones","given":"E. B.Gareth","non-dropping-particle":"","parse-names":false,"suffix":""},{"dropping-particle":"","family":"Suetrong","given":"Satinee","non-dropping-particle":"","parse-names":false,"suffix":""},{"dropping-particle":"","family":"Sakayaroj","given":"Jariya","non-dropping-particle":"","parse-names":false,"suffix":""},{"dropping-particle":"","family":"Bahkali","given":"Ali H.","non-dropping-particle":"","parse-names":false,"suffix":""},{"dropping-particle":"","family":"Abdel-Wahab","given":"Mohamed A.","non-dropping-particle":"","parse-names":false,"suffix":""},{"dropping-particle":"","family":"Boekhout","given":"Teun","non-dropping-particle":"","parse-names":false,"suffix":""},{"dropping-particle":"","family":"Pang","given":"Ka Lai","non-dropping-particle":"","parse-names":false,"suffix":""}],"container-title":"Fungal Diversity","id":"ITEM-1","issue":"1","issued":{"date-parts":[["2015"]]},"page":"1-72","title":"Classification of marine &lt;i&gt;Ascomycota, Basidiomycota, Blastocladiomycota&lt;/i&gt; and &lt;i&gt;Chytridiomycota&lt;/i&gt;","type":"article-journal","volume":"73"},"uris":["http://www.mendeley.com/documents/?uuid=e49d16f1-6c6c-4b2f-bc6f-59b30f40c6da"]}],"mendeley":{"formattedCitation":"(Jones et al., 2015)","manualFormatting":"Jones et al. (2015)","plainTextFormattedCitation":"(Jones et al., 2015)","previouslyFormattedCitation":"(Jones et al., 2015)"},"properties":{"noteIndex":0},"schema":"https://github.com/citation-style-language/schema/raw/master/csl-citation.json"}</w:instrText>
      </w:r>
      <w:r w:rsidRPr="00DC26DD">
        <w:rPr>
          <w:rFonts w:cs="Times New Roman"/>
          <w:szCs w:val="24"/>
        </w:rPr>
        <w:fldChar w:fldCharType="separate"/>
      </w:r>
      <w:r w:rsidRPr="00DC26DD">
        <w:rPr>
          <w:rFonts w:cs="Times New Roman"/>
          <w:noProof/>
          <w:szCs w:val="24"/>
        </w:rPr>
        <w:t>Jones et al. (2015)</w:t>
      </w:r>
      <w:r w:rsidRPr="00DC26DD">
        <w:rPr>
          <w:rFonts w:cs="Times New Roman"/>
          <w:szCs w:val="24"/>
        </w:rPr>
        <w:fldChar w:fldCharType="end"/>
      </w:r>
      <w:r w:rsidRPr="00DC26DD">
        <w:rPr>
          <w:rFonts w:cs="Times New Roman"/>
          <w:szCs w:val="24"/>
        </w:rPr>
        <w:t xml:space="preserve">, categoriza a la familia </w:t>
      </w:r>
      <w:r w:rsidRPr="00F773D5">
        <w:rPr>
          <w:rFonts w:cs="Times New Roman"/>
          <w:i/>
          <w:szCs w:val="24"/>
        </w:rPr>
        <w:t>Halosphaeriaceae</w:t>
      </w:r>
      <w:r w:rsidRPr="00DC26DD">
        <w:rPr>
          <w:rFonts w:cs="Times New Roman"/>
          <w:szCs w:val="24"/>
        </w:rPr>
        <w:t xml:space="preserve"> como la más grande, con 141 especies </w:t>
      </w:r>
      <w:r>
        <w:rPr>
          <w:rFonts w:cs="Times New Roman"/>
          <w:szCs w:val="24"/>
        </w:rPr>
        <w:t xml:space="preserve">distribuidas </w:t>
      </w:r>
      <w:r w:rsidRPr="00DC26DD">
        <w:rPr>
          <w:rFonts w:cs="Times New Roman"/>
          <w:szCs w:val="24"/>
        </w:rPr>
        <w:t>en 59 géneros</w:t>
      </w:r>
      <w:r>
        <w:rPr>
          <w:rFonts w:cs="Times New Roman"/>
          <w:szCs w:val="24"/>
        </w:rPr>
        <w:t>, por otro lado también menciona que los géneros más abundantes son</w:t>
      </w:r>
      <w:r w:rsidRPr="00DC26DD">
        <w:rPr>
          <w:rFonts w:cs="Times New Roman"/>
          <w:szCs w:val="24"/>
        </w:rPr>
        <w:t xml:space="preserve"> </w:t>
      </w:r>
      <w:r w:rsidRPr="00DC26DD">
        <w:rPr>
          <w:rFonts w:cs="Times New Roman"/>
          <w:i/>
          <w:szCs w:val="24"/>
        </w:rPr>
        <w:t>Aspergillus</w:t>
      </w:r>
      <w:r w:rsidRPr="00DC26DD">
        <w:rPr>
          <w:rFonts w:cs="Times New Roman"/>
          <w:szCs w:val="24"/>
        </w:rPr>
        <w:t xml:space="preserve"> con 47 especies, </w:t>
      </w:r>
      <w:r w:rsidRPr="00DC26DD">
        <w:rPr>
          <w:rFonts w:cs="Times New Roman"/>
          <w:i/>
          <w:szCs w:val="24"/>
        </w:rPr>
        <w:t>Penicillium</w:t>
      </w:r>
      <w:r w:rsidRPr="00DC26DD">
        <w:rPr>
          <w:rFonts w:cs="Times New Roman"/>
          <w:szCs w:val="24"/>
        </w:rPr>
        <w:t xml:space="preserve"> con 39 especies y </w:t>
      </w:r>
      <w:r w:rsidRPr="00C53467">
        <w:rPr>
          <w:rFonts w:cs="Times New Roman"/>
          <w:i/>
          <w:iCs/>
          <w:szCs w:val="24"/>
        </w:rPr>
        <w:t>Candida</w:t>
      </w:r>
      <w:r w:rsidRPr="00DC26DD">
        <w:rPr>
          <w:rFonts w:cs="Times New Roman"/>
          <w:szCs w:val="24"/>
        </w:rPr>
        <w:t xml:space="preserve"> </w:t>
      </w:r>
      <w:r>
        <w:rPr>
          <w:rFonts w:cs="Times New Roman"/>
          <w:szCs w:val="24"/>
        </w:rPr>
        <w:t xml:space="preserve">con </w:t>
      </w:r>
      <w:r w:rsidRPr="00DC26DD">
        <w:rPr>
          <w:rFonts w:cs="Times New Roman"/>
          <w:szCs w:val="24"/>
        </w:rPr>
        <w:t>64 especies.</w:t>
      </w:r>
    </w:p>
    <w:p w14:paraId="1F391A0A" w14:textId="77777777" w:rsidR="000600C3" w:rsidRPr="00DC26DD" w:rsidRDefault="000600C3" w:rsidP="000600C3">
      <w:pPr>
        <w:spacing w:after="0"/>
        <w:rPr>
          <w:rFonts w:cs="Times New Roman"/>
          <w:szCs w:val="24"/>
        </w:rPr>
      </w:pPr>
    </w:p>
    <w:p w14:paraId="3EB13F8D" w14:textId="77777777" w:rsidR="00DC6E9A" w:rsidRDefault="00DC6E9A" w:rsidP="00062B62">
      <w:pPr>
        <w:pStyle w:val="Titulo20"/>
        <w:spacing w:after="0"/>
      </w:pPr>
      <w:bookmarkStart w:id="47" w:name="_Toc24018768"/>
      <w:bookmarkStart w:id="48" w:name="_Toc140204062"/>
      <w:r>
        <w:t>2.2 Metabolitos secundarios en hongos marinos</w:t>
      </w:r>
      <w:bookmarkEnd w:id="47"/>
      <w:bookmarkEnd w:id="48"/>
    </w:p>
    <w:p w14:paraId="30DFCA22" w14:textId="77777777" w:rsidR="00DC6E9A" w:rsidRDefault="00DC6E9A" w:rsidP="00DC6E9A">
      <w:pPr>
        <w:spacing w:before="240" w:after="0"/>
        <w:rPr>
          <w:rFonts w:cs="Times New Roman"/>
          <w:szCs w:val="24"/>
        </w:rPr>
      </w:pPr>
      <w:r>
        <w:rPr>
          <w:rFonts w:cs="Times New Roman"/>
          <w:szCs w:val="24"/>
        </w:rPr>
        <w:tab/>
        <w:t>Los metabolitos secundarios son moléculas producidas a partir de las principales vías metabólicas y de la síntesis de los metabolitos primarios de los hongos. Metabolitos como los terpenos y polipéptidos son derivados de moléculas de Acetil-</w:t>
      </w:r>
      <w:proofErr w:type="spellStart"/>
      <w:r>
        <w:rPr>
          <w:rFonts w:cs="Times New Roman"/>
          <w:szCs w:val="24"/>
        </w:rPr>
        <w:t>CoA</w:t>
      </w:r>
      <w:proofErr w:type="spellEnd"/>
      <w:r>
        <w:rPr>
          <w:rFonts w:cs="Times New Roman"/>
          <w:szCs w:val="24"/>
        </w:rPr>
        <w:t xml:space="preserve">, mientras que, metabolitos como los péptidos, utilizan aminoácidos como molécula base de su estructura </w:t>
      </w:r>
      <w:r>
        <w:rPr>
          <w:rFonts w:cs="Times New Roman"/>
          <w:szCs w:val="24"/>
        </w:rPr>
        <w:fldChar w:fldCharType="begin" w:fldLock="1"/>
      </w:r>
      <w:r>
        <w:rPr>
          <w:rFonts w:cs="Times New Roman"/>
          <w:szCs w:val="24"/>
        </w:rPr>
        <w:instrText>ADDIN CSL_CITATION {"citationItems":[{"id":"ITEM-1","itemData":{"DOI":"10.1038/s41579-018-0121-1","ISSN":"17401534","abstract":"One of the exciting movements in microbial sciences has been a refocusing and revitalization of efforts to mine the fungal secondary metabolome. The magnitude of biosynthetic gene clusters (BGCs) in a single filamentous fungal genome combined with the historic number of sequenced genomes suggests that the secondary metabolite wealth of filamentous fungi is largely untapped. Mining algorithms and scalable expression platforms have greatly expanded access to the chemical repertoire of fungal-derived secondary metabolites. In this Review, I discuss new insights into the transcriptional and epigenetic regulation of BGCs and the ecological roles of fungal secondary metabolites in warfare, defence and development. I also explore avenues for the identification of new fungal metabolites and the challenges in harvesting fungal-derived secondary metabolites.","author":[{"dropping-particle":"","family":"Keller","given":"Nancy P.","non-dropping-particle":"","parse-names":false,"suffix":""}],"container-title":"Nature Reviews Microbiology","id":"ITEM-1","issue":"3","issued":{"date-parts":[["2019"]]},"page":"167-180","publisher":"Springer US","title":"Fungal secondary metabolism: regulation, function and drug discovery","type":"article-journal","volume":"17"},"uris":["http://www.mendeley.com/documents/?uuid=56983468-e775-44e5-b1e4-1e98b6279a41"]}],"mendeley":{"formattedCitation":"(Keller, 2019)","plainTextFormattedCitation":"(Keller, 2019)","previouslyFormattedCitation":"(Keller, 2019)"},"properties":{"noteIndex":0},"schema":"https://github.com/citation-style-language/schema/raw/master/csl-citation.json"}</w:instrText>
      </w:r>
      <w:r>
        <w:rPr>
          <w:rFonts w:cs="Times New Roman"/>
          <w:szCs w:val="24"/>
        </w:rPr>
        <w:fldChar w:fldCharType="separate"/>
      </w:r>
      <w:r>
        <w:rPr>
          <w:rFonts w:cs="Times New Roman"/>
          <w:noProof/>
          <w:szCs w:val="24"/>
        </w:rPr>
        <w:t>(Keller, 2019)</w:t>
      </w:r>
      <w:r>
        <w:rPr>
          <w:rFonts w:cs="Times New Roman"/>
          <w:szCs w:val="24"/>
        </w:rPr>
        <w:fldChar w:fldCharType="end"/>
      </w:r>
      <w:r>
        <w:rPr>
          <w:rFonts w:cs="Times New Roman"/>
          <w:szCs w:val="24"/>
        </w:rPr>
        <w:t xml:space="preserve">. Estos </w:t>
      </w:r>
      <w:r>
        <w:rPr>
          <w:rFonts w:cs="Times New Roman"/>
          <w:szCs w:val="24"/>
        </w:rPr>
        <w:lastRenderedPageBreak/>
        <w:t xml:space="preserve">compuestos presentan bajo peso molecular, generados gracias a moléculas como las Policétido Sintasas Multimodulares (PSM), Péptidos Sintetasas No Ribosómicas (PSNR) o por enzimas, tales como la </w:t>
      </w:r>
      <w:proofErr w:type="spellStart"/>
      <w:r>
        <w:rPr>
          <w:rFonts w:cs="Times New Roman"/>
          <w:szCs w:val="24"/>
        </w:rPr>
        <w:t>preniltransferasas</w:t>
      </w:r>
      <w:proofErr w:type="spellEnd"/>
      <w:r>
        <w:rPr>
          <w:rFonts w:cs="Times New Roman"/>
          <w:szCs w:val="24"/>
        </w:rPr>
        <w:t xml:space="preserve"> y </w:t>
      </w:r>
      <w:proofErr w:type="spellStart"/>
      <w:r>
        <w:rPr>
          <w:rFonts w:cs="Times New Roman"/>
          <w:szCs w:val="24"/>
        </w:rPr>
        <w:t>dimetilalil</w:t>
      </w:r>
      <w:proofErr w:type="spellEnd"/>
      <w:r>
        <w:rPr>
          <w:rFonts w:cs="Times New Roman"/>
          <w:szCs w:val="24"/>
        </w:rPr>
        <w:t xml:space="preserve"> triptófano sintasas </w:t>
      </w:r>
      <w:r>
        <w:rPr>
          <w:rFonts w:cs="Times New Roman"/>
          <w:szCs w:val="24"/>
        </w:rPr>
        <w:fldChar w:fldCharType="begin" w:fldLock="1"/>
      </w:r>
      <w:r>
        <w:rPr>
          <w:rFonts w:cs="Times New Roman"/>
          <w:szCs w:val="24"/>
        </w:rPr>
        <w:instrText>ADDIN CSL_CITATION {"citationItems":[{"id":"ITEM-1","itemData":{"DOI":"10.1146/annurev-genet-120215-035203","ISSN":"0066-4197","abstract":"© 2016 by Annual Reviews. All rights reserved. Fungi have the capability to produce a tremendous number of so-called secondary metabolites, which possess a multitude of functions, e.g., communication signals during coexistence with other microorganisms, virulence factors during pathogenic interactions with plants and animals, and in medical applications. Therefore, research on this topic has intensified significantly during the past 10 years and thus knowledge of regulatory mechanisms and the understanding of the role of secondary metabolites have drastically increased. This review aims to depict the complexity of all the regulatory elements involved in controlling the expression of secondary metabolite gene clusters, ranging from epigenetic control and signal transduction pathways to global and specific transcriptional regulators. Furthermore, we give a short overview on the role of secondary metabolites, focusing on the interaction with other microorganisms in the environment as well as on pathogenic relationships.","author":[{"dropping-particle":"","family":"Macheleidt","given":"Juliane","non-dropping-particle":"","parse-names":false,"suffix":""},{"dropping-particle":"","family":"Mattern","given":"Derek J.","non-dropping-particle":"","parse-names":false,"suffix":""},{"dropping-particle":"","family":"Fischer","given":"Juliane","non-dropping-particle":"","parse-names":false,"suffix":""},{"dropping-particle":"","family":"Netzker","given":"Tina","non-dropping-particle":"","parse-names":false,"suffix":""},{"dropping-particle":"","family":"Weber","given":"Jakob","non-dropping-particle":"","parse-names":false,"suffix":""},{"dropping-particle":"","family":"Schroeckh","given":"Volker","non-dropping-particle":"","parse-names":false,"suffix":""},{"dropping-particle":"","family":"Valiante","given":"Vito","non-dropping-particle":"","parse-names":false,"suffix":""},{"dropping-particle":"","family":"Brakhage","given":"Axel A.","non-dropping-particle":"","parse-names":false,"suffix":""}],"container-title":"Annual Review of Genetics","id":"ITEM-1","issue":"1","issued":{"date-parts":[["2016"]]},"page":"371-392","title":"Regulation and Role of Fungal Secondary Metabolites","type":"article-journal","volume":"50"},"uris":["http://www.mendeley.com/documents/?uuid=38f7d659-977d-4f69-81d2-5857ffef9e0d"]}],"mendeley":{"formattedCitation":"(Macheleidt et al., 2016)","plainTextFormattedCitation":"(Macheleidt et al., 2016)","previouslyFormattedCitation":"(Macheleidt et al., 2016)"},"properties":{"noteIndex":0},"schema":"https://github.com/citation-style-language/schema/raw/master/csl-citation.json"}</w:instrText>
      </w:r>
      <w:r>
        <w:rPr>
          <w:rFonts w:cs="Times New Roman"/>
          <w:szCs w:val="24"/>
        </w:rPr>
        <w:fldChar w:fldCharType="separate"/>
      </w:r>
      <w:r>
        <w:rPr>
          <w:rFonts w:cs="Times New Roman"/>
          <w:noProof/>
          <w:szCs w:val="24"/>
        </w:rPr>
        <w:t>(Macheleidt et al., 2016)</w:t>
      </w:r>
      <w:r>
        <w:rPr>
          <w:rFonts w:cs="Times New Roman"/>
          <w:szCs w:val="24"/>
        </w:rPr>
        <w:fldChar w:fldCharType="end"/>
      </w:r>
      <w:r>
        <w:rPr>
          <w:rFonts w:cs="Times New Roman"/>
          <w:szCs w:val="24"/>
        </w:rPr>
        <w:t xml:space="preserve">. </w:t>
      </w:r>
    </w:p>
    <w:p w14:paraId="145A3FE3" w14:textId="77777777" w:rsidR="00DC6E9A" w:rsidRDefault="00DC6E9A" w:rsidP="00DC6E9A">
      <w:pPr>
        <w:spacing w:before="240" w:after="0"/>
        <w:ind w:firstLine="708"/>
        <w:rPr>
          <w:rFonts w:cs="Times New Roman"/>
          <w:szCs w:val="24"/>
        </w:rPr>
      </w:pPr>
      <w:r>
        <w:rPr>
          <w:rFonts w:cs="Times New Roman"/>
          <w:szCs w:val="24"/>
        </w:rPr>
        <w:t xml:space="preserve">Los procesos de regulación y producción de los metabolitos secundarios en los hongos son considerados por </w:t>
      </w:r>
      <w:r>
        <w:rPr>
          <w:rFonts w:cs="Times New Roman"/>
          <w:szCs w:val="24"/>
        </w:rPr>
        <w:fldChar w:fldCharType="begin" w:fldLock="1"/>
      </w:r>
      <w:r>
        <w:rPr>
          <w:rFonts w:cs="Times New Roman"/>
          <w:szCs w:val="24"/>
        </w:rPr>
        <w:instrText>ADDIN CSL_CITATION {"citationItems":[{"id":"ITEM-1","itemData":{"DOI":"10.1146/annurev-genet-120215-035203","ISSN":"0066-4197","abstract":"© 2016 by Annual Reviews. All rights reserved. Fungi have the capability to produce a tremendous number of so-called secondary metabolites, which possess a multitude of functions, e.g., communication signals during coexistence with other microorganisms, virulence factors during pathogenic interactions with plants and animals, and in medical applications. Therefore, research on this topic has intensified significantly during the past 10 years and thus knowledge of regulatory mechanisms and the understanding of the role of secondary metabolites have drastically increased. This review aims to depict the complexity of all the regulatory elements involved in controlling the expression of secondary metabolite gene clusters, ranging from epigenetic control and signal transduction pathways to global and specific transcriptional regulators. Furthermore, we give a short overview on the role of secondary metabolites, focusing on the interaction with other microorganisms in the environment as well as on pathogenic relationships.","author":[{"dropping-particle":"","family":"Macheleidt","given":"Juliane","non-dropping-particle":"","parse-names":false,"suffix":""},{"dropping-particle":"","family":"Mattern","given":"Derek J.","non-dropping-particle":"","parse-names":false,"suffix":""},{"dropping-particle":"","family":"Fischer","given":"Juliane","non-dropping-particle":"","parse-names":false,"suffix":""},{"dropping-particle":"","family":"Netzker","given":"Tina","non-dropping-particle":"","parse-names":false,"suffix":""},{"dropping-particle":"","family":"Weber","given":"Jakob","non-dropping-particle":"","parse-names":false,"suffix":""},{"dropping-particle":"","family":"Schroeckh","given":"Volker","non-dropping-particle":"","parse-names":false,"suffix":""},{"dropping-particle":"","family":"Valiante","given":"Vito","non-dropping-particle":"","parse-names":false,"suffix":""},{"dropping-particle":"","family":"Brakhage","given":"Axel A.","non-dropping-particle":"","parse-names":false,"suffix":""}],"container-title":"Annual Review of Genetics","id":"ITEM-1","issue":"1","issued":{"date-parts":[["2016"]]},"page":"371-392","title":"Regulation and Role of Fungal Secondary Metabolites","type":"article-journal","volume":"50"},"uris":["http://www.mendeley.com/documents/?uuid=38f7d659-977d-4f69-81d2-5857ffef9e0d"]}],"mendeley":{"formattedCitation":"(Macheleidt et al., 2016)","manualFormatting":"Macheleidt et al (2016)","plainTextFormattedCitation":"(Macheleidt et al., 2016)","previouslyFormattedCitation":"(Macheleidt et al., 2016)"},"properties":{"noteIndex":0},"schema":"https://github.com/citation-style-language/schema/raw/master/csl-citation.json"}</w:instrText>
      </w:r>
      <w:r>
        <w:rPr>
          <w:rFonts w:cs="Times New Roman"/>
          <w:szCs w:val="24"/>
        </w:rPr>
        <w:fldChar w:fldCharType="separate"/>
      </w:r>
      <w:r>
        <w:rPr>
          <w:rFonts w:cs="Times New Roman"/>
          <w:noProof/>
          <w:szCs w:val="24"/>
        </w:rPr>
        <w:t>Macheleidt et al (2016)</w:t>
      </w:r>
      <w:r>
        <w:rPr>
          <w:rFonts w:cs="Times New Roman"/>
          <w:szCs w:val="24"/>
        </w:rPr>
        <w:fldChar w:fldCharType="end"/>
      </w:r>
      <w:r>
        <w:rPr>
          <w:rFonts w:cs="Times New Roman"/>
          <w:szCs w:val="24"/>
        </w:rPr>
        <w:t xml:space="preserve"> como procesos complejos, esto debido a que involucran diferentes niveles de regulación con vías específicas y operadores globales, además de vías de transducción de señales y control epigenético. A esto se le agrega también, el hecho de que la regulación no sigue un orden jerárquico, donde las vías de síntesis se superponen e interconectan entre sí. Además, se sabe que la producción de los metabolitos secundarios está ligada y muchas veces restringida a una presencia de estímulos bióticos o abióticos, dentro de los cuales se pueden mencionar los cambios de temperatura y pH, las concentraciones de las fuentes de carbono y nitrógeno, edad, competencia entre organismos, procesos de depredación, entre otras </w:t>
      </w:r>
      <w:r>
        <w:rPr>
          <w:rFonts w:cs="Times New Roman"/>
          <w:szCs w:val="24"/>
        </w:rPr>
        <w:fldChar w:fldCharType="begin" w:fldLock="1"/>
      </w:r>
      <w:r>
        <w:rPr>
          <w:rFonts w:cs="Times New Roman"/>
          <w:szCs w:val="24"/>
        </w:rPr>
        <w:instrText>ADDIN CSL_CITATION {"citationItems":[{"id":"ITEM-1","itemData":{"DOI":"10.1146/annurev-genet-120215-035203","ISSN":"0066-4197","abstract":"© 2016 by Annual Reviews. All rights reserved. Fungi have the capability to produce a tremendous number of so-called secondary metabolites, which possess a multitude of functions, e.g., communication signals during coexistence with other microorganisms, virulence factors during pathogenic interactions with plants and animals, and in medical applications. Therefore, research on this topic has intensified significantly during the past 10 years and thus knowledge of regulatory mechanisms and the understanding of the role of secondary metabolites have drastically increased. This review aims to depict the complexity of all the regulatory elements involved in controlling the expression of secondary metabolite gene clusters, ranging from epigenetic control and signal transduction pathways to global and specific transcriptional regulators. Furthermore, we give a short overview on the role of secondary metabolites, focusing on the interaction with other microorganisms in the environment as well as on pathogenic relationships.","author":[{"dropping-particle":"","family":"Macheleidt","given":"Juliane","non-dropping-particle":"","parse-names":false,"suffix":""},{"dropping-particle":"","family":"Mattern","given":"Derek J.","non-dropping-particle":"","parse-names":false,"suffix":""},{"dropping-particle":"","family":"Fischer","given":"Juliane","non-dropping-particle":"","parse-names":false,"suffix":""},{"dropping-particle":"","family":"Netzker","given":"Tina","non-dropping-particle":"","parse-names":false,"suffix":""},{"dropping-particle":"","family":"Weber","given":"Jakob","non-dropping-particle":"","parse-names":false,"suffix":""},{"dropping-particle":"","family":"Schroeckh","given":"Volker","non-dropping-particle":"","parse-names":false,"suffix":""},{"dropping-particle":"","family":"Valiante","given":"Vito","non-dropping-particle":"","parse-names":false,"suffix":""},{"dropping-particle":"","family":"Brakhage","given":"Axel A.","non-dropping-particle":"","parse-names":false,"suffix":""}],"container-title":"Annual Review of Genetics","id":"ITEM-1","issue":"1","issued":{"date-parts":[["2016"]]},"page":"371-392","title":"Regulation and Role of Fungal Secondary Metabolites","type":"article-journal","volume":"50"},"uris":["http://www.mendeley.com/documents/?uuid=38f7d659-977d-4f69-81d2-5857ffef9e0d"]},{"id":"ITEM-2","itemData":{"DOI":"10.3390/md15040084","ISBN":"4940303764","ISSN":"16603397","abstract":"As part of an international research project, the marine fungal strain collection of the Helmholtz Centre for Ocean Research (GEOMAR) research centre was analysed for secondary metabolite profiles associated with anticancer activity. Strain MF458 was identified as Tolypocladium geodes, by internal transcribed spacer region (ITS) sequence similarity and its natural product production profile. By using five different media in two conditions and two time points, we were able to identify eight natural products produced by MF458. As well as cyclosporin A (1), efrapeptin D (2), pyridoxatin (3), terricolin A (4), malettinins B and E (5 and 6), and tolypocladenols A1/A2 (8), we identified a new secondary metabolite which we termed tolypocladenol C (7). All compounds were analysed for their anticancer potential using a selection of the NCI60 cancer cell line panel, with malettinins B and E (5 and 6) being the most promising candidates. In order to obtain sufficient quantities of these compounds to start preclinical development, their production was transferred from a static flask culture to a stirred tank reactor, and fermentation medium development resulted in a nearly eight-fold increase in compound production. The strain MF458 is therefore a producer of a number of interesting and new secondary metabolites and their production levels can be readily improved to achieve higher yields.","author":[{"dropping-particle":"","family":"Kebede","given":"Bethlehem","non-dropping-particle":"","parse-names":false,"suffix":""},{"dropping-particle":"","family":"Wrigley","given":"Stephen K.","non-dropping-particle":"","parse-names":false,"suffix":""},{"dropping-particle":"","family":"Prashar","given":"Anjali","non-dropping-particle":"","parse-names":false,"suffix":""},{"dropping-particle":"","family":"Rahlff","given":"Janina","non-dropping-particle":"","parse-names":false,"suffix":""},{"dropping-particle":"","family":"Wolf","given":"Markus","non-dropping-particle":"","parse-names":false,"suffix":""},{"dropping-particle":"","family":"Reinshagen","given":"Jeanette","non-dropping-particle":"","parse-names":false,"suffix":""},{"dropping-particle":"","family":"Gribbon","given":"Philip","non-dropping-particle":"","parse-names":false,"suffix":""},{"dropping-particle":"","family":"Imhoff","given":"Johannes F.","non-dropping-particle":"","parse-names":false,"suffix":""},{"dropping-particle":"","family":"Silber","given":"Johanna","non-dropping-particle":"","parse-names":false,"suffix":""},{"dropping-particle":"","family":"Labes","given":"Antje","non-dropping-particle":"","parse-names":false,"suffix":""},{"dropping-particle":"","family":"Ellinger","given":"Bernhard","non-dropping-particle":"","parse-names":false,"suffix":""}],"container-title":"Marine Drugs","id":"ITEM-2","issue":"4","issued":{"date-parts":[["2017"]]},"page":"1-20","title":"Establishing the Secondary Metabolite Profile of the Marine Fungus: &lt;i&gt;Tolypocladium geodes&lt;/i&gt; sp. MF458 and Subsequent Optimisation of Bioactive Secondary Metabolite Production","type":"article-journal","volume":"15"},"uris":["http://www.mendeley.com/documents/?uuid=99aa08af-d4e7-4a25-aefd-fc16a2f6ce5b"]}],"mendeley":{"formattedCitation":"(Kebede et al., 2017; Macheleidt et al., 2016)","plainTextFormattedCitation":"(Kebede et al., 2017; Macheleidt et al., 2016)","previouslyFormattedCitation":"(Kebede et al., 2017; Macheleidt et al., 2016)"},"properties":{"noteIndex":0},"schema":"https://github.com/citation-style-language/schema/raw/master/csl-citation.json"}</w:instrText>
      </w:r>
      <w:r>
        <w:rPr>
          <w:rFonts w:cs="Times New Roman"/>
          <w:szCs w:val="24"/>
        </w:rPr>
        <w:fldChar w:fldCharType="separate"/>
      </w:r>
      <w:r>
        <w:rPr>
          <w:rFonts w:cs="Times New Roman"/>
          <w:noProof/>
          <w:szCs w:val="24"/>
        </w:rPr>
        <w:t>(Kebede et al., 2017; Macheleidt et al., 2016)</w:t>
      </w:r>
      <w:r>
        <w:rPr>
          <w:rFonts w:cs="Times New Roman"/>
          <w:szCs w:val="24"/>
        </w:rPr>
        <w:fldChar w:fldCharType="end"/>
      </w:r>
      <w:r>
        <w:rPr>
          <w:rFonts w:cs="Times New Roman"/>
          <w:szCs w:val="24"/>
        </w:rPr>
        <w:t>.</w:t>
      </w:r>
    </w:p>
    <w:p w14:paraId="6551B085" w14:textId="77777777" w:rsidR="00DC6E9A" w:rsidRDefault="00DC6E9A" w:rsidP="00DC6E9A">
      <w:pPr>
        <w:spacing w:before="240" w:after="0"/>
        <w:ind w:firstLine="708"/>
        <w:rPr>
          <w:rFonts w:cs="Times New Roman"/>
          <w:szCs w:val="24"/>
        </w:rPr>
      </w:pPr>
      <w:r>
        <w:rPr>
          <w:rFonts w:cs="Times New Roman"/>
          <w:szCs w:val="24"/>
        </w:rPr>
        <w:t xml:space="preserve"> Para la clasificación de estas moléculas se toman en cuenta, principalmente, las característica de la conformación de su estructura química, pero también podrían clasificarse según sus características bioenergéticas, no obstante, </w:t>
      </w:r>
      <w:r>
        <w:rPr>
          <w:rFonts w:cs="Times New Roman"/>
          <w:szCs w:val="24"/>
        </w:rPr>
        <w:fldChar w:fldCharType="begin" w:fldLock="1"/>
      </w:r>
      <w:r>
        <w:rPr>
          <w:rFonts w:cs="Times New Roman"/>
          <w:szCs w:val="24"/>
        </w:rPr>
        <w:instrText>ADDIN CSL_CITATION {"citationItems":[{"id":"ITEM-1","itemData":{"DOI":"10.1039/c0np00061b","ISSN":"02650568","abstract":"Covering: 2006 to mid-2010","author":[{"dropping-particle":"","family":"Rateb","given":"Mostafa E.","non-dropping-particle":"","parse-names":false,"suffix":""},{"dropping-particle":"","family":"Ebel","given":"Rainer","non-dropping-particle":"","parse-names":false,"suffix":""}],"container-title":"Natural Product Reports","id":"ITEM-1","issue":"2","issued":{"date-parts":[["2011"]]},"page":"290-344","title":"Secondary metabolites of fungi from marine habitats","type":"article-journal","volume":"28"},"uris":["http://www.mendeley.com/documents/?uuid=5c0b37be-bfba-4f2e-ad53-15874bae9518"]}],"mendeley":{"formattedCitation":"(Rateb &amp; Ebel, 2011)","manualFormatting":"Rateb &amp; Ebel (2011)","plainTextFormattedCitation":"(Rateb &amp; Ebel, 2011)","previouslyFormattedCitation":"(Rateb &amp; Ebel, 2011)"},"properties":{"noteIndex":0},"schema":"https://github.com/citation-style-language/schema/raw/master/csl-citation.json"}</w:instrText>
      </w:r>
      <w:r>
        <w:rPr>
          <w:rFonts w:cs="Times New Roman"/>
          <w:szCs w:val="24"/>
        </w:rPr>
        <w:fldChar w:fldCharType="separate"/>
      </w:r>
      <w:r>
        <w:rPr>
          <w:rFonts w:cs="Times New Roman"/>
          <w:noProof/>
          <w:szCs w:val="24"/>
        </w:rPr>
        <w:t>Rateb &amp; Ebel (2011)</w:t>
      </w:r>
      <w:r>
        <w:rPr>
          <w:rFonts w:cs="Times New Roman"/>
          <w:szCs w:val="24"/>
        </w:rPr>
        <w:fldChar w:fldCharType="end"/>
      </w:r>
      <w:r>
        <w:rPr>
          <w:rFonts w:cs="Times New Roman"/>
          <w:szCs w:val="24"/>
        </w:rPr>
        <w:t xml:space="preserve"> mencionan que esta clasificación genera inconvenientes cuando el metabolito secundario presenta características multifuncionales, provocando que sea posible colocarlo en diferentes categorías. Entre los principales grupos de metabolitos clasificados según su estructura se encuentran: alcaloides, terpenos, metabolitos derivados de </w:t>
      </w:r>
      <w:proofErr w:type="spellStart"/>
      <w:r>
        <w:rPr>
          <w:rFonts w:cs="Times New Roman"/>
          <w:szCs w:val="24"/>
        </w:rPr>
        <w:t>shikimato</w:t>
      </w:r>
      <w:proofErr w:type="spellEnd"/>
      <w:r>
        <w:rPr>
          <w:rFonts w:cs="Times New Roman"/>
          <w:szCs w:val="24"/>
        </w:rPr>
        <w:t xml:space="preserve">, péptidos y policétidos, estos últimos representan el grupo de metabolitos de mayor presencia y aislamiento en hongos marinos </w:t>
      </w:r>
      <w:r>
        <w:rPr>
          <w:rFonts w:cs="Times New Roman"/>
          <w:szCs w:val="24"/>
        </w:rPr>
        <w:fldChar w:fldCharType="begin" w:fldLock="1"/>
      </w:r>
      <w:r>
        <w:rPr>
          <w:rFonts w:cs="Times New Roman"/>
          <w:szCs w:val="24"/>
        </w:rPr>
        <w:instrText>ADDIN CSL_CITATION {"citationItems":[{"id":"ITEM-1","itemData":{"DOI":"10.1039/c0np00061b","ISSN":"02650568","abstract":"Covering: 2006 to mid-2010","author":[{"dropping-particle":"","family":"Rateb","given":"Mostafa E.","non-dropping-particle":"","parse-names":false,"suffix":""},{"dropping-particle":"","family":"Ebel","given":"Rainer","non-dropping-particle":"","parse-names":false,"suffix":""}],"container-title":"Natural Product Reports","id":"ITEM-1","issue":"2","issued":{"date-parts":[["2011"]]},"page":"290-344","title":"Secondary metabolites of fungi from marine habitats","type":"article-journal","volume":"28"},"uris":["http://www.mendeley.com/documents/?uuid=5c0b37be-bfba-4f2e-ad53-15874bae9518"]},{"id":"ITEM-2","itemData":{"DOI":"10.1007/978-3-319-54304-8","ISBN":"9783319543031","author":[{"dropping-particle":"","family":"Raghukumar","given":"Seshagiri","non-dropping-particle":"","parse-names":false,"suffix":""}],"editor":[{"dropping-particle":"","family":"Fungi","given":"Marine","non-dropping-particle":"","parse-names":false,"suffix":""}],"id":"ITEM-2","issued":{"date-parts":[["2017"]]},"number-of-pages":"207-250","publisher-place":"India","title":"Fungi in Coastal and Oceanic Marine Ecosystems","type":"book"},"uris":["http://www.mendeley.com/documents/?uuid=6b2edb4a-fe16-4a06-add5-879c73bd9824"]}],"mendeley":{"formattedCitation":"(Raghukumar, 2017; Rateb &amp; Ebel, 2011)","plainTextFormattedCitation":"(Raghukumar, 2017; Rateb &amp; Ebel, 2011)","previouslyFormattedCitation":"(Raghukumar, 2017; Rateb &amp; Ebel, 2011)"},"properties":{"noteIndex":0},"schema":"https://github.com/citation-style-language/schema/raw/master/csl-citation.json"}</w:instrText>
      </w:r>
      <w:r>
        <w:rPr>
          <w:rFonts w:cs="Times New Roman"/>
          <w:szCs w:val="24"/>
        </w:rPr>
        <w:fldChar w:fldCharType="separate"/>
      </w:r>
      <w:r>
        <w:rPr>
          <w:rFonts w:cs="Times New Roman"/>
          <w:noProof/>
          <w:szCs w:val="24"/>
        </w:rPr>
        <w:t>(Raghukumar, 2017; Rateb &amp; Ebel, 2011)</w:t>
      </w:r>
      <w:r>
        <w:rPr>
          <w:rFonts w:cs="Times New Roman"/>
          <w:szCs w:val="24"/>
        </w:rPr>
        <w:fldChar w:fldCharType="end"/>
      </w:r>
      <w:r>
        <w:rPr>
          <w:rFonts w:cs="Times New Roman"/>
          <w:szCs w:val="24"/>
        </w:rPr>
        <w:t xml:space="preserve">. </w:t>
      </w:r>
    </w:p>
    <w:p w14:paraId="09EDBBFB" w14:textId="3A19379B" w:rsidR="00DC6E9A" w:rsidRDefault="00DC6E9A" w:rsidP="00DC6E9A">
      <w:pPr>
        <w:spacing w:before="240" w:after="0"/>
        <w:ind w:firstLine="708"/>
        <w:rPr>
          <w:rFonts w:cs="Times New Roman"/>
          <w:szCs w:val="24"/>
          <w:lang w:val="en-US"/>
        </w:rPr>
      </w:pPr>
      <w:r>
        <w:rPr>
          <w:rFonts w:cs="Times New Roman"/>
          <w:szCs w:val="24"/>
        </w:rPr>
        <w:t xml:space="preserve">En las últimas </w:t>
      </w:r>
      <w:r w:rsidR="00AC6540">
        <w:rPr>
          <w:rFonts w:cs="Times New Roman"/>
          <w:szCs w:val="24"/>
        </w:rPr>
        <w:t>tres</w:t>
      </w:r>
      <w:r>
        <w:rPr>
          <w:rFonts w:cs="Times New Roman"/>
          <w:szCs w:val="24"/>
        </w:rPr>
        <w:t xml:space="preserve"> décadas, la cantidad de nuevos metabolitos secundarios y compuestos bioactivos que se han obtenido a partir de recursos provenientes de ambientes terrestres ha decaído </w:t>
      </w:r>
      <w:r>
        <w:rPr>
          <w:rFonts w:cs="Times New Roman"/>
          <w:szCs w:val="24"/>
        </w:rPr>
        <w:fldChar w:fldCharType="begin" w:fldLock="1"/>
      </w:r>
      <w:r>
        <w:rPr>
          <w:rFonts w:cs="Times New Roman"/>
          <w:szCs w:val="24"/>
        </w:rPr>
        <w:instrText>ADDIN CSL_CITATION {"citationItems":[{"id":"ITEM-1","itemData":{"DOI":"10.1007/978-3-319-54304-8","ISBN":"9783319543031","author":[{"dropping-particle":"","family":"Raghukumar","given":"Seshagiri","non-dropping-particle":"","parse-names":false,"suffix":""}],"editor":[{"dropping-particle":"","family":"Fungi","given":"Marine","non-dropping-particle":"","parse-names":false,"suffix":""}],"id":"ITEM-1","issued":{"date-parts":[["2017"]]},"number-of-pages":"207-250","publisher-place":"India","title":"Fungi in Coastal and Oceanic Marine Ecosystems","type":"book"},"uris":["http://www.mendeley.com/documents/?uuid=6b2edb4a-fe16-4a06-add5-879c73bd9824"]}],"mendeley":{"formattedCitation":"(Raghukumar, 2017)","plainTextFormattedCitation":"(Raghukumar, 2017)","previouslyFormattedCitation":"(Raghukumar, 2017)"},"properties":{"noteIndex":0},"schema":"https://github.com/citation-style-language/schema/raw/master/csl-citation.json"}</w:instrText>
      </w:r>
      <w:r>
        <w:rPr>
          <w:rFonts w:cs="Times New Roman"/>
          <w:szCs w:val="24"/>
        </w:rPr>
        <w:fldChar w:fldCharType="separate"/>
      </w:r>
      <w:r>
        <w:rPr>
          <w:rFonts w:cs="Times New Roman"/>
          <w:noProof/>
          <w:szCs w:val="24"/>
        </w:rPr>
        <w:t>(Raghukumar, 2017)</w:t>
      </w:r>
      <w:r>
        <w:rPr>
          <w:rFonts w:cs="Times New Roman"/>
          <w:szCs w:val="24"/>
        </w:rPr>
        <w:fldChar w:fldCharType="end"/>
      </w:r>
      <w:r>
        <w:rPr>
          <w:rFonts w:cs="Times New Roman"/>
          <w:szCs w:val="24"/>
        </w:rPr>
        <w:t xml:space="preserve">, mientras que la búsqueda biotecnológica de nuevos compuestos bioactivos en ecosistemas marinos ha ido en aumento </w:t>
      </w:r>
      <w:r>
        <w:rPr>
          <w:rFonts w:cs="Times New Roman"/>
          <w:szCs w:val="24"/>
        </w:rPr>
        <w:fldChar w:fldCharType="begin" w:fldLock="1"/>
      </w:r>
      <w:r>
        <w:rPr>
          <w:rFonts w:cs="Times New Roman"/>
          <w:szCs w:val="24"/>
        </w:rPr>
        <w:instrText>ADDIN CSL_CITATION {"citationItems":[{"id":"ITEM-1","itemData":{"DOI":"10.12980/JCLM.3.2015JCLM-2015-0018","ISSN":"23095288","abstract":"See, stats, and : https : / / www . researchgate . net / publication / 277140292 An clinical Article DOI : 10 . 12980 / JCLM . 3 . 2015JCLM - 2015 - 0018 CITATIONS 7 READS 367 2 , including : Marisa Instituto 43 SEE All . The .","author":[{"dropping-particle":"","family":"Rangel","given":"Marisa","non-dropping-particle":"","parse-names":false,"suffix":""},{"dropping-particle":"","family":"Falkenberg","given":"Miriam","non-dropping-particle":"","parse-names":false,"suffix":""}],"container-title":"Journal of Coastal Life Medicine","id":"ITEM-1","issue":"6","issued":{"date-parts":[["2015"]]},"title":"An overview of the marine natural products in clinical trials and on the market","type":"article-journal","volume":"3"},"uris":["http://www.mendeley.com/documents/?uuid=8a0d209c-19ce-4f44-a442-73e6862e5462"]}],"mendeley":{"formattedCitation":"(Rangel &amp; Falkenberg, 2015)","plainTextFormattedCitation":"(Rangel &amp; Falkenberg, 2015)","previouslyFormattedCitation":"(Rangel &amp; Falkenberg, 2015)"},"properties":{"noteIndex":0},"schema":"https://github.com/citation-style-language/schema/raw/master/csl-citation.json"}</w:instrText>
      </w:r>
      <w:r>
        <w:rPr>
          <w:rFonts w:cs="Times New Roman"/>
          <w:szCs w:val="24"/>
        </w:rPr>
        <w:fldChar w:fldCharType="separate"/>
      </w:r>
      <w:r>
        <w:rPr>
          <w:rFonts w:cs="Times New Roman"/>
          <w:noProof/>
          <w:szCs w:val="24"/>
        </w:rPr>
        <w:t>(Rangel &amp; Falkenberg, 2015)</w:t>
      </w:r>
      <w:r>
        <w:rPr>
          <w:rFonts w:cs="Times New Roman"/>
          <w:szCs w:val="24"/>
        </w:rPr>
        <w:fldChar w:fldCharType="end"/>
      </w:r>
      <w:r>
        <w:rPr>
          <w:rFonts w:cs="Times New Roman"/>
          <w:szCs w:val="24"/>
        </w:rPr>
        <w:t xml:space="preserve">.  De los nuevos productos naturales que se han logrado aislar del mar, los hongos se muestran en la tercera posición, solo por debajo de las esponjas y cnidarios. En el año 1992 solo habían 15 metabolitos reportados en hongos marinos, mientras que para el período del 2006 al 2010, ya se reportaban 690 metabolitos </w:t>
      </w:r>
      <w:r>
        <w:rPr>
          <w:rFonts w:cs="Times New Roman"/>
          <w:szCs w:val="24"/>
        </w:rPr>
        <w:fldChar w:fldCharType="begin" w:fldLock="1"/>
      </w:r>
      <w:r>
        <w:rPr>
          <w:rFonts w:cs="Times New Roman"/>
          <w:szCs w:val="24"/>
        </w:rPr>
        <w:instrText>ADDIN CSL_CITATION {"citationItems":[{"id":"ITEM-1","itemData":{"DOI":"10.1039/c8np00092a","ISSN":"14604752","abstract":"Covering: 2015. Previous review: Nat. Prod. Rep., 2016, 33, 382-431This review covers the literature published in 2015 for marine natural products (MNPs), with 1220 citations (792 for the period January to December 2015) referring to compounds isolated from marine microorganisms and phytoplankton, green, brown and red algae, sponges, cnidarians, bryozoans, molluscs, tunicates, echinoderms, mangroves and other intertidal plants and microorganisms. The emphasis is on new compounds (1340 in 429 papers for 2015), together with the relevant biological activities, source organisms and country of origin. Reviews, biosynthetic studies, first syntheses, and syntheses that lead to the revision of structures or stereochemistries, have been included.","author":[{"dropping-particle":"","family":"Blunt","given":"John W.","non-dropping-particle":"","parse-names":false,"suffix":""},{"dropping-particle":"","family":"Copp","given":"Brent R.","non-dropping-particle":"","parse-names":false,"suffix":""},{"dropping-particle":"","family":"Keyzers","given":"Robert A.","non-dropping-particle":"","parse-names":false,"suffix":""},{"dropping-particle":"","family":"Munro","given":"Murray H.G","non-dropping-particle":"","parse-names":false,"suffix":""},{"dropping-particle":"","family":"Prinsep","given":"Michèle R.","non-dropping-particle":"","parse-names":false,"suffix":""}],"container-title":"Natural Product Reports","id":"ITEM-1","issue":"1","issued":{"date-parts":[["2015"]]},"page":"122-173","title":"Marine natural products","type":"article-journal","volume":"36"},"uris":["http://www.mendeley.com/documents/?uuid=6bcb17e7-9a1c-4cd5-adf5-4be13537603a"]},{"id":"ITEM-2","itemData":{"DOI":"10.3390/md14010019","ISSN":"16603397","PMID":"26784209","abstract":"Marine fungi represent a huge potential for new natural products and an increased number of new metabolites have become known over the past years, while much of the hidden potential still needs to be uncovered. Representative examples of biodiversity studies of marine fungi and of natural products from a diverse selection of marine fungi from the author’s lab are highlighting important aspects of this research. If one considers the huge phylogenetic diversity of marine fungi and their almost ubiquitous distribution, and realizes that most of the published work on secondary metabolites of marine fungi has focused on just a few genera, strictly speaking Penicillium, Aspergillus and maybe also Fusarium and Cladosporium, t</w:instrText>
      </w:r>
      <w:r>
        <w:rPr>
          <w:rFonts w:cs="Times New Roman"/>
          <w:szCs w:val="24"/>
          <w:lang w:val="en-US"/>
        </w:rPr>
        <w:instrText>he diversity of marine fungi is not adequately represented in investigations on their secondary metabolites and the less studied species deserve special attention. In addition to results on recently discovered new secondary metabolites of Penicillium species, the diversity of fungi in selected marine habitats is highlighted and examples of groups of secondary metabolites produced by representatives of a variety of different genera and their bioactivities are presented. Special focus is given to the production of groups of derivatives of metabolites by the fungi and to significant differences in biological activities due to small structural changes.","author":[{"dropping-particle":"","family":"Imhoff","given":"Johannes F.","non-dropping-particle":"","parse-names":false,"suffix":""}],"container-title":"Marine Drugs","id":"ITEM-2","issue":"1","issued":{"date-parts":[["2016"]]},"title":"Natural products from marine fungi - Still an underrepresented resource","type":"article-journal","volume":"14"},"uris":["http://www.mendeley.com/documents/?uuid=54c796df-5ff9-444a-818d-4b469d20e11b"]}],"mendeley":{"formattedCitation":"(Blunt, Copp, Keyzers, Munro, &amp; Prinsep, 2015; Imhoff, 2016)","plainTextFormattedCitation":"(Blunt, Copp, Keyzers, Munro, &amp; Prinsep, 2015; Imhoff, 2016)","previouslyFormattedCitation":"(Blunt, Copp, Keyzers, Munro, &amp; Prinsep, 2015; Imhoff, 2016)"},"properties":{"noteIndex":0},"schema":"https://github.com/citation-style-language/schema/raw/master/csl-citation.json"}</w:instrText>
      </w:r>
      <w:r>
        <w:rPr>
          <w:rFonts w:cs="Times New Roman"/>
          <w:szCs w:val="24"/>
        </w:rPr>
        <w:fldChar w:fldCharType="separate"/>
      </w:r>
      <w:r>
        <w:rPr>
          <w:rFonts w:cs="Times New Roman"/>
          <w:noProof/>
          <w:szCs w:val="24"/>
          <w:lang w:val="en-US"/>
        </w:rPr>
        <w:t>(Blunt, Copp, Keyzers, Munro, &amp; Prinsep, 2015; Imhoff, 2016)</w:t>
      </w:r>
      <w:r>
        <w:rPr>
          <w:rFonts w:cs="Times New Roman"/>
          <w:szCs w:val="24"/>
        </w:rPr>
        <w:fldChar w:fldCharType="end"/>
      </w:r>
      <w:r>
        <w:rPr>
          <w:rFonts w:cs="Times New Roman"/>
          <w:szCs w:val="24"/>
          <w:lang w:val="en-US"/>
        </w:rPr>
        <w:t xml:space="preserve">. </w:t>
      </w:r>
    </w:p>
    <w:p w14:paraId="0051419D" w14:textId="26233CC0" w:rsidR="00DC6E9A" w:rsidRDefault="00DC6E9A" w:rsidP="00DC6E9A">
      <w:pPr>
        <w:spacing w:before="240" w:after="0"/>
        <w:rPr>
          <w:rFonts w:cs="Times New Roman"/>
          <w:szCs w:val="24"/>
        </w:rPr>
      </w:pPr>
      <w:r>
        <w:rPr>
          <w:rFonts w:cs="Times New Roman"/>
          <w:szCs w:val="24"/>
          <w:lang w:val="en-US"/>
        </w:rPr>
        <w:lastRenderedPageBreak/>
        <w:tab/>
      </w:r>
      <w:r>
        <w:rPr>
          <w:rFonts w:cs="Times New Roman"/>
          <w:szCs w:val="24"/>
        </w:rPr>
        <w:fldChar w:fldCharType="begin" w:fldLock="1"/>
      </w:r>
      <w:r>
        <w:rPr>
          <w:rFonts w:cs="Times New Roman"/>
          <w:szCs w:val="24"/>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antibiotics","type":"article-journal","volume":"14"},"uris":["http://www.mendeley.com/documents/?uuid=d49c8156-56dc-4f8c-86ba-e3310fc2870a"]}],"mendeley":{"formattedCitation":"(Silber et al., 2016)","manualFormatting":"Silber et al. (2016)","plainTextFormattedCitation":"(Silber et al., 2016)","previouslyFormattedCitation":"(Silber et al., 2016)"},"properties":{"noteIndex":0},"schema":"https://github.com/citation-style-language/schema/raw/master/csl-citation.json"}</w:instrText>
      </w:r>
      <w:r>
        <w:rPr>
          <w:rFonts w:cs="Times New Roman"/>
          <w:szCs w:val="24"/>
        </w:rPr>
        <w:fldChar w:fldCharType="separate"/>
      </w:r>
      <w:r>
        <w:rPr>
          <w:rFonts w:cs="Times New Roman"/>
          <w:noProof/>
          <w:szCs w:val="24"/>
        </w:rPr>
        <w:t>Silber et al. (2016)</w:t>
      </w:r>
      <w:r>
        <w:rPr>
          <w:rFonts w:cs="Times New Roman"/>
          <w:szCs w:val="24"/>
        </w:rPr>
        <w:fldChar w:fldCharType="end"/>
      </w:r>
      <w:r>
        <w:rPr>
          <w:rFonts w:cs="Times New Roman"/>
          <w:szCs w:val="24"/>
        </w:rPr>
        <w:t xml:space="preserve"> indica que las condiciones de alta competitividad, historia evolutiva y la alta biodiversidad, que aún sigue siendo desconocida, colocan a los hongos marinos como fuentes de nuevos metabolitos secundarios. Estas biomoléculas aisladas de hongos marinos son más activos y son estructuralmente diferentes a los metabolitos producidos por los hongos de agua dulce y por los hongos terrestres </w:t>
      </w:r>
      <w:r>
        <w:rPr>
          <w:rFonts w:cs="Times New Roman"/>
          <w:szCs w:val="24"/>
        </w:rPr>
        <w:fldChar w:fldCharType="begin" w:fldLock="1"/>
      </w:r>
      <w:r w:rsidR="00CD5F8A">
        <w:rPr>
          <w:rFonts w:cs="Times New Roman"/>
          <w:szCs w:val="24"/>
        </w:rPr>
        <w:instrText>ADDIN CSL_CITATION {"citationItems":[{"id":"ITEM-1","itemData":{"DOI":"10.1002/med.21474","ISSN":"10981128","abstract":"Natural product libraries contain specialized metabolites derived from plants, animals, and microorganisms that play a pivotal role in drug discovery due to their immense structural diversity and wide variety of biological activities. The strategies to greatly extend natural product scaffolds through available biological and chemical approaches offer unique opportunities to access a new series of natural product analogues, enabling the construction of diverse natural product-like libraries. The affordability of these structurally diverse molecules has been a crucial step in accelerating drug discovery. This review provides an overview of various approaches to exploit the diversity of compounds for natural product-based drug development, drawing upon a series of examples to illustrate each strategy.","author":[{"dropping-particle":"","family":"Li","given":"Gang","non-dropping-particle":"","parse-names":false,"suffix":""},{"dropping-particle":"","family":"Lou","given":"Hong Xiang","non-dropping-particle":"","parse-names":false,"suffix":""}],"container-title":"Medicinal Research Reviews","id":"ITEM-1","issue":"4","issued":{"date-parts":[["2018"]]},"page":"1255-1294","title":"Strategies to diversify natural products for drug discovery","type":"article-journal","volume":"38"},"uris":["http://www.mendeley.com/documents/?uuid=0561ae55-5491-4e82-bcb6-40660859d992"]},{"id":"ITEM-2","itemData":{"DOI":"10.3390/md14010019","ISSN":"16603397","PMID":"26784209","abstract":"Marine fungi represent a huge potential for new natural products and an increased number of new metabolites have become known over the past years, while much of the hidden potential still needs to be uncovered. Representative examples of biodiversity studies of marine fungi and of natural products from a diverse selection of marine fungi from the author’s lab are highlighting important aspects of this research. If one considers the huge phylogenetic diversity of marine fungi and their almost ubiquitous distribution, and realizes that most of the published work on secondary metabolites of marine fungi has focused on just a few genera, strictly speaking Penicillium, Aspergillus and maybe also Fusarium and Cladosporium, the diversity of marine fungi is not adequately represented in investigations on their secondary metabolites and the less studied species deserve special attention. In addition to results on recently discovered new secondary metabolites of Penicillium species, the diversity of fungi in selected marine habitats is highlighted and examples of groups of secondary metabolites produced by representatives of a variety of different genera and their bioactivities are presented. Special focus is given to the production of groups of derivatives of metabolites by the fungi and to significant differences in biological activities due to small structural changes.","author":[{"dropping-particle":"","family":"Imhoff","given":"Johannes F.","non-dropping-particle":"","parse-names":false,"suffix":""}],"container-title":"Marine Drugs","id":"ITEM-2","issue":"1","issued":{"date-parts":[["2016"]]},"title":"Natural products from marine fungi - Still an underrepresented resource","type":"article-journal","volume":"14"},"uris":["http://www.mendeley.com/documents/?uuid=54c796df-5ff9-444a-818d-4b469d20e11b"]},{"id":"ITEM-3","itemData":{"DOI":"10.3390/md14070137","ISBN":"1660-3397","ISSN":"16603397","PMID":"27455283","abstract":"Filamentous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Drugs","id":"ITEM-3","issue":"7","issued":{"date-parts":[["2016"]]},"page":"1-20","title":"From discovery to production: Biotechnology of marine fungi for the production of new antibiotics","type":"article-journal","volume":"14"},"uris":["http://www.mendeley.com/documents/?uuid=d49c8156-56dc-4f8c-86ba-e3310fc2870a"]}],"mendeley":{"formattedCitation":"(Imhoff, 2016; Li &amp; Lou, 2018; Silber et al., 2016)","manualFormatting":"(Silber et al., 2016; Imhoff, 2016; Li &amp; Lou, 2018)","plainTextFormattedCitation":"(Imhoff, 2016; Li &amp; Lou, 2018; Silber et al., 2016)","previouslyFormattedCitation":"(Imhoff, 2016; Li &amp; Lou, 2018; Silber et al., 2016)"},"properties":{"noteIndex":0},"schema":"https://github.com/citation-style-language/schema/raw/master/csl-citation.json"}</w:instrText>
      </w:r>
      <w:r>
        <w:rPr>
          <w:rFonts w:cs="Times New Roman"/>
          <w:szCs w:val="24"/>
        </w:rPr>
        <w:fldChar w:fldCharType="separate"/>
      </w:r>
      <w:r>
        <w:rPr>
          <w:rFonts w:cs="Times New Roman"/>
          <w:noProof/>
          <w:szCs w:val="24"/>
        </w:rPr>
        <w:t>(Silber et al., 2016; Imhoff, 2016; Li &amp; Lou, 2018)</w:t>
      </w:r>
      <w:r>
        <w:rPr>
          <w:rFonts w:cs="Times New Roman"/>
          <w:szCs w:val="24"/>
        </w:rPr>
        <w:fldChar w:fldCharType="end"/>
      </w:r>
      <w:r>
        <w:rPr>
          <w:rFonts w:cs="Times New Roman"/>
          <w:szCs w:val="24"/>
        </w:rPr>
        <w:t xml:space="preserve">. Entre estos metabolitos, los más reconocidos son los que muestran propiedades antiinflamatorias, citotóxicas, antioxidantes, antifúngicos y antibacteriales </w:t>
      </w:r>
      <w:r>
        <w:rPr>
          <w:rFonts w:cs="Times New Roman"/>
          <w:szCs w:val="24"/>
        </w:rPr>
        <w:fldChar w:fldCharType="begin" w:fldLock="1"/>
      </w:r>
      <w:r>
        <w:rPr>
          <w:rFonts w:cs="Times New Roman"/>
          <w:szCs w:val="24"/>
        </w:rPr>
        <w:instrText>ADDIN CSL_CITATION {"citationItems":[{"id":"ITEM-1","itemData":{"DOI":"10.3390/md12115503","ISSN":"1660-3397","author":[{"dropping-particle":"","family":"Espinoza","given":"César","non-dropping-particle":"","parse-names":false,"suffix":""},{"dropping-particle":"","family":"Martín-Rodríguez","given":"Alberto","non-dropping-particle":"","parse-names":false,"suffix":""},{"dropping-particle":"","family":"Fernández","given":"José","non-dropping-particle":"","parse-names":false,"suffix":""},{"dropping-particle":"","family":"Pérez-Yépez","given":"Juan","non-dropping-particle":"","parse-names":false,"suffix":""},{"dropping-particle":"","family":"Norte","given":"Manuel","non-dropping-particle":"","parse-names":false,"suffix":""},{"dropping-particle":"","family":"León-Barrios","given":"Milagros","non-dropping-particle":"","parse-names":false,"suffix":""},{"dropping-particle":"","family":"Martín","given":"Jesús","non-dropping-particle":"","parse-names":false,"suffix":""},{"dropping-particle":"","family":"Couttolenc","given":"Alan","non-dropping-particle":"","parse-names":false,"suffix":""},{"dropping-particle":"","family":"Martín","given":"Víctor","non-dropping-particle":"","parse-names":false,"suffix":""},{"dropping-particle":"","family":"Trigos","given":"Ángel","non-dropping-particle":"","parse-names":false,"suffix":""},{"dropping-particle":"","family":"Reyes","given":"Fernando","non-dropping-particle":"","parse-names":false,"suffix":""}],"container-title":"Marine Drugs","id":"ITEM-1","issue":"11","issued":{"date-parts":[["2014"]]},"page":"5503-5526","title":"Inhibition of Bacterial Quorum Sensing by Extracts from Aquatic Fungi: First Report from Marine Endophytes","type":"article-journal","volume":"12"},"uris":["http://www.mendeley.com/documents/?uuid=f5a38997-ddaf-4bab-8a8c-287189b3dbbb"]}],"mendeley":{"formattedCitation":"(Espinoza et al., 2014)","plainTextFormattedCitation":"(Espinoza et al., 2014)","previouslyFormattedCitation":"(Espinoza et al., 2014)"},"properties":{"noteIndex":0},"schema":"https://github.com/citation-style-language/schema/raw/master/csl-citation.json"}</w:instrText>
      </w:r>
      <w:r>
        <w:rPr>
          <w:rFonts w:cs="Times New Roman"/>
          <w:szCs w:val="24"/>
        </w:rPr>
        <w:fldChar w:fldCharType="separate"/>
      </w:r>
      <w:r>
        <w:rPr>
          <w:rFonts w:cs="Times New Roman"/>
          <w:noProof/>
          <w:szCs w:val="24"/>
        </w:rPr>
        <w:t>(Espinoza et al., 2014)</w:t>
      </w:r>
      <w:r>
        <w:rPr>
          <w:rFonts w:cs="Times New Roman"/>
          <w:szCs w:val="24"/>
        </w:rPr>
        <w:fldChar w:fldCharType="end"/>
      </w:r>
      <w:r>
        <w:rPr>
          <w:rFonts w:cs="Times New Roman"/>
          <w:szCs w:val="24"/>
        </w:rPr>
        <w:t xml:space="preserve">.  </w:t>
      </w:r>
    </w:p>
    <w:p w14:paraId="484EC4B4" w14:textId="11033092" w:rsidR="00DC6E9A" w:rsidRDefault="00DC6E9A" w:rsidP="00DC6E9A">
      <w:pPr>
        <w:spacing w:before="240" w:after="0"/>
        <w:ind w:firstLine="708"/>
        <w:rPr>
          <w:rFonts w:cs="Times New Roman"/>
          <w:szCs w:val="24"/>
        </w:rPr>
      </w:pPr>
      <w:r>
        <w:rPr>
          <w:rFonts w:cs="Times New Roman"/>
          <w:szCs w:val="24"/>
        </w:rPr>
        <w:t xml:space="preserve">No obstante, entre los metabolitos secundarios mencionados, los de actividad antibacteriana llaman poderosamente la atención de las grandes empresas farmacéuticas, ya que los compuestos antimicrobianos son los medicamentos que presentan mayor uso </w:t>
      </w:r>
      <w:r>
        <w:rPr>
          <w:rFonts w:cs="Times New Roman"/>
          <w:szCs w:val="24"/>
        </w:rPr>
        <w:fldChar w:fldCharType="begin" w:fldLock="1"/>
      </w:r>
      <w:r w:rsidR="0040596A">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Fungi","type":"article-journal","volume":"13"},"uris":["http://www.mendeley.com/documents/?uuid=a560cc4c-f05b-4e6e-8bd3-2970e15c7624"]},{"id":"ITEM-2","itemData":{"DOI":"10.3390/md13010202","ISSN":"16603397","abstract":"Every year, hundreds of new compounds are discovered from the metabolites of marine organisms. Finding new and useful compounds is one of the crucial drivers for this field of research. Here we describe the statistics of bioactive compounds discovered from marine organisms from 1985 to 2012. This work is based on our database, which contains information on more than 15,000 chemical substances including 4196 bioactive marine natural products. We performed a comprehensive statistical analysis to understand the characteristics of the novel bioactive compounds and detail temporal trends, chemical structures, species distribution, and research progress. We hope this meta-analysis will provide useful information for research into the bioactivity of marine natural products and drug development.","author":[{"dropping-particle":"","family":"Hu","given":"Yiwen","non-dropping-particle":"","parse-names":false,"suffix":""},{"dropping-particle":"","family":"Chen","given":"Jiahui","non-dropping-particle":"","parse-names":false,"suffix":""},{"dropping-particle":"","family":"Hu","given":"Guping","non-dropping-particle":"","parse-names":false,"suffix":""},{"dropping-particle":"","family":"Yu","given":"Jianchen","non-dropping-particle":"","parse-names":false,"suffix":""},{"dropping-particle":"","family":"Zhu","given":"Xun","non-dropping-particle":"","parse-names":false,"suffix":""},{"dropping-particle":"","family":"Lin","given":"Yongcheng","non-dropping-particle":"","parse-names":false,"suffix":""},{"dropping-particle":"","family":"Chen","given":"Shengping","non-dropping-particle":"","parse-names":false,"suffix":""},{"dropping-particle":"","family":"Yuan","given":"Jie","non-dropping-particle":"","parse-names":false,"suffix":""}],"container-title":"Marine Drugs","id":"ITEM-2","issue":"1","issued":{"date-parts":[["2015"]]},"page":"202-221","title":"Statistical research on the bioactivity of new marine natural products discovered during the 28 years from 1985 to 2012","type":"article-journal","volume":"13"},"uris":["http://www.mendeley.com/documents/?uuid=91218960-ef6c-42a0-9359-1fcb087ecfc2"]}],"mendeley":{"formattedCitation":"(Hu et al., 2015; L. Xu et al., 2015)","plainTextFormattedCitation":"(Hu et al., 2015; L. Xu et al., 2015)","previouslyFormattedCitation":"(Hu et al., 2015; L. Xu et al., 2015)"},"properties":{"noteIndex":0},"schema":"https://github.com/citation-style-language/schema/raw/master/csl-citation.json"}</w:instrText>
      </w:r>
      <w:r>
        <w:rPr>
          <w:rFonts w:cs="Times New Roman"/>
          <w:szCs w:val="24"/>
        </w:rPr>
        <w:fldChar w:fldCharType="separate"/>
      </w:r>
      <w:r w:rsidR="00902F56" w:rsidRPr="00902F56">
        <w:rPr>
          <w:rFonts w:cs="Times New Roman"/>
          <w:noProof/>
          <w:szCs w:val="24"/>
        </w:rPr>
        <w:t>(Hu et al., 2015; L. Xu et al., 2015)</w:t>
      </w:r>
      <w:r>
        <w:rPr>
          <w:rFonts w:cs="Times New Roman"/>
          <w:szCs w:val="24"/>
        </w:rPr>
        <w:fldChar w:fldCharType="end"/>
      </w:r>
      <w:r>
        <w:rPr>
          <w:rFonts w:cs="Times New Roman"/>
          <w:szCs w:val="24"/>
        </w:rPr>
        <w:t xml:space="preserve">. De hecho, </w:t>
      </w:r>
      <w:r>
        <w:rPr>
          <w:rFonts w:cs="Times New Roman"/>
          <w:szCs w:val="24"/>
        </w:rPr>
        <w:fldChar w:fldCharType="begin" w:fldLock="1"/>
      </w:r>
      <w:r>
        <w:rPr>
          <w:rFonts w:cs="Times New Roman"/>
          <w:szCs w:val="24"/>
        </w:rPr>
        <w:instrText>ADDIN CSL_CITATION {"citationItems":[{"id":"ITEM-1","itemData":{"DOI":"10.1016/j.jsps.2018.01.001","ISSN":"13190164","PMID":"29556131","abstract":"Antimicrobial peptides are group of proteins showing broad-spectrum antimicrobial activity that have been known to be powerful agents against a variety of pathogens. This class of compounds contributed to solving the microbial resistance dilemma that limited the use of many potent antimicrobial agents. The marine environment is known to be one of the richest sources for antimicrobial peptides, yet this environment is not fully explored. Hence, the scientific research attention should be directed toward the marine ecosystem as enormous amount of useful discoveries could be brought to the forefront. In the current article, the marine antimicrobial peptides reported from mid 2012 to 2017 have been reviewed.","author":[{"dropping-particle":"","family":"Semreen","given":"Mohammad H.","non-dropping-particle":"","parse-names":false,"suffix":""},{"dropping-particle":"","family":"El-Gamal","given":"Mohammed I.","non-dropping-particle":"","parse-names":false,"suffix":""},{"dropping-particle":"","family":"Abdin","given":"Shifaa","non-dropping-particle":"","parse-names":false,"suffix":""},{"dropping-particle":"","family":"Alkhazraji","given":"Hajar","non-dropping-particle":"","parse-names":false,"suffix":""},{"dropping-particle":"","family":"Kamal","given":"Leena","non-dropping-particle":"","parse-names":false,"suffix":""},{"dropping-particle":"","family":"Hammad","given":"Saba","non-dropping-particle":"","parse-names":false,"suffix":""},{"dropping-particle":"","family":"El-Awady","given":"Faten","non-dropping-particle":"","parse-names":false,"suffix":""},{"dropping-particle":"","family":"Waleed","given":"Dima","non-dropping-particle":"","parse-names":false,"suffix":""},{"dropping-particle":"","family":"Kourbaj","given":"Layal","non-dropping-particle":"","parse-names":false,"suffix":""}],"container-title":"Saudi Pharmaceutical Journal","id":"ITEM-1","issue":"3","issued":{"date-parts":[["2018"]]},"page":"396-409","publisher":"The Authors","title":"Recent updates of marine antimicrobial peptides","type":"article-journal","volume":"26"},"uris":["http://www.mendeley.com/documents/?uuid=d18b5041-b683-49e6-a977-705b18c5ebd6"]}],"mendeley":{"formattedCitation":"(Semreen et al., 2018)","manualFormatting":"Semreen et al. (2018)","plainTextFormattedCitation":"(Semreen et al., 2018)","previouslyFormattedCitation":"(Semreen et al., 2018)"},"properties":{"noteIndex":0},"schema":"https://github.com/citation-style-language/schema/raw/master/csl-citation.json"}</w:instrText>
      </w:r>
      <w:r>
        <w:rPr>
          <w:rFonts w:cs="Times New Roman"/>
          <w:szCs w:val="24"/>
        </w:rPr>
        <w:fldChar w:fldCharType="separate"/>
      </w:r>
      <w:r>
        <w:rPr>
          <w:rFonts w:cs="Times New Roman"/>
          <w:noProof/>
          <w:szCs w:val="24"/>
        </w:rPr>
        <w:t>Semreen et al. (2018)</w:t>
      </w:r>
      <w:r>
        <w:rPr>
          <w:rFonts w:cs="Times New Roman"/>
          <w:szCs w:val="24"/>
        </w:rPr>
        <w:fldChar w:fldCharType="end"/>
      </w:r>
      <w:r>
        <w:rPr>
          <w:rFonts w:cs="Times New Roman"/>
          <w:szCs w:val="24"/>
        </w:rPr>
        <w:t xml:space="preserve"> mencionan que no hay casi ningún organismo marino que no produzca compuestos de actividad inhibitoria ante bacterias, ya que los necesitan para su sobrevivencia. Entre los géneros que más producen compuestos antimicrobianos se encuentran </w:t>
      </w:r>
      <w:r>
        <w:rPr>
          <w:rFonts w:cs="Times New Roman"/>
          <w:i/>
          <w:szCs w:val="24"/>
        </w:rPr>
        <w:t>Aspergillus</w:t>
      </w:r>
      <w:r>
        <w:rPr>
          <w:rFonts w:cs="Times New Roman"/>
          <w:szCs w:val="24"/>
        </w:rPr>
        <w:t xml:space="preserve">, seguido por el ya conocido </w:t>
      </w:r>
      <w:r>
        <w:rPr>
          <w:rFonts w:cs="Times New Roman"/>
          <w:i/>
          <w:szCs w:val="24"/>
        </w:rPr>
        <w:t>Penicillium</w:t>
      </w:r>
      <w:r>
        <w:rPr>
          <w:rFonts w:cs="Times New Roman"/>
          <w:szCs w:val="24"/>
        </w:rPr>
        <w:t xml:space="preserve"> </w:t>
      </w:r>
      <w:r>
        <w:rPr>
          <w:rFonts w:cs="Times New Roman"/>
          <w:szCs w:val="24"/>
        </w:rPr>
        <w:fldChar w:fldCharType="begin" w:fldLock="1"/>
      </w:r>
      <w:r w:rsidR="0040596A">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Fungi","type":"article-journal","volume":"13"},"uris":["http://www.mendeley.com/documents/?uuid=a560cc4c-f05b-4e6e-8bd3-2970e15c7624"]}],"mendeley":{"formattedCitation":"(L. Xu et al., 2015)","plainTextFormattedCitation":"(L. Xu et al., 2015)","previouslyFormattedCitation":"(L. Xu et al., 2015)"},"properties":{"noteIndex":0},"schema":"https://github.com/citation-style-language/schema/raw/master/csl-citation.json"}</w:instrText>
      </w:r>
      <w:r>
        <w:rPr>
          <w:rFonts w:cs="Times New Roman"/>
          <w:szCs w:val="24"/>
        </w:rPr>
        <w:fldChar w:fldCharType="separate"/>
      </w:r>
      <w:r w:rsidR="00902F56" w:rsidRPr="00902F56">
        <w:rPr>
          <w:rFonts w:cs="Times New Roman"/>
          <w:noProof/>
          <w:szCs w:val="24"/>
        </w:rPr>
        <w:t>(L. Xu et al., 2015)</w:t>
      </w:r>
      <w:r>
        <w:rPr>
          <w:rFonts w:cs="Times New Roman"/>
          <w:szCs w:val="24"/>
        </w:rPr>
        <w:fldChar w:fldCharType="end"/>
      </w:r>
      <w:r>
        <w:rPr>
          <w:rFonts w:cs="Times New Roman"/>
          <w:szCs w:val="24"/>
        </w:rPr>
        <w:t>.</w:t>
      </w:r>
    </w:p>
    <w:p w14:paraId="10DD0EBA" w14:textId="1FBBBD0D" w:rsidR="00DC6E9A" w:rsidRDefault="00DC6E9A" w:rsidP="00DC6E9A">
      <w:pPr>
        <w:spacing w:before="240" w:after="0"/>
        <w:ind w:firstLine="708"/>
        <w:rPr>
          <w:rFonts w:cs="Times New Roman"/>
          <w:szCs w:val="24"/>
        </w:rPr>
      </w:pPr>
      <w:r>
        <w:rPr>
          <w:rFonts w:cs="Times New Roman"/>
          <w:szCs w:val="24"/>
        </w:rPr>
        <w:t xml:space="preserve">Los metabolitos secundarios de actividad antibacteriana sintetizados por hongos marinos pertenecen principalmente a los grupos de: los policétidos, que incluyen a las </w:t>
      </w:r>
      <w:proofErr w:type="spellStart"/>
      <w:r>
        <w:rPr>
          <w:rFonts w:cs="Times New Roman"/>
          <w:szCs w:val="24"/>
        </w:rPr>
        <w:t>xantonas</w:t>
      </w:r>
      <w:proofErr w:type="spellEnd"/>
      <w:r>
        <w:rPr>
          <w:rFonts w:cs="Times New Roman"/>
          <w:szCs w:val="24"/>
        </w:rPr>
        <w:t xml:space="preserve">, antraquinonas y quinonas; esteroides, terpenos, pirimidinas, piridinas o </w:t>
      </w:r>
      <w:proofErr w:type="spellStart"/>
      <w:r>
        <w:rPr>
          <w:rFonts w:cs="Times New Roman"/>
          <w:szCs w:val="24"/>
        </w:rPr>
        <w:t>piroides</w:t>
      </w:r>
      <w:proofErr w:type="spellEnd"/>
      <w:r>
        <w:rPr>
          <w:rFonts w:cs="Times New Roman"/>
          <w:szCs w:val="24"/>
        </w:rPr>
        <w:t xml:space="preserve">, alcaloides y los péptidos </w:t>
      </w:r>
      <w:r>
        <w:rPr>
          <w:rFonts w:cs="Times New Roman"/>
          <w:szCs w:val="24"/>
        </w:rPr>
        <w:fldChar w:fldCharType="begin" w:fldLock="1"/>
      </w:r>
      <w:r w:rsidR="0040596A">
        <w:rPr>
          <w:rFonts w:cs="Times New Roman"/>
          <w:szCs w:val="24"/>
        </w:rPr>
        <w:instrText>ADDIN CSL_CITATION {"citationItems":[{"id":"ITEM-1","itemData":{"DOI":"10.3390/md13063479","ISSN":"1660-3397","PMID":"26042616","author":[{"dropping-particle":"","family":"Xu","given":"Lijian","non-dropping-particle":"","parse-names":false,"suffix":""},{"dropping-particle":"","family":"Meng","given":"Wei","non-dropping-particle":"","parse-names":false,"suffix":""},{"dropping-particle":"","family":"Cao","given":"Cong","non-dropping-particle":"","parse-names":false,"suffix":""},{"dropping-particle":"","family":"Wang","given":"Jian","non-dropping-particle":"","parse-names":false,"suffix":""},{"dropping-particle":"","family":"Shan","given":"Wenjun","non-dropping-particle":"","parse-names":false,"suffix":""},{"dropping-particle":"","family":"Wang","given":"Qinggui","non-dropping-particle":"","parse-names":false,"suffix":""}],"container-title":"Marine Drugs","id":"ITEM-1","issue":"6","issued":{"date-parts":[["2015"]]},"page":"3479-3513","title":"Antibacterial and Antifungal Compounds from Marine Fungi","type":"article-journal","volume":"13"},"uris":["http://www.mendeley.com/documents/?uuid=a560cc4c-f05b-4e6e-8bd3-2970e15c7624"]}],"mendeley":{"formattedCitation":"(L. Xu et al., 2015)","plainTextFormattedCitation":"(L. Xu et al., 2015)","previouslyFormattedCitation":"(L. Xu et al., 2015)"},"properties":{"noteIndex":0},"schema":"https://github.com/citation-style-language/schema/raw/master/csl-citation.json"}</w:instrText>
      </w:r>
      <w:r>
        <w:rPr>
          <w:rFonts w:cs="Times New Roman"/>
          <w:szCs w:val="24"/>
        </w:rPr>
        <w:fldChar w:fldCharType="separate"/>
      </w:r>
      <w:r w:rsidR="00902F56" w:rsidRPr="00902F56">
        <w:rPr>
          <w:rFonts w:cs="Times New Roman"/>
          <w:noProof/>
          <w:szCs w:val="24"/>
        </w:rPr>
        <w:t>(L. Xu et al., 2015)</w:t>
      </w:r>
      <w:r>
        <w:rPr>
          <w:rFonts w:cs="Times New Roman"/>
          <w:szCs w:val="24"/>
        </w:rPr>
        <w:fldChar w:fldCharType="end"/>
      </w:r>
      <w:r>
        <w:rPr>
          <w:rFonts w:cs="Times New Roman"/>
          <w:szCs w:val="24"/>
        </w:rPr>
        <w:t xml:space="preserve">. A pesar de esto, los policétidos y los péptidos, específicamente llamados péptidos antimicrobianos o PAM´s, son metabolitos de mayor interés. Los primeros debido a que representan casi la mitad de los metabolitos aislados </w:t>
      </w:r>
      <w:r>
        <w:rPr>
          <w:rFonts w:cs="Times New Roman"/>
          <w:szCs w:val="24"/>
        </w:rPr>
        <w:fldChar w:fldCharType="begin" w:fldLock="1"/>
      </w:r>
      <w:r>
        <w:rPr>
          <w:rFonts w:cs="Times New Roman"/>
          <w:szCs w:val="24"/>
        </w:rPr>
        <w:instrText>ADDIN CSL_CITATION {"citationItems":[{"id":"ITEM-1","itemData":{"DOI":"10.1016/j.biotechadv.2011.03.001","ISBN":"0734-9750","ISSN":"07349750","PMID":"21419836","abstract":"The biological resources of the oceans have been exploited since ancient human history, mainly by catching fish and harvesting algae. Research on natural products with special emphasis on marine animals and also algae during the last decades of the 20th century has revealed the importance of marine organisms as producers of substances useful for the treatment of human diseases. Though a large number of bioactive substances have been identified, some many years ago, only recently the first drugs from the oceans were approved. Quite astonishingly, the immense diversity of microbes in the marine environments and their almost untouched capacity to produce natural products and therefore the importance of microbes for marine biotechnology was realized on a broad basis by the scientific communities only recently. This has strengthened worldwide research activities dealing with the exploration of marine microorganisms for biotechnological applications, which comprise the production of bioactive compounds for pharmaceutical use, as well as the development of other valuable products, such as enzymes, nutraceuticals and cosmetics. While the focus in these fields was mainly on marine bacteria, also marine fungi now receive growing attention. Although culture-dependent studies continue to provide interesting new chemical structures with biological activities at a high rate and represent highly promising approaches for the search of new drugs, exploration and use of genomic and metagenomic resources are considered to further increase this potential. Many efforts are made for the sustainable exploration of marine microbial resources. Large culture collections specifically of marine bacteria and marine fungi are available. Compound libraries of marine natural products, even of highly purified substances, were established. The expectations into the commercial exploitation of marine microbial resources has given rise to numerous institutions worldwide, basic research facilities as well as companies. In Europe, recent activities have initiated a dynamic development in marine biotechnology, though concentrated efforts on marine natural product research are rare. One of these activities is represented by the Kieler Wirkstoff-Zentrum KiWiZ, which was founded in 2005 in Kiel (Germany). © 2011 Elsevier Inc.","author":[{"dropping-particle":"","family":"Imhoff","given":"Johannes F.","non-dropping-particle":"","parse-names":false,"suffix":""},{"dropping-particle":"","family":"Labes","given":"Antje","non-dropping-particle":"","parse-names":false,"suffix":""},{"dropping-particle":"","family":"Wiese","given":"Jutta","non-dropping-particle":"","parse-names":false,"suffix":""}],"container-title":"Biotechnology Advances","id":"ITEM-1","issue":"5","issued":{"date-parts":[["2011"]]},"page":"468-482","publisher":"Elsevier Inc.","title":"Bio-mining the microbial treasures of the ocean: New natural products","type":"article-journal","volume":"29"},"uris":["http://www.mendeley.com/documents/?uuid=e9dd2513-fa8a-4b8b-b566-8369206f27dd"]}],"mendeley":{"formattedCitation":"(Imhoff, Labes, &amp; Wiese, 2011)","plainTextFormattedCitation":"(Imhoff, Labes, &amp; Wiese, 2011)","previouslyFormattedCitation":"(Imhoff, Labes, &amp; Wiese, 2011)"},"properties":{"noteIndex":0},"schema":"https://github.com/citation-style-language/schema/raw/master/csl-citation.json"}</w:instrText>
      </w:r>
      <w:r>
        <w:rPr>
          <w:rFonts w:cs="Times New Roman"/>
          <w:szCs w:val="24"/>
        </w:rPr>
        <w:fldChar w:fldCharType="separate"/>
      </w:r>
      <w:r>
        <w:rPr>
          <w:rFonts w:cs="Times New Roman"/>
          <w:noProof/>
          <w:szCs w:val="24"/>
        </w:rPr>
        <w:t>(Imhoff, Labes, &amp; Wiese, 2011)</w:t>
      </w:r>
      <w:r>
        <w:rPr>
          <w:rFonts w:cs="Times New Roman"/>
          <w:szCs w:val="24"/>
        </w:rPr>
        <w:fldChar w:fldCharType="end"/>
      </w:r>
      <w:r>
        <w:rPr>
          <w:rFonts w:cs="Times New Roman"/>
          <w:szCs w:val="24"/>
        </w:rPr>
        <w:t xml:space="preserve"> y han mostrado actividad antimicrobiana ante bacterias multirresistentes. Inclusive un grupo de policétidos aislados de un hongo asociado a una esponja, mostraron 10 veces más actividad inhibitoria que el antibiótico de uso común cloranfenicol </w:t>
      </w:r>
      <w:r>
        <w:rPr>
          <w:rFonts w:cs="Times New Roman"/>
          <w:szCs w:val="24"/>
        </w:rPr>
        <w:fldChar w:fldCharType="begin" w:fldLock="1"/>
      </w:r>
      <w:r>
        <w:rPr>
          <w:rFonts w:cs="Times New Roman"/>
          <w:szCs w:val="24"/>
        </w:rPr>
        <w:instrText>ADDIN CSL_CITATION {"citationItems":[{"id":"ITEM-1","itemData":{"DOI":"10.1016/s1473-3099(18)30711-4","ISSN":"14733099","author":[{"dropping-particle":"","family":"Liu","given":"Miaomiao","non-dropping-particle":"","parse-names":false,"suffix":""},{"dropping-particle":"","family":"El-Hossary","given":"Ebaa M","non-dropping-particle":"","parse-names":false,"suffix":""},{"dropping-particle":"","family":"Oelschlaeger","given":"Tobias A","non-dropping-particle":"","parse-names":false,"suffix":""},{"dropping-particle":"","family":"Donia","given":"Mohamed S","non-dropping-particle":"","parse-names":false,"suffix":""},{"dropping-particle":"","family":"Quinn","given":"Ronald J","non-dropping-particle":"","parse-names":false,"suffix":""},{"dropping-particle":"","family":"Abdelmohsen","given":"Usama Ramadan","non-dropping-particle":"","parse-names":false,"suffix":""}],"container-title":"The Lancet Infectious Diseases","id":"ITEM-1","issue":"18","issued":{"date-parts":[["2019"]]},"page":"1-9","publisher":"Elsevier Ltd","title":"Potential of marine natural products against drug-resistant bacterial infections","type":"article-journal","volume":"3099"},"uris":["http://www.mendeley.com/documents/?uuid=84830323-bd9b-4a49-aab9-0415901f6749"]}],"mendeley":{"formattedCitation":"(Liu et al., 2019)","plainTextFormattedCitation":"(Liu et al., 2019)","previouslyFormattedCitation":"(Liu et al., 2019)"},"properties":{"noteIndex":0},"schema":"https://github.com/citation-style-language/schema/raw/master/csl-citation.json"}</w:instrText>
      </w:r>
      <w:r>
        <w:rPr>
          <w:rFonts w:cs="Times New Roman"/>
          <w:szCs w:val="24"/>
        </w:rPr>
        <w:fldChar w:fldCharType="separate"/>
      </w:r>
      <w:r>
        <w:rPr>
          <w:rFonts w:cs="Times New Roman"/>
          <w:noProof/>
          <w:szCs w:val="24"/>
        </w:rPr>
        <w:t>(Liu et al., 2019)</w:t>
      </w:r>
      <w:r>
        <w:rPr>
          <w:rFonts w:cs="Times New Roman"/>
          <w:szCs w:val="24"/>
        </w:rPr>
        <w:fldChar w:fldCharType="end"/>
      </w:r>
    </w:p>
    <w:p w14:paraId="0B8AB590" w14:textId="0EFCA70A" w:rsidR="00DC6E9A" w:rsidRDefault="00DC6E9A" w:rsidP="00DC6E9A">
      <w:pPr>
        <w:spacing w:before="240" w:after="0"/>
        <w:ind w:firstLine="708"/>
        <w:rPr>
          <w:rFonts w:cs="Times New Roman"/>
        </w:rPr>
      </w:pPr>
      <w:r>
        <w:rPr>
          <w:rFonts w:cs="Times New Roman"/>
        </w:rPr>
        <w:t xml:space="preserve">Por su parte, los péptidos antimicrobianos </w:t>
      </w:r>
      <w:r>
        <w:rPr>
          <w:rFonts w:cs="Times New Roman"/>
          <w:szCs w:val="24"/>
        </w:rPr>
        <w:t xml:space="preserve">se han convertido en una de las principales alternativas para combatir la resistencia microbiana a antibióticos ya que </w:t>
      </w:r>
      <w:r>
        <w:rPr>
          <w:rFonts w:cs="Times New Roman"/>
        </w:rPr>
        <w:t xml:space="preserve">muestran un amplio espectro de actividades antiinfecciosas, presentan una baja tasa de deposición biológica en tejidos corporales y presentan alta especificidad a nivel taxonómico e inclusive a nivel de especie </w:t>
      </w:r>
      <w:r>
        <w:rPr>
          <w:rFonts w:cs="Times New Roman"/>
        </w:rPr>
        <w:fldChar w:fldCharType="begin" w:fldLock="1"/>
      </w:r>
      <w:r>
        <w:rPr>
          <w:rFonts w:cs="Times New Roman"/>
        </w:rPr>
        <w:instrText>ADDIN CSL_CITATION {"citationItems":[{"id":"ITEM-1","itemData":{"DOI":"10.3390/md13074006","ISBN":"8523943803","ISSN":"16603397","abstract":"Peptides are important bioactive natural products which are present in many marine species. These marine peptides have high potential nutraceutical and medicinal values because of their broad spectra of bioactivities. Their antimicrobial, antiviral, antitumor, antioxidative, cardioprotective (antihypertensive, antiatherosclerotic and anticoagulant), immunomodulatory, analgesic, anxiolytic anti-diabetic, appetite suppressing and neuroprotective activities have attracted the attention of the pharmaceutical industry, which attempts to design them for use in the treatment or prevention of various diseases. Some marine peptides or their derivatives have high commercial values and had reached the pharmaceutical and nutraceutical markets. A large number of them are already in different phases of the clinical and preclinical pipeline. This review highlights the recent research in marine peptides and the trends and prospects for the future, with special emphasis on nutraceutical and pharmaceutical development into marketed products.","author":[{"dropping-particle":"","family":"Cheung","given":"Randy Chi Fai","non-dropping-particle":"","parse-names":false,"suffix":""},{"dropping-particle":"","family":"Ng","given":"Tzi Bun","non-dropping-particle":"","parse-names":false,"suffix":""},{"dropping-particle":"","family":"Wong","given":"Jack Ho","non-dropping-particle":"","parse-names":false,"suffix":""}],"container-title":"Marine Drugs","id":"ITEM-1","issue":"7","issued":{"date-parts":[["2015"]]},"number-of-pages":"4006-4043","title":"Marine peptides: Bioactivities and applications","type":"book","volume":"13"},"uris":["http://www.mendeley.com/documents/?uuid=58211cc4-74b0-445d-a522-c731b5767972"]}],"mendeley":{"formattedCitation":"(Cheung, Ng, &amp; Wong, 2015)","plainTextFormattedCitation":"(Cheung, Ng, &amp; Wong, 2015)","previouslyFormattedCitation":"(Cheung, Ng, &amp; Wong, 2015)"},"properties":{"noteIndex":0},"schema":"https://github.com/citation-style-language/schema/raw/master/csl-citation.json"}</w:instrText>
      </w:r>
      <w:r>
        <w:rPr>
          <w:rFonts w:cs="Times New Roman"/>
        </w:rPr>
        <w:fldChar w:fldCharType="separate"/>
      </w:r>
      <w:r w:rsidRPr="00EF3A1F">
        <w:rPr>
          <w:rFonts w:cs="Times New Roman"/>
          <w:noProof/>
        </w:rPr>
        <w:t>(Cheung, Ng, &amp; Wong, 2015)</w:t>
      </w:r>
      <w:r>
        <w:rPr>
          <w:rFonts w:cs="Times New Roman"/>
        </w:rPr>
        <w:fldChar w:fldCharType="end"/>
      </w:r>
      <w:r>
        <w:rPr>
          <w:rFonts w:cs="Times New Roman"/>
        </w:rPr>
        <w:t xml:space="preserve">. Además, </w:t>
      </w:r>
      <w:r w:rsidR="00DB7058">
        <w:rPr>
          <w:rFonts w:cs="Times New Roman"/>
        </w:rPr>
        <w:t>p</w:t>
      </w:r>
      <w:r>
        <w:rPr>
          <w:rFonts w:cs="Times New Roman"/>
        </w:rPr>
        <w:t xml:space="preserve">oseen la habilidad de disgregar la formación de biopelículas gracias a la interacción con la pared de polisacáridos de las bacterias </w:t>
      </w:r>
      <w:r>
        <w:rPr>
          <w:rFonts w:cs="Times New Roman"/>
        </w:rPr>
        <w:fldChar w:fldCharType="begin" w:fldLock="1"/>
      </w:r>
      <w:r>
        <w:rPr>
          <w:rFonts w:cs="Times New Roman"/>
        </w:rPr>
        <w:instrText>ADDIN CSL_CITATION {"citationItems":[{"id":"ITEM-1","itemData":{"DOI":"10.1111/2049-632X.12151","ISSN":"2049632X","abstract":"Abstract The treatment for biofilm infections is particularly challenging because bacteria in these conditions become refractory to antibiotic drugs. The reduced effectiveness of current therapies spurs research for the identification of novel molecules endowed with antimicrobial activities and new mechanisms of antibiofilm action. Antimicrobial peptides ( AMP s) have been receiving increasing attention as potential therapeutic agents, because they represent a novel class of antibiotics with a wide spectrum of activity and a low rate in inducing bacterial resistance. Over the past decades, a large number of naturally occurring AMP s have been identified or predicted from various organisms as effector molecules of the innate immune system playing a crucial role in the first line of defense. Recent studies have shown the ability of some AMP s to act against microbial biofilms, in particular during early phases of biofilm development. Here, we provide a review of the antimicrobial peptides tested on biofilms, highlighting their advantages and disadvantages for prophylactic and therapeutic applications. In addition, we describe the strategies and methods for de novo design of potentially active AMP s and discuss how informatics and computational tools may be exploited to improve antibiofilm effectiveness.","author":[{"dropping-particle":"","family":"Luca","given":"Mariagrazia","non-dropping-particle":"Di","parse-names":false,"suffix":""},{"dropping-particle":"","family":"Maccari","given":"Giuseppe","non-dropping-particle":"","parse-names":false,"suffix":""},{"dropping-particle":"","family":"Nifosí","given":"Riccardo","non-dropping-particle":"","parse-names":false,"suffix":""}],"container-title":"Pathogens and Disease","id":"ITEM-1","issue":"3","issued":{"date-parts":[["2014"]]},"page":"257-270","title":"Treatment of microbial biofilms in the post-antibiotic era: Prophylactic and therapeutic use of antimicrobial peptides and their design by bioinformatics tools","type":"article-journal","volume":"70"},"uris":["http://www.mendeley.com/documents/?uuid=8d03117e-2560-4355-8ca8-562a314e3f1f"]}],"mendeley":{"formattedCitation":"(Di Luca, Maccari, &amp; Nifosí, 2014)","plainTextFormattedCitation":"(Di Luca, Maccari, &amp; Nifosí, 2014)","previouslyFormattedCitation":"(Di Luca, Maccari, &amp; Nifosí, 2014)"},"properties":{"noteIndex":0},"schema":"https://github.com/citation-style-language/schema/raw/master/csl-citation.json"}</w:instrText>
      </w:r>
      <w:r>
        <w:rPr>
          <w:rFonts w:cs="Times New Roman"/>
        </w:rPr>
        <w:fldChar w:fldCharType="separate"/>
      </w:r>
      <w:r>
        <w:rPr>
          <w:rFonts w:cs="Times New Roman"/>
          <w:noProof/>
        </w:rPr>
        <w:t>(Di Luca, Maccari, &amp; Nifosí, 2014)</w:t>
      </w:r>
      <w:r>
        <w:rPr>
          <w:rFonts w:cs="Times New Roman"/>
        </w:rPr>
        <w:fldChar w:fldCharType="end"/>
      </w:r>
      <w:r>
        <w:rPr>
          <w:rFonts w:cs="Times New Roman"/>
        </w:rPr>
        <w:t xml:space="preserve"> Por otra parte, </w:t>
      </w:r>
      <w:r>
        <w:rPr>
          <w:rFonts w:cs="Times New Roman"/>
        </w:rPr>
        <w:fldChar w:fldCharType="begin" w:fldLock="1"/>
      </w:r>
      <w:r>
        <w:rPr>
          <w:rFonts w:cs="Times New Roman"/>
        </w:rPr>
        <w:instrText>ADDIN CSL_CITATION {"citationItems":[{"id":"ITEM-1","itemData":{"DOI":"10.3390/md13010202","ISSN":"16603397","abstract":"Every year, hundreds of new compounds are discovered from the metabolites of marine organisms. Finding new and useful compounds is one of the crucial drivers for this field of research. Here we describe the statistics of bioactive compounds discovered from marine organisms from 1985 to 2012. This work is based on our database, which contains information on more than 15,000 chemical substances including 4196 bioactive marine natural products. We performed a comprehensive statistical analysis to understand the characteristics of the novel bioactive compounds and detail temporal trends, chemical structures, species distribution, and research progress. We hope this meta-analysis will provide useful information for research into the bioactivity of marine natural products and drug development.","author":[{"dropping-particle":"","family":"Hu","given":"Yiwen","non-dropping-particle":"","parse-names":false,"suffix":""},{"dropping-particle":"","family":"Chen","given":"Jiahui","non-dropping-particle":"","parse-names":false,"suffix":""},{"dropping-particle":"","family":"Hu","given":"Guping","non-dropping-particle":"","parse-names":false,"suffix":""},{"dropping-particle":"","family":"Yu","given":"Jianchen","non-dropping-particle":"","parse-names":false,"suffix":""},{"dropping-particle":"","family":"Zhu","given":"Xun","non-dropping-particle":"","parse-names":false,"suffix":""},{"dropping-particle":"","family":"Lin","given":"Yongcheng","non-dropping-particle":"","parse-names":false,"suffix":""},{"dropping-particle":"","family":"Chen","given":"Shengping","non-dropping-particle":"","parse-names":false,"suffix":""},{"dropping-particle":"","family":"Yuan","given":"Jie","non-dropping-particle":"","parse-names":false,"suffix":""}],"container-title":"Marine Drugs","id":"ITEM-1","issue":"1","issued":{"date-parts":[["2015"]]},"page":"202-221","title":"Statistical research on the bioactivity of new marine natural products discovered during the 28 years from 1985 to 2012","type":"article-journal","volume":"13"},"uris":["http://www.mendeley.com/documents/?uuid=91218960-ef6c-42a0-9359-1fcb087ecfc2"]}],"mendeley":{"formattedCitation":"(Hu et al., 2015)","manualFormatting":"Hu et al. (2015)","plainTextFormattedCitation":"(Hu et al., 2015)","previouslyFormattedCitation":"(Hu et al., 2015)"},"properties":{"noteIndex":0},"schema":"https://github.com/citation-style-language/schema/raw/master/csl-citation.json"}</w:instrText>
      </w:r>
      <w:r>
        <w:rPr>
          <w:rFonts w:cs="Times New Roman"/>
        </w:rPr>
        <w:fldChar w:fldCharType="separate"/>
      </w:r>
      <w:r>
        <w:rPr>
          <w:rFonts w:cs="Times New Roman"/>
          <w:noProof/>
        </w:rPr>
        <w:t>Hu et al. (2015)</w:t>
      </w:r>
      <w:r>
        <w:rPr>
          <w:rFonts w:cs="Times New Roman"/>
        </w:rPr>
        <w:fldChar w:fldCharType="end"/>
      </w:r>
      <w:r>
        <w:rPr>
          <w:rFonts w:cs="Times New Roman"/>
        </w:rPr>
        <w:t xml:space="preserve"> mencionan que la estabilidad, </w:t>
      </w:r>
      <w:r>
        <w:rPr>
          <w:rFonts w:cs="Times New Roman"/>
        </w:rPr>
        <w:lastRenderedPageBreak/>
        <w:t>selectividad, el tamaño reducido, la baja inmunogenicidad y la posibilidad de síntesis química o recombinante, convierten a los PAM´s en potenciales fármacos de gran aplicabilidad en la industria farmacéutica.</w:t>
      </w:r>
    </w:p>
    <w:p w14:paraId="63640D6F" w14:textId="77777777" w:rsidR="00DC6E9A" w:rsidRDefault="00DC6E9A" w:rsidP="00DC6E9A">
      <w:pPr>
        <w:spacing w:before="240" w:after="0"/>
        <w:ind w:firstLine="708"/>
        <w:rPr>
          <w:rFonts w:cs="Times New Roman"/>
        </w:rPr>
      </w:pPr>
      <w:r>
        <w:rPr>
          <w:rFonts w:cs="Times New Roman"/>
        </w:rPr>
        <w:t xml:space="preserve">Sumado a sus propiedades antibióticas, los PAM´s también reducen la respuesta inflamatoria a infecciones, estimulan la actividad inmune para una mejor reparación de las heridas y provocan la estimulación de actividad inmune antimicrobiana </w:t>
      </w:r>
      <w:r>
        <w:rPr>
          <w:rFonts w:cs="Times New Roman"/>
        </w:rPr>
        <w:fldChar w:fldCharType="begin" w:fldLock="1"/>
      </w:r>
      <w:r>
        <w:rPr>
          <w:rFonts w:cs="Times New Roman"/>
        </w:rPr>
        <w:instrText>ADDIN CSL_CITATION {"citationItems":[{"id":"ITEM-1","itemData":{"DOI":"10.3390/md13010618","ISSN":"16603397","abstract":"Marine bioresources are a valuable source of bioactive compounds with industrial and nutraceutical potential. Numerous clinical trials evaluating novel chemotherapeutic agents derived from marine sources have revealed novel mechanisms of action. Recently, marine-derived bioactive peptides have attracted attention owing to their numerous beneficial effects. Moreover, several studies have reported that marine peptides exhibit various anti-infective activities, such as antimicrobial, antifungal, antimalarial, antiprotozoal, anti-tuberculosis, and antiviral activities. In the last several decades, studies of marine plants, animals, and microbes have revealed tremendous number of structurally diverse and bioactive secondary metabolites. However, the treatments available for many infectious diseases caused by bacteria, fungi, and viruses are limited. Thus, the identification of novel antimicrobial peptides should be continued, and all possible strategies should be explored. In this review, we will present the structures and anti-infective activity of peptides isolated from marine sources (sponges, algae, bacteria, fungi and fish) from 2006 to the present.","author":[{"dropping-particle":"","family":"Kang","given":"Hee Kyoung","non-dropping-particle":"","parse-names":false,"suffix":""},{"dropping-particle":"","family":"Seo","given":"Chang Ho","non-dropping-particle":"","parse-names":false,"suffix":""},{"dropping-particle":"","family":"Park","given":"Yoonkyung","non-dropping-particle":"","parse-names":false,"suffix":""}],"container-title":"Marine Drugs","id":"ITEM-1","issue":"1","issued":{"date-parts":[["2015"]]},"page":"618-654","title":"Marine peptides and their anti-infective activities","type":"article-journal","volume":"13"},"uris":["http://www.mendeley.com/documents/?uuid=24ece8eb-5c27-44f3-9c64-3bf411e6adab"]}],"mendeley":{"formattedCitation":"(Kang, Seo, &amp; Park, 2015)","plainTextFormattedCitation":"(Kang, Seo, &amp; Park, 2015)","previouslyFormattedCitation":"(Kang, Seo, &amp; Park, 2015)"},"properties":{"noteIndex":0},"schema":"https://github.com/citation-style-language/schema/raw/master/csl-citation.json"}</w:instrText>
      </w:r>
      <w:r>
        <w:rPr>
          <w:rFonts w:cs="Times New Roman"/>
        </w:rPr>
        <w:fldChar w:fldCharType="separate"/>
      </w:r>
      <w:r>
        <w:rPr>
          <w:rFonts w:cs="Times New Roman"/>
          <w:noProof/>
        </w:rPr>
        <w:t>(Kang, Seo, &amp; Park, 2015)</w:t>
      </w:r>
      <w:r>
        <w:rPr>
          <w:rFonts w:cs="Times New Roman"/>
        </w:rPr>
        <w:fldChar w:fldCharType="end"/>
      </w:r>
      <w:r>
        <w:rPr>
          <w:rFonts w:cs="Times New Roman"/>
        </w:rPr>
        <w:t xml:space="preserve">. Debido a esto, son considerados altamente atractivos para la industria farmacéutica en miras de convertirse en posibles agentes terapéuticos </w:t>
      </w:r>
      <w:r>
        <w:rPr>
          <w:rFonts w:cs="Times New Roman"/>
        </w:rPr>
        <w:fldChar w:fldCharType="begin" w:fldLock="1"/>
      </w:r>
      <w:r>
        <w:rPr>
          <w:rFonts w:cs="Times New Roman"/>
        </w:rPr>
        <w:instrText>ADDIN CSL_CITATION {"citationItems":[{"id":"ITEM-1","itemData":{"DOI":"10.3390/md13074006","ISBN":"8523943803","ISSN":"16603397","abstract":"Peptides are important bioactive natural products which are present in many marine species. These marine peptides have high potential nutraceutical and medicinal values because of their broad spectra of bioactivities. Their antimicrobial, antiviral, antitumor, antioxidative, cardioprotective (antihypertensive, antiatherosclerotic and anticoagulant), immunomodulatory, analgesic, anxiolytic anti-diabetic, appetite suppressing and neuroprotective activities have attracted the attention of the pharmaceutical industry, which attempts to design them for use in the treatment or prevention of various diseases. Some marine peptides or their derivatives have high commercial values and had reached the pharmaceutical and nutraceutical markets. A large number of them are already in different phases of the clinical and preclinical pipeline. This review highlights the recent research in marine peptides and the trends and prospects for the future, with special emphasis on nutraceutical and pharmaceutical development into marketed products.","author":[{"dropping-particle":"","family":"Cheung","given":"Randy Chi Fai","non-dropping-particle":"","parse-names":false,"suffix":""},{"dropping-particle":"","family":"Ng","given":"Tzi Bun","non-dropping-particle":"","parse-names":false,"suffix":""},{"dropping-particle":"","family":"Wong","given":"Jack Ho","non-dropping-particle":"","parse-names":false,"suffix":""}],"container-title":"Marine Drugs","id":"ITEM-1","issue":"7","issued":{"date-parts":[["2015"]]},"number-of-pages":"4006-4043","title":"Marine peptides: Bioactivities and applications","type":"book","volume":"13"},"uris":["http://www.mendeley.com/documents/?uuid=58211cc4-74b0-445d-a522-c731b5767972"]}],"mendeley":{"formattedCitation":"(Cheung et al., 2015)","plainTextFormattedCitation":"(Cheung et al., 2015)","previouslyFormattedCitation":"(Cheung et al., 2015)"},"properties":{"noteIndex":0},"schema":"https://github.com/citation-style-language/schema/raw/master/csl-citation.json"}</w:instrText>
      </w:r>
      <w:r>
        <w:rPr>
          <w:rFonts w:cs="Times New Roman"/>
        </w:rPr>
        <w:fldChar w:fldCharType="separate"/>
      </w:r>
      <w:r>
        <w:rPr>
          <w:rFonts w:cs="Times New Roman"/>
          <w:noProof/>
        </w:rPr>
        <w:t>(Cheung et al., 2015)</w:t>
      </w:r>
      <w:r>
        <w:rPr>
          <w:rFonts w:cs="Times New Roman"/>
        </w:rPr>
        <w:fldChar w:fldCharType="end"/>
      </w:r>
      <w:r>
        <w:rPr>
          <w:rFonts w:cs="Times New Roman"/>
        </w:rPr>
        <w:t xml:space="preserve">. Además, el sinergismo mostrado por estas moléculas permite su uso complementario en las terapias de uso de antibióticos convencionales y así complementar y potenciar la efectividad de los tratamientos terapéuticos </w:t>
      </w:r>
      <w:r>
        <w:rPr>
          <w:rFonts w:cs="Times New Roman"/>
        </w:rPr>
        <w:fldChar w:fldCharType="begin" w:fldLock="1"/>
      </w:r>
      <w:r>
        <w:rPr>
          <w:rFonts w:cs="Times New Roman"/>
        </w:rPr>
        <w:instrText>ADDIN CSL_CITATION {"citationItems":[{"id":"ITEM-1","itemData":{"author":[{"dropping-particle":"","family":"la Fuente-Salcido","given":"Norma Margarita","non-dropping-particle":"De","parse-names":false,"suffix":""},{"dropping-particle":"","family":"Villarreal-Prieto","given":"Jesús Ma","non-dropping-particle":"","parse-names":false,"suffix":""},{"dropping-particle":"","family":"Díaz","given":"Miguel Angel","non-dropping-particle":"","parse-names":false,"suffix":""},{"dropping-particle":"","family":"García","given":"Ada Patricia","non-dropping-particle":"","parse-names":false,"suffix":""}],"container-title":"Rev Mex Cienc Farm","id":"ITEM-1","issue":"2","issued":{"date-parts":[["2015"]]},"page":"7-16","title":"Evaluation of the activity of antimicrobial agents against the challenge of bacterial resistance","type":"article-journal","volume":"46"},"uris":["http://www.mendeley.com/documents/?uuid=04d25228-dcec-4fca-9c9b-1dd26a598125"]}],"mendeley":{"formattedCitation":"(De la Fuente-Salcido, Villarreal-Prieto, Díaz, &amp; García, 2015)","plainTextFormattedCitation":"(De la Fuente-Salcido, Villarreal-Prieto, Díaz, &amp; García, 2015)","previouslyFormattedCitation":"(De la Fuente-Salcido, Villarreal-Prieto, Díaz, &amp; García, 2015)"},"properties":{"noteIndex":0},"schema":"https://github.com/citation-style-language/schema/raw/master/csl-citation.json"}</w:instrText>
      </w:r>
      <w:r>
        <w:rPr>
          <w:rFonts w:cs="Times New Roman"/>
        </w:rPr>
        <w:fldChar w:fldCharType="separate"/>
      </w:r>
      <w:r>
        <w:rPr>
          <w:rFonts w:cs="Times New Roman"/>
          <w:noProof/>
        </w:rPr>
        <w:t>(De la Fuente-Salcido, Villarreal-Prieto, Díaz, &amp; García, 2015)</w:t>
      </w:r>
      <w:r>
        <w:rPr>
          <w:rFonts w:cs="Times New Roman"/>
        </w:rPr>
        <w:fldChar w:fldCharType="end"/>
      </w:r>
      <w:r>
        <w:rPr>
          <w:rFonts w:cs="Times New Roman"/>
        </w:rPr>
        <w:t>.</w:t>
      </w:r>
    </w:p>
    <w:p w14:paraId="1064370A" w14:textId="77777777" w:rsidR="00DC6E9A" w:rsidRDefault="00DC6E9A" w:rsidP="00DC6E9A">
      <w:pPr>
        <w:spacing w:before="240" w:after="0"/>
        <w:ind w:firstLine="708"/>
        <w:rPr>
          <w:rFonts w:cs="Times New Roman"/>
        </w:rPr>
      </w:pPr>
    </w:p>
    <w:p w14:paraId="6FA03AB2" w14:textId="77777777" w:rsidR="00DC6E9A" w:rsidRPr="006A3C3A" w:rsidRDefault="00DC6E9A" w:rsidP="00B91E3F">
      <w:pPr>
        <w:pStyle w:val="Titulo20"/>
      </w:pPr>
      <w:bookmarkStart w:id="49" w:name="_Toc140204063"/>
      <w:r>
        <w:t xml:space="preserve">2.3 </w:t>
      </w:r>
      <w:r w:rsidRPr="006A3C3A">
        <w:t xml:space="preserve">Bioinformática como herramienta para la </w:t>
      </w:r>
      <w:r>
        <w:t>predicción de metabolitos</w:t>
      </w:r>
      <w:bookmarkEnd w:id="49"/>
    </w:p>
    <w:p w14:paraId="70F8A41D" w14:textId="77777777" w:rsidR="00DC6E9A" w:rsidRDefault="00DC6E9A" w:rsidP="00DC6E9A">
      <w:pPr>
        <w:spacing w:before="120"/>
        <w:ind w:firstLine="708"/>
        <w:rPr>
          <w:rFonts w:cs="Times New Roman"/>
          <w:szCs w:val="24"/>
        </w:rPr>
      </w:pPr>
      <w:r>
        <w:rPr>
          <w:rFonts w:cs="Times New Roman"/>
          <w:szCs w:val="24"/>
        </w:rPr>
        <w:fldChar w:fldCharType="begin" w:fldLock="1"/>
      </w:r>
      <w:r>
        <w:rPr>
          <w:rFonts w:cs="Times New Roman"/>
          <w:szCs w:val="24"/>
        </w:rPr>
        <w:instrText>ADDIN CSL_CITATION {"citationItems":[{"id":"ITEM-1","itemData":{"DOI":"10.1007/978-81-322-1575-2_2","ISBN":"9788132215752","abstract":"Actinobacteria are a group of Gram-positive microorganisms with a high G+C content in their DNA and belong to the phylum Actinobacteria, one of the largest phyla within bacteria. Some of these actinobacteria have an endophytic lifestyle which occurs abundantly in most plants. The abundance and diversity of endophytic actinobacterial colonisation depend on plant species, type of soils and other associated environmental conditions. Streptomyces spp. were reported as the most predominant species, and Microbispora, Micromonospora, Nocardioides, Nocardia and Streptosporangium are other common genera of endophytic actinobacteria isolated from a diverse range of plant species, including those found in estuarine/mangrove ecosystems and algae and seaweeds of marine ecosystems. Over the years, isolation media have been devised and numerous methods have been standardised for the isolation, identification and characterisation of these endophytic actinobacteria. Recent advances in molecular tools have revealed the 'not yet cultured' diversity within this group. Therefore, a combination of both culture-based and molecular techniques is essential to describe the diversity and ecology of endophytic actinobacteria. The quest for actinobacteria and their metabolic capabilities is ongoing, as they represent the largest ecological resource for secondary metabolites (plant hormones, antibiotics and other bioactive compounds), with potential biotechnological applications in agriculture, industry and medicine. © 2014 Springer India. All rights reserved.","author":[{"dropping-particle":"","family":"Verma","given":"Vijay C.","non-dropping-particle":"","parse-names":false,"suffix":""},{"dropping-particle":"","family":"Gange","given":"Alan C.","non-dropping-particle":"","parse-names":false,"suffix":""}],"container-title":"Springer Science &amp; Business Media","id":"ITEM-1","issued":{"date-parts":[["2014"]]},"number-of-pages":"27-59","title":"Advances in Endophytic Research","type":"book"},"uris":["http://www.mendeley.com/documents/?uuid=aa6d62e1-01a6-4286-8734-791bf3287a4a"]}],"mendeley":{"formattedCitation":"(Verma &amp; Gange, 2014)","manualFormatting":"Verma &amp; Gange (2014)","plainTextFormattedCitation":"(Verma &amp; Gange, 2014)","previouslyFormattedCitation":"(Verma &amp; Gange, 2014)"},"properties":{"noteIndex":0},"schema":"https://github.com/citation-style-language/schema/raw/master/csl-citation.json"}</w:instrText>
      </w:r>
      <w:r>
        <w:rPr>
          <w:rFonts w:cs="Times New Roman"/>
          <w:szCs w:val="24"/>
        </w:rPr>
        <w:fldChar w:fldCharType="separate"/>
      </w:r>
      <w:r w:rsidRPr="00533E45">
        <w:rPr>
          <w:rFonts w:cs="Times New Roman"/>
          <w:noProof/>
          <w:szCs w:val="24"/>
        </w:rPr>
        <w:t xml:space="preserve">Verma &amp; Gange </w:t>
      </w:r>
      <w:r>
        <w:rPr>
          <w:rFonts w:cs="Times New Roman"/>
          <w:noProof/>
          <w:szCs w:val="24"/>
        </w:rPr>
        <w:t>(</w:t>
      </w:r>
      <w:r w:rsidRPr="00533E45">
        <w:rPr>
          <w:rFonts w:cs="Times New Roman"/>
          <w:noProof/>
          <w:szCs w:val="24"/>
        </w:rPr>
        <w:t>2014)</w:t>
      </w:r>
      <w:r>
        <w:rPr>
          <w:rFonts w:cs="Times New Roman"/>
          <w:szCs w:val="24"/>
        </w:rPr>
        <w:fldChar w:fldCharType="end"/>
      </w:r>
      <w:r>
        <w:rPr>
          <w:rFonts w:cs="Times New Roman"/>
          <w:szCs w:val="24"/>
        </w:rPr>
        <w:t xml:space="preserve"> mencionan </w:t>
      </w:r>
      <w:r>
        <w:rPr>
          <w:rFonts w:cs="Times New Roman"/>
          <w:noProof/>
          <w:szCs w:val="24"/>
        </w:rPr>
        <w:t>que el porcentaje cultivable de la diversidad presente en el planeta es de apenas el 1%.</w:t>
      </w:r>
      <w:r>
        <w:rPr>
          <w:rFonts w:cs="Times New Roman"/>
          <w:szCs w:val="24"/>
        </w:rPr>
        <w:t xml:space="preserve"> Lograr el aislamiento y cultivo de cepas fúngicas no se convierte en garantía de la producción y obtención de los metabolitos secundarios que estas puedan sintetizar. Aun cuando se realicen procesos de estimulación, muchos de los genes codificantes de estas moléculas bioactivas permanecen “apagados” en las condiciones de laboratorio. </w:t>
      </w:r>
      <w:r>
        <w:rPr>
          <w:rFonts w:cs="Times New Roman"/>
          <w:szCs w:val="24"/>
        </w:rPr>
        <w:fldChar w:fldCharType="begin" w:fldLock="1"/>
      </w:r>
      <w:r>
        <w:rPr>
          <w:rFonts w:cs="Times New Roman"/>
          <w:szCs w:val="24"/>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antibiotics","type":"article-journal","volume":"14"},"uris":["http://www.mendeley.com/documents/?uuid=d49c8156-56dc-4f8c-86ba-e3310fc2870a"]}],"mendeley":{"formattedCitation":"(Silber et al., 2016)","plainTextFormattedCitation":"(Silber et al., 2016)","previouslyFormattedCitation":"(Silber et al., 2016)"},"properties":{"noteIndex":0},"schema":"https://github.com/citation-style-language/schema/raw/master/csl-citation.json"}</w:instrText>
      </w:r>
      <w:r>
        <w:rPr>
          <w:rFonts w:cs="Times New Roman"/>
          <w:szCs w:val="24"/>
        </w:rPr>
        <w:fldChar w:fldCharType="separate"/>
      </w:r>
      <w:r w:rsidRPr="0069119B">
        <w:rPr>
          <w:rFonts w:cs="Times New Roman"/>
          <w:noProof/>
          <w:szCs w:val="24"/>
        </w:rPr>
        <w:t>(Silber et al., 2016)</w:t>
      </w:r>
      <w:r>
        <w:rPr>
          <w:rFonts w:cs="Times New Roman"/>
          <w:szCs w:val="24"/>
        </w:rPr>
        <w:fldChar w:fldCharType="end"/>
      </w:r>
      <w:r>
        <w:rPr>
          <w:rFonts w:cs="Times New Roman"/>
          <w:szCs w:val="24"/>
        </w:rPr>
        <w:t xml:space="preserve">. Sin embargo, esta problemática puede ser contrarrestada mediante el uso de herramientas bioinformáticas, las cuales permiten </w:t>
      </w:r>
      <w:r w:rsidRPr="00C20467">
        <w:rPr>
          <w:rFonts w:cs="Times New Roman"/>
          <w:szCs w:val="24"/>
        </w:rPr>
        <w:t>caracterizar rutas biosintéticas</w:t>
      </w:r>
      <w:r>
        <w:rPr>
          <w:rFonts w:cs="Times New Roman"/>
          <w:szCs w:val="24"/>
        </w:rPr>
        <w:t xml:space="preserve"> e identificar las moléculas involucradas en ellas con ayuda de la información genética de una especie </w:t>
      </w:r>
      <w:r>
        <w:rPr>
          <w:rFonts w:cs="Times New Roman"/>
          <w:szCs w:val="24"/>
        </w:rPr>
        <w:fldChar w:fldCharType="begin" w:fldLock="1"/>
      </w:r>
      <w:r>
        <w:rPr>
          <w:rFonts w:cs="Times New Roman"/>
          <w:szCs w:val="24"/>
        </w:rPr>
        <w:instrText>ADDIN CSL_CITATION {"citationItems":[{"id":"ITEM-1","itemData":{"DOI":"10.1038/nchembio.1884","ISSN":"15524469","abstract":"© 2015 Nature America, Inc. All rights reserved. Starting with the earliest Streptomyces genome sequences, the promise of natural product genome mining has been captivating: genomics and bioinformatics would transform compound discovery from an ad hoc pursuit to a high-throughput endeavor. Until recently, however, genome mining has advanced natural product discovery only modestly. Here, we argue that the development of algorithms to mine the continuously increasing amounts of (meta)genomic data will enable the promise of genome mining to be realized. We review computational strategies that have been developed to identify biosynthetic gene clusters in genome sequences and predict the chemical structures of their products. We then discuss networking strategies that can systematize large volumes of genetic and che mical data and connect genomic information to metabolomic and phenotypic data. Finally, we provide a vision of what natural product discovery might look like in the future, specifically considering longstanding questions in microbial ecology regarding the roles of metabolites in interspecies interactions.","author":[{"dropping-particle":"","family":"Medema","given":"Marnix H.","non-dropping-particle":"","parse-names":false,"suffix":""},{"dropping-particle":"","family":"Fischbach","given":"Michael A.","non-dropping-particle":"","parse-names":false,"suffix":""}],"container-title":"Nature Chemical Biology","id":"ITEM-1","issue":"9","issued":{"date-parts":[["2015"]]},"page":"639-648","title":"Computational approaches to natural product discovery","type":"article-journal","volume":"11"},"uris":["http://www.mendeley.com/documents/?uuid=8df4ca00-8d62-43b3-badc-1c675d0f4f8c"]}],"mendeley":{"formattedCitation":"(Medema &amp; Fischbach, 2015)","plainTextFormattedCitation":"(Medema &amp; Fischbach, 2015)","previouslyFormattedCitation":"(Medema &amp; Fischbach, 2015)"},"properties":{"noteIndex":0},"schema":"https://github.com/citation-style-language/schema/raw/master/csl-citation.json"}</w:instrText>
      </w:r>
      <w:r>
        <w:rPr>
          <w:rFonts w:cs="Times New Roman"/>
          <w:szCs w:val="24"/>
        </w:rPr>
        <w:fldChar w:fldCharType="separate"/>
      </w:r>
      <w:r w:rsidRPr="00C20467">
        <w:rPr>
          <w:rFonts w:cs="Times New Roman"/>
          <w:noProof/>
          <w:szCs w:val="24"/>
        </w:rPr>
        <w:t>(Medema &amp; Fischbach, 2015)</w:t>
      </w:r>
      <w:r>
        <w:rPr>
          <w:rFonts w:cs="Times New Roman"/>
          <w:szCs w:val="24"/>
        </w:rPr>
        <w:fldChar w:fldCharType="end"/>
      </w:r>
      <w:r>
        <w:rPr>
          <w:rFonts w:cs="Times New Roman"/>
          <w:szCs w:val="24"/>
        </w:rPr>
        <w:t>.</w:t>
      </w:r>
    </w:p>
    <w:p w14:paraId="0DBCEAA5" w14:textId="77777777" w:rsidR="00DC6E9A" w:rsidRDefault="00DC6E9A" w:rsidP="00DC6E9A">
      <w:pPr>
        <w:spacing w:before="120"/>
        <w:ind w:firstLine="708"/>
        <w:rPr>
          <w:rFonts w:cs="Times New Roman"/>
          <w:szCs w:val="24"/>
        </w:rPr>
      </w:pPr>
      <w:r>
        <w:rPr>
          <w:rFonts w:cs="Times New Roman"/>
          <w:szCs w:val="24"/>
        </w:rPr>
        <w:t xml:space="preserve">El conocimiento de la filogenia es indispensable para poder comprender y estimar el potencial de los hongos marinos para la biosíntesis de metabolitos secundarios e inclusive este tipo de información podría utilizarse para la optimización de su producción biotecnológica </w:t>
      </w:r>
      <w:r>
        <w:rPr>
          <w:rFonts w:cs="Times New Roman"/>
          <w:szCs w:val="24"/>
        </w:rPr>
        <w:fldChar w:fldCharType="begin" w:fldLock="1"/>
      </w:r>
      <w:r>
        <w:rPr>
          <w:rFonts w:cs="Times New Roman"/>
          <w:szCs w:val="24"/>
        </w:rPr>
        <w:instrText>ADDIN CSL_CITATION {"citationItems":[{"id":"ITEM-1","itemData":{"DOI":"10.3390/md14070137","ISBN":"1660-3397","ISSN":"16603397","PMID":"27455283","abstract":"Filamentous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Drugs","id":"ITEM-1","issue":"7","issued":{"date-parts":[["2016"]]},"page":"1-20","title":"From discovery to production: Biotechnology of marine fungi for the production of new antibiotics","type":"article-journal","volume":"14"},"uris":["http://www.mendeley.com/documents/?uuid=d49c8156-56dc-4f8c-86ba-e3310fc2870a"]},{"id":"ITEM-2","itemData":{"DOI":"10.3390/md14010019","ISSN":"16603397","PMID":"26784209","abstract":"Marine fungi represent a huge potential for new natural products and an increased number of new metabolites have become known over the past years, while much of the hidden potential still needs to be uncovered. Representative examples of biodiversity studies of marine fungi and of natural products from a diverse selection of marine fungi from the author’s lab are highlighting important aspects of this research. If one considers the huge phylogenetic diversity of marine fungi and their almost ubiquitous distribution, and realizes that most of the published work on secondary metabolites of marine fungi has focused on just a few genera, strictly speaking Penicillium, Aspergillus and maybe also Fusarium and Cladosporium, the diversity of marine fungi is not adequately represented in investigations on their secondary metabolites and the less studied species deserve special attention. In addition to results on recently discovered new secondary metabolites of Penicillium species, the diversity of fungi in selected marine habitats is highlighted and examples of groups of secondary metabolites produced by representatives of a variety of different genera and their bioactivities are presented. Special focus is given to the production of groups of derivatives of metabolites by the fungi and to significant differences in biological activities due to small structural changes.","author":[{"dropping-particle":"","family":"Imhoff","given":"Johannes F.","non-dropping-particle":"","parse-names":false,"suffix":""}],"container-title":"Marine Drugs","id":"ITEM-2","issue":"1","issued":{"date-parts":[["2016"]]},"title":"Natural products from marine fungi - Still an underrepresented resource","type":"article-journal","volume":"14"},"uris":["http://www.mendeley.com/documents/?uuid=54c796df-5ff9-444a-818d-4b469d20e11b"]}],"mendeley":{"formattedCitation":"(Imhoff, 2016; Silber et al., 2016)","plainTextFormattedCitation":"(Imhoff, 2016; Silber et al., 2016)","previouslyFormattedCitation":"(Imhoff, 2016; Silber et al., 2016)"},"properties":{"noteIndex":0},"schema":"https://github.com/citation-style-language/schema/raw/master/csl-citation.json"}</w:instrText>
      </w:r>
      <w:r>
        <w:rPr>
          <w:rFonts w:cs="Times New Roman"/>
          <w:szCs w:val="24"/>
        </w:rPr>
        <w:fldChar w:fldCharType="separate"/>
      </w:r>
      <w:r w:rsidRPr="0010350E">
        <w:rPr>
          <w:rFonts w:cs="Times New Roman"/>
          <w:noProof/>
          <w:szCs w:val="24"/>
        </w:rPr>
        <w:t>(Imhoff, 2016; Silber et al., 2016)</w:t>
      </w:r>
      <w:r>
        <w:rPr>
          <w:rFonts w:cs="Times New Roman"/>
          <w:szCs w:val="24"/>
        </w:rPr>
        <w:fldChar w:fldCharType="end"/>
      </w:r>
      <w:r>
        <w:rPr>
          <w:rFonts w:cs="Times New Roman"/>
          <w:szCs w:val="24"/>
        </w:rPr>
        <w:t xml:space="preserve">. El estudio genómico de los hongos ya ha revelado que el potencial de producción de metabolitos excede por sobre manera a los metabolitos que se pueden identificar y aislar haciendo uso de los métodos tradicionales </w:t>
      </w:r>
      <w:r>
        <w:rPr>
          <w:rFonts w:cs="Times New Roman"/>
          <w:szCs w:val="24"/>
        </w:rPr>
        <w:fldChar w:fldCharType="begin" w:fldLock="1"/>
      </w:r>
      <w:r>
        <w:rPr>
          <w:rFonts w:cs="Times New Roman"/>
          <w:szCs w:val="24"/>
        </w:rPr>
        <w:instrText>ADDIN CSL_CITATION {"citationItems":[{"id":"ITEM-1","itemData":{"DOI":"10.3389/fmicb.2015.00903","ISSN":"1664302X","PMID":"26441853","abstract":"Natural product search is undergoing resurgence upon the discovery of a huge previously unknown potential for secondary metabolite (SM) production hidden in microbial genomes. This is also the case for filamentous fungi, since their genomes contain a high number of \"orphan\" SM gene clusters. Recent estimates indicate that only 5% of existing fungal species have been described, thus the potential for the discovery of novel metabolites in fungi is huge. In this context, fungi thriving in harsh environments are of particular interest since they are outstanding producers of unusual chemical structures. At present, there are around 16 genomes from extreme environment-isolated fungi in databases. In a preliminary analysis of three of these genomes we found that several of the predicted SM gene clusters are probably involved in the biosynthesis of compounds not yet described. Genome mining strategies allow the exploitation of the information in genome sequences for the discovery of new natural compounds. The synergy between genome mining strategies and the expected abundance of SMs in fungi from extreme environments is a promising path to discover new natural compounds as a source of medically useful drugs.","author":[{"dropping-particle":"","family":"Chávez","given":"Renato","non-dropping-particle":"","parse-names":false,"suffix":""},{"dropping-particle":"","family":"Fierro","given":"Francisco","non-dropping-particle":"","parse-names":false,"suffix":""},{"dropping-particle":"","family":"García-Rico","given":"Ramón O.","non-dropping-particle":"","parse-names":false,"suffix":""},{"dropping-particle":"","family":"Vaca","given":"Inmaculada","non-dropping-particle":"","parse-names":false,"suffix":""}],"container-title":"Frontiers in Microbiology","id":"ITEM-1","issue":"SEP","issued":{"date-parts":[["2015"]]},"page":"1-7","title":"Filamentous fungi from extreme environments as a promising source of novel bioactive secondary metabolites","type":"article-journal","volume":"6"},"uris":["http://www.mendeley.com/documents/?uuid=a325f522-3437-4950-871e-34bb06dbf8e7"]}],"mendeley":{"formattedCitation":"(Chávez et al., 2015)","plainTextFormattedCitation":"(Chávez et al., 2015)","previouslyFormattedCitation":"(Chávez et al., 2015)"},"properties":{"noteIndex":0},"schema":"https://github.com/citation-style-language/schema/raw/master/csl-citation.json"}</w:instrText>
      </w:r>
      <w:r>
        <w:rPr>
          <w:rFonts w:cs="Times New Roman"/>
          <w:szCs w:val="24"/>
        </w:rPr>
        <w:fldChar w:fldCharType="separate"/>
      </w:r>
      <w:r w:rsidRPr="00541497">
        <w:rPr>
          <w:rFonts w:cs="Times New Roman"/>
          <w:noProof/>
          <w:szCs w:val="24"/>
        </w:rPr>
        <w:t>(Chávez et al., 2015)</w:t>
      </w:r>
      <w:r>
        <w:rPr>
          <w:rFonts w:cs="Times New Roman"/>
          <w:szCs w:val="24"/>
        </w:rPr>
        <w:fldChar w:fldCharType="end"/>
      </w:r>
      <w:r>
        <w:rPr>
          <w:rFonts w:cs="Times New Roman"/>
          <w:szCs w:val="24"/>
        </w:rPr>
        <w:t xml:space="preserve">. Este estudio bioinformático considera cuales genes o agrupaciones de ellos son los responsables de la producción de los </w:t>
      </w:r>
      <w:r>
        <w:rPr>
          <w:rFonts w:cs="Times New Roman"/>
          <w:szCs w:val="24"/>
        </w:rPr>
        <w:lastRenderedPageBreak/>
        <w:t xml:space="preserve">metabolitos, utilizando las secuencias genómicas para generar así, una predicción de la estructura química de la molécula bioactiva final </w:t>
      </w:r>
      <w:r>
        <w:rPr>
          <w:rFonts w:cs="Times New Roman"/>
          <w:szCs w:val="24"/>
        </w:rPr>
        <w:fldChar w:fldCharType="begin" w:fldLock="1"/>
      </w:r>
      <w:r>
        <w:rPr>
          <w:rFonts w:cs="Times New Roman"/>
          <w:szCs w:val="24"/>
        </w:rPr>
        <w:instrText>ADDIN CSL_CITATION {"citationItems":[{"id":"ITEM-1","itemData":{"DOI":"10.1016/j.synbio.2016.03.001","ISSN":"2405805X","abstract":"In silico methods for linking genomic space to chemical space have played a crucial role in genomics driven discovery of new natural products as well as biosynthesis of altered natural products by engineering of biosynthetic pathways. Here we give an overview of available computational tools and then briefly describe a novel computational framework, namely retro-biosynthetic enumeration of biosynthetic reactions, which can add to the repertoire of computational tools available for connecting natural products to their biosynthetic gene clusters. Most of the currently available bioinformatics tools for analysis of secondary metabolite biosynthetic gene clusters utilize the \"Genes to Metabolites\" approach. In contrast to the \"Genes to Metabolites\" approach, the \"Metabolites to Genes\" or retro-biosynthetic approach would involve enumerating the various biochemical transformations or enzymatic reactions which would generate the given chemical moiety starting from a set of precursor molecules and identifying enzymatic domains which can potentially catalyze the enumerated biochemical transformations. In this article, we first give a brief overview of the presently available in silico tools and approaches for analysis of secondary metabolite biosynthetic pathways. We also discuss our preliminary work on development of algorithms for retro-biosynthetic enumeration of biochemical transformations to formulate a novel computational method for identifying genes associated with biosynthesis of a given polyketide or nonribosomal peptide.","author":[{"dropping-particle":"","family":"Khater","given":"Shradha","non-dropping-particle":"","parse-names":false,"suffix":""},{"dropping-particle":"","family":"Anand","given":"Swadha","non-dropping-particle":"","parse-names":false,"suffix":""},{"dropping-particle":"","family":"Mohanty","given":"Debasisa","non-dropping-particle":"","parse-names":false,"suffix":""}],"container-title":"Synthetic and Systems Biotechnology","id":"ITEM-1","issue":"2","issued":{"date-parts":[["2016"]]},"page":"80-88","publisher":"Elsevier B.V.","title":"In silico methods for linking genes and secondary metabolites: The way forward","type":"article-journal","volume":"1"},"uris":["http://www.mendeley.com/documents/?uuid=aa004485-4d95-4f50-bbbf-62330d1f0795"]}],"mendeley":{"formattedCitation":"(Khater, Anand, &amp; Mohanty, 2016)","plainTextFormattedCitation":"(Khater, Anand, &amp; Mohanty, 2016)","previouslyFormattedCitation":"(Khater, Anand, &amp; Mohanty, 2016)"},"properties":{"noteIndex":0},"schema":"https://github.com/citation-style-language/schema/raw/master/csl-citation.json"}</w:instrText>
      </w:r>
      <w:r>
        <w:rPr>
          <w:rFonts w:cs="Times New Roman"/>
          <w:szCs w:val="24"/>
        </w:rPr>
        <w:fldChar w:fldCharType="separate"/>
      </w:r>
      <w:r w:rsidRPr="00BE347A">
        <w:rPr>
          <w:rFonts w:cs="Times New Roman"/>
          <w:noProof/>
          <w:szCs w:val="24"/>
        </w:rPr>
        <w:t>(Khater, Anand, &amp; Mohanty, 2016)</w:t>
      </w:r>
      <w:r>
        <w:rPr>
          <w:rFonts w:cs="Times New Roman"/>
          <w:szCs w:val="24"/>
        </w:rPr>
        <w:fldChar w:fldCharType="end"/>
      </w:r>
      <w:r>
        <w:rPr>
          <w:rFonts w:cs="Times New Roman"/>
          <w:szCs w:val="24"/>
        </w:rPr>
        <w:t>.</w:t>
      </w:r>
    </w:p>
    <w:p w14:paraId="74C1DD7B" w14:textId="3F2771BA" w:rsidR="00B85D8B" w:rsidRDefault="00DC6E9A" w:rsidP="00DC6E9A">
      <w:pPr>
        <w:spacing w:before="120" w:after="0"/>
        <w:ind w:firstLine="709"/>
        <w:rPr>
          <w:rFonts w:cs="Times New Roman"/>
          <w:szCs w:val="24"/>
        </w:rPr>
      </w:pPr>
      <w:r>
        <w:rPr>
          <w:rFonts w:cs="Times New Roman"/>
          <w:szCs w:val="24"/>
        </w:rPr>
        <w:t>Los genes involucrados en los procesos biosintéticos responsables de la síntesis de los metabolitos secundarios se ordenan en grupos o “</w:t>
      </w:r>
      <w:r w:rsidR="00116BBE">
        <w:rPr>
          <w:rFonts w:cs="Times New Roman"/>
          <w:szCs w:val="24"/>
        </w:rPr>
        <w:t>clúster</w:t>
      </w:r>
      <w:r>
        <w:rPr>
          <w:rFonts w:cs="Times New Roman"/>
          <w:szCs w:val="24"/>
        </w:rPr>
        <w:t xml:space="preserve">s” de genes biosintéticos (CGB) y son claves para la identificación de las moléculas mediante la minería metagenómica </w:t>
      </w:r>
      <w:r>
        <w:rPr>
          <w:rFonts w:cs="Times New Roman"/>
          <w:szCs w:val="24"/>
        </w:rPr>
        <w:fldChar w:fldCharType="begin" w:fldLock="1"/>
      </w:r>
      <w:r>
        <w:rPr>
          <w:rFonts w:cs="Times New Roman"/>
          <w:szCs w:val="24"/>
        </w:rPr>
        <w:instrText>ADDIN CSL_CITATION {"citationItems":[{"id":"ITEM-1","itemData":{"DOI":"10.1038/s41579-018-0121-1","ISSN":"17401534","abstract":"One of the exciting movements in microbial sciences has been a refocusing and revitalization of efforts to mine the fungal secondary metabolome. The magnitude of biosynthetic gene clusters (BGCs) in a single filamentous fungal genome combined with the historic number of sequenced genomes suggests that the secondary metabolite wealth of filamentous fungi is largely untapped. Mining algorithms and scalable expression platforms have greatly expanded access to the chemical repertoire of fungal-derived secondary metabolites. In this Review, I discuss new insights into the transcriptional and epigenetic regulation of BGCs and the ecological roles of fungal secondary metabolites in warfare, defence and development. I also explore avenues for the identification of new fungal metabolites and the challenges in harvesting fungal-derived secondary metabolites.","author":[{"dropping-particle":"","family":"Keller","given":"Nancy P.","non-dropping-particle":"","parse-names":false,"suffix":""}],"container-title":"Nature Reviews Microbiology","id":"ITEM-1","issue":"3","issued":{"date-parts":[["2019"]]},"page":"167-180","publisher":"Springer US","title":"Fungal secondary metabolism: regulation, function and drug discovery","type":"article-journal","volume":"17"},"uris":["http://www.mendeley.com/documents/?uuid=56983468-e775-44e5-b1e4-1e98b6279a41"]},{"id":"ITEM-2","itemData":{"DOI":"10.1093/nar/gkv437","ISSN":"13624962","abstract":"© 2015 The Author(s). Microbial secondary metabolism constitutes a rich source of antibiotics, chemotherapeutics, insecticides and other high-value chemicals. Genome mining of gene clusters that encode the biosynthetic pathways for these metabolites has become a key methodology for novel compound discovery. In 2011, we introduced antiSMASH, a web server and standalone tool for the automatic genomic identification and analysis of biosynthetic gene clusters, available at http://antismash.secondarymetabolites.org. Here, we present version 3.0 of antiSMASH, which has undergone major improvements. A full integration of the recently published ClusterFinder algorithm now allows using this probabilistic algorithm to detect putative gene clusters of unknown types. Also, a new dereplication variant of the ClusterBlast module now identifies similarities of identified clusters to any of 1172 clusters with known end products. At the enzyme level, active sites of key biosynthetic enzymes are now pinpointed through a curated patternmatching procedure and Enzyme Commission numbers are assigned to functionally classify all enzymecoding genes. Additionally, chemical structure prediction has been improved by incorporating polyketide reduction states. Finally, in order for users to be able to organize and analyze multiple antiSMASH outputs in a private setting, a new XML output module allows offline editing of antiSMASH annotations within the Geneious software.","author":[{"dropping-particle":"","family":"Weber","given":"Tilmann","non-dropping-particle":"","parse-names":false,"suffix":""},{"dropping-particle":"","family":"Blin","given":"Kai","non-dropping-particle":"","parse-names":false,"suffix":""},{"dropping-particle":"","family":"Duddela","given":"Srikanth","non-dropping-particle":"","parse-names":false,"suffix":""},{"dropping-particle":"","family":"Krug","given":"Daniel","non-dropping-particle":"","parse-names":false,"suffix":""},{"dropping-particle":"","family":"Kim","given":"Hyun Uk","non-dropping-particle":"","parse-names":false,"suffix":""},{"dropping-particle":"","family":"Bruccoleri","given":"Robert","non-dropping-particle":"","parse-names":false,"suffix":""},{"dropping-particle":"","family":"Lee","given":"Sang Yup","non-dropping-particle":"","parse-names":false,"suffix":""},{"dropping-particle":"","family":"Fischbach","given":"Michael A.","non-dropping-particle":"","parse-names":false,"suffix":""},{"dropping-particle":"","family":"Müller","given":"Rolf","non-dropping-particle":"","parse-names":false,"suffix":""},{"dropping-particle":"","family":"Wohlleben","given":"Wolfgang","non-dropping-particle":"","parse-names":false,"suffix":""},{"dropping-particle":"","family":"Breitling","given":"Rainer","non-dropping-particle":"","parse-names":false,"suffix":""},{"dropping-particle":"","family":"Takano","given":"Eriko","non-dropping-particle":"","parse-names":false,"suffix":""},{"dropping-particle":"","family":"Medema","given":"Marnix H.","non-dropping-particle":"","parse-names":false,"suffix":""}],"container-title":"Nucleic Acids Research","id":"ITEM-2","issue":"W1","issued":{"date-parts":[["2015"]]},"page":"W237-W243","title":"AntiSMASH 3.0-A comprehensive resource for the genome mining of biosynthetic gene clusters","type":"article-journal","volume":"43"},"uris":["http://www.mendeley.com/documents/?uuid=2bb72e7a-7195-4a91-a3e3-8f8f22fd1be7"]},{"id":"ITEM-3","itemData":{"DOI":"10.1016/j.chembiol.2014.08.006","ISSN":"10745521","abstract":"Microbial-derived natural products provide the foundation for most of the chemotherapeutic arsenal available to contemporary medicine. In the face of a dwindling pipeline of new lead structures identified by traditional culturing techniques and an increasing need for new therapeutics, surveys of microbial biosynthetic diversity across environmental metabiomes have revealed enormous reservoirs of as yet untapped natural products chemistry. In this review, we touch on the historical context of microbial natural product discovery and discuss innovations and technological advances that are facilitating culture-dependent and culture-independent access to new chemistry from environmental microbiomes with the goal of reinvigorating the small molecule therapeutics discovery pipeline. We highlight the successful strategies that have emerged and some of the challenges that must be overcome to enable the development of high-throughput methods for natural product discovery from complex microbial communities.","author":[{"dropping-particle":"","family":"Milshteyn","given":"Aleksandr","non-dropping-particle":"","parse-names":false,"suffix":""},{"dropping-particle":"","family":"Schneider","given":"Jessica S.","non-dropping-particle":"","parse-names":false,"suffix":""},{"dropping-particle":"","family":"Brady","given":"Sean F.","non-dropping-particle":"","parse-names":false,"suffix":""}],"container-title":"Chemistry and Biology","id":"ITEM-3","issue":"9","issued":{"date-parts":[["2014"]]},"page":"1211-1223","publisher":"Elsevier Ltd","title":"Mining the metabiome: Identifying novel natural products from microbial communities","type":"article-journal","volume":"21"},"uris":["http://www.mendeley.com/documents/?uuid=0caa749d-ebbf-44c2-8ff2-e41afe7f0fd2"]}],"mendeley":{"formattedCitation":"(Keller, 2019; Milshteyn, Schneider, &amp; Brady, 2014; Weber et al., 2015)","plainTextFormattedCitation":"(Keller, 2019; Milshteyn, Schneider, &amp; Brady, 2014; Weber et al., 2015)","previouslyFormattedCitation":"(Keller, 2019; Milshteyn, Schneider, &amp; Brady, 2014; Weber et al., 2015)"},"properties":{"noteIndex":0},"schema":"https://github.com/citation-style-language/schema/raw/master/csl-citation.json"}</w:instrText>
      </w:r>
      <w:r>
        <w:rPr>
          <w:rFonts w:cs="Times New Roman"/>
          <w:szCs w:val="24"/>
        </w:rPr>
        <w:fldChar w:fldCharType="separate"/>
      </w:r>
      <w:r w:rsidRPr="00236635">
        <w:rPr>
          <w:rFonts w:cs="Times New Roman"/>
          <w:noProof/>
          <w:szCs w:val="24"/>
        </w:rPr>
        <w:t>(Keller, 2019; Milshteyn, Schneider, &amp; Brady, 2014; Weber et al., 2015)</w:t>
      </w:r>
      <w:r>
        <w:rPr>
          <w:rFonts w:cs="Times New Roman"/>
          <w:szCs w:val="24"/>
        </w:rPr>
        <w:fldChar w:fldCharType="end"/>
      </w:r>
      <w:r>
        <w:rPr>
          <w:rFonts w:cs="Times New Roman"/>
          <w:szCs w:val="24"/>
        </w:rPr>
        <w:t xml:space="preserve">. </w:t>
      </w:r>
      <w:r w:rsidR="00B85D8B">
        <w:rPr>
          <w:rFonts w:cs="Times New Roman"/>
          <w:szCs w:val="24"/>
        </w:rPr>
        <w:t xml:space="preserve"> </w:t>
      </w:r>
      <w:r w:rsidR="00B85D8B" w:rsidRPr="00B85D8B">
        <w:rPr>
          <w:rFonts w:cs="Times New Roman"/>
          <w:szCs w:val="24"/>
        </w:rPr>
        <w:t xml:space="preserve">Los </w:t>
      </w:r>
      <w:r w:rsidR="00D45549" w:rsidRPr="00B85D8B">
        <w:rPr>
          <w:rFonts w:cs="Times New Roman"/>
          <w:szCs w:val="24"/>
        </w:rPr>
        <w:t>clústers</w:t>
      </w:r>
      <w:r w:rsidR="00B85D8B" w:rsidRPr="00B85D8B">
        <w:rPr>
          <w:rFonts w:cs="Times New Roman"/>
          <w:szCs w:val="24"/>
        </w:rPr>
        <w:t xml:space="preserve"> se clasifican en diferentes clases estructurales según el tipo de producto final que sintetizan. Entre estas clases se incluyen los policétido sintasas (PKS), las sintetasas de péptidos no ribosomales (NRPS), los péptidos postraduccionalmente modificados (RiPP), los indoles, los policétidos, los alcaloides y los terpenos. Así también, los genes que conforman estos </w:t>
      </w:r>
      <w:r w:rsidR="00D45549" w:rsidRPr="00B85D8B">
        <w:rPr>
          <w:rFonts w:cs="Times New Roman"/>
          <w:szCs w:val="24"/>
        </w:rPr>
        <w:t>clústers</w:t>
      </w:r>
      <w:r w:rsidR="00B85D8B" w:rsidRPr="00B85D8B">
        <w:rPr>
          <w:rFonts w:cs="Times New Roman"/>
          <w:szCs w:val="24"/>
        </w:rPr>
        <w:t xml:space="preserve"> también se clasifican en diferentes categorías según su función dentro del sistema. Estas categorías incluyen los genes medulares, los genes biosintéticos adicionales y los genes reguladores.</w:t>
      </w:r>
    </w:p>
    <w:p w14:paraId="23826408" w14:textId="63D81C48" w:rsidR="00DC6E9A" w:rsidRPr="00C303E6" w:rsidRDefault="00DC6E9A" w:rsidP="00DC6E9A">
      <w:pPr>
        <w:spacing w:before="120" w:after="0"/>
        <w:ind w:firstLine="709"/>
        <w:rPr>
          <w:rFonts w:cs="Times New Roman"/>
          <w:szCs w:val="24"/>
        </w:rPr>
      </w:pPr>
      <w:r>
        <w:rPr>
          <w:rFonts w:cs="Times New Roman"/>
          <w:szCs w:val="24"/>
        </w:rPr>
        <w:t xml:space="preserve">Herramientas computacionales como </w:t>
      </w:r>
      <w:r w:rsidRPr="00FE3F45">
        <w:rPr>
          <w:rFonts w:cs="Times New Roman"/>
          <w:szCs w:val="24"/>
        </w:rPr>
        <w:t>antiSMASH, SMIPS</w:t>
      </w:r>
      <w:r>
        <w:rPr>
          <w:rFonts w:cs="Times New Roman"/>
          <w:szCs w:val="24"/>
        </w:rPr>
        <w:t>/</w:t>
      </w:r>
      <w:r w:rsidRPr="00FE3F45">
        <w:rPr>
          <w:rFonts w:cs="Times New Roman"/>
          <w:szCs w:val="24"/>
        </w:rPr>
        <w:t>CASSIS</w:t>
      </w:r>
      <w:r>
        <w:rPr>
          <w:rFonts w:cs="Times New Roman"/>
          <w:szCs w:val="24"/>
        </w:rPr>
        <w:t xml:space="preserve">, </w:t>
      </w:r>
      <w:r w:rsidRPr="00E31565">
        <w:rPr>
          <w:rFonts w:cs="Times New Roman"/>
          <w:szCs w:val="24"/>
        </w:rPr>
        <w:t>CLUSEAN, ClustScan, np.searcher</w:t>
      </w:r>
      <w:r>
        <w:rPr>
          <w:rFonts w:cs="Times New Roman"/>
          <w:szCs w:val="24"/>
        </w:rPr>
        <w:t xml:space="preserve"> y</w:t>
      </w:r>
      <w:r w:rsidRPr="00FE3F45">
        <w:rPr>
          <w:rFonts w:cs="Times New Roman"/>
          <w:szCs w:val="24"/>
        </w:rPr>
        <w:t xml:space="preserve"> SMUR</w:t>
      </w:r>
      <w:r>
        <w:rPr>
          <w:rFonts w:cs="Times New Roman"/>
          <w:szCs w:val="24"/>
        </w:rPr>
        <w:t xml:space="preserve">, permiten la identificación de los CGB y anteriormente han permitido elucidar la producción de metabolitos como terpenos, péptidos no ribosómicos y policétidos </w:t>
      </w:r>
      <w:r>
        <w:rPr>
          <w:rFonts w:cs="Times New Roman"/>
          <w:szCs w:val="24"/>
        </w:rPr>
        <w:fldChar w:fldCharType="begin" w:fldLock="1"/>
      </w:r>
      <w:r>
        <w:rPr>
          <w:rFonts w:cs="Times New Roman"/>
          <w:szCs w:val="24"/>
        </w:rPr>
        <w:instrText>ADDIN CSL_CITATION {"citationItems":[{"id":"ITEM-1","itemData":{"DOI":"10.1016/j.fgb.2016.01.006","ISSN":"10960937","abstract":"Fungal natural products possess biological activities that are of great value to medicine, agriculture and manufacturing. Recent metagenomic studies accentuate the vastness of fungal taxonomic diversity, and the accompanying specialized metabolic diversity offers a great and still largely untapped resource for natural product discovery. Although fungal natural products show an impressive variation in chemical structures and biological activities, their biosynthetic pathways share a number of key characteristics. First, genes encoding successive steps of a biosynthetic pathway tend to be located adjacently on the chromosome in biosynthetic gene clusters (BGCs). Second, these BGCs are often are located on specific regions of the genome and show a discontinuous distribution among evolutionarily related species and isolates. Third, the same enzyme (super)families are often involved in the production of widely different compounds. Fourth, genes that function in the same pathway are often co-regulated, and therefore co-expressed across various growth conditions. In this mini-review, we describe how these partly interlinked characteristics can be exploited to computationally identify BGCs in fungal genomes and to connect them to their products. Particular attention will be given to novel algorithms to identify unusual classes of BGCs, as well as integrative pan-genomic approaches that use a combination of genomic and metabolomic data for parallelized natural product discovery across multiple strains. Such novel technologies will not only expedite the natural product discovery process, but will also allow the assembly of a high-quality toolbox for the re-design or even de novo design of biosynthetic pathways using synthetic biology approaches.","author":[{"dropping-particle":"","family":"Lee","given":"Theo A.J.","non-dropping-particle":"van der","parse-names":false,"suffix":""},{"dropping-particle":"","family":"Medema","given":"Marnix H.","non-dropping-particle":"","parse-names":false,"suffix":""}],"container-title":"Fungal Genetics and Biology","id":"ITEM-1","issued":{"date-parts":[["2016"]]},"page":"29-36","publisher":"Elsevier Inc.","title":"Computational strategies for genome-based natural product discovery and engineering in fungi","type":"article-journal","volume":"89"},"uris":["http://www.mendeley.com/documents/?uuid=141bebaf-7150-4cad-9435-91b914068352"]},{"id":"ITEM-2","itemData":{"DOI":"10.1038/nchembio.1884","ISSN":"15524469","abstract":"© 2015 Nature America, Inc. All rights reserved. Starting with the earliest Streptomyces genome sequences, the promise of natural product genome mining has been captivating: genomics and bioinformatics would transform compound discovery from an ad hoc pursuit to a high-throughput endeavor. Until recently, however, genome mining has advanced natural product discovery only modestly. Here, we argue that the development of algorithms to mine the continuously increasing amounts of (meta)genomic data will enable the promise of genome mining to be realized. We review computational strategies that have been developed to identify biosynthetic gene clusters in genome sequences and predict the chemical structures of their products. We then discuss networking strategies that can systematize large volumes of genetic and che mical data and connect genomic information to metabolomic and phenotypic data. Finally, we provide a vision of what natural product discovery might look like in the future, specifically considering longstanding questions in microbial ecology regarding the roles of metabolites in interspecies interactions.","author":[{"dropping-particle":"","family":"Medema","given":"Marnix H.","non-dropping-particle":"","parse-names":false,"suffix":""},{"dropping-particle":"","family":"Fischbach","given":"Michael A.","non-dropping-particle":"","parse-names":false,"suffix":""}],"container-title":"Nature Chemical Biology","id":"ITEM-2","issue":"9","issued":{"date-parts":[["2015"]]},"page":"639-648","title":"Computational approaches to natural product discovery","type":"article-journal","volume":"11"},"uris":["http://www.mendeley.com/documents/?uuid=8df4ca00-8d62-43b3-badc-1c675d0f4f8c"]}],"mendeley":{"formattedCitation":"(Medema &amp; Fischbach, 2015; van der Lee &amp; Medema, 2016)","plainTextFormattedCitation":"(Medema &amp; Fischbach, 2015; van der Lee &amp; Medema, 2016)","previouslyFormattedCitation":"(Medema &amp; Fischbach, 2015; van der Lee &amp; Medema, 2016)"},"properties":{"noteIndex":0},"schema":"https://github.com/citation-style-language/schema/raw/master/csl-citation.json"}</w:instrText>
      </w:r>
      <w:r>
        <w:rPr>
          <w:rFonts w:cs="Times New Roman"/>
          <w:szCs w:val="24"/>
        </w:rPr>
        <w:fldChar w:fldCharType="separate"/>
      </w:r>
      <w:r w:rsidRPr="00E31565">
        <w:rPr>
          <w:rFonts w:cs="Times New Roman"/>
          <w:noProof/>
          <w:szCs w:val="24"/>
        </w:rPr>
        <w:t>(Medema &amp; Fischbach, 2015; van der Lee &amp; Medema, 2016)</w:t>
      </w:r>
      <w:r>
        <w:rPr>
          <w:rFonts w:cs="Times New Roman"/>
          <w:szCs w:val="24"/>
        </w:rPr>
        <w:fldChar w:fldCharType="end"/>
      </w:r>
      <w:r>
        <w:rPr>
          <w:rFonts w:cs="Times New Roman"/>
          <w:szCs w:val="24"/>
        </w:rPr>
        <w:t xml:space="preserve">. </w:t>
      </w:r>
      <w:r w:rsidRPr="00C303E6">
        <w:rPr>
          <w:rFonts w:cs="Times New Roman"/>
          <w:szCs w:val="24"/>
        </w:rPr>
        <w:t>En el caso del software antiSMASH (“</w:t>
      </w:r>
      <w:proofErr w:type="spellStart"/>
      <w:r w:rsidRPr="00C303E6">
        <w:rPr>
          <w:rFonts w:cs="Times New Roman"/>
          <w:szCs w:val="24"/>
        </w:rPr>
        <w:t>The</w:t>
      </w:r>
      <w:proofErr w:type="spellEnd"/>
      <w:r w:rsidRPr="00C303E6">
        <w:rPr>
          <w:rFonts w:cs="Times New Roman"/>
          <w:szCs w:val="24"/>
        </w:rPr>
        <w:t xml:space="preserve"> </w:t>
      </w:r>
      <w:proofErr w:type="spellStart"/>
      <w:r w:rsidRPr="00C303E6">
        <w:rPr>
          <w:rFonts w:cs="Times New Roman"/>
          <w:szCs w:val="24"/>
        </w:rPr>
        <w:t>antibiotics</w:t>
      </w:r>
      <w:proofErr w:type="spellEnd"/>
      <w:r w:rsidRPr="00C303E6">
        <w:rPr>
          <w:rFonts w:cs="Times New Roman"/>
          <w:szCs w:val="24"/>
        </w:rPr>
        <w:t xml:space="preserve"> and </w:t>
      </w:r>
      <w:proofErr w:type="spellStart"/>
      <w:r w:rsidRPr="00C303E6">
        <w:rPr>
          <w:rFonts w:cs="Times New Roman"/>
          <w:szCs w:val="24"/>
        </w:rPr>
        <w:t>Secondary</w:t>
      </w:r>
      <w:proofErr w:type="spellEnd"/>
      <w:r w:rsidRPr="00C303E6">
        <w:rPr>
          <w:rFonts w:cs="Times New Roman"/>
          <w:szCs w:val="24"/>
        </w:rPr>
        <w:t xml:space="preserve"> </w:t>
      </w:r>
      <w:proofErr w:type="spellStart"/>
      <w:r w:rsidRPr="00C303E6">
        <w:rPr>
          <w:rFonts w:cs="Times New Roman"/>
          <w:szCs w:val="24"/>
        </w:rPr>
        <w:t>Metabolite</w:t>
      </w:r>
      <w:proofErr w:type="spellEnd"/>
      <w:r w:rsidRPr="00C303E6">
        <w:rPr>
          <w:rFonts w:cs="Times New Roman"/>
          <w:szCs w:val="24"/>
        </w:rPr>
        <w:t xml:space="preserve"> </w:t>
      </w:r>
      <w:proofErr w:type="spellStart"/>
      <w:r w:rsidRPr="00C303E6">
        <w:rPr>
          <w:rFonts w:cs="Times New Roman"/>
          <w:szCs w:val="24"/>
        </w:rPr>
        <w:t>Analysis</w:t>
      </w:r>
      <w:proofErr w:type="spellEnd"/>
      <w:r w:rsidRPr="00C303E6">
        <w:rPr>
          <w:rFonts w:cs="Times New Roman"/>
          <w:szCs w:val="24"/>
        </w:rPr>
        <w:t xml:space="preserve"> </w:t>
      </w:r>
      <w:proofErr w:type="spellStart"/>
      <w:r w:rsidRPr="00C303E6">
        <w:rPr>
          <w:rFonts w:cs="Times New Roman"/>
          <w:szCs w:val="24"/>
        </w:rPr>
        <w:t>SHell</w:t>
      </w:r>
      <w:proofErr w:type="spellEnd"/>
      <w:r w:rsidRPr="00C303E6">
        <w:rPr>
          <w:rFonts w:cs="Times New Roman"/>
          <w:szCs w:val="24"/>
        </w:rPr>
        <w:t>), se ejecuta u</w:t>
      </w:r>
      <w:r>
        <w:rPr>
          <w:rFonts w:cs="Times New Roman"/>
          <w:szCs w:val="24"/>
        </w:rPr>
        <w:t xml:space="preserve">na comparación de las proteínas predichas de una secuencia de ADN contra modelos que </w:t>
      </w:r>
      <w:r w:rsidRPr="00C303E6">
        <w:rPr>
          <w:rFonts w:cs="Times New Roman"/>
          <w:szCs w:val="24"/>
        </w:rPr>
        <w:t xml:space="preserve">describen </w:t>
      </w:r>
      <w:r>
        <w:rPr>
          <w:rFonts w:cs="Times New Roman"/>
          <w:szCs w:val="24"/>
        </w:rPr>
        <w:t xml:space="preserve">las </w:t>
      </w:r>
      <w:r w:rsidRPr="00C303E6">
        <w:rPr>
          <w:rFonts w:cs="Times New Roman"/>
          <w:szCs w:val="24"/>
        </w:rPr>
        <w:t>secuencias de enzimas biosintéticas</w:t>
      </w:r>
      <w:r>
        <w:rPr>
          <w:rFonts w:cs="Times New Roman"/>
          <w:szCs w:val="24"/>
        </w:rPr>
        <w:t xml:space="preserve"> </w:t>
      </w:r>
      <w:r>
        <w:rPr>
          <w:rFonts w:cs="Times New Roman"/>
          <w:szCs w:val="24"/>
        </w:rPr>
        <w:fldChar w:fldCharType="begin" w:fldLock="1"/>
      </w:r>
      <w:r>
        <w:rPr>
          <w:rFonts w:cs="Times New Roman"/>
          <w:szCs w:val="24"/>
        </w:rPr>
        <w:instrText>ADDIN CSL_CITATION {"citationItems":[{"id":"ITEM-1","itemData":{"DOI":"10.3389/fmicb.2015.00903","ISSN":"1664302X","PMID":"26441853","abstract":"Natural product search is undergoing resurgence upon the discovery of a huge previously unknown potential for secondary metabolite (SM) production hidden in microbial genomes. This is also the case for filamentous fungi, since their genomes contain a high number of \"orphan\" SM gene clusters. Recent estimates indicate that only 5% of existing fungal species have been described, thus the potential for the discovery of novel metabolites in fungi is huge. In this context, fungi thriving in harsh environments are of particular interest since they are outstanding producers of unusual chemical structures. At present, there are around 16 genomes from extreme environment-isolated fungi in databases. In a preliminary analysis of three of these genomes we found that several of the predicted SM gene clusters are probably involved in the biosynthesis of compounds not yet described. Genome mining strategies allow the exploitation of the information in genome sequences for the discovery of new natural compounds. The synergy between genome mining strategies and the expected abundance of SMs in fungi from extreme environments is a promising path to discover new natural compounds as a source of medically useful drugs.","author":[{"dropping-particle":"","family":"Chávez","given":"Renato","non-dropping-particle":"","parse-names":false,"suffix":""},{"dropping-particle":"","family":"Fierro","given":"Francisco","non-dropping-particle":"","parse-names":false,"suffix":""},{"dropping-particle":"","family":"García-Rico","given":"Ramón O.","non-dropping-particle":"","parse-names":false,"suffix":""},{"dropping-particle":"","family":"Vaca","given":"Inmaculada","non-dropping-particle":"","parse-names":false,"suffix":""}],"container-title":"Frontiers in Microbiology","id":"ITEM-1","issue":"SEP","issued":{"date-parts":[["2015"]]},"page":"1-7","title":"Filamentous fungi from extreme environments as a promising source of novel bioactive secondary metabolites","type":"article-journal","volume":"6"},"uris":["http://www.mendeley.com/documents/?uuid=a325f522-3437-4950-871e-34bb06dbf8e7"]}],"mendeley":{"formattedCitation":"(Chávez et al., 2015)","plainTextFormattedCitation":"(Chávez et al., 2015)","previouslyFormattedCitation":"(Chávez et al., 2015)"},"properties":{"noteIndex":0},"schema":"https://github.com/citation-style-language/schema/raw/master/csl-citation.json"}</w:instrText>
      </w:r>
      <w:r>
        <w:rPr>
          <w:rFonts w:cs="Times New Roman"/>
          <w:szCs w:val="24"/>
        </w:rPr>
        <w:fldChar w:fldCharType="separate"/>
      </w:r>
      <w:r w:rsidRPr="00C303E6">
        <w:rPr>
          <w:rFonts w:cs="Times New Roman"/>
          <w:noProof/>
          <w:szCs w:val="24"/>
        </w:rPr>
        <w:t>(Chávez et al., 2015)</w:t>
      </w:r>
      <w:r>
        <w:rPr>
          <w:rFonts w:cs="Times New Roman"/>
          <w:szCs w:val="24"/>
        </w:rPr>
        <w:fldChar w:fldCharType="end"/>
      </w:r>
      <w:r>
        <w:rPr>
          <w:rFonts w:cs="Times New Roman"/>
          <w:szCs w:val="24"/>
        </w:rPr>
        <w:t>.</w:t>
      </w:r>
    </w:p>
    <w:p w14:paraId="52A661DE" w14:textId="4B7058B3" w:rsidR="00DC6E9A" w:rsidRDefault="00DC6E9A" w:rsidP="4447C96C">
      <w:pPr>
        <w:spacing w:before="240" w:after="0"/>
        <w:rPr>
          <w:rFonts w:cs="Times New Roman"/>
        </w:rPr>
      </w:pPr>
      <w:r>
        <w:rPr>
          <w:rFonts w:cs="Times New Roman"/>
          <w:szCs w:val="24"/>
        </w:rPr>
        <w:tab/>
      </w:r>
      <w:r w:rsidRPr="4447C96C">
        <w:rPr>
          <w:rFonts w:cs="Times New Roman"/>
        </w:rPr>
        <w:t xml:space="preserve">Por otro lado, </w:t>
      </w:r>
      <w:r w:rsidRPr="4447C96C">
        <w:rPr>
          <w:rFonts w:cs="Times New Roman"/>
        </w:rPr>
        <w:fldChar w:fldCharType="begin" w:fldLock="1"/>
      </w:r>
      <w:r w:rsidRPr="4447C96C">
        <w:rPr>
          <w:rFonts w:cs="Times New Roman"/>
        </w:rPr>
        <w:instrText>ADDIN CSL_CITATION {"citationItems":[{"id":"ITEM-1","itemData":{"DOI":"10.1038/nchembio.1884","ISSN":"15524469","abstract":"© 2015 Nature America, Inc. All rights reserved. Starting with the earliest Streptomyces genome sequences, the promise of natural product genome mining has been captivating: genomics and bioinformatics would transform compound discovery from an ad hoc pursuit to a high-throughput endeavor. Until recently, however, genome mining has advanced natural product discovery only modestly. Here, we argue that the development of algorithms to mine the continuously increasing amounts of (meta)genomic data will enable the promise of genome mining to be realized. We review computational strategies that have been developed to identify biosynthetic gene clusters in genome sequences and predict the chemical structures of their products. We then discuss networking strategies that can systematize large volumes of genetic and che mical data and connect genomic information to metabolomic and phenotypic data. Finally, we provide a vision of what natural product discovery might look like in the future, specifically considering longstanding questions in microbial ecology regarding the roles of metabolites in interspecies interactions.","author":[{"dropping-particle":"","family":"Medema","given":"Marnix H.","non-dropping-particle":"","parse-names":false,"suffix":""},{"dropping-particle":"","family":"Fischbach","given":"Michael A.","non-dropping-particle":"","parse-names":false,"suffix":""}],"container-title":"Nature Chemical Biology","id":"ITEM-1","issue":"9","issued":{"date-parts":[["2015"]]},"page":"639-648","title":"Computational approaches to natural product discovery","type":"article-journal","volume":"11"},"uris":["http://www.mendeley.com/documents/?uuid=8df4ca00-8d62-43b3-badc-1c675d0f4f8c"]}],"mendeley":{"formattedCitation":"(Medema &amp; Fischbach, 2015)","manualFormatting":"Medema &amp; Fischbach (2015)","plainTextFormattedCitation":"(Medema &amp; Fischbach, 2015)","previouslyFormattedCitation":"(Medema &amp; Fischbach, 2015)"},"properties":{"noteIndex":0},"schema":"https://github.com/citation-style-language/schema/raw/master/csl-citation.json"}</w:instrText>
      </w:r>
      <w:r w:rsidRPr="4447C96C">
        <w:rPr>
          <w:rFonts w:cs="Times New Roman"/>
        </w:rPr>
        <w:fldChar w:fldCharType="separate"/>
      </w:r>
      <w:r w:rsidRPr="4447C96C">
        <w:rPr>
          <w:rFonts w:cs="Times New Roman"/>
          <w:noProof/>
        </w:rPr>
        <w:t>Medema &amp; Fischbach (2015)</w:t>
      </w:r>
      <w:r w:rsidRPr="4447C96C">
        <w:rPr>
          <w:rFonts w:cs="Times New Roman"/>
        </w:rPr>
        <w:fldChar w:fldCharType="end"/>
      </w:r>
      <w:r w:rsidRPr="4447C96C">
        <w:rPr>
          <w:rFonts w:cs="Times New Roman"/>
        </w:rPr>
        <w:t>, describen como la utilización de los genes ortólogos y parálogos también han permitido la identificación de nuevas clases de genes biosintéticos. La alineación genómica comparativa detecta muchos de los bloques sintéticos de diversos genes ortólogos que no pertenecen al genoma central de un taxón, pero s</w:t>
      </w:r>
      <w:r w:rsidR="00617230" w:rsidRPr="4447C96C">
        <w:rPr>
          <w:rFonts w:cs="Times New Roman"/>
        </w:rPr>
        <w:t>í</w:t>
      </w:r>
      <w:r w:rsidRPr="4447C96C">
        <w:rPr>
          <w:rFonts w:cs="Times New Roman"/>
        </w:rPr>
        <w:t xml:space="preserve"> en otros contextos genómicos, mostrando las características evolutivas de genes metabólicos. En el caso de los genes par</w:t>
      </w:r>
      <w:r w:rsidR="00EC2E0A">
        <w:rPr>
          <w:rFonts w:cs="Times New Roman"/>
        </w:rPr>
        <w:t>á</w:t>
      </w:r>
      <w:r w:rsidRPr="4447C96C">
        <w:rPr>
          <w:rFonts w:cs="Times New Roman"/>
        </w:rPr>
        <w:t xml:space="preserve">logos, se realiza una identificación mediante el supuesto de que enzimas metabólicas secundarias son </w:t>
      </w:r>
      <w:r w:rsidR="00EC2E0A" w:rsidRPr="4447C96C">
        <w:rPr>
          <w:rFonts w:cs="Times New Roman"/>
        </w:rPr>
        <w:t>parálogos</w:t>
      </w:r>
      <w:r w:rsidRPr="4447C96C">
        <w:rPr>
          <w:rFonts w:cs="Times New Roman"/>
        </w:rPr>
        <w:t xml:space="preserve"> distantes de enzimas metabólicas primarias, visualizándolas luego, en sus contextos genómicos.</w:t>
      </w:r>
    </w:p>
    <w:p w14:paraId="31061829" w14:textId="77777777" w:rsidR="00995DE5" w:rsidRDefault="00995DE5" w:rsidP="00995DE5">
      <w:pPr>
        <w:spacing w:before="240" w:after="0"/>
        <w:rPr>
          <w:rFonts w:cs="Times New Roman"/>
          <w:b/>
          <w:szCs w:val="24"/>
        </w:rPr>
      </w:pPr>
    </w:p>
    <w:p w14:paraId="540571F7" w14:textId="77777777" w:rsidR="00DC6E9A" w:rsidRDefault="00DC6E9A" w:rsidP="00A21451">
      <w:pPr>
        <w:pStyle w:val="Titulo20"/>
        <w:spacing w:before="0" w:after="0"/>
      </w:pPr>
      <w:bookmarkStart w:id="50" w:name="_Toc24018769"/>
      <w:bookmarkStart w:id="51" w:name="_Toc140204064"/>
      <w:r>
        <w:lastRenderedPageBreak/>
        <w:t xml:space="preserve">2.4 </w:t>
      </w:r>
      <w:r w:rsidRPr="0073300A">
        <w:t>Resistencia bacteriana a los antibióticos</w:t>
      </w:r>
      <w:bookmarkEnd w:id="50"/>
      <w:bookmarkEnd w:id="51"/>
    </w:p>
    <w:p w14:paraId="6FF1F548" w14:textId="77777777" w:rsidR="00DC6E9A" w:rsidRDefault="00DC6E9A" w:rsidP="00DC6E9A">
      <w:pPr>
        <w:spacing w:after="300"/>
        <w:rPr>
          <w:rFonts w:cs="Times New Roman"/>
          <w:szCs w:val="24"/>
        </w:rPr>
      </w:pPr>
      <w:r>
        <w:rPr>
          <w:rFonts w:cs="Times New Roman"/>
          <w:b/>
          <w:szCs w:val="24"/>
        </w:rPr>
        <w:tab/>
      </w:r>
      <w:r>
        <w:rPr>
          <w:rFonts w:cs="Times New Roman"/>
          <w:szCs w:val="24"/>
        </w:rPr>
        <w:t xml:space="preserve">La resistencia antimicrobiana es definida por </w:t>
      </w:r>
      <w:r>
        <w:rPr>
          <w:rFonts w:cs="Times New Roman"/>
          <w:szCs w:val="24"/>
        </w:rPr>
        <w:fldChar w:fldCharType="begin" w:fldLock="1"/>
      </w:r>
      <w:r>
        <w:rPr>
          <w:rFonts w:cs="Times New Roman"/>
          <w:szCs w:val="24"/>
        </w:rPr>
        <w:instrText>ADDIN CSL_CITATION {"citationItems":[{"id":"ITEM-1","itemData":{"DOI":"10.1016/s1473-3099(16)30323-1","ISSN":"14733099","author":[{"dropping-particle":"","family":"Abdelmohsen","given":"Usama Ramadan","non-dropping-particle":"","parse-names":false,"suffix":""},{"dropping-particle":"","family":"Balasubramanian","given":"Srikkanth","non-dropping-particle":"","parse-names":false,"suffix":""},{"dropping-particle":"","family":"Oelschlaeger","given":"Tobias A","non-dropping-particle":"","parse-names":false,"suffix":""},{"dropping-particle":"","family":"Grkovic","given":"Tanja","non-dropping-particle":"","parse-names":false,"suffix":""},{"dropping-particle":"","family":"Pham","given":"Ngoc B","non-dropping-particle":"","parse-names":false,"suffix":""},{"dropping-particle":"","family":"Quinn","given":"Ronald J","non-dropping-particle":"","parse-names":false,"suffix":""},{"dropping-particle":"","family":"Hentschel","given":"Ute","non-dropping-particle":"","parse-names":false,"suffix":""}],"container-title":"The Lancet Infectious Diseases","id":"ITEM-1","issue":"2","issued":{"date-parts":[["2017"]]},"page":"e30-e41","publisher":"Elsevier Ltd","title":"Potential of marine natural products against drug-resistant fungal, viral, and parasitic infections","type":"article-journal","volume":"17"},"uris":["http://www.mendeley.com/documents/?uuid=85ec3b59-99f1-4051-bd1a-abefa283f318"]}],"mendeley":{"formattedCitation":"(Abdelmohsen et al., 2017)","manualFormatting":"Abdelmohsen et al. (2017)","plainTextFormattedCitation":"(Abdelmohsen et al., 2017)","previouslyFormattedCitation":"(Abdelmohsen et al., 2017)"},"properties":{"noteIndex":0},"schema":"https://github.com/citation-style-language/schema/raw/master/csl-citation.json"}</w:instrText>
      </w:r>
      <w:r>
        <w:rPr>
          <w:rFonts w:cs="Times New Roman"/>
          <w:szCs w:val="24"/>
        </w:rPr>
        <w:fldChar w:fldCharType="separate"/>
      </w:r>
      <w:r w:rsidRPr="000B6599">
        <w:rPr>
          <w:rFonts w:cs="Times New Roman"/>
          <w:noProof/>
          <w:szCs w:val="24"/>
        </w:rPr>
        <w:t xml:space="preserve">Abdelmohsen et al. </w:t>
      </w:r>
      <w:r>
        <w:rPr>
          <w:rFonts w:cs="Times New Roman"/>
          <w:noProof/>
          <w:szCs w:val="24"/>
        </w:rPr>
        <w:t>(</w:t>
      </w:r>
      <w:r w:rsidRPr="000B6599">
        <w:rPr>
          <w:rFonts w:cs="Times New Roman"/>
          <w:noProof/>
          <w:szCs w:val="24"/>
        </w:rPr>
        <w:t>2017)</w:t>
      </w:r>
      <w:r>
        <w:rPr>
          <w:rFonts w:cs="Times New Roman"/>
          <w:szCs w:val="24"/>
        </w:rPr>
        <w:fldChar w:fldCharType="end"/>
      </w:r>
      <w:r>
        <w:rPr>
          <w:rFonts w:cs="Times New Roman"/>
          <w:szCs w:val="24"/>
        </w:rPr>
        <w:t xml:space="preserve"> como “la habilidad o capacidad de los microorganismos de persistir, multiplicarse y producir virulencia, a pesar de la administración de medicamentos </w:t>
      </w:r>
      <w:proofErr w:type="spellStart"/>
      <w:r>
        <w:rPr>
          <w:rFonts w:cs="Times New Roman"/>
          <w:szCs w:val="24"/>
        </w:rPr>
        <w:t>anti-infecciosos</w:t>
      </w:r>
      <w:proofErr w:type="spellEnd"/>
      <w:r>
        <w:rPr>
          <w:rFonts w:cs="Times New Roman"/>
          <w:szCs w:val="24"/>
        </w:rPr>
        <w:t xml:space="preserve">”. Esta resistencia le brinda la posibilidad a las bacterias o a los microorganismos en general, de neutralizar las acciones que algún antibiótico efectúa sobre él </w:t>
      </w:r>
      <w:r>
        <w:rPr>
          <w:rFonts w:cs="Times New Roman"/>
          <w:szCs w:val="24"/>
        </w:rPr>
        <w:fldChar w:fldCharType="begin" w:fldLock="1"/>
      </w:r>
      <w:r>
        <w:rPr>
          <w:rFonts w:cs="Times New Roman"/>
          <w:szCs w:val="24"/>
        </w:rPr>
        <w:instrText>ADDIN CSL_CITATION {"citationItems":[{"id":"ITEM-1","itemData":{"author":[{"dropping-particle":"","family":"la Fuente-Salcido","given":"Norma Margarita","non-dropping-particle":"De","parse-names":false,"suffix":""},{"dropping-particle":"","family":"Villarreal-Prieto","given":"Jesús Ma","non-dropping-particle":"","parse-names":false,"suffix":""},{"dropping-particle":"","family":"Díaz","given":"Miguel Angel","non-dropping-particle":"","parse-names":false,"suffix":""},{"dropping-particle":"","family":"García","given":"Ada Patricia","non-dropping-particle":"","parse-names":false,"suffix":""}],"container-title":"Rev Mex Cienc Farm","id":"ITEM-1","issue":"2","issued":{"date-parts":[["2015"]]},"page":"7-16","title":"Evaluation of the activity of antimicrobial agents against the challenge of bacterial resistance","type":"article-journal","volume":"46"},"uris":["http://www.mendeley.com/documents/?uuid=04d25228-dcec-4fca-9c9b-1dd26a598125"]}],"mendeley":{"formattedCitation":"(De la Fuente-Salcido et al., 2015)","plainTextFormattedCitation":"(De la Fuente-Salcido et al., 2015)","previouslyFormattedCitation":"(De la Fuente-Salcido et al., 2015)"},"properties":{"noteIndex":0},"schema":"https://github.com/citation-style-language/schema/raw/master/csl-citation.json"}</w:instrText>
      </w:r>
      <w:r>
        <w:rPr>
          <w:rFonts w:cs="Times New Roman"/>
          <w:szCs w:val="24"/>
        </w:rPr>
        <w:fldChar w:fldCharType="separate"/>
      </w:r>
      <w:r w:rsidRPr="00920A72">
        <w:rPr>
          <w:rFonts w:cs="Times New Roman"/>
          <w:noProof/>
          <w:szCs w:val="24"/>
        </w:rPr>
        <w:t>(De la Fuente-Salcido et al., 2015)</w:t>
      </w:r>
      <w:r>
        <w:rPr>
          <w:rFonts w:cs="Times New Roman"/>
          <w:szCs w:val="24"/>
        </w:rPr>
        <w:fldChar w:fldCharType="end"/>
      </w:r>
      <w:r>
        <w:rPr>
          <w:rFonts w:cs="Times New Roman"/>
          <w:szCs w:val="24"/>
        </w:rPr>
        <w:t xml:space="preserve">. Puede darse como consecuencia de presiones evolutivas y selección natural en las bacterias, pero también se ha incrementado por el uso incorrecto e indiscriminado de los antibióticos, uso y prescripción de dosis incorrectas, suspensión del tratamiento, entre otros </w:t>
      </w:r>
      <w:r>
        <w:rPr>
          <w:rFonts w:cs="Times New Roman"/>
          <w:szCs w:val="24"/>
        </w:rPr>
        <w:fldChar w:fldCharType="begin" w:fldLock="1"/>
      </w:r>
      <w:r>
        <w:rPr>
          <w:rFonts w:cs="Times New Roman"/>
          <w:szCs w:val="24"/>
        </w:rPr>
        <w:instrText>ADDIN CSL_CITATION {"citationItems":[{"id":"ITEM-1","itemData":{"DOI":"10.1016/s1473-3099(16)30323-1","ISSN":"14733099","author":[{"dropping-particle":"","family":"Abdelmohsen","given":"Usama Ramadan","non-dropping-particle":"","parse-names":false,"suffix":""},{"dropping-particle":"","family":"Balasubramanian","given":"Srikkanth","non-dropping-particle":"","parse-names":false,"suffix":""},{"dropping-particle":"","family":"Oelschlaeger","given":"Tobias A","non-dropping-particle":"","parse-names":false,"suffix":""},{"dropping-particle":"","family":"Grkovic","given":"Tanja","non-dropping-particle":"","parse-names":false,"suffix":""},{"dropping-particle":"","family":"Pham","given":"Ngoc B","non-dropping-particle":"","parse-names":false,"suffix":""},{"dropping-particle":"","family":"Quinn","given":"Ronald J","non-dropping-particle":"","parse-names":false,"suffix":""},{"dropping-particle":"","family":"Hentschel","given":"Ute","non-dropping-particle":"","parse-names":false,"suffix":""}],"container-title":"The Lancet Infectious Diseases","id":"ITEM-1","issue":"2","issued":{"date-parts":[["2017"]]},"page":"e30-e41","publisher":"Elsevier Ltd","title":"Potential of marine natural products against drug-resistant fungal, viral, and parasitic infections","type":"article-journal","volume":"17"},"uris":["http://www.mendeley.com/documents/?uuid=85ec3b59-99f1-4051-bd1a-abefa283f318"]},{"id":"ITEM-2","itemData":{"DOI":"10.1126/science.aaj2191","ISSN":"0036-8075","author":[{"dropping-particle":"","family":"Levin-Reisman","given":"Irit","non-dropping-particle":"","parse-names":false,"suffix":""},{"dropping-particle":"","family":"Ronin","given":"Irine","non-dropping-particle":"","parse-names":false,"suffix":""},{"dropping-particle":"","family":"Gefen","given":"Orit","non-dropping-particle":"","parse-names":false,"suffix":""},{"dropping-particle":"","family":"Braniss","given":"Ilan","non-dropping-particle":"","parse-names":false,"suffix":""},{"dropping-particle":"","family":"Shoresh","given":"Noam","non-dropping-particle":"","parse-names":false,"suffix":""},{"dropping-particle":"","family":"Balaban","given":"Nathalie Q.","non-dropping-particle":"","parse-names":false,"suffix":""}],"container-title":"Science","id":"ITEM-2","issue":"6327","issued":{"date-parts":[["2017"]]},"page":"826-830","title":"Antibiotic tolerance facilitates the evolution of resistance","type":"article-journal","volume":"355"},"uris":["http://www.mendeley.com/documents/?uuid=9f7fe2dc-bc98-4521-914f-dbf80bdf02cc"]}],"mendeley":{"formattedCitation":"(Abdelmohsen et al., 2017; Levin-Reisman et al., 2017)","plainTextFormattedCitation":"(Abdelmohsen et al., 2017; Levin-Reisman et al., 2017)","previouslyFormattedCitation":"(Abdelmohsen et al., 2017; Levin-Reisman et al., 2017)"},"properties":{"noteIndex":0},"schema":"https://github.com/citation-style-language/schema/raw/master/csl-citation.json"}</w:instrText>
      </w:r>
      <w:r>
        <w:rPr>
          <w:rFonts w:cs="Times New Roman"/>
          <w:szCs w:val="24"/>
        </w:rPr>
        <w:fldChar w:fldCharType="separate"/>
      </w:r>
      <w:r w:rsidRPr="005D43E2">
        <w:rPr>
          <w:rFonts w:cs="Times New Roman"/>
          <w:noProof/>
          <w:szCs w:val="24"/>
        </w:rPr>
        <w:t>(Abdelmohsen et al., 2017; Levin-Reisman et al., 2017)</w:t>
      </w:r>
      <w:r>
        <w:rPr>
          <w:rFonts w:cs="Times New Roman"/>
          <w:szCs w:val="24"/>
        </w:rPr>
        <w:fldChar w:fldCharType="end"/>
      </w:r>
      <w:r>
        <w:rPr>
          <w:rFonts w:cs="Times New Roman"/>
          <w:szCs w:val="24"/>
        </w:rPr>
        <w:t xml:space="preserve">. </w:t>
      </w:r>
    </w:p>
    <w:p w14:paraId="305BC238" w14:textId="77777777" w:rsidR="00DC6E9A" w:rsidRDefault="00DC6E9A" w:rsidP="00DC6E9A">
      <w:pPr>
        <w:spacing w:before="120"/>
        <w:ind w:firstLine="708"/>
        <w:rPr>
          <w:rFonts w:cs="Times New Roman"/>
          <w:szCs w:val="24"/>
        </w:rPr>
      </w:pPr>
      <w:r>
        <w:rPr>
          <w:rFonts w:cs="Times New Roman"/>
          <w:szCs w:val="24"/>
        </w:rPr>
        <w:t xml:space="preserve">En la actualidad, la segunda causa de muertes a nivel mundial es causada por enfermedades infecciosas de microorganismos resistentes, donde la cantidad de muertes por patógenos resistentes es mayor que las muertes provocadas por la tuberculosis y el virus del sida combinados </w:t>
      </w:r>
      <w:r>
        <w:rPr>
          <w:rFonts w:cs="Times New Roman"/>
          <w:szCs w:val="24"/>
        </w:rPr>
        <w:fldChar w:fldCharType="begin" w:fldLock="1"/>
      </w:r>
      <w:r>
        <w:rPr>
          <w:rFonts w:cs="Times New Roman"/>
          <w:szCs w:val="24"/>
        </w:rPr>
        <w:instrText>ADDIN CSL_CITATION {"citationItems":[{"id":"ITEM-1","itemData":{"PMID":"10572665","abstract":"The development of antimicrobial drugs, and particularly of antibiotics, has played a considerable role in substantially reducing the morbidity and mortality rates of many infectious diseases. However, the fact that bacteria can develop resistance to antibiotics has produced a situation where antimicrobial agents are losing their effectiveness because of the spread and persistence of drug-resistant organisms. To combat this, more and more antibiotics with increased therapeutic and prophylactic action will need to be developed.This article is concerned with antibiotic resistance in bacteria which are pathogenic to man and animals. The historical background is given, as well as some information on the present situation and trends of antibiotic resistance to certain bacteria in different parts of the world. Considerable concern is raised over the use of antibiotics in man and animals. It is stated that antibiotic resistance in human pathogens is widely attributed to the \"misuse\" of antibiotics for treatment and prophylaxis in man and to the administration of antibiotics to animals for a variety of purposes (growth promotion, prophylaxis, or therapy), leading to the accumulation of resistant bacteria in their flora. Factors favouring the development of resistance are discussed.","author":[{"dropping-particle":"","family":"WHO","given":"","non-dropping-particle":"","parse-names":false,"suffix":""}],"container-title":"World Health Organization","id":"ITEM-1","issued":{"date-parts":[["2014"]]},"page":"693-694","title":"WHO Antimicrobial resistance- Global Report on Surverillance","type":"article-journal","volume":"40"},"uris":["http://www.mendeley.com/documents/?uuid=98c59d82-f981-437d-96a8-4d488d4865f1"]},{"id":"ITEM-2","itemData":{"DOI":"10.1099/mic.0.078295-0","ISSN":"14652080","abstract":"The rapid emergence of multidrug-resistant (MDR) bacterial pathogens poses a major threat for human health. In recent years, genome sequencing has unveiled many poorly expressed antibiotic clusters in actinomycetes. Here, we report a well-defined ecological collection of &gt;800 actinomycetes obtained from sites in the Himalaya and Qinling mountains, and we used these in a concept study to see how efficiently antibiotics can be elicited against MDR pathogens isolated recently from the clinic. Using 40 different growth conditions, 96 actinomycetes were identified - predominantly Streptomyces - that produced antibiotics with efficacy against the MDR clinical isolates referred to as ESKAPE pathogens: Enterococcus faecium, Staphylococcus aureus, Klebsiella pneumoniae, Acinetobacter baumannii, Pseudomonas aeruginosa and/or Enterobacter cloacae. Antimicrobial activities that fluctuated strongly with growth conditions were correlated with specific compounds, including borrelidin, resistomycin, carbomethoxy-phenazine, and 6,7,8- and 5,6,8-trimethoxy-3-methylisocoumarin, of which the latter was not described previously. Our work provided insights into the potential of actinomycetes as producers of drugs with efficacy against clinical isolates that have emerged recently and also underlined the importance of targeting a specific pathogen.","author":[{"dropping-particle":"","family":"Zhu","given":"Hua","non-dropping-particle":"","parse-names":false,"suffix":""},{"dropping-particle":"","family":"Swierstra","given":"Jasper","non-dropping-particle":"","parse-names":false,"suffix":""},{"dropping-particle":"","family":"Wu","given":"Changsheng","non-dropping-particle":"","parse-names":false,"suffix":""},{"dropping-particle":"","family":"Girard","given":"Geneviéve","non-dropping-particle":"","parse-names":false,"suffix":""},{"dropping-particle":"","family":"Choi","given":"Young Hae","non-dropping-particle":"","parse-names":false,"suffix":""},{"dropping-particle":"","family":"Wamel","given":"Willem","non-dropping-particle":"Van","parse-names":false,"suffix":""},{"dropping-particle":"","family":"Sandiford","given":"Stephanie K.","non-dropping-particle":"","parse-names":false,"suffix":""},{"dropping-particle":"","family":"Wezel","given":"Gilles P.","non-dropping-particle":"van","parse-names":false,"suffix":""}],"container-title":"Microbiology (United Kingdom)","id":"ITEM-2","issue":"PART 8","issued":{"date-parts":[["2014"]]},"page":"1714-1726","title":"Eliciting antibiotics active against the ESKAPE pathogens in a collection of actinomycetes isolated from mountain soils","type":"article-journal","volume":"160"},"uris":["http://www.mendeley.com/documents/?uuid=f8414440-bbb7-42bc-baa2-ba501d5f8b3a"]}],"mendeley":{"formattedCitation":"(WHO, 2014; Zhu et al., 2014)","plainTextFormattedCitation":"(WHO, 2014; Zhu et al., 2014)","previouslyFormattedCitation":"(WHO, 2014; Zhu et al., 2014)"},"properties":{"noteIndex":0},"schema":"https://github.com/citation-style-language/schema/raw/master/csl-citation.json"}</w:instrText>
      </w:r>
      <w:r>
        <w:rPr>
          <w:rFonts w:cs="Times New Roman"/>
          <w:szCs w:val="24"/>
        </w:rPr>
        <w:fldChar w:fldCharType="separate"/>
      </w:r>
      <w:r w:rsidRPr="00070292">
        <w:rPr>
          <w:rFonts w:cs="Times New Roman"/>
          <w:noProof/>
          <w:szCs w:val="24"/>
        </w:rPr>
        <w:t>(WHO, 2014; Zhu et al., 2014)</w:t>
      </w:r>
      <w:r>
        <w:rPr>
          <w:rFonts w:cs="Times New Roman"/>
          <w:szCs w:val="24"/>
        </w:rPr>
        <w:fldChar w:fldCharType="end"/>
      </w:r>
      <w:r>
        <w:rPr>
          <w:rFonts w:cs="Times New Roman"/>
          <w:szCs w:val="24"/>
        </w:rPr>
        <w:t xml:space="preserve">. El número de tratamientos efectivos ha decaído de manera drástica gracias a la creciente formación de patógenos multirresistentes, entre los cuales se encuentran: </w:t>
      </w:r>
      <w:r w:rsidRPr="00750ACF">
        <w:rPr>
          <w:rFonts w:cs="Times New Roman"/>
          <w:i/>
          <w:szCs w:val="24"/>
        </w:rPr>
        <w:t>Enterococcus faecium,</w:t>
      </w:r>
      <w:r>
        <w:rPr>
          <w:rFonts w:cs="Times New Roman"/>
          <w:i/>
          <w:szCs w:val="24"/>
        </w:rPr>
        <w:t xml:space="preserve"> Escherichia coli,</w:t>
      </w:r>
      <w:r w:rsidRPr="00750ACF">
        <w:rPr>
          <w:rFonts w:cs="Times New Roman"/>
          <w:i/>
          <w:szCs w:val="24"/>
        </w:rPr>
        <w:t xml:space="preserve"> Klebsiella pneumoniae</w:t>
      </w:r>
      <w:r>
        <w:rPr>
          <w:rFonts w:cs="Times New Roman"/>
          <w:i/>
          <w:szCs w:val="24"/>
        </w:rPr>
        <w:t>,</w:t>
      </w:r>
      <w:r w:rsidRPr="00750ACF">
        <w:rPr>
          <w:rFonts w:cs="Times New Roman"/>
          <w:i/>
          <w:szCs w:val="24"/>
        </w:rPr>
        <w:t xml:space="preserve"> Staphylococcus aureus, Pseudomonas aeruginosa, Acinetobacter baumannii</w:t>
      </w:r>
      <w:r>
        <w:rPr>
          <w:rFonts w:cs="Times New Roman"/>
          <w:i/>
          <w:szCs w:val="24"/>
        </w:rPr>
        <w:t xml:space="preserve"> </w:t>
      </w:r>
      <w:r>
        <w:rPr>
          <w:rFonts w:cs="Times New Roman"/>
          <w:szCs w:val="24"/>
        </w:rPr>
        <w:t>y</w:t>
      </w:r>
      <w:r w:rsidRPr="00750ACF">
        <w:rPr>
          <w:rFonts w:cs="Times New Roman"/>
          <w:i/>
          <w:szCs w:val="24"/>
        </w:rPr>
        <w:t xml:space="preserve"> Enterobacter</w:t>
      </w:r>
      <w:r w:rsidRPr="00750ACF">
        <w:rPr>
          <w:rFonts w:cs="Times New Roman"/>
          <w:szCs w:val="24"/>
        </w:rPr>
        <w:t xml:space="preserve"> spp.</w:t>
      </w:r>
      <w:r>
        <w:rPr>
          <w:rFonts w:cs="Times New Roman"/>
          <w:szCs w:val="24"/>
        </w:rPr>
        <w:t xml:space="preserve"> </w:t>
      </w:r>
      <w:r>
        <w:rPr>
          <w:rFonts w:cs="Times New Roman"/>
          <w:szCs w:val="24"/>
        </w:rPr>
        <w:fldChar w:fldCharType="begin" w:fldLock="1"/>
      </w:r>
      <w:r>
        <w:rPr>
          <w:rFonts w:cs="Times New Roman"/>
          <w:szCs w:val="24"/>
        </w:rPr>
        <w:instrText>ADDIN CSL_CITATION {"citationItems":[{"id":"ITEM-1","itemData":{"DOI":"10.5796/electrochemistry.82.749","ISBN":"6082633695","ISSN":"21862451","PMID":"10559251","abstract":"Exposure of HepG2 cells to beta-naphthoflavone (beta-NF) or pyrrolidine dithiocarbamate (PDTC) resulted in the up-regulation of the gamma- glutamylcysteine synthetase catalytic (GCS(h)) and regulatory (GCS(l)) subunit genes. Increased expression was associated with an increase in the binding of Nrf2 to electrophile response elements (EpRE) in the promoters of these genes. Nrf2 overexpression increased the activity of GCS(h) and GCS(l) promoter/reporter transgenes. Overexpression of an MafK dominant negative mutant decreased Nrf2 binding to GCS EpRE sequences, inhibited the inducible expression of GCS(h) and GCS(l) promoter/reporter transgenes, and reduced endogenous GCS gene induction. beta-NF and PDTC exposure also increased steady-state levels of MafG mRNA. In addition to Nrf2, small Maf and JunD proteins were detected in GCS(h)EpRE-protein complexes and, to a lesser extent, in GCS(l)EpRE-protein complexes. The Nrf2-associated expression of GCS promoter/reporter transgenes was inhibited by overexpression of MafG. Inhibition of protein synthesis by cycloheximide partially decreased inducibility by PDTC or beta-NF and resulted in significant increases in GCS mRNA at late time points, when GCS mRNA levels are normally declining. We hypothesize that, in response to beta-NF and PDTC, the GCS subunit genes are transcriptionally up-regulated by Nrf2-basic leucine zipper complexes, containing either JunD or small Maf protein, depending on the particular GCS EpRE target sequence and the inducer. Following maximal induction, down-regulation of the two genes is mediated via a protein synthesis-dependent mechanism.","author":[{"dropping-particle":"","family":"Ventola","given":"C. Lee","non-dropping-particle":"","parse-names":false,"suffix":""}],"container-title":"Pharmacy and Therapeutics","id":"ITEM-1","issue":"4","issued":{"date-parts":[["2015"]]},"page":"278-283","title":"The Antibiotic Resistance Crisis","type":"article-journal","volume":"40"},"uris":["http://www.mendeley.com/documents/?uuid=567f92d9-c63f-4b35-89bd-eeceb22b2595"]},{"id":"ITEM-2","itemData":{"DOI":"10.3390/md14070137","ISBN":"1660-3397","ISSN":"16603397","PMID":"27455283","abstract":"Filamentous fungi are well known for their capability of producing antibiotic natural products. Recent studies have demonstrated the potential of antimicrobials with vast chemodiversity from marine fungi. Development of such natural products into lead compounds requires sustainable supply. Marine biotechnology can significantly contribute to the production of new antibiotics at various levels of the process chain including discovery, production, downstream processing, and lead development. However, the number of biotechnological processes described for large-scale production from marine fungi is far from the sum of the newly-discovered natural antibiotics. Methods and technologies applied in marine fungal biotechnology largely derive from analogous terrestrial processes and rarely reflect the specific demands of the marine fungi. The current developments in metabolic engineering and marine microbiology are not yet transferred into processes, but offer numerous options for improvement of production processes and establishment of new process chains. This review summarises the current state in biotechnological production of marine fungal antibiotics and points out the enormous potential of biotechnology in all stages of the discovery-to-development pipeline. At the same time, the literature survey reveals that more biotechnology transfer and method developments are needed for a sustainable and innovative production of marine fungal antibiotics.","author":[{"dropping-particle":"","family":"Silber","given":"Johanna","non-dropping-particle":"","parse-names":false,"suffix":""},{"dropping-particle":"","family":"Kramer","given":"Annemarie","non-dropping-particle":"","parse-names":false,"suffix":""},{"dropping-particle":"","family":"Labes","given":"Antje","non-dropping-particle":"","parse-names":false,"suffix":""},{"dropping-particle":"","family":"Tasdemir","given":"Deniz","non-dropping-particle":"","parse-names":false,"suffix":""}],"container-title":"Marine Drugs","id":"ITEM-2","issue":"7","issued":{"date-parts":[["2016"]]},"page":"1-20","title":"From discovery to production: Biotechnology of marine fungi for the production of new antibiotics","type":"article-journal","volume":"14"},"uris":["http://www.mendeley.com/documents/?uuid=d49c8156-56dc-4f8c-86ba-e3310fc2870a"]},{"id":"ITEM-3","itemData":{"DOI":"10.1093/trstmh/trw048","ISSN":"0035-9203","abstract":"Excess sodium consumption has been cited as a primary cause of hypertension and cardiovascular diseases. Salt (sodium chloride) is considered the main source of sodium in the human diet, and it is estimated that processed foods and restaurant foods contribute 80% of the daily intake of sodium in most of the Western world. However, ample research demonstrates the efficacy of sodium chloride against pathogenic and spoilage microorganisms in a variety of food systems. Notable examples of the utility and necessity of sodium chloride include the inhibition of growth and toxin production by Clostridium botulinum in processed meats and cheeses. Other sodium salts contributing to the overall sodium consumption are also very important in the prevention of spoilage and/or growth of microorganisms in foods. For example, sodium lactate and sodium diacetate are widely used in conjunction with sodium chloride to prevent the growth of Listeria monocytogenes and lactic acid bacteria in ready-to-eat meats. These and other examples underscore the necessity of sodium salts, particularly sodium chloride, for the production of safe, wholesome foods. Key literature on the antimicrobial properties of sodium chloride in foods is reviewed here to address the impact of salt and sodium reduction or replacement on microbiological food safety and quality.","author":[{"dropping-particle":"","family":"Robinson","given":"T. P.","non-dropping-particle":"","parse-names":false,"suffix":""},{"dropping-particle":"","family":"Bu","given":"D. P.","non-dropping-particle":"","parse-names":false,"suffix":""},{"dropping-particle":"","family":"Carrique-Mas","given":"J.","non-dropping-particle":"","parse-names":false,"suffix":""},{"dropping-particle":"","family":"Fèvre","given":"E. M.","non-dropping-particle":"","parse-names":false,"suffix":""},{"dropping-particle":"","family":"Gilbert","given":"M.","non-dropping-particle":"","parse-names":false,"suffix":""},{"dropping-particle":"","family":"Grace","given":"D.","non-dropping-particle":"","parse-names":false,"suffix":""},{"dropping-particle":"","family":"Hay","given":"S. I.","non-dropping-particle":"","parse-names":false,"suffix":""},{"dropping-particle":"","family":"Jiwakanon","given":"J.","non-dropping-particle":"","parse-names":false,"suffix":""},{"dropping-particle":"","family":"Kakkar","given":"M.","non-dropping-particle":"","parse-names":false,"suffix":""},{"dropping-particle":"","family":"Kariuki","given":"S.","non-dropping-particle":"","parse-names":false,"suffix":""},{"dropping-particle":"","family":"Laxminarayan","given":"R.","non-dropping-particle":"","parse-names":false,"suffix":""},{"dropping-particle":"","family":"Lubroth","given":"J.","non-dropping-particle":"","parse-names":false,"suffix":""},{"dropping-particle":"","family":"Magnusson","given":"U.","non-dropping-particle":"","parse-names":false,"suffix":""},{"dropping-particle":"","family":"Thi Ngoc","given":"P.","non-dropping-particle":"","parse-names":false,"suffix":""},{"dropping-particle":"","family":"Boeckel","given":"T. P.","non-dropping-particle":"Van","parse-names":false,"suffix":""},{"dropping-particle":"","family":"Woolhouse","given":"M. E. J.","non-dropping-particle":"","parse-names":false,"suffix":""}],"container-title":"Transactions of The Royal Society of Tropical Medicine and Hygiene","id":"ITEM-3","issue":"7","issued":{"date-parts":[["2016"]]},"page":"377-380","title":"Antibiotic resistance is the quintessential One Health issue","type":"article-journal","volume":"110"},"uris":["http://www.mendeley.com/documents/?uuid=c009e257-e572-4658-898d-4f220a78356c"]}],"mendeley":{"formattedCitation":"(Robinson et al., 2016; Silber et al., 2016; Ventola, 2015)","manualFormatting":"(Ventola, 2015; Robinson et al., 2016; Silber et al., 2016)","plainTextFormattedCitation":"(Robinson et al., 2016; Silber et al., 2016; Ventola, 2015)","previouslyFormattedCitation":"(Robinson et al., 2016; Silber et al., 2016; Ventola, 2015)"},"properties":{"noteIndex":0},"schema":"https://github.com/citation-style-language/schema/raw/master/csl-citation.json"}</w:instrText>
      </w:r>
      <w:r>
        <w:rPr>
          <w:rFonts w:cs="Times New Roman"/>
          <w:szCs w:val="24"/>
        </w:rPr>
        <w:fldChar w:fldCharType="separate"/>
      </w:r>
      <w:r w:rsidRPr="00750ACF">
        <w:rPr>
          <w:rFonts w:cs="Times New Roman"/>
          <w:noProof/>
          <w:szCs w:val="24"/>
        </w:rPr>
        <w:t>(Ventola, 2015</w:t>
      </w:r>
      <w:r>
        <w:rPr>
          <w:rFonts w:cs="Times New Roman"/>
          <w:noProof/>
          <w:szCs w:val="24"/>
        </w:rPr>
        <w:t xml:space="preserve">; </w:t>
      </w:r>
      <w:r w:rsidRPr="00750ACF">
        <w:rPr>
          <w:rFonts w:cs="Times New Roman"/>
          <w:noProof/>
          <w:szCs w:val="24"/>
        </w:rPr>
        <w:t>Robinson et al., 2016; Silber et al., 2016)</w:t>
      </w:r>
      <w:r>
        <w:rPr>
          <w:rFonts w:cs="Times New Roman"/>
          <w:szCs w:val="24"/>
        </w:rPr>
        <w:fldChar w:fldCharType="end"/>
      </w:r>
      <w:r>
        <w:rPr>
          <w:rFonts w:cs="Times New Roman"/>
          <w:szCs w:val="24"/>
        </w:rPr>
        <w:t>.</w:t>
      </w:r>
    </w:p>
    <w:p w14:paraId="4B36A9F2" w14:textId="77777777" w:rsidR="00DC6E9A" w:rsidRDefault="00DC6E9A" w:rsidP="00A21451">
      <w:pPr>
        <w:spacing w:after="0"/>
        <w:ind w:firstLine="708"/>
        <w:rPr>
          <w:rFonts w:cs="Times New Roman"/>
          <w:szCs w:val="24"/>
        </w:rPr>
      </w:pPr>
      <w:r>
        <w:rPr>
          <w:rFonts w:cs="Times New Roman"/>
          <w:szCs w:val="24"/>
        </w:rPr>
        <w:t xml:space="preserve">Por ahora, la solución es evitar tratar las infecciones causadas por bacterias multirresistentes con monoterapias, sino que se hace lo posible por tratarlas mediante un coctel de fármacos o jugando con la combinación de compuestos antimicrobianos y compuestos no antimicrobianos </w:t>
      </w:r>
      <w:r>
        <w:rPr>
          <w:rFonts w:cs="Times New Roman"/>
          <w:szCs w:val="24"/>
        </w:rPr>
        <w:fldChar w:fldCharType="begin" w:fldLock="1"/>
      </w:r>
      <w:r>
        <w:rPr>
          <w:rFonts w:cs="Times New Roman"/>
          <w:szCs w:val="24"/>
        </w:rPr>
        <w:instrText>ADDIN CSL_CITATION {"citationItems":[{"id":"ITEM-1","itemData":{"DOI":"10.1016/s1473-3099(16)30323-1","ISSN":"14733099","author":[{"dropping-particle":"","family":"Abdelmohsen","given":"Usama Ramadan","non-dropping-particle":"","parse-names":false,"suffix":""},{"dropping-particle":"","family":"Balasubramanian","given":"Srikkanth","non-dropping-particle":"","parse-names":false,"suffix":""},{"dropping-particle":"","family":"Oelschlaeger","given":"Tobias A","non-dropping-particle":"","parse-names":false,"suffix":""},{"dropping-particle":"","family":"Grkovic","given":"Tanja","non-dropping-particle":"","parse-names":false,"suffix":""},{"dropping-particle":"","family":"Pham","given":"Ngoc B","non-dropping-particle":"","parse-names":false,"suffix":""},{"dropping-particle":"","family":"Quinn","given":"Ronald J","non-dropping-particle":"","parse-names":false,"suffix":""},{"dropping-particle":"","family":"Hentschel","given":"Ute","non-dropping-particle":"","parse-names":false,"suffix":""}],"container-title":"The Lancet Infectious Diseases","id":"ITEM-1","issue":"2","issued":{"date-parts":[["2017"]]},"page":"e30-e41","publisher":"Elsevier Ltd","title":"Potential of marine natural products against drug-resistant fungal, viral, and parasitic infections","type":"article-journal","volume":"17"},"uris":["http://www.mendeley.com/documents/?uuid=85ec3b59-99f1-4051-bd1a-abefa283f318"]}],"mendeley":{"formattedCitation":"(Abdelmohsen et al., 2017)","plainTextFormattedCitation":"(Abdelmohsen et al., 2017)","previouslyFormattedCitation":"(Abdelmohsen et al., 2017)"},"properties":{"noteIndex":0},"schema":"https://github.com/citation-style-language/schema/raw/master/csl-citation.json"}</w:instrText>
      </w:r>
      <w:r>
        <w:rPr>
          <w:rFonts w:cs="Times New Roman"/>
          <w:szCs w:val="24"/>
        </w:rPr>
        <w:fldChar w:fldCharType="separate"/>
      </w:r>
      <w:r w:rsidRPr="00B946CB">
        <w:rPr>
          <w:rFonts w:cs="Times New Roman"/>
          <w:noProof/>
          <w:szCs w:val="24"/>
        </w:rPr>
        <w:t>(Abdelmohsen et al., 2017)</w:t>
      </w:r>
      <w:r>
        <w:rPr>
          <w:rFonts w:cs="Times New Roman"/>
          <w:szCs w:val="24"/>
        </w:rPr>
        <w:fldChar w:fldCharType="end"/>
      </w:r>
      <w:r>
        <w:rPr>
          <w:rFonts w:cs="Times New Roman"/>
          <w:szCs w:val="24"/>
        </w:rPr>
        <w:t>. No obstante, este método no garantiza la efectividad y ha fallado en casos donde hay resistencia a alguno de los medicamentos usados. Es por esta razón, que la necesidad de obtener nuevos compuestos con actividad antimicrobiana es cada vez mayor, ya sea para utilizarlos de manera conjunta con los antibióticos actuales o para sustituirlos del todo.</w:t>
      </w:r>
    </w:p>
    <w:p w14:paraId="37A0C313" w14:textId="77777777" w:rsidR="000600C3" w:rsidRDefault="000600C3" w:rsidP="000600C3">
      <w:pPr>
        <w:spacing w:after="0"/>
        <w:ind w:firstLine="708"/>
        <w:rPr>
          <w:rFonts w:cs="Times New Roman"/>
          <w:szCs w:val="24"/>
        </w:rPr>
      </w:pPr>
    </w:p>
    <w:p w14:paraId="261BBDF6" w14:textId="77777777" w:rsidR="00DC6E9A" w:rsidRDefault="00DC6E9A" w:rsidP="00A21451">
      <w:pPr>
        <w:pStyle w:val="Titulo20"/>
        <w:spacing w:after="0"/>
      </w:pPr>
      <w:bookmarkStart w:id="52" w:name="_Toc24018770"/>
      <w:bookmarkStart w:id="53" w:name="_Toc140204065"/>
      <w:r>
        <w:t>2.5 Mecanismos de generación de resistencia</w:t>
      </w:r>
      <w:bookmarkEnd w:id="52"/>
      <w:bookmarkEnd w:id="53"/>
    </w:p>
    <w:p w14:paraId="1153544C" w14:textId="77777777" w:rsidR="00DC6E9A" w:rsidRDefault="00DC6E9A" w:rsidP="00062B62">
      <w:pPr>
        <w:ind w:firstLine="708"/>
        <w:rPr>
          <w:rFonts w:cs="Times New Roman"/>
          <w:szCs w:val="24"/>
        </w:rPr>
      </w:pPr>
      <w:r>
        <w:rPr>
          <w:rFonts w:cs="Times New Roman"/>
          <w:szCs w:val="24"/>
        </w:rPr>
        <w:t xml:space="preserve">Los compuestos con actividad antimicrobiana que son utilizados como antibióticos, utilizan una serie de mecanismos para eliminar o dañar a las bacterias, estos mecanismos interfieren en rutas metabólicas que son esenciales para las bacterias y pueden categorizarse en 5 mecanismos. El primero, genera un inhibición en la replicación; puede ocurrir también una </w:t>
      </w:r>
      <w:r>
        <w:rPr>
          <w:rFonts w:cs="Times New Roman"/>
          <w:szCs w:val="24"/>
        </w:rPr>
        <w:lastRenderedPageBreak/>
        <w:t xml:space="preserve">interrupción de la transcripción; producción de una inhibición en la traducción o en la síntesis de proteínas; un cuarto mecanismo provoca daños estructurales mediante la inhibición en la síntesis de peptidoglucano y finalmente; dañan o modifican la permeabilidad de la membrana celular de las bacterias </w:t>
      </w:r>
      <w:r>
        <w:rPr>
          <w:rFonts w:cs="Times New Roman"/>
          <w:szCs w:val="24"/>
        </w:rPr>
        <w:fldChar w:fldCharType="begin" w:fldLock="1"/>
      </w:r>
      <w:r>
        <w:rPr>
          <w:rFonts w:cs="Times New Roman"/>
          <w:szCs w:val="24"/>
        </w:rPr>
        <w:instrText>ADDIN CSL_CITATION {"citationItems":[{"id":"ITEM-1","itemData":{"author":[{"dropping-particle":"","family":"la Fuente-Salcido","given":"Norma Margarita","non-dropping-particle":"De","parse-names":false,"suffix":""},{"dropping-particle":"","family":"Villarreal-Prieto","given":"Jesús Ma","non-dropping-particle":"","parse-names":false,"suffix":""},{"dropping-particle":"","family":"Díaz","given":"Miguel Angel","non-dropping-particle":"","parse-names":false,"suffix":""},{"dropping-particle":"","family":"García","given":"Ada Patricia","non-dropping-particle":"","parse-names":false,"suffix":""}],"container-title":"Rev Mex Cienc Farm","id":"ITEM-1","issue":"2","issued":{"date-parts":[["2015"]]},"page":"7-16","title":"Evaluation of the activity of antimicrobial agents against the challenge of bacterial resistance","type":"article-journal","volume":"46"},"uris":["http://www.mendeley.com/documents/?uuid=04d25228-dcec-4fca-9c9b-1dd26a598125"]},{"id":"ITEM-2","itemData":{"DOI":"10.1002/anie.201506818","ISBN":"1521-3773 (Electronic)\\r1433-7851 (Linking)","ISSN":"15213773","PMID":"27000559","abstract":"Finding strategies against the development of antibiotic resistance is a major global challenge for the life sciences community and for public health. The past decades have seen a dramatic worldwide increase in human-pathogenic bacteria that are resistant to one or multiple antibiotics. More and more infections caused by resistant microorganisms fail to respond to conventional treatment, and in some cases, even last-resort antibiotics have lost their power. In addition, industry pipelines for the development of novel antibiotics have run dry over the past decades. A recent world health day by the World Health Organization titled \"Combat drug resistance: no action today means no cure tomorrow\" triggered an increase in research activity, and several promising strategies have been developed to restore treatment options against infections by resistant bacterial pathogens.","author":[{"dropping-particle":"","family":"Chellat","given":"Mathieu F.","non-dropping-particle":"","parse-names":false,"suffix":""},{"dropping-particle":"","family":"Raguž","given":"Luka","non-dropping-particle":"","parse-names":false,"suffix":""},{"dropping-particle":"","family":"Riedl","given":"Rainer","non-dropping-particle":"","parse-names":false,"suffix":""}],"container-title":"Angewandte Chemie - International Edition","id":"ITEM-2","issue":"23","issued":{"date-parts":[["2016"]]},"page":"6600-6626","title":"Targeting Antibiotic Resistance","type":"article-journal","volume":"55"},"uris":["http://www.mendeley.com/documents/?uuid=e635b7f2-493f-4d46-903e-d3b69d999cb3"]}],"mendeley":{"formattedCitation":"(Chellat et al., 2016; De la Fuente-Salcido et al., 2015)","plainTextFormattedCitation":"(Chellat et al., 2016; De la Fuente-Salcido et al., 2015)","previouslyFormattedCitation":"(Chellat et al., 2016; De la Fuente-Salcido et al., 2015)"},"properties":{"noteIndex":0},"schema":"https://github.com/citation-style-language/schema/raw/master/csl-citation.json"}</w:instrText>
      </w:r>
      <w:r>
        <w:rPr>
          <w:rFonts w:cs="Times New Roman"/>
          <w:szCs w:val="24"/>
        </w:rPr>
        <w:fldChar w:fldCharType="separate"/>
      </w:r>
      <w:r w:rsidRPr="00996E7C">
        <w:rPr>
          <w:rFonts w:cs="Times New Roman"/>
          <w:noProof/>
          <w:szCs w:val="24"/>
        </w:rPr>
        <w:t>(Chellat et al., 2016; De la Fuente-Salcido et al., 2015)</w:t>
      </w:r>
      <w:r>
        <w:rPr>
          <w:rFonts w:cs="Times New Roman"/>
          <w:szCs w:val="24"/>
        </w:rPr>
        <w:fldChar w:fldCharType="end"/>
      </w:r>
      <w:r>
        <w:rPr>
          <w:rFonts w:cs="Times New Roman"/>
          <w:szCs w:val="24"/>
        </w:rPr>
        <w:t>.</w:t>
      </w:r>
    </w:p>
    <w:p w14:paraId="44D5977D" w14:textId="77777777" w:rsidR="00DC6E9A" w:rsidRDefault="00DC6E9A" w:rsidP="00DC6E9A">
      <w:pPr>
        <w:spacing w:before="120"/>
        <w:ind w:firstLine="708"/>
        <w:rPr>
          <w:rFonts w:cs="Times New Roman"/>
          <w:szCs w:val="24"/>
        </w:rPr>
      </w:pPr>
      <w:r>
        <w:rPr>
          <w:rFonts w:cs="Times New Roman"/>
          <w:szCs w:val="24"/>
        </w:rPr>
        <w:t xml:space="preserve">Las bacterias por su parte han logrado generar </w:t>
      </w:r>
      <w:r w:rsidRPr="00EF2E2A">
        <w:rPr>
          <w:rFonts w:cs="Times New Roman"/>
          <w:szCs w:val="24"/>
        </w:rPr>
        <w:t>mecanismos</w:t>
      </w:r>
      <w:r>
        <w:rPr>
          <w:rFonts w:cs="Times New Roman"/>
          <w:szCs w:val="24"/>
        </w:rPr>
        <w:t xml:space="preserve"> para interrumpir los procesos anteriormente mencionados, de manera adquirida o de forma natural. La resistencia adquirida ocurre por medio de la adquisición de plásmidos o transposones o mediante procesos de mutación en genes. La resistencia por medio de procesos naturales es generada por genes intrínsecos de resistencia o por cambios en el estado fisiológico de la bacteria </w:t>
      </w:r>
      <w:r>
        <w:rPr>
          <w:rFonts w:cs="Times New Roman"/>
          <w:szCs w:val="24"/>
        </w:rPr>
        <w:fldChar w:fldCharType="begin" w:fldLock="1"/>
      </w:r>
      <w:r>
        <w:rPr>
          <w:rFonts w:cs="Times New Roman"/>
          <w:szCs w:val="24"/>
        </w:rPr>
        <w:instrText>ADDIN CSL_CITATION {"citationItems":[{"id":"ITEM-1","itemData":{"DOI":"10.1038/nrmicro3380","ISSN":"17401534","abstract":"Emergence of resistance among the most important bacterial pathogens is recognized as a major public health threat affecting humans worldwide. Multidrug-resistant organisms have not only emerged in the hospital environment but are now often identified in community settings, suggesting that reservoirs of antibiotic-resistant bacteria are present outside the hospital. The bacterial response to the antibiotic \"attack\" is the prime example of bacterial adaptation and the pinnacle of evolution. \"Survival of the fittest\" is a consequence of an immense genetic plasticity of bacterial pathogens that trigger specific responses that result in mutational adaptations, acquisition of genetic material, or alteration of gene expression producing resistance to virtually all antibiotics currently available in clinical practice. Therefore, understanding the biochemical and genetic basis of resistance is of paramount importance to design strategies to curtail the emergence and spread of resistance and to devise innovative therapeutic approaches against multidrug-resistant organisms. In this chapter, we will describe in detail the major mechanisms of antibiotic resistance encountered in clinical practice, providing specific examples in relevant bacterial pathogens.","author":[{"dropping-particle":"","family":"Blair","given":"Jessica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J","non-dropping-particle":"","parse-names":false,"suffix":""}],"container-title":"Nature Reviews Microbiology","id":"ITEM-1","issue":"1","issued":{"date-parts":[["2015"]]},"page":"42-51","publisher":"Nature Publishing Group","title":"Molecular mechanisms of antibiotic resistance","type":"article-journal","volume":"13"},"uris":["http://www.mendeley.com/documents/?uuid=075b3087-1b0a-43b3-a573-1179b34e4347"]}],"mendeley":{"formattedCitation":"(Blair, Webber, Baylay, Ogbolu, &amp; Piddock, 2015)","plainTextFormattedCitation":"(Blair, Webber, Baylay, Ogbolu, &amp; Piddock, 2015)","previouslyFormattedCitation":"(Blair, Webber, Baylay, Ogbolu, &amp; Piddock, 2015)"},"properties":{"noteIndex":0},"schema":"https://github.com/citation-style-language/schema/raw/master/csl-citation.json"}</w:instrText>
      </w:r>
      <w:r>
        <w:rPr>
          <w:rFonts w:cs="Times New Roman"/>
          <w:szCs w:val="24"/>
        </w:rPr>
        <w:fldChar w:fldCharType="separate"/>
      </w:r>
      <w:r w:rsidRPr="00693CDA">
        <w:rPr>
          <w:rFonts w:cs="Times New Roman"/>
          <w:noProof/>
          <w:szCs w:val="24"/>
        </w:rPr>
        <w:t>(Blair, Webber, Baylay, Ogbolu, &amp; Piddock, 2015)</w:t>
      </w:r>
      <w:r>
        <w:rPr>
          <w:rFonts w:cs="Times New Roman"/>
          <w:szCs w:val="24"/>
        </w:rPr>
        <w:fldChar w:fldCharType="end"/>
      </w:r>
      <w:r>
        <w:rPr>
          <w:rFonts w:cs="Times New Roman"/>
          <w:szCs w:val="24"/>
        </w:rPr>
        <w:t xml:space="preserve">. </w:t>
      </w:r>
    </w:p>
    <w:p w14:paraId="49561A05" w14:textId="0828EF2C" w:rsidR="004200F4" w:rsidRDefault="00DC6E9A" w:rsidP="00B85D8B">
      <w:pPr>
        <w:spacing w:before="120"/>
        <w:ind w:firstLine="708"/>
        <w:rPr>
          <w:rFonts w:cs="Times New Roman"/>
          <w:szCs w:val="24"/>
        </w:rPr>
      </w:pPr>
      <w:r>
        <w:rPr>
          <w:rFonts w:cs="Times New Roman"/>
          <w:szCs w:val="24"/>
        </w:rPr>
        <w:t xml:space="preserve">En general, </w:t>
      </w:r>
      <w:r>
        <w:rPr>
          <w:rFonts w:cs="Times New Roman"/>
          <w:szCs w:val="24"/>
        </w:rPr>
        <w:fldChar w:fldCharType="begin" w:fldLock="1"/>
      </w:r>
      <w:r>
        <w:rPr>
          <w:rFonts w:cs="Times New Roman"/>
          <w:szCs w:val="24"/>
        </w:rPr>
        <w:instrText>ADDIN CSL_CITATION {"citationItems":[{"id":"ITEM-1","itemData":{"author":[{"dropping-particle":"","family":"la Fuente-Salcido","given":"Norma Margarita","non-dropping-particle":"De","parse-names":false,"suffix":""},{"dropping-particle":"","family":"Villarreal-Prieto","given":"Jesús Ma","non-dropping-particle":"","parse-names":false,"suffix":""},{"dropping-particle":"","family":"Díaz","given":"Miguel Angel","non-dropping-particle":"","parse-names":false,"suffix":""},{"dropping-particle":"","family":"García","given":"Ada Patricia","non-dropping-particle":"","parse-names":false,"suffix":""}],"container-title":"Rev Mex Cienc Farm","id":"ITEM-1","issue":"2","issued":{"date-parts":[["2015"]]},"page":"7-16","title":"Evaluation of the activity of antimicrobial agents against the challenge of bacterial resistance","type":"article-journal","volume":"46"},"uris":["http://www.mendeley.com/documents/?uuid=04d25228-dcec-4fca-9c9b-1dd26a598125"]}],"mendeley":{"formattedCitation":"(De la Fuente-Salcido et al., 2015)","manualFormatting":"De la Fuente-Salcido et al. (2015)","plainTextFormattedCitation":"(De la Fuente-Salcido et al., 2015)","previouslyFormattedCitation":"(De la Fuente-Salcido et al., 2015)"},"properties":{"noteIndex":0},"schema":"https://github.com/citation-style-language/schema/raw/master/csl-citation.json"}</w:instrText>
      </w:r>
      <w:r>
        <w:rPr>
          <w:rFonts w:cs="Times New Roman"/>
          <w:szCs w:val="24"/>
        </w:rPr>
        <w:fldChar w:fldCharType="separate"/>
      </w:r>
      <w:r w:rsidRPr="00693CDA">
        <w:rPr>
          <w:rFonts w:cs="Times New Roman"/>
          <w:noProof/>
          <w:szCs w:val="24"/>
        </w:rPr>
        <w:t xml:space="preserve">De la Fuente-Salcido et al. </w:t>
      </w:r>
      <w:r>
        <w:rPr>
          <w:rFonts w:cs="Times New Roman"/>
          <w:noProof/>
          <w:szCs w:val="24"/>
        </w:rPr>
        <w:t>(</w:t>
      </w:r>
      <w:r w:rsidRPr="00693CDA">
        <w:rPr>
          <w:rFonts w:cs="Times New Roman"/>
          <w:noProof/>
          <w:szCs w:val="24"/>
        </w:rPr>
        <w:t>2015)</w:t>
      </w:r>
      <w:r>
        <w:rPr>
          <w:rFonts w:cs="Times New Roman"/>
          <w:szCs w:val="24"/>
        </w:rPr>
        <w:fldChar w:fldCharType="end"/>
      </w:r>
      <w:r>
        <w:rPr>
          <w:rFonts w:cs="Times New Roman"/>
          <w:szCs w:val="24"/>
        </w:rPr>
        <w:t xml:space="preserve"> describe tres procesos mediante los cuales las bacterias adquieren resistencia a los compuestos antimicrobianos. Uno de ellos es por medio de la modificación del sitio donde se une el antibiótico, provocando así que el antibiótico ejecute sus funciones de manera ineficiente. Otra alternativa es la disminución de la permeabilidad de la membrana bacteriana, evitando así la penetración intracelular del antibiótico o minimizando la entrada. Por último, las bacterias tienen la capacidad de generar enzimas, comúnmente hidrolasas y transferasas, que hidrolizan o modifican la estructura del antibiótico, este mecanismo es el más utilizado, convirtiéndose en el principal mecanismo de generación de resistencia de las bacterias </w:t>
      </w:r>
      <w:r>
        <w:rPr>
          <w:rFonts w:cs="Times New Roman"/>
          <w:szCs w:val="24"/>
        </w:rPr>
        <w:fldChar w:fldCharType="begin" w:fldLock="1"/>
      </w:r>
      <w:r>
        <w:rPr>
          <w:rFonts w:cs="Times New Roman"/>
          <w:szCs w:val="24"/>
        </w:rPr>
        <w:instrText>ADDIN CSL_CITATION {"citationItems":[{"id":"ITEM-1","itemData":{"DOI":"10.1155/2014/541340","ISSN":"1687-708X","abstract":"The resistance among various microbial species (infectious agents) to different antimicrobial drugs has emerged as a cause of public health threat all over the world at a terrifying rate. Due to the pacing advent of new resistance mechanisms and decrease in efficiency of treating common infectious diseases, it results in failure of microbial response to standard treatment, leading to prolonged illness, higher expenditures for health care, and an immense risk of death. Almost all the capable infecting agents (e.g., bacteria, fungi, virus, and parasite) have employed high levels of multidrug resistance (MDR) with enhanced morbidity and mortality; thus, they are referred to as “super bugs.” Although the development of MDR is a natural phenomenon, the inappropriate use of antimicrobial drugs, inadequate sanitary conditions, inappropriate food-handling, and poor infection prevention and control practices contribute to emergence of and encourage the further spread of MDR. Considering the significance of MDR, this paper, emphasizes the problems associated with MDR and the need to understand its significance and mechanisms to combat microbial infections.","author":[{"dropping-particle":"","family":"Tanwar","given":"Jyoti","non-dropping-particle":"","parse-names":false,"suffix":""},{"dropping-particle":"","family":"Das","given":"Shrayanee","non-dropping-particle":"","parse-names":false,"suffix":""},{"dropping-particle":"","family":"Fatima","given":"Zeeshan","non-dropping-particle":"","parse-names":false,"suffix":""},{"dropping-particle":"","family":"Hameed","given":"Saif","non-dropping-particle":"","parse-names":false,"suffix":""}],"container-title":"Interdisciplinary Perspectives on Infectious Diseases","id":"ITEM-1","issued":{"date-parts":[["2014"]]},"page":"1-7","title":"Multidrug Resistance: An Emerging Crisis","type":"article-journal","volume":"2014"},"uris":["http://www.mendeley.com/documents/?uuid=147a567e-0162-4db0-8b13-86bceb2a5f84"]},{"id":"ITEM-2","itemData":{"author":[{"dropping-particle":"","family":"la Fuente-Salcido","given":"Norma Margarita","non-dropping-particle":"De","parse-names":false,"suffix":""},{"dropping-particle":"","family":"Villarreal-Prieto","given":"Jesús Ma","non-dropping-particle":"","parse-names":false,"suffix":""},{"dropping-particle":"","family":"Díaz","given":"Miguel Angel","non-dropping-particle":"","parse-names":false,"suffix":""},{"dropping-particle":"","family":"García","given":"Ada Patricia","non-dropping-particle":"","parse-names":false,"suffix":""}],"container-title":"Rev Mex Cienc Farm","id":"ITEM-2","issue":"2","issued":{"date-parts":[["2015"]]},"page":"7-16","title":"Evaluation of the activity of antimicrobial agents against the challenge of bacterial resistance","type":"article-journal","volume":"46"},"uris":["http://www.mendeley.com/documents/?uuid=04d25228-dcec-4fca-9c9b-1dd26a598125"]}],"mendeley":{"formattedCitation":"(De la Fuente-Salcido et al., 2015; Tanwar, Das, Fatima, &amp; Hameed, 2014)","plainTextFormattedCitation":"(De la Fuente-Salcido et al., 2015; Tanwar, Das, Fatima, &amp; Hameed, 2014)","previouslyFormattedCitation":"(De la Fuente-Salcido et al., 2015; Tanwar, Das, Fatima, &amp; Hameed, 2014)"},"properties":{"noteIndex":0},"schema":"https://github.com/citation-style-language/schema/raw/master/csl-citation.json"}</w:instrText>
      </w:r>
      <w:r>
        <w:rPr>
          <w:rFonts w:cs="Times New Roman"/>
          <w:szCs w:val="24"/>
        </w:rPr>
        <w:fldChar w:fldCharType="separate"/>
      </w:r>
      <w:r w:rsidRPr="00CB2878">
        <w:rPr>
          <w:rFonts w:cs="Times New Roman"/>
          <w:noProof/>
          <w:szCs w:val="24"/>
        </w:rPr>
        <w:t>(De la Fuente-Salcido et al., 2015; Tanwar, Das, Fatima, &amp; Hameed, 2014)</w:t>
      </w:r>
      <w:r>
        <w:rPr>
          <w:rFonts w:cs="Times New Roman"/>
          <w:szCs w:val="24"/>
        </w:rPr>
        <w:fldChar w:fldCharType="end"/>
      </w:r>
      <w:r>
        <w:rPr>
          <w:rFonts w:cs="Times New Roman"/>
          <w:szCs w:val="24"/>
        </w:rPr>
        <w:t xml:space="preserve">. </w:t>
      </w:r>
    </w:p>
    <w:p w14:paraId="256C1851" w14:textId="02D4BC17" w:rsidR="004200F4" w:rsidRDefault="004200F4">
      <w:pPr>
        <w:spacing w:line="259" w:lineRule="auto"/>
        <w:jc w:val="left"/>
        <w:rPr>
          <w:rFonts w:cs="Times New Roman"/>
          <w:szCs w:val="24"/>
        </w:rPr>
      </w:pPr>
    </w:p>
    <w:p w14:paraId="0D2F80BA" w14:textId="77777777" w:rsidR="00C40984" w:rsidRDefault="00C40984">
      <w:pPr>
        <w:spacing w:line="259" w:lineRule="auto"/>
        <w:jc w:val="left"/>
        <w:rPr>
          <w:rFonts w:cs="Times New Roman"/>
          <w:szCs w:val="24"/>
        </w:rPr>
      </w:pPr>
    </w:p>
    <w:p w14:paraId="03939495" w14:textId="77777777" w:rsidR="00C40984" w:rsidRDefault="00C40984">
      <w:pPr>
        <w:spacing w:line="259" w:lineRule="auto"/>
        <w:jc w:val="left"/>
        <w:rPr>
          <w:rFonts w:cs="Times New Roman"/>
          <w:szCs w:val="24"/>
        </w:rPr>
      </w:pPr>
    </w:p>
    <w:p w14:paraId="5628B0DD" w14:textId="31BC6483" w:rsidR="004C5236" w:rsidRPr="002E3317" w:rsidRDefault="00DC6E9A" w:rsidP="00C81264">
      <w:pPr>
        <w:pStyle w:val="Titulo10"/>
        <w:numPr>
          <w:ilvl w:val="0"/>
          <w:numId w:val="14"/>
        </w:numPr>
        <w:spacing w:before="0"/>
      </w:pPr>
      <w:bookmarkStart w:id="54" w:name="_Toc24018771"/>
      <w:bookmarkStart w:id="55" w:name="_Toc140204066"/>
      <w:r w:rsidRPr="002E3317">
        <w:t>Marco Metodológico</w:t>
      </w:r>
      <w:bookmarkEnd w:id="54"/>
      <w:bookmarkEnd w:id="55"/>
    </w:p>
    <w:p w14:paraId="06944484" w14:textId="77777777" w:rsidR="004C5236" w:rsidRDefault="004C5236" w:rsidP="00C81264">
      <w:pPr>
        <w:pStyle w:val="NormalWeb"/>
        <w:keepNext/>
        <w:spacing w:before="0" w:beforeAutospacing="0" w:after="0" w:afterAutospacing="0" w:line="360" w:lineRule="auto"/>
        <w:ind w:left="1080"/>
        <w:jc w:val="left"/>
        <w:rPr>
          <w:rStyle w:val="Titulo2Car0"/>
        </w:rPr>
      </w:pPr>
    </w:p>
    <w:p w14:paraId="48AF6E30" w14:textId="161C89AE" w:rsidR="00B85D8B" w:rsidRDefault="00B91E3F" w:rsidP="00A66343">
      <w:pPr>
        <w:pStyle w:val="NormalWeb"/>
        <w:keepNext/>
        <w:numPr>
          <w:ilvl w:val="1"/>
          <w:numId w:val="14"/>
        </w:numPr>
        <w:spacing w:before="0" w:beforeAutospacing="0" w:after="0" w:afterAutospacing="0" w:line="360" w:lineRule="auto"/>
        <w:jc w:val="left"/>
        <w:rPr>
          <w:rStyle w:val="Titulo2Car0"/>
        </w:rPr>
      </w:pPr>
      <w:r>
        <w:rPr>
          <w:rStyle w:val="Titulo2Car0"/>
        </w:rPr>
        <w:t xml:space="preserve"> </w:t>
      </w:r>
      <w:bookmarkStart w:id="56" w:name="_Toc140204067"/>
      <w:r w:rsidR="00E6536B">
        <w:rPr>
          <w:rStyle w:val="Titulo2Car0"/>
        </w:rPr>
        <w:t xml:space="preserve">Desarrollo </w:t>
      </w:r>
      <w:r w:rsidR="008E24BE">
        <w:rPr>
          <w:rStyle w:val="Titulo2Car0"/>
        </w:rPr>
        <w:t>metodológico</w:t>
      </w:r>
      <w:bookmarkEnd w:id="56"/>
    </w:p>
    <w:p w14:paraId="650959C7" w14:textId="0CF6BE11" w:rsidR="006B5686" w:rsidRPr="006B5686" w:rsidRDefault="006B5686" w:rsidP="001A4C7A">
      <w:pPr>
        <w:ind w:firstLine="708"/>
        <w:rPr>
          <w:rFonts w:cs="Times New Roman"/>
          <w:szCs w:val="24"/>
        </w:rPr>
      </w:pPr>
      <w:r w:rsidRPr="006B5686">
        <w:rPr>
          <w:rFonts w:cs="Times New Roman"/>
          <w:szCs w:val="24"/>
        </w:rPr>
        <w:t>Este proyecto de investigación se</w:t>
      </w:r>
      <w:r w:rsidR="004C1550">
        <w:rPr>
          <w:rFonts w:cs="Times New Roman"/>
          <w:szCs w:val="24"/>
        </w:rPr>
        <w:t xml:space="preserve"> desarrolló bajo</w:t>
      </w:r>
      <w:r w:rsidRPr="006B5686">
        <w:rPr>
          <w:rFonts w:cs="Times New Roman"/>
          <w:szCs w:val="24"/>
        </w:rPr>
        <w:t xml:space="preserve"> los permiso</w:t>
      </w:r>
      <w:r w:rsidR="005F1778">
        <w:rPr>
          <w:rFonts w:cs="Times New Roman"/>
          <w:szCs w:val="24"/>
        </w:rPr>
        <w:t xml:space="preserve">s </w:t>
      </w:r>
      <w:r w:rsidR="00152195">
        <w:rPr>
          <w:rFonts w:cs="Times New Roman"/>
          <w:szCs w:val="24"/>
        </w:rPr>
        <w:t xml:space="preserve">correspondientes </w:t>
      </w:r>
      <w:r w:rsidR="005F1778">
        <w:rPr>
          <w:rFonts w:cs="Times New Roman"/>
          <w:szCs w:val="24"/>
        </w:rPr>
        <w:t xml:space="preserve">de la </w:t>
      </w:r>
      <w:r w:rsidR="005F1778" w:rsidRPr="005F1778">
        <w:rPr>
          <w:rFonts w:cs="Times New Roman"/>
          <w:szCs w:val="24"/>
        </w:rPr>
        <w:t>Comisión Nacional para la Gestión de la Biodiversidad (CONAGEBIO)</w:t>
      </w:r>
      <w:r w:rsidR="00152195">
        <w:rPr>
          <w:rFonts w:cs="Times New Roman"/>
          <w:szCs w:val="24"/>
        </w:rPr>
        <w:t xml:space="preserve"> de Costa Rica</w:t>
      </w:r>
      <w:r w:rsidR="00D15D90">
        <w:rPr>
          <w:rFonts w:cs="Times New Roman"/>
          <w:szCs w:val="24"/>
        </w:rPr>
        <w:t>,</w:t>
      </w:r>
      <w:r w:rsidR="00152195">
        <w:rPr>
          <w:rFonts w:cs="Times New Roman"/>
          <w:szCs w:val="24"/>
        </w:rPr>
        <w:t xml:space="preserve"> </w:t>
      </w:r>
      <w:r w:rsidR="00D15D90">
        <w:rPr>
          <w:rFonts w:cs="Times New Roman"/>
          <w:szCs w:val="24"/>
        </w:rPr>
        <w:t>expediente</w:t>
      </w:r>
      <w:r w:rsidR="005F1778">
        <w:rPr>
          <w:rFonts w:cs="Times New Roman"/>
          <w:szCs w:val="24"/>
        </w:rPr>
        <w:t xml:space="preserve"> ID</w:t>
      </w:r>
      <w:r w:rsidR="00ED7367">
        <w:rPr>
          <w:rFonts w:cs="Times New Roman"/>
          <w:szCs w:val="24"/>
        </w:rPr>
        <w:t xml:space="preserve"> 894 </w:t>
      </w:r>
      <w:r w:rsidR="00152195">
        <w:rPr>
          <w:rFonts w:cs="Times New Roman"/>
          <w:szCs w:val="24"/>
        </w:rPr>
        <w:t xml:space="preserve">y </w:t>
      </w:r>
      <w:r w:rsidR="00ED7367" w:rsidRPr="00150F53">
        <w:rPr>
          <w:rFonts w:cs="Times New Roman"/>
          <w:i/>
          <w:iCs/>
          <w:szCs w:val="24"/>
        </w:rPr>
        <w:t>adendum</w:t>
      </w:r>
      <w:r w:rsidR="00ED7367">
        <w:rPr>
          <w:rFonts w:cs="Times New Roman"/>
          <w:szCs w:val="24"/>
        </w:rPr>
        <w:t xml:space="preserve"> ID</w:t>
      </w:r>
      <w:r w:rsidR="00150F53">
        <w:rPr>
          <w:rFonts w:cs="Times New Roman"/>
          <w:szCs w:val="24"/>
        </w:rPr>
        <w:t xml:space="preserve"> 1128</w:t>
      </w:r>
      <w:r w:rsidR="005F1778">
        <w:rPr>
          <w:rFonts w:cs="Times New Roman"/>
          <w:szCs w:val="24"/>
        </w:rPr>
        <w:t xml:space="preserve">. </w:t>
      </w:r>
    </w:p>
    <w:p w14:paraId="2D29920B" w14:textId="278F8036" w:rsidR="00A35327" w:rsidRDefault="00152195" w:rsidP="001A4C7A">
      <w:pPr>
        <w:spacing w:after="0"/>
        <w:ind w:firstLine="708"/>
        <w:rPr>
          <w:rFonts w:cs="Times New Roman"/>
          <w:szCs w:val="24"/>
        </w:rPr>
      </w:pPr>
      <w:r>
        <w:rPr>
          <w:rFonts w:cs="Times New Roman"/>
          <w:szCs w:val="24"/>
        </w:rPr>
        <w:t>La</w:t>
      </w:r>
      <w:r w:rsidR="00D1732E">
        <w:rPr>
          <w:rFonts w:cs="Times New Roman"/>
          <w:szCs w:val="24"/>
        </w:rPr>
        <w:t xml:space="preserve"> investigación se ejecutó </w:t>
      </w:r>
      <w:r>
        <w:rPr>
          <w:rFonts w:cs="Times New Roman"/>
          <w:szCs w:val="24"/>
        </w:rPr>
        <w:t xml:space="preserve">con </w:t>
      </w:r>
      <w:r w:rsidR="00D1732E">
        <w:rPr>
          <w:rFonts w:cs="Times New Roman"/>
          <w:szCs w:val="24"/>
        </w:rPr>
        <w:t xml:space="preserve">la coordinación </w:t>
      </w:r>
      <w:r w:rsidR="00FC28DE">
        <w:rPr>
          <w:rFonts w:cs="Times New Roman"/>
          <w:szCs w:val="24"/>
        </w:rPr>
        <w:t>principal</w:t>
      </w:r>
      <w:r w:rsidR="00775509">
        <w:rPr>
          <w:rFonts w:cs="Times New Roman"/>
          <w:szCs w:val="24"/>
        </w:rPr>
        <w:t xml:space="preserve"> del Laboratorio de Microbiología Marina (</w:t>
      </w:r>
      <w:r w:rsidR="00AF68B9">
        <w:rPr>
          <w:rFonts w:cs="Times New Roman"/>
          <w:szCs w:val="24"/>
        </w:rPr>
        <w:t>LaMMar</w:t>
      </w:r>
      <w:r w:rsidR="00775509">
        <w:rPr>
          <w:rFonts w:cs="Times New Roman"/>
          <w:szCs w:val="24"/>
        </w:rPr>
        <w:t xml:space="preserve">) en conjunto con el Laboratorio de Bioinformática Aplicada (LABAP) y el </w:t>
      </w:r>
      <w:r w:rsidR="00775509">
        <w:rPr>
          <w:rFonts w:cs="Times New Roman"/>
          <w:szCs w:val="24"/>
        </w:rPr>
        <w:lastRenderedPageBreak/>
        <w:t xml:space="preserve">Laboratorio de </w:t>
      </w:r>
      <w:r w:rsidR="00234E2E">
        <w:rPr>
          <w:rFonts w:cs="Times New Roman"/>
          <w:szCs w:val="24"/>
        </w:rPr>
        <w:t>Bioquímica y Biotecnología de Proteínas (LBBP)</w:t>
      </w:r>
      <w:r w:rsidR="00FC28DE">
        <w:rPr>
          <w:rFonts w:cs="Times New Roman"/>
          <w:szCs w:val="24"/>
        </w:rPr>
        <w:t>, de la Escuela de Ciencias Biológicas de la Universidad Nacional</w:t>
      </w:r>
      <w:r w:rsidR="00234E2E">
        <w:rPr>
          <w:rFonts w:cs="Times New Roman"/>
          <w:szCs w:val="24"/>
        </w:rPr>
        <w:t xml:space="preserve">. Además, </w:t>
      </w:r>
      <w:r w:rsidR="003D6389">
        <w:rPr>
          <w:rFonts w:cs="Times New Roman"/>
          <w:szCs w:val="24"/>
        </w:rPr>
        <w:t>contó con la colaboración de recursos, equipos y espacios del Laboratorio de Biotecnología de Docencia</w:t>
      </w:r>
      <w:r w:rsidR="00BE2826">
        <w:rPr>
          <w:rFonts w:cs="Times New Roman"/>
          <w:szCs w:val="24"/>
        </w:rPr>
        <w:t xml:space="preserve"> (</w:t>
      </w:r>
      <w:r w:rsidR="003D4F7D">
        <w:rPr>
          <w:rFonts w:cs="Times New Roman"/>
          <w:szCs w:val="24"/>
        </w:rPr>
        <w:t>LABID</w:t>
      </w:r>
      <w:r w:rsidR="00BE2826">
        <w:rPr>
          <w:rFonts w:cs="Times New Roman"/>
          <w:szCs w:val="24"/>
        </w:rPr>
        <w:t>)</w:t>
      </w:r>
      <w:r w:rsidR="003D6389">
        <w:rPr>
          <w:rFonts w:cs="Times New Roman"/>
          <w:szCs w:val="24"/>
        </w:rPr>
        <w:t>, Laboratorio de</w:t>
      </w:r>
      <w:r w:rsidR="00651198">
        <w:rPr>
          <w:rFonts w:cs="Times New Roman"/>
          <w:szCs w:val="24"/>
        </w:rPr>
        <w:t xml:space="preserve"> </w:t>
      </w:r>
      <w:r w:rsidR="0043747A">
        <w:rPr>
          <w:rFonts w:cs="Times New Roman"/>
          <w:szCs w:val="24"/>
        </w:rPr>
        <w:t xml:space="preserve">Biotecnología </w:t>
      </w:r>
      <w:r w:rsidR="00651198">
        <w:rPr>
          <w:rFonts w:cs="Times New Roman"/>
          <w:szCs w:val="24"/>
        </w:rPr>
        <w:t>Microbi</w:t>
      </w:r>
      <w:r w:rsidR="0043747A">
        <w:rPr>
          <w:rFonts w:cs="Times New Roman"/>
          <w:szCs w:val="24"/>
        </w:rPr>
        <w:t>ana</w:t>
      </w:r>
      <w:r w:rsidR="00A97086">
        <w:rPr>
          <w:rFonts w:cs="Times New Roman"/>
          <w:szCs w:val="24"/>
        </w:rPr>
        <w:t xml:space="preserve"> (LABIMI)</w:t>
      </w:r>
      <w:r w:rsidR="0043747A">
        <w:rPr>
          <w:rFonts w:cs="Times New Roman"/>
          <w:szCs w:val="24"/>
        </w:rPr>
        <w:t xml:space="preserve">, </w:t>
      </w:r>
      <w:r w:rsidR="006D4330" w:rsidRPr="006D4330">
        <w:rPr>
          <w:rFonts w:cs="Times New Roman"/>
          <w:szCs w:val="24"/>
        </w:rPr>
        <w:t>Laboratorio de Análisis Genómico</w:t>
      </w:r>
      <w:r w:rsidR="006D4330">
        <w:rPr>
          <w:rFonts w:cs="Times New Roman"/>
          <w:szCs w:val="24"/>
        </w:rPr>
        <w:t xml:space="preserve"> (LAGEN), </w:t>
      </w:r>
      <w:r w:rsidR="003D4F7D" w:rsidRPr="003D4F7D">
        <w:rPr>
          <w:rFonts w:cs="Times New Roman"/>
          <w:szCs w:val="24"/>
        </w:rPr>
        <w:t>Laboratorio de Biopreparaciones</w:t>
      </w:r>
      <w:r w:rsidR="003D4F7D">
        <w:rPr>
          <w:rFonts w:cs="Times New Roman"/>
          <w:szCs w:val="24"/>
        </w:rPr>
        <w:t xml:space="preserve">, </w:t>
      </w:r>
      <w:r w:rsidR="00651198">
        <w:rPr>
          <w:rFonts w:cs="Times New Roman"/>
          <w:szCs w:val="24"/>
        </w:rPr>
        <w:t>Laboratorio de B</w:t>
      </w:r>
      <w:r w:rsidR="0043747A">
        <w:rPr>
          <w:rFonts w:cs="Times New Roman"/>
          <w:szCs w:val="24"/>
        </w:rPr>
        <w:t>iotecnología de Plantas (LBP)</w:t>
      </w:r>
      <w:r w:rsidR="00AB27B8">
        <w:rPr>
          <w:rFonts w:cs="Times New Roman"/>
          <w:szCs w:val="24"/>
        </w:rPr>
        <w:t>, Laboratorio de Entomología</w:t>
      </w:r>
      <w:r w:rsidR="00357F24">
        <w:rPr>
          <w:rFonts w:cs="Times New Roman"/>
          <w:szCs w:val="24"/>
        </w:rPr>
        <w:t xml:space="preserve"> (LEUNA)</w:t>
      </w:r>
      <w:r w:rsidR="00C91457">
        <w:rPr>
          <w:rFonts w:cs="Times New Roman"/>
          <w:szCs w:val="24"/>
        </w:rPr>
        <w:t xml:space="preserve">, </w:t>
      </w:r>
      <w:r w:rsidR="00C91457" w:rsidRPr="00C91457">
        <w:rPr>
          <w:rFonts w:cs="Times New Roman"/>
          <w:szCs w:val="24"/>
        </w:rPr>
        <w:t>Laboratorio de Biotecnología de Microalgas</w:t>
      </w:r>
      <w:r w:rsidR="00A97086">
        <w:rPr>
          <w:rFonts w:cs="Times New Roman"/>
          <w:szCs w:val="24"/>
        </w:rPr>
        <w:t xml:space="preserve"> (LABMA)</w:t>
      </w:r>
      <w:r w:rsidR="00801B2F">
        <w:rPr>
          <w:rFonts w:cs="Times New Roman"/>
          <w:szCs w:val="24"/>
        </w:rPr>
        <w:t xml:space="preserve"> y</w:t>
      </w:r>
      <w:r w:rsidR="00794105">
        <w:rPr>
          <w:rFonts w:cs="Times New Roman"/>
          <w:szCs w:val="24"/>
        </w:rPr>
        <w:t xml:space="preserve"> </w:t>
      </w:r>
      <w:r w:rsidR="00794105" w:rsidRPr="00794105">
        <w:rPr>
          <w:rFonts w:cs="Times New Roman"/>
          <w:szCs w:val="24"/>
        </w:rPr>
        <w:t>Laboratorio de Histología</w:t>
      </w:r>
      <w:r w:rsidR="00FC28DE">
        <w:rPr>
          <w:rFonts w:cs="Times New Roman"/>
          <w:szCs w:val="24"/>
        </w:rPr>
        <w:t>, de la Escuela de Ciencias Biológicas</w:t>
      </w:r>
      <w:r w:rsidR="008C5494">
        <w:rPr>
          <w:rFonts w:cs="Times New Roman"/>
          <w:szCs w:val="24"/>
        </w:rPr>
        <w:t xml:space="preserve"> </w:t>
      </w:r>
      <w:r w:rsidR="00113EE0">
        <w:rPr>
          <w:rFonts w:cs="Times New Roman"/>
          <w:szCs w:val="24"/>
        </w:rPr>
        <w:t>y el</w:t>
      </w:r>
      <w:r w:rsidR="008E24BE">
        <w:rPr>
          <w:rFonts w:cs="Times New Roman"/>
          <w:szCs w:val="24"/>
        </w:rPr>
        <w:t xml:space="preserve"> </w:t>
      </w:r>
      <w:r w:rsidR="00402D8B" w:rsidRPr="007F11D5">
        <w:rPr>
          <w:color w:val="000000"/>
        </w:rPr>
        <w:t>Laboratorio de Investigación y Desarrollo en Tecnología Química (LIDETEQ)</w:t>
      </w:r>
      <w:r w:rsidR="00402D8B">
        <w:rPr>
          <w:color w:val="000000"/>
        </w:rPr>
        <w:t xml:space="preserve"> </w:t>
      </w:r>
      <w:r w:rsidR="00FC28DE">
        <w:rPr>
          <w:rFonts w:cs="Times New Roman"/>
          <w:szCs w:val="24"/>
        </w:rPr>
        <w:t>de</w:t>
      </w:r>
      <w:r w:rsidR="002E0FDE">
        <w:rPr>
          <w:rFonts w:cs="Times New Roman"/>
          <w:szCs w:val="24"/>
        </w:rPr>
        <w:t xml:space="preserve"> la Escuela de Química de la Universidad Nacional.</w:t>
      </w:r>
    </w:p>
    <w:p w14:paraId="0092CD3E" w14:textId="77777777" w:rsidR="00A66343" w:rsidRDefault="00A66343" w:rsidP="00A66343">
      <w:pPr>
        <w:spacing w:after="0"/>
        <w:ind w:firstLine="708"/>
        <w:rPr>
          <w:rFonts w:cs="Times New Roman"/>
          <w:szCs w:val="24"/>
        </w:rPr>
      </w:pPr>
    </w:p>
    <w:p w14:paraId="1A521EE5" w14:textId="1ED4FB0E" w:rsidR="00D40673" w:rsidRDefault="002803FB" w:rsidP="001A4C7A">
      <w:pPr>
        <w:pStyle w:val="NormalWeb"/>
        <w:keepNext/>
        <w:numPr>
          <w:ilvl w:val="1"/>
          <w:numId w:val="14"/>
        </w:numPr>
        <w:spacing w:before="0" w:beforeAutospacing="0" w:after="0" w:afterAutospacing="0" w:line="360" w:lineRule="auto"/>
        <w:jc w:val="left"/>
        <w:rPr>
          <w:rStyle w:val="Titulo2Car0"/>
        </w:rPr>
      </w:pPr>
      <w:bookmarkStart w:id="57" w:name="_Toc140204068"/>
      <w:r>
        <w:rPr>
          <w:rStyle w:val="Titulo2Car0"/>
        </w:rPr>
        <w:t>R</w:t>
      </w:r>
      <w:r w:rsidR="00371B14" w:rsidRPr="00371B14">
        <w:rPr>
          <w:rStyle w:val="Titulo2Car0"/>
        </w:rPr>
        <w:t>ecolección de muestras</w:t>
      </w:r>
      <w:bookmarkEnd w:id="57"/>
    </w:p>
    <w:p w14:paraId="45BBC799" w14:textId="30C47CE1" w:rsidR="00DC6E9A" w:rsidRDefault="00F84D8F" w:rsidP="00A66343">
      <w:pPr>
        <w:pStyle w:val="NormalWeb"/>
        <w:keepNext/>
        <w:spacing w:before="0" w:beforeAutospacing="0" w:after="240" w:afterAutospacing="0" w:line="360" w:lineRule="auto"/>
        <w:ind w:firstLine="708"/>
        <w:rPr>
          <w:color w:val="000000"/>
        </w:rPr>
      </w:pPr>
      <w:r>
        <w:rPr>
          <w:color w:val="000000"/>
        </w:rPr>
        <w:t xml:space="preserve">En </w:t>
      </w:r>
      <w:r w:rsidR="0007400B">
        <w:rPr>
          <w:color w:val="000000"/>
        </w:rPr>
        <w:t>agosto del año 2020</w:t>
      </w:r>
      <w:r>
        <w:rPr>
          <w:color w:val="000000"/>
        </w:rPr>
        <w:t xml:space="preserve"> se </w:t>
      </w:r>
      <w:r w:rsidR="00371B14">
        <w:rPr>
          <w:color w:val="000000"/>
        </w:rPr>
        <w:t xml:space="preserve">recolectaron muestras de </w:t>
      </w:r>
      <w:r w:rsidR="00F26217">
        <w:rPr>
          <w:color w:val="000000"/>
        </w:rPr>
        <w:t xml:space="preserve">sedimento </w:t>
      </w:r>
      <w:r w:rsidR="00371B14">
        <w:rPr>
          <w:color w:val="000000"/>
        </w:rPr>
        <w:t>arenoso y fangoso en el manglar de Puntarenas</w:t>
      </w:r>
      <w:r w:rsidR="00D40673">
        <w:rPr>
          <w:color w:val="000000"/>
        </w:rPr>
        <w:t>, Costa Rica</w:t>
      </w:r>
      <w:r w:rsidR="00371B14">
        <w:rPr>
          <w:color w:val="000000"/>
        </w:rPr>
        <w:t xml:space="preserve"> (Figura </w:t>
      </w:r>
      <w:r w:rsidR="00A04E48">
        <w:rPr>
          <w:color w:val="000000"/>
        </w:rPr>
        <w:t>1</w:t>
      </w:r>
      <w:r w:rsidR="00371B14">
        <w:rPr>
          <w:color w:val="000000"/>
        </w:rPr>
        <w:t>)</w:t>
      </w:r>
      <w:r w:rsidR="00F26217">
        <w:rPr>
          <w:color w:val="000000"/>
        </w:rPr>
        <w:t xml:space="preserve"> y se preservaron a </w:t>
      </w:r>
      <w:r w:rsidR="0038762F">
        <w:rPr>
          <w:rFonts w:ascii="Symbol" w:eastAsia="Symbol" w:hAnsi="Symbol" w:cs="Symbol"/>
          <w:color w:val="000000"/>
        </w:rPr>
        <w:t>~</w:t>
      </w:r>
      <w:r w:rsidR="00F26217">
        <w:rPr>
          <w:color w:val="000000"/>
        </w:rPr>
        <w:t>4 ºC</w:t>
      </w:r>
      <w:r w:rsidR="00371B14">
        <w:rPr>
          <w:color w:val="000000"/>
        </w:rPr>
        <w:t xml:space="preserve"> hasta su </w:t>
      </w:r>
      <w:r w:rsidR="001D0F9A">
        <w:rPr>
          <w:color w:val="000000"/>
        </w:rPr>
        <w:t>procesamiento</w:t>
      </w:r>
      <w:r w:rsidR="00371B14">
        <w:rPr>
          <w:color w:val="000000"/>
        </w:rPr>
        <w:t>.</w:t>
      </w:r>
    </w:p>
    <w:p w14:paraId="2B6BF47C" w14:textId="77777777" w:rsidR="00F120AA" w:rsidRDefault="00E2072A" w:rsidP="00F120AA">
      <w:pPr>
        <w:pStyle w:val="NormalWeb"/>
        <w:keepNext/>
        <w:spacing w:before="0" w:beforeAutospacing="0" w:after="0" w:afterAutospacing="0" w:line="276" w:lineRule="auto"/>
        <w:jc w:val="center"/>
      </w:pPr>
      <w:r>
        <w:rPr>
          <w:noProof/>
          <w:color w:val="000000"/>
        </w:rPr>
        <w:drawing>
          <wp:inline distT="0" distB="0" distL="0" distR="0" wp14:anchorId="53344122" wp14:editId="03C2EBA6">
            <wp:extent cx="5667375" cy="4007731"/>
            <wp:effectExtent l="19050" t="19050" r="9525" b="12065"/>
            <wp:docPr id="1" name="Imagen 1" descr="Diagrama,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 Mapa&#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87429" cy="4092628"/>
                    </a:xfrm>
                    <a:prstGeom prst="rect">
                      <a:avLst/>
                    </a:prstGeom>
                    <a:ln>
                      <a:solidFill>
                        <a:schemeClr val="tx1"/>
                      </a:solidFill>
                    </a:ln>
                  </pic:spPr>
                </pic:pic>
              </a:graphicData>
            </a:graphic>
          </wp:inline>
        </w:drawing>
      </w:r>
    </w:p>
    <w:p w14:paraId="0804B8A4" w14:textId="6CC0AC15" w:rsidR="000F7DB8" w:rsidRPr="00F120AA" w:rsidRDefault="00F120AA" w:rsidP="00F120AA">
      <w:pPr>
        <w:pStyle w:val="Descripcin"/>
        <w:jc w:val="center"/>
        <w:rPr>
          <w:b/>
          <w:bCs/>
          <w:i w:val="0"/>
          <w:iCs w:val="0"/>
          <w:color w:val="auto"/>
          <w:sz w:val="20"/>
          <w:szCs w:val="20"/>
        </w:rPr>
      </w:pPr>
      <w:bookmarkStart w:id="58" w:name="_Toc138131528"/>
      <w:bookmarkStart w:id="59" w:name="_Toc138574963"/>
      <w:bookmarkStart w:id="60" w:name="_Toc142272970"/>
      <w:r w:rsidRPr="00F120AA">
        <w:rPr>
          <w:b/>
          <w:bCs/>
          <w:i w:val="0"/>
          <w:iCs w:val="0"/>
          <w:color w:val="auto"/>
          <w:sz w:val="20"/>
          <w:szCs w:val="20"/>
        </w:rPr>
        <w:t xml:space="preserve">Figura  </w:t>
      </w:r>
      <w:r w:rsidRPr="00F120AA">
        <w:rPr>
          <w:b/>
          <w:bCs/>
          <w:i w:val="0"/>
          <w:iCs w:val="0"/>
          <w:color w:val="auto"/>
          <w:sz w:val="20"/>
          <w:szCs w:val="20"/>
        </w:rPr>
        <w:fldChar w:fldCharType="begin"/>
      </w:r>
      <w:r w:rsidRPr="00F120AA">
        <w:rPr>
          <w:b/>
          <w:bCs/>
          <w:i w:val="0"/>
          <w:iCs w:val="0"/>
          <w:color w:val="auto"/>
          <w:sz w:val="20"/>
          <w:szCs w:val="20"/>
        </w:rPr>
        <w:instrText xml:space="preserve"> SEQ Figura_ \* ARABIC </w:instrText>
      </w:r>
      <w:r w:rsidRPr="00F120AA">
        <w:rPr>
          <w:b/>
          <w:bCs/>
          <w:i w:val="0"/>
          <w:iCs w:val="0"/>
          <w:color w:val="auto"/>
          <w:sz w:val="20"/>
          <w:szCs w:val="20"/>
        </w:rPr>
        <w:fldChar w:fldCharType="separate"/>
      </w:r>
      <w:r w:rsidR="00915F20">
        <w:rPr>
          <w:b/>
          <w:bCs/>
          <w:i w:val="0"/>
          <w:iCs w:val="0"/>
          <w:noProof/>
          <w:color w:val="auto"/>
          <w:sz w:val="20"/>
          <w:szCs w:val="20"/>
        </w:rPr>
        <w:t>1</w:t>
      </w:r>
      <w:r w:rsidRPr="00F120AA">
        <w:rPr>
          <w:b/>
          <w:bCs/>
          <w:i w:val="0"/>
          <w:iCs w:val="0"/>
          <w:color w:val="auto"/>
          <w:sz w:val="20"/>
          <w:szCs w:val="20"/>
        </w:rPr>
        <w:fldChar w:fldCharType="end"/>
      </w:r>
      <w:r>
        <w:rPr>
          <w:b/>
          <w:bCs/>
          <w:i w:val="0"/>
          <w:iCs w:val="0"/>
          <w:color w:val="auto"/>
          <w:sz w:val="20"/>
          <w:szCs w:val="20"/>
        </w:rPr>
        <w:t xml:space="preserve">. </w:t>
      </w:r>
      <w:r w:rsidRPr="00367F1D">
        <w:rPr>
          <w:rFonts w:eastAsiaTheme="majorEastAsia"/>
          <w:bCs/>
          <w:i w:val="0"/>
          <w:iCs w:val="0"/>
          <w:color w:val="000000" w:themeColor="text1"/>
          <w:sz w:val="20"/>
          <w:szCs w:val="20"/>
        </w:rPr>
        <w:t xml:space="preserve">Ubicación geográfica del </w:t>
      </w:r>
      <w:r>
        <w:rPr>
          <w:rFonts w:eastAsiaTheme="majorEastAsia"/>
          <w:bCs/>
          <w:i w:val="0"/>
          <w:iCs w:val="0"/>
          <w:color w:val="000000" w:themeColor="text1"/>
          <w:sz w:val="20"/>
          <w:szCs w:val="20"/>
        </w:rPr>
        <w:t>sitio</w:t>
      </w:r>
      <w:r w:rsidRPr="00367F1D">
        <w:rPr>
          <w:rFonts w:eastAsiaTheme="majorEastAsia"/>
          <w:bCs/>
          <w:i w:val="0"/>
          <w:iCs w:val="0"/>
          <w:color w:val="000000" w:themeColor="text1"/>
          <w:sz w:val="20"/>
          <w:szCs w:val="20"/>
        </w:rPr>
        <w:t xml:space="preserve"> de recolección de las muestras de sedimentos del manglar de Puntarenas</w:t>
      </w:r>
      <w:r>
        <w:rPr>
          <w:rFonts w:eastAsiaTheme="majorEastAsia"/>
          <w:bCs/>
          <w:i w:val="0"/>
          <w:iCs w:val="0"/>
          <w:color w:val="000000" w:themeColor="text1"/>
          <w:sz w:val="20"/>
          <w:szCs w:val="20"/>
        </w:rPr>
        <w:t>, Costa Rica,</w:t>
      </w:r>
      <w:r w:rsidRPr="00367F1D">
        <w:rPr>
          <w:rFonts w:eastAsiaTheme="majorEastAsia"/>
          <w:bCs/>
          <w:i w:val="0"/>
          <w:iCs w:val="0"/>
          <w:color w:val="000000" w:themeColor="text1"/>
          <w:sz w:val="20"/>
          <w:szCs w:val="20"/>
        </w:rPr>
        <w:t xml:space="preserve"> utilizadas para el aislamiento de</w:t>
      </w:r>
      <w:r>
        <w:rPr>
          <w:rFonts w:eastAsiaTheme="majorEastAsia"/>
          <w:bCs/>
          <w:i w:val="0"/>
          <w:iCs w:val="0"/>
          <w:color w:val="000000" w:themeColor="text1"/>
          <w:sz w:val="20"/>
          <w:szCs w:val="20"/>
        </w:rPr>
        <w:t xml:space="preserve"> cepas de</w:t>
      </w:r>
      <w:r w:rsidRPr="00367F1D">
        <w:rPr>
          <w:rFonts w:eastAsiaTheme="majorEastAsia"/>
          <w:bCs/>
          <w:i w:val="0"/>
          <w:iCs w:val="0"/>
          <w:color w:val="000000" w:themeColor="text1"/>
          <w:sz w:val="20"/>
          <w:szCs w:val="20"/>
        </w:rPr>
        <w:t xml:space="preserve"> hongos</w:t>
      </w:r>
      <w:r>
        <w:rPr>
          <w:rFonts w:eastAsiaTheme="majorEastAsia"/>
          <w:bCs/>
          <w:i w:val="0"/>
          <w:iCs w:val="0"/>
          <w:color w:val="000000" w:themeColor="text1"/>
          <w:sz w:val="20"/>
          <w:szCs w:val="20"/>
        </w:rPr>
        <w:t xml:space="preserve"> marinos</w:t>
      </w:r>
      <w:r w:rsidRPr="00367F1D">
        <w:rPr>
          <w:rFonts w:eastAsiaTheme="majorEastAsia"/>
          <w:bCs/>
          <w:color w:val="000000" w:themeColor="text1"/>
          <w:sz w:val="20"/>
          <w:szCs w:val="20"/>
        </w:rPr>
        <w:t>.</w:t>
      </w:r>
      <w:bookmarkEnd w:id="58"/>
      <w:bookmarkEnd w:id="59"/>
      <w:bookmarkEnd w:id="60"/>
    </w:p>
    <w:p w14:paraId="5B2EB7AA" w14:textId="77777777" w:rsidR="00C40984" w:rsidRPr="002E3317" w:rsidRDefault="00C40984" w:rsidP="00C40984">
      <w:pPr>
        <w:pStyle w:val="Titulo20"/>
        <w:spacing w:after="0"/>
        <w:ind w:firstLine="708"/>
        <w:rPr>
          <w:lang w:eastAsia="es-CR"/>
        </w:rPr>
      </w:pPr>
      <w:bookmarkStart w:id="61" w:name="_Toc140204069"/>
      <w:bookmarkStart w:id="62" w:name="_Toc24018772"/>
      <w:bookmarkStart w:id="63" w:name="_Toc24018773"/>
      <w:r>
        <w:rPr>
          <w:lang w:eastAsia="es-CR"/>
        </w:rPr>
        <w:lastRenderedPageBreak/>
        <w:t xml:space="preserve">3.2 </w:t>
      </w:r>
      <w:r w:rsidRPr="002E3317">
        <w:rPr>
          <w:lang w:eastAsia="es-CR"/>
        </w:rPr>
        <w:t>Aislamiento</w:t>
      </w:r>
      <w:bookmarkEnd w:id="61"/>
      <w:r w:rsidRPr="002E3317">
        <w:rPr>
          <w:lang w:eastAsia="es-CR"/>
        </w:rPr>
        <w:t xml:space="preserve"> </w:t>
      </w:r>
      <w:bookmarkEnd w:id="62"/>
    </w:p>
    <w:p w14:paraId="2A48CF93" w14:textId="3AB75F4C" w:rsidR="00C40984" w:rsidRDefault="00C40984" w:rsidP="00C40984">
      <w:pPr>
        <w:pStyle w:val="NormalWeb"/>
        <w:spacing w:before="0" w:beforeAutospacing="0" w:after="0" w:afterAutospacing="0" w:line="360" w:lineRule="auto"/>
        <w:rPr>
          <w:color w:val="000000"/>
        </w:rPr>
      </w:pPr>
      <w:r w:rsidRPr="00352D6C">
        <w:rPr>
          <w:b/>
          <w:bCs/>
          <w:color w:val="000000"/>
        </w:rPr>
        <w:tab/>
      </w:r>
      <w:r>
        <w:rPr>
          <w:color w:val="000000"/>
        </w:rPr>
        <w:t>Diez</w:t>
      </w:r>
      <w:r w:rsidRPr="000F7DB8">
        <w:rPr>
          <w:color w:val="000000"/>
        </w:rPr>
        <w:t xml:space="preserve"> gramos de </w:t>
      </w:r>
      <w:r>
        <w:rPr>
          <w:color w:val="000000"/>
        </w:rPr>
        <w:t>las</w:t>
      </w:r>
      <w:r w:rsidRPr="000F7DB8">
        <w:rPr>
          <w:color w:val="000000"/>
        </w:rPr>
        <w:t xml:space="preserve"> muestra</w:t>
      </w:r>
      <w:r>
        <w:rPr>
          <w:color w:val="000000"/>
        </w:rPr>
        <w:t>s</w:t>
      </w:r>
      <w:r w:rsidRPr="000F7DB8">
        <w:rPr>
          <w:color w:val="000000"/>
        </w:rPr>
        <w:t xml:space="preserve"> recolectada</w:t>
      </w:r>
      <w:r>
        <w:rPr>
          <w:color w:val="000000"/>
        </w:rPr>
        <w:t>s</w:t>
      </w:r>
      <w:r w:rsidRPr="000F7DB8">
        <w:rPr>
          <w:color w:val="000000"/>
        </w:rPr>
        <w:t xml:space="preserve"> se </w:t>
      </w:r>
      <w:r>
        <w:rPr>
          <w:color w:val="000000"/>
        </w:rPr>
        <w:t>mezclaron,</w:t>
      </w:r>
      <w:r w:rsidRPr="000F7DB8">
        <w:rPr>
          <w:color w:val="000000"/>
        </w:rPr>
        <w:t xml:space="preserve"> por duplicado</w:t>
      </w:r>
      <w:r>
        <w:rPr>
          <w:color w:val="000000"/>
        </w:rPr>
        <w:t>,</w:t>
      </w:r>
      <w:r w:rsidRPr="000F7DB8">
        <w:rPr>
          <w:color w:val="000000"/>
        </w:rPr>
        <w:t xml:space="preserve"> con 90 mL de agua de mar filtrada</w:t>
      </w:r>
      <w:r>
        <w:rPr>
          <w:color w:val="000000"/>
        </w:rPr>
        <w:t xml:space="preserve"> (5 </w:t>
      </w:r>
      <w:r>
        <w:rPr>
          <w:rFonts w:ascii="Symbol" w:eastAsia="Symbol" w:hAnsi="Symbol" w:cs="Symbol"/>
          <w:color w:val="000000"/>
        </w:rPr>
        <w:t>m</w:t>
      </w:r>
      <w:r>
        <w:rPr>
          <w:color w:val="000000"/>
        </w:rPr>
        <w:t>m)</w:t>
      </w:r>
      <w:r w:rsidRPr="000F7DB8">
        <w:rPr>
          <w:color w:val="000000"/>
        </w:rPr>
        <w:t xml:space="preserve"> estéril</w:t>
      </w:r>
      <w:r>
        <w:rPr>
          <w:color w:val="000000"/>
        </w:rPr>
        <w:t xml:space="preserve"> y</w:t>
      </w:r>
      <w:r w:rsidRPr="000F7DB8">
        <w:rPr>
          <w:color w:val="000000"/>
        </w:rPr>
        <w:t xml:space="preserve"> se agitaron por 20 min a 150 rpm a temperatura ambiente.</w:t>
      </w:r>
      <w:r>
        <w:rPr>
          <w:color w:val="000000"/>
        </w:rPr>
        <w:t xml:space="preserve"> </w:t>
      </w:r>
      <w:r w:rsidRPr="000F7DB8">
        <w:rPr>
          <w:color w:val="000000"/>
        </w:rPr>
        <w:t>Seguidamente se realizaron diluciones seriadas hasta 10</w:t>
      </w:r>
      <w:r w:rsidRPr="00FB7532">
        <w:rPr>
          <w:color w:val="000000"/>
          <w:vertAlign w:val="superscript"/>
        </w:rPr>
        <w:t>-2</w:t>
      </w:r>
      <w:r w:rsidRPr="00FB7532">
        <w:rPr>
          <w:color w:val="000000"/>
          <w:sz w:val="44"/>
          <w:szCs w:val="44"/>
        </w:rPr>
        <w:t xml:space="preserve"> </w:t>
      </w:r>
      <w:r w:rsidRPr="000F7DB8">
        <w:rPr>
          <w:color w:val="000000"/>
        </w:rPr>
        <w:t xml:space="preserve">en agua de mar filtrada estéril. De cada dilución se inocularon 100 µL por esparcido, y por duplicado, en medio </w:t>
      </w:r>
      <w:r>
        <w:rPr>
          <w:color w:val="000000"/>
        </w:rPr>
        <w:t xml:space="preserve">Agar </w:t>
      </w:r>
      <w:r w:rsidRPr="000F7DB8">
        <w:rPr>
          <w:color w:val="000000"/>
        </w:rPr>
        <w:t>Papa Dextrosa (BD®) y YPG (10 g/L de glucosa, 5 g/L de peptona, 5 g/L de extracto de levadura y 15g/L de agar)</w:t>
      </w:r>
      <w:r>
        <w:rPr>
          <w:color w:val="000000"/>
        </w:rPr>
        <w:t>, ambos</w:t>
      </w:r>
      <w:r w:rsidRPr="000F7DB8">
        <w:rPr>
          <w:color w:val="000000"/>
        </w:rPr>
        <w:t xml:space="preserve"> suplementados con 0.1 g/mL de </w:t>
      </w:r>
      <w:r>
        <w:rPr>
          <w:color w:val="000000"/>
        </w:rPr>
        <w:t>p</w:t>
      </w:r>
      <w:r w:rsidRPr="000F7DB8">
        <w:rPr>
          <w:color w:val="000000"/>
        </w:rPr>
        <w:t>enicilina-estreptomicina</w:t>
      </w:r>
      <w:r>
        <w:rPr>
          <w:color w:val="000000"/>
        </w:rPr>
        <w:t>. Los cultivos</w:t>
      </w:r>
      <w:r w:rsidRPr="000F7DB8">
        <w:rPr>
          <w:color w:val="000000"/>
        </w:rPr>
        <w:t xml:space="preserve"> se incubaron a 28 °C</w:t>
      </w:r>
      <w:r>
        <w:rPr>
          <w:color w:val="000000"/>
        </w:rPr>
        <w:t xml:space="preserve"> por </w:t>
      </w:r>
      <w:r w:rsidRPr="000F7DB8">
        <w:rPr>
          <w:color w:val="000000"/>
        </w:rPr>
        <w:t>22 días</w:t>
      </w:r>
      <w:r>
        <w:rPr>
          <w:color w:val="000000"/>
        </w:rPr>
        <w:t>. Durante este periodo se monitoreó el crecimiento de colonias fúngicas y se aislaron mediante cultivos sucesivos las colonias que presentaron diferente morfología</w:t>
      </w:r>
      <w:r w:rsidRPr="000F7DB8">
        <w:rPr>
          <w:color w:val="000000"/>
        </w:rPr>
        <w:t>.</w:t>
      </w:r>
      <w:r>
        <w:rPr>
          <w:color w:val="000000"/>
        </w:rPr>
        <w:t xml:space="preserve">  Los </w:t>
      </w:r>
      <w:r w:rsidRPr="000F7DB8">
        <w:rPr>
          <w:color w:val="000000"/>
        </w:rPr>
        <w:t>aislamiento</w:t>
      </w:r>
      <w:r>
        <w:rPr>
          <w:color w:val="000000"/>
        </w:rPr>
        <w:t>s</w:t>
      </w:r>
      <w:r w:rsidRPr="000F7DB8">
        <w:rPr>
          <w:color w:val="000000"/>
        </w:rPr>
        <w:t xml:space="preserve"> </w:t>
      </w:r>
      <w:r>
        <w:rPr>
          <w:color w:val="000000"/>
        </w:rPr>
        <w:t>se criopreservaron con 10% de glicerol</w:t>
      </w:r>
      <w:r w:rsidRPr="000F7DB8">
        <w:rPr>
          <w:color w:val="000000"/>
        </w:rPr>
        <w:t xml:space="preserve"> a -80</w:t>
      </w:r>
      <w:r>
        <w:rPr>
          <w:color w:val="000000"/>
        </w:rPr>
        <w:t xml:space="preserve"> ºC</w:t>
      </w:r>
      <w:r w:rsidRPr="000F7DB8">
        <w:rPr>
          <w:color w:val="000000"/>
        </w:rPr>
        <w:t xml:space="preserve"> en el Laboratorio de Microbiología Marina</w:t>
      </w:r>
      <w:r>
        <w:rPr>
          <w:color w:val="000000"/>
        </w:rPr>
        <w:t xml:space="preserve"> (LaMMar). </w:t>
      </w:r>
    </w:p>
    <w:p w14:paraId="6FEFEB88" w14:textId="77777777" w:rsidR="00770E2C" w:rsidRPr="00F83C6D" w:rsidRDefault="00770E2C" w:rsidP="00770E2C">
      <w:pPr>
        <w:spacing w:after="0"/>
        <w:rPr>
          <w:lang w:eastAsia="es-CR"/>
        </w:rPr>
      </w:pPr>
    </w:p>
    <w:p w14:paraId="6B74881B" w14:textId="591D3D23" w:rsidR="00785CFC" w:rsidRPr="00360C48" w:rsidRDefault="00F120AA" w:rsidP="00785CFC">
      <w:pPr>
        <w:pStyle w:val="Titulo20"/>
        <w:numPr>
          <w:ilvl w:val="1"/>
          <w:numId w:val="19"/>
        </w:numPr>
        <w:spacing w:after="0"/>
        <w:rPr>
          <w:rFonts w:eastAsia="Times New Roman"/>
          <w:lang w:eastAsia="es-CR"/>
        </w:rPr>
      </w:pPr>
      <w:bookmarkStart w:id="64" w:name="_Toc140204070"/>
      <w:r>
        <w:rPr>
          <w:rFonts w:eastAsia="Times New Roman"/>
          <w:lang w:eastAsia="es-CR"/>
        </w:rPr>
        <w:t>Caracterización morfológica</w:t>
      </w:r>
      <w:bookmarkEnd w:id="64"/>
      <w:r>
        <w:rPr>
          <w:rFonts w:eastAsia="Times New Roman"/>
          <w:lang w:eastAsia="es-CR"/>
        </w:rPr>
        <w:t xml:space="preserve"> </w:t>
      </w:r>
    </w:p>
    <w:p w14:paraId="1ED9252E" w14:textId="72D9A18C" w:rsidR="00F120AA" w:rsidRDefault="00F120AA" w:rsidP="00785CFC">
      <w:pPr>
        <w:spacing w:after="0"/>
        <w:ind w:firstLine="708"/>
        <w:rPr>
          <w:rFonts w:eastAsia="Times New Roman" w:cs="Times New Roman"/>
          <w:color w:val="000000"/>
          <w:szCs w:val="24"/>
          <w:lang w:eastAsia="es-CR"/>
        </w:rPr>
      </w:pPr>
      <w:r>
        <w:rPr>
          <w:lang w:eastAsia="es-CR"/>
        </w:rPr>
        <w:t xml:space="preserve">Para la caracterización morfológica de los hongos marinos aislados, se observaron sus características macroscópicas como color, textura, elevación, forma de la colonia y bordes, así como la producción de exudados, liberación de pigmentos al medio de cultivo y producción de otras estructuras características como conidiomas. La caracterización microscópica </w:t>
      </w:r>
      <w:r>
        <w:rPr>
          <w:rFonts w:eastAsia="Times New Roman" w:cs="Times New Roman"/>
          <w:color w:val="000000"/>
          <w:szCs w:val="24"/>
          <w:lang w:eastAsia="es-CR"/>
        </w:rPr>
        <w:t xml:space="preserve">de conidióforos, </w:t>
      </w:r>
      <w:r w:rsidR="0050641C">
        <w:rPr>
          <w:rFonts w:eastAsia="Times New Roman" w:cs="Times New Roman"/>
          <w:color w:val="000000"/>
          <w:szCs w:val="24"/>
          <w:lang w:eastAsia="es-CR"/>
        </w:rPr>
        <w:t>esporas</w:t>
      </w:r>
      <w:r>
        <w:rPr>
          <w:rFonts w:eastAsia="Times New Roman" w:cs="Times New Roman"/>
          <w:color w:val="000000"/>
          <w:szCs w:val="24"/>
          <w:lang w:eastAsia="es-CR"/>
        </w:rPr>
        <w:t xml:space="preserve">, hifas y otras estructuras que permitan identificación, se </w:t>
      </w:r>
      <w:r>
        <w:rPr>
          <w:lang w:eastAsia="es-CR"/>
        </w:rPr>
        <w:t xml:space="preserve">realizó con el </w:t>
      </w:r>
      <w:r w:rsidRPr="002B4E8B">
        <w:rPr>
          <w:rFonts w:eastAsia="Times New Roman" w:cs="Times New Roman"/>
          <w:color w:val="000000"/>
          <w:szCs w:val="24"/>
          <w:lang w:eastAsia="es-CR"/>
        </w:rPr>
        <w:t>microscopio Leica</w:t>
      </w:r>
      <w:r>
        <w:rPr>
          <w:rFonts w:eastAsia="Times New Roman" w:cs="Times New Roman"/>
          <w:color w:val="000000"/>
          <w:szCs w:val="24"/>
          <w:lang w:eastAsia="es-CR"/>
        </w:rPr>
        <w:t xml:space="preserve"> DMS300 y el software LAS V4.13, a partir de cultivos en PDA y medio Extracto de Malta (MEA) entre 7-30 días.  El tamaño de las conidias se determinó con el software ImageJ.</w:t>
      </w:r>
    </w:p>
    <w:p w14:paraId="39477D85" w14:textId="77777777" w:rsidR="00785CFC" w:rsidRPr="00785CFC" w:rsidRDefault="00785CFC" w:rsidP="00785CFC">
      <w:pPr>
        <w:spacing w:after="0"/>
        <w:ind w:firstLine="708"/>
        <w:rPr>
          <w:rFonts w:eastAsia="Times New Roman" w:cs="Times New Roman"/>
          <w:color w:val="000000"/>
          <w:szCs w:val="24"/>
          <w:lang w:eastAsia="es-CR"/>
        </w:rPr>
      </w:pPr>
    </w:p>
    <w:p w14:paraId="318222CE" w14:textId="2F8A81EA" w:rsidR="000F7DB8" w:rsidRPr="000F7DB8" w:rsidRDefault="000F7DB8" w:rsidP="000778E5">
      <w:pPr>
        <w:pStyle w:val="Titulo20"/>
        <w:numPr>
          <w:ilvl w:val="1"/>
          <w:numId w:val="19"/>
        </w:numPr>
        <w:spacing w:after="0"/>
        <w:rPr>
          <w:rFonts w:eastAsia="Times New Roman"/>
          <w:lang w:eastAsia="es-CR"/>
        </w:rPr>
      </w:pPr>
      <w:bookmarkStart w:id="65" w:name="_Toc140204071"/>
      <w:r w:rsidRPr="000F7DB8">
        <w:rPr>
          <w:rFonts w:eastAsia="Times New Roman"/>
          <w:lang w:eastAsia="es-CR"/>
        </w:rPr>
        <w:t>Selección preliminar</w:t>
      </w:r>
      <w:bookmarkEnd w:id="65"/>
      <w:r w:rsidRPr="000F7DB8">
        <w:rPr>
          <w:rFonts w:eastAsia="Times New Roman"/>
          <w:lang w:eastAsia="es-CR"/>
        </w:rPr>
        <w:t xml:space="preserve"> </w:t>
      </w:r>
      <w:r w:rsidR="00F30566">
        <w:rPr>
          <w:rFonts w:eastAsia="Times New Roman"/>
          <w:lang w:eastAsia="es-CR"/>
        </w:rPr>
        <w:t>de los hongos</w:t>
      </w:r>
    </w:p>
    <w:p w14:paraId="687DFC7E" w14:textId="2E5C5B2D" w:rsidR="000F7DB8" w:rsidRPr="000F7DB8" w:rsidRDefault="000F7DB8" w:rsidP="00360C48">
      <w:pPr>
        <w:spacing w:after="0"/>
        <w:rPr>
          <w:rFonts w:eastAsia="Times New Roman" w:cs="Times New Roman"/>
          <w:szCs w:val="24"/>
          <w:lang w:eastAsia="es-CR"/>
        </w:rPr>
      </w:pPr>
      <w:r w:rsidRPr="000F7DB8">
        <w:rPr>
          <w:rFonts w:eastAsia="Times New Roman" w:cs="Times New Roman"/>
          <w:szCs w:val="24"/>
          <w:lang w:eastAsia="es-CR"/>
        </w:rPr>
        <w:t xml:space="preserve">      </w:t>
      </w:r>
      <w:r w:rsidR="00847857">
        <w:rPr>
          <w:rFonts w:eastAsia="Times New Roman" w:cs="Times New Roman"/>
          <w:szCs w:val="24"/>
          <w:lang w:eastAsia="es-CR"/>
        </w:rPr>
        <w:t>Los ensayos para</w:t>
      </w:r>
      <w:r w:rsidRPr="000F7DB8">
        <w:rPr>
          <w:rFonts w:eastAsia="Times New Roman" w:cs="Times New Roman"/>
          <w:szCs w:val="24"/>
          <w:lang w:eastAsia="es-CR"/>
        </w:rPr>
        <w:t xml:space="preserve"> selecci</w:t>
      </w:r>
      <w:r w:rsidR="00847857">
        <w:rPr>
          <w:rFonts w:eastAsia="Times New Roman" w:cs="Times New Roman"/>
          <w:szCs w:val="24"/>
          <w:lang w:eastAsia="es-CR"/>
        </w:rPr>
        <w:t xml:space="preserve">onar </w:t>
      </w:r>
      <w:r w:rsidRPr="000F7DB8">
        <w:rPr>
          <w:rFonts w:eastAsia="Times New Roman" w:cs="Times New Roman"/>
          <w:szCs w:val="24"/>
          <w:lang w:eastAsia="es-CR"/>
        </w:rPr>
        <w:t xml:space="preserve">los hongos con actividad antimicrobiana se </w:t>
      </w:r>
      <w:r w:rsidR="001B2D06">
        <w:rPr>
          <w:rFonts w:eastAsia="Times New Roman" w:cs="Times New Roman"/>
          <w:szCs w:val="24"/>
          <w:lang w:eastAsia="es-CR"/>
        </w:rPr>
        <w:t xml:space="preserve">realizaron </w:t>
      </w:r>
      <w:r w:rsidR="00DF050C">
        <w:rPr>
          <w:rFonts w:eastAsia="Times New Roman" w:cs="Times New Roman"/>
          <w:szCs w:val="24"/>
          <w:lang w:eastAsia="es-CR"/>
        </w:rPr>
        <w:t>utilizando</w:t>
      </w:r>
      <w:r w:rsidR="001B2D06">
        <w:rPr>
          <w:rFonts w:eastAsia="Times New Roman" w:cs="Times New Roman"/>
          <w:szCs w:val="24"/>
          <w:lang w:eastAsia="es-CR"/>
        </w:rPr>
        <w:t xml:space="preserve"> </w:t>
      </w:r>
      <w:r w:rsidR="0096358D">
        <w:rPr>
          <w:rFonts w:eastAsia="Times New Roman" w:cs="Times New Roman"/>
          <w:szCs w:val="24"/>
          <w:lang w:eastAsia="es-CR"/>
        </w:rPr>
        <w:t xml:space="preserve">una metodología de </w:t>
      </w:r>
      <w:r w:rsidR="006D050A">
        <w:rPr>
          <w:rFonts w:eastAsia="Times New Roman" w:cs="Times New Roman"/>
          <w:szCs w:val="24"/>
          <w:lang w:eastAsia="es-CR"/>
        </w:rPr>
        <w:t>elaboración propia con las</w:t>
      </w:r>
      <w:r w:rsidR="00FA51C1">
        <w:rPr>
          <w:rFonts w:eastAsia="Times New Roman" w:cs="Times New Roman"/>
          <w:szCs w:val="24"/>
          <w:lang w:eastAsia="es-CR"/>
        </w:rPr>
        <w:t xml:space="preserve"> siguientes </w:t>
      </w:r>
      <w:r w:rsidRPr="000F7DB8">
        <w:rPr>
          <w:rFonts w:eastAsia="Times New Roman" w:cs="Times New Roman"/>
          <w:szCs w:val="24"/>
          <w:lang w:eastAsia="es-CR"/>
        </w:rPr>
        <w:t xml:space="preserve">bacterias </w:t>
      </w:r>
      <w:r w:rsidR="00367D1C">
        <w:rPr>
          <w:rFonts w:eastAsia="Times New Roman" w:cs="Times New Roman"/>
          <w:szCs w:val="24"/>
          <w:lang w:eastAsia="es-CR"/>
        </w:rPr>
        <w:t>patógenas del grupo ESKAPE</w:t>
      </w:r>
      <w:r w:rsidR="00FA51C1">
        <w:rPr>
          <w:rFonts w:eastAsia="Times New Roman" w:cs="Times New Roman"/>
          <w:szCs w:val="24"/>
          <w:lang w:eastAsia="es-CR"/>
        </w:rPr>
        <w:t>:</w:t>
      </w:r>
      <w:r w:rsidR="00367D1C">
        <w:rPr>
          <w:rFonts w:eastAsia="Times New Roman" w:cs="Times New Roman"/>
          <w:szCs w:val="24"/>
          <w:lang w:eastAsia="es-CR"/>
        </w:rPr>
        <w:t xml:space="preserve"> </w:t>
      </w:r>
      <w:r w:rsidRPr="000F7DB8">
        <w:rPr>
          <w:rFonts w:eastAsia="Times New Roman" w:cs="Times New Roman"/>
          <w:i/>
          <w:iCs/>
          <w:szCs w:val="24"/>
          <w:lang w:eastAsia="es-CR"/>
        </w:rPr>
        <w:t>Staphylococcus aureus</w:t>
      </w:r>
      <w:r w:rsidRPr="000F7DB8">
        <w:rPr>
          <w:rFonts w:eastAsia="Times New Roman" w:cs="Times New Roman"/>
          <w:szCs w:val="24"/>
          <w:lang w:eastAsia="es-CR"/>
        </w:rPr>
        <w:t xml:space="preserve"> (ATCC #6538), </w:t>
      </w:r>
      <w:r w:rsidRPr="000B79E0">
        <w:rPr>
          <w:rFonts w:eastAsia="Times New Roman" w:cs="Times New Roman"/>
          <w:i/>
          <w:iCs/>
          <w:szCs w:val="24"/>
          <w:lang w:eastAsia="es-CR"/>
        </w:rPr>
        <w:t>Pseudomonas aeruginosa</w:t>
      </w:r>
      <w:r w:rsidRPr="000F7DB8">
        <w:rPr>
          <w:rFonts w:eastAsia="Times New Roman" w:cs="Times New Roman"/>
          <w:szCs w:val="24"/>
          <w:lang w:eastAsia="es-CR"/>
        </w:rPr>
        <w:t xml:space="preserve"> (ATCC # 27853), </w:t>
      </w:r>
      <w:r w:rsidRPr="000B79E0">
        <w:rPr>
          <w:rFonts w:eastAsia="Times New Roman" w:cs="Times New Roman"/>
          <w:i/>
          <w:iCs/>
          <w:szCs w:val="24"/>
          <w:lang w:eastAsia="es-CR"/>
        </w:rPr>
        <w:t>Enterobacter hormaechei</w:t>
      </w:r>
      <w:r w:rsidRPr="000F7DB8">
        <w:rPr>
          <w:rFonts w:eastAsia="Times New Roman" w:cs="Times New Roman"/>
          <w:szCs w:val="24"/>
          <w:lang w:eastAsia="es-CR"/>
        </w:rPr>
        <w:t xml:space="preserve"> (ATTC #700323), </w:t>
      </w:r>
      <w:r w:rsidRPr="000B79E0">
        <w:rPr>
          <w:rFonts w:eastAsia="Times New Roman" w:cs="Times New Roman"/>
          <w:i/>
          <w:iCs/>
          <w:szCs w:val="24"/>
          <w:lang w:eastAsia="es-CR"/>
        </w:rPr>
        <w:t>Enterococcus faecium</w:t>
      </w:r>
      <w:r w:rsidRPr="000F7DB8">
        <w:rPr>
          <w:rFonts w:eastAsia="Times New Roman" w:cs="Times New Roman"/>
          <w:szCs w:val="24"/>
          <w:lang w:eastAsia="es-CR"/>
        </w:rPr>
        <w:t xml:space="preserve"> (ATTC #6056), </w:t>
      </w:r>
      <w:r w:rsidRPr="000B79E0">
        <w:rPr>
          <w:rFonts w:eastAsia="Times New Roman" w:cs="Times New Roman"/>
          <w:i/>
          <w:iCs/>
          <w:szCs w:val="24"/>
          <w:lang w:eastAsia="es-CR"/>
        </w:rPr>
        <w:t xml:space="preserve">Acinetobacter </w:t>
      </w:r>
      <w:r w:rsidR="00FF51AA" w:rsidRPr="000B79E0">
        <w:rPr>
          <w:rFonts w:eastAsia="Times New Roman" w:cs="Times New Roman"/>
          <w:i/>
          <w:iCs/>
          <w:szCs w:val="24"/>
          <w:lang w:eastAsia="es-CR"/>
        </w:rPr>
        <w:t>baumannii</w:t>
      </w:r>
      <w:r w:rsidRPr="000F7DB8">
        <w:rPr>
          <w:rFonts w:eastAsia="Times New Roman" w:cs="Times New Roman"/>
          <w:szCs w:val="24"/>
          <w:lang w:eastAsia="es-CR"/>
        </w:rPr>
        <w:t xml:space="preserve"> (AT</w:t>
      </w:r>
      <w:r w:rsidR="00996831">
        <w:rPr>
          <w:rFonts w:eastAsia="Times New Roman" w:cs="Times New Roman"/>
          <w:szCs w:val="24"/>
          <w:lang w:eastAsia="es-CR"/>
        </w:rPr>
        <w:t>C</w:t>
      </w:r>
      <w:r w:rsidRPr="000F7DB8">
        <w:rPr>
          <w:rFonts w:eastAsia="Times New Roman" w:cs="Times New Roman"/>
          <w:szCs w:val="24"/>
          <w:lang w:eastAsia="es-CR"/>
        </w:rPr>
        <w:t xml:space="preserve">C #19606) y </w:t>
      </w:r>
      <w:r w:rsidRPr="000B79E0">
        <w:rPr>
          <w:rFonts w:eastAsia="Times New Roman" w:cs="Times New Roman"/>
          <w:i/>
          <w:iCs/>
          <w:szCs w:val="24"/>
          <w:lang w:eastAsia="es-CR"/>
        </w:rPr>
        <w:t>Klebsiella pneumoniae</w:t>
      </w:r>
      <w:r w:rsidRPr="000F7DB8">
        <w:rPr>
          <w:rFonts w:eastAsia="Times New Roman" w:cs="Times New Roman"/>
          <w:szCs w:val="24"/>
          <w:lang w:eastAsia="es-CR"/>
        </w:rPr>
        <w:t xml:space="preserve"> (ATTC #13883). </w:t>
      </w:r>
      <w:r w:rsidR="005168E9">
        <w:rPr>
          <w:rFonts w:eastAsia="Times New Roman" w:cs="Times New Roman"/>
          <w:szCs w:val="24"/>
          <w:lang w:eastAsia="es-CR"/>
        </w:rPr>
        <w:t>Se realizaron d</w:t>
      </w:r>
      <w:r w:rsidR="005103BF">
        <w:rPr>
          <w:rFonts w:eastAsia="Times New Roman" w:cs="Times New Roman"/>
          <w:szCs w:val="24"/>
          <w:lang w:eastAsia="es-CR"/>
        </w:rPr>
        <w:t>iscos</w:t>
      </w:r>
      <w:r w:rsidR="000B79E0">
        <w:rPr>
          <w:rFonts w:eastAsia="Times New Roman" w:cs="Times New Roman"/>
          <w:szCs w:val="24"/>
          <w:lang w:eastAsia="es-CR"/>
        </w:rPr>
        <w:t xml:space="preserve"> </w:t>
      </w:r>
      <w:r w:rsidR="000B79E0" w:rsidRPr="000F7DB8">
        <w:rPr>
          <w:rFonts w:eastAsia="Times New Roman" w:cs="Times New Roman"/>
          <w:szCs w:val="24"/>
          <w:lang w:eastAsia="es-CR"/>
        </w:rPr>
        <w:t>de</w:t>
      </w:r>
      <w:r w:rsidR="005168E9">
        <w:rPr>
          <w:rFonts w:eastAsia="Times New Roman" w:cs="Times New Roman"/>
          <w:szCs w:val="24"/>
          <w:lang w:eastAsia="es-CR"/>
        </w:rPr>
        <w:t xml:space="preserve"> agar micelio de</w:t>
      </w:r>
      <w:r w:rsidR="000B79E0" w:rsidRPr="000F7DB8">
        <w:rPr>
          <w:rFonts w:eastAsia="Times New Roman" w:cs="Times New Roman"/>
          <w:szCs w:val="24"/>
          <w:lang w:eastAsia="es-CR"/>
        </w:rPr>
        <w:t xml:space="preserve"> 6 mm</w:t>
      </w:r>
      <w:r w:rsidR="000B79E0">
        <w:rPr>
          <w:rFonts w:eastAsia="Times New Roman" w:cs="Times New Roman"/>
          <w:szCs w:val="24"/>
          <w:lang w:eastAsia="es-CR"/>
        </w:rPr>
        <w:t xml:space="preserve"> de diámetro</w:t>
      </w:r>
      <w:r w:rsidRPr="000F7DB8">
        <w:rPr>
          <w:rFonts w:eastAsia="Times New Roman" w:cs="Times New Roman"/>
          <w:szCs w:val="24"/>
          <w:lang w:eastAsia="es-CR"/>
        </w:rPr>
        <w:t xml:space="preserve"> de cultivos de hongos marinos</w:t>
      </w:r>
      <w:r w:rsidR="005168E9">
        <w:rPr>
          <w:rFonts w:eastAsia="Times New Roman" w:cs="Times New Roman"/>
          <w:szCs w:val="24"/>
          <w:lang w:eastAsia="es-CR"/>
        </w:rPr>
        <w:t>, los cuales presentaban</w:t>
      </w:r>
      <w:r w:rsidRPr="000F7DB8">
        <w:rPr>
          <w:rFonts w:eastAsia="Times New Roman" w:cs="Times New Roman"/>
          <w:szCs w:val="24"/>
          <w:lang w:eastAsia="es-CR"/>
        </w:rPr>
        <w:t xml:space="preserve"> 7 días de crecimiento </w:t>
      </w:r>
      <w:r w:rsidR="005168E9">
        <w:rPr>
          <w:rFonts w:eastAsia="Times New Roman" w:cs="Times New Roman"/>
          <w:szCs w:val="24"/>
          <w:lang w:eastAsia="es-CR"/>
        </w:rPr>
        <w:t>y se</w:t>
      </w:r>
      <w:r w:rsidRPr="000F7DB8">
        <w:rPr>
          <w:rFonts w:eastAsia="Times New Roman" w:cs="Times New Roman"/>
          <w:szCs w:val="24"/>
          <w:lang w:eastAsia="es-CR"/>
        </w:rPr>
        <w:t xml:space="preserve"> </w:t>
      </w:r>
      <w:r w:rsidR="005103BF">
        <w:rPr>
          <w:rFonts w:eastAsia="Times New Roman" w:cs="Times New Roman"/>
          <w:szCs w:val="24"/>
          <w:lang w:eastAsia="es-CR"/>
        </w:rPr>
        <w:t>inocularon</w:t>
      </w:r>
      <w:r w:rsidR="005103BF" w:rsidRPr="000F7DB8">
        <w:rPr>
          <w:rFonts w:eastAsia="Times New Roman" w:cs="Times New Roman"/>
          <w:szCs w:val="24"/>
          <w:lang w:eastAsia="es-CR"/>
        </w:rPr>
        <w:t xml:space="preserve"> </w:t>
      </w:r>
      <w:r w:rsidRPr="000F7DB8">
        <w:rPr>
          <w:rFonts w:eastAsia="Times New Roman" w:cs="Times New Roman"/>
          <w:szCs w:val="24"/>
          <w:lang w:eastAsia="es-CR"/>
        </w:rPr>
        <w:t xml:space="preserve">en agar Mueller Hinton (BD®) </w:t>
      </w:r>
      <w:r w:rsidR="005103BF">
        <w:rPr>
          <w:rFonts w:eastAsia="Times New Roman" w:cs="Times New Roman"/>
          <w:szCs w:val="24"/>
          <w:lang w:eastAsia="es-CR"/>
        </w:rPr>
        <w:t xml:space="preserve">y </w:t>
      </w:r>
      <w:r w:rsidR="005103BF" w:rsidRPr="000F7DB8">
        <w:rPr>
          <w:rFonts w:eastAsia="Times New Roman" w:cs="Times New Roman"/>
          <w:szCs w:val="24"/>
          <w:lang w:eastAsia="es-CR"/>
        </w:rPr>
        <w:t xml:space="preserve">agar Mueller Hinton (BD®) </w:t>
      </w:r>
      <w:r w:rsidRPr="000F7DB8">
        <w:rPr>
          <w:rFonts w:eastAsia="Times New Roman" w:cs="Times New Roman"/>
          <w:szCs w:val="24"/>
          <w:lang w:eastAsia="es-CR"/>
        </w:rPr>
        <w:t xml:space="preserve">con 2% de </w:t>
      </w:r>
      <w:r w:rsidR="00BE1507" w:rsidRPr="000F7DB8">
        <w:rPr>
          <w:rFonts w:eastAsia="Times New Roman" w:cs="Times New Roman"/>
          <w:szCs w:val="24"/>
          <w:lang w:eastAsia="es-CR"/>
        </w:rPr>
        <w:t>NaCl.</w:t>
      </w:r>
      <w:r w:rsidRPr="000F7DB8">
        <w:rPr>
          <w:rFonts w:eastAsia="Times New Roman" w:cs="Times New Roman"/>
          <w:szCs w:val="24"/>
          <w:lang w:eastAsia="es-CR"/>
        </w:rPr>
        <w:t xml:space="preserve"> A las placas </w:t>
      </w:r>
      <w:r w:rsidR="000614D7">
        <w:rPr>
          <w:rFonts w:eastAsia="Times New Roman" w:cs="Times New Roman"/>
          <w:szCs w:val="24"/>
          <w:lang w:eastAsia="es-CR"/>
        </w:rPr>
        <w:t xml:space="preserve">con el medio de cultivo </w:t>
      </w:r>
      <w:r w:rsidRPr="000F7DB8">
        <w:rPr>
          <w:rFonts w:eastAsia="Times New Roman" w:cs="Times New Roman"/>
          <w:szCs w:val="24"/>
          <w:lang w:eastAsia="es-CR"/>
        </w:rPr>
        <w:t xml:space="preserve">se les realizó previamente un agujero </w:t>
      </w:r>
      <w:r w:rsidR="000614D7">
        <w:rPr>
          <w:rFonts w:eastAsia="Times New Roman" w:cs="Times New Roman"/>
          <w:szCs w:val="24"/>
          <w:lang w:eastAsia="es-CR"/>
        </w:rPr>
        <w:t xml:space="preserve">en el agar </w:t>
      </w:r>
      <w:r w:rsidRPr="000F7DB8">
        <w:rPr>
          <w:rFonts w:eastAsia="Times New Roman" w:cs="Times New Roman"/>
          <w:szCs w:val="24"/>
          <w:lang w:eastAsia="es-CR"/>
        </w:rPr>
        <w:t xml:space="preserve">de 6 mm de </w:t>
      </w:r>
      <w:r w:rsidRPr="000F7DB8">
        <w:rPr>
          <w:rFonts w:eastAsia="Times New Roman" w:cs="Times New Roman"/>
          <w:szCs w:val="24"/>
          <w:lang w:eastAsia="es-CR"/>
        </w:rPr>
        <w:lastRenderedPageBreak/>
        <w:t xml:space="preserve">diámetro a </w:t>
      </w:r>
      <w:r w:rsidR="009F20A0">
        <w:rPr>
          <w:rFonts w:eastAsia="Times New Roman" w:cs="Times New Roman"/>
          <w:szCs w:val="24"/>
          <w:lang w:eastAsia="es-CR"/>
        </w:rPr>
        <w:t>2.5</w:t>
      </w:r>
      <w:r w:rsidRPr="000F7DB8">
        <w:rPr>
          <w:rFonts w:eastAsia="Times New Roman" w:cs="Times New Roman"/>
          <w:szCs w:val="24"/>
          <w:lang w:eastAsia="es-CR"/>
        </w:rPr>
        <w:t xml:space="preserve"> cm del borde de la placa donde se </w:t>
      </w:r>
      <w:r w:rsidR="000614D7">
        <w:rPr>
          <w:rFonts w:eastAsia="Times New Roman" w:cs="Times New Roman"/>
          <w:szCs w:val="24"/>
          <w:lang w:eastAsia="es-CR"/>
        </w:rPr>
        <w:t>inoculó</w:t>
      </w:r>
      <w:r w:rsidR="000614D7" w:rsidRPr="000F7DB8">
        <w:rPr>
          <w:rFonts w:eastAsia="Times New Roman" w:cs="Times New Roman"/>
          <w:szCs w:val="24"/>
          <w:lang w:eastAsia="es-CR"/>
        </w:rPr>
        <w:t xml:space="preserve"> </w:t>
      </w:r>
      <w:r w:rsidRPr="000F7DB8">
        <w:rPr>
          <w:rFonts w:eastAsia="Times New Roman" w:cs="Times New Roman"/>
          <w:szCs w:val="24"/>
          <w:lang w:eastAsia="es-CR"/>
        </w:rPr>
        <w:t xml:space="preserve">el disco de agar </w:t>
      </w:r>
      <w:r w:rsidR="000614D7">
        <w:rPr>
          <w:rFonts w:eastAsia="Times New Roman" w:cs="Times New Roman"/>
          <w:szCs w:val="24"/>
          <w:lang w:eastAsia="es-CR"/>
        </w:rPr>
        <w:t xml:space="preserve">micelio </w:t>
      </w:r>
      <w:r w:rsidRPr="000F7DB8">
        <w:rPr>
          <w:rFonts w:eastAsia="Times New Roman" w:cs="Times New Roman"/>
          <w:szCs w:val="24"/>
          <w:lang w:eastAsia="es-CR"/>
        </w:rPr>
        <w:t>para asegurar su estabilidad y se incubaron a 28</w:t>
      </w:r>
      <w:r w:rsidR="000614D7">
        <w:rPr>
          <w:rFonts w:eastAsia="Times New Roman" w:cs="Times New Roman"/>
          <w:szCs w:val="24"/>
          <w:lang w:eastAsia="es-CR"/>
        </w:rPr>
        <w:t xml:space="preserve"> </w:t>
      </w:r>
      <w:r w:rsidRPr="000F7DB8">
        <w:rPr>
          <w:rFonts w:eastAsia="Times New Roman" w:cs="Times New Roman"/>
          <w:szCs w:val="24"/>
          <w:lang w:eastAsia="es-CR"/>
        </w:rPr>
        <w:t>°C</w:t>
      </w:r>
      <w:r w:rsidR="000614D7">
        <w:rPr>
          <w:rFonts w:eastAsia="Times New Roman" w:cs="Times New Roman"/>
          <w:szCs w:val="24"/>
          <w:lang w:eastAsia="es-CR"/>
        </w:rPr>
        <w:t xml:space="preserve"> (Figura 2)</w:t>
      </w:r>
      <w:r w:rsidRPr="000F7DB8">
        <w:rPr>
          <w:rFonts w:eastAsia="Times New Roman" w:cs="Times New Roman"/>
          <w:szCs w:val="24"/>
          <w:lang w:eastAsia="es-CR"/>
        </w:rPr>
        <w:t>.</w:t>
      </w:r>
    </w:p>
    <w:p w14:paraId="10002A73" w14:textId="3C156F6F" w:rsidR="003D2793" w:rsidRDefault="000F7DB8" w:rsidP="00AC5829">
      <w:pPr>
        <w:spacing w:before="240"/>
        <w:rPr>
          <w:rFonts w:eastAsia="Times New Roman" w:cs="Times New Roman"/>
          <w:szCs w:val="24"/>
          <w:lang w:eastAsia="es-CR"/>
        </w:rPr>
      </w:pPr>
      <w:r w:rsidRPr="000F7DB8">
        <w:rPr>
          <w:rFonts w:eastAsia="Times New Roman" w:cs="Times New Roman"/>
          <w:szCs w:val="24"/>
          <w:lang w:eastAsia="es-CR"/>
        </w:rPr>
        <w:t xml:space="preserve">            Cuando el crecimiento fúngico era de aproximadamente </w:t>
      </w:r>
      <w:r w:rsidR="000725E0">
        <w:rPr>
          <w:rFonts w:eastAsia="Times New Roman" w:cs="Times New Roman"/>
          <w:szCs w:val="24"/>
          <w:lang w:eastAsia="es-CR"/>
        </w:rPr>
        <w:t>2</w:t>
      </w:r>
      <w:r w:rsidRPr="000F7DB8">
        <w:rPr>
          <w:rFonts w:eastAsia="Times New Roman" w:cs="Times New Roman"/>
          <w:szCs w:val="24"/>
          <w:lang w:eastAsia="es-CR"/>
        </w:rPr>
        <w:t xml:space="preserve"> cm de diámetro, se inoculó en </w:t>
      </w:r>
      <w:r w:rsidR="00992903">
        <w:rPr>
          <w:rFonts w:eastAsia="Times New Roman" w:cs="Times New Roman"/>
          <w:szCs w:val="24"/>
          <w:lang w:eastAsia="es-CR"/>
        </w:rPr>
        <w:t>el</w:t>
      </w:r>
      <w:r w:rsidR="00992903" w:rsidRPr="000F7DB8">
        <w:rPr>
          <w:rFonts w:eastAsia="Times New Roman" w:cs="Times New Roman"/>
          <w:szCs w:val="24"/>
          <w:lang w:eastAsia="es-CR"/>
        </w:rPr>
        <w:t xml:space="preserve"> </w:t>
      </w:r>
      <w:r w:rsidRPr="000F7DB8">
        <w:rPr>
          <w:rFonts w:eastAsia="Times New Roman" w:cs="Times New Roman"/>
          <w:szCs w:val="24"/>
          <w:lang w:eastAsia="es-CR"/>
        </w:rPr>
        <w:t xml:space="preserve">borde de </w:t>
      </w:r>
      <w:r w:rsidR="007A004D">
        <w:rPr>
          <w:rFonts w:eastAsia="Times New Roman" w:cs="Times New Roman"/>
          <w:szCs w:val="24"/>
          <w:lang w:eastAsia="es-CR"/>
        </w:rPr>
        <w:t xml:space="preserve">la </w:t>
      </w:r>
      <w:r w:rsidR="009B6738">
        <w:rPr>
          <w:rFonts w:eastAsia="Times New Roman" w:cs="Times New Roman"/>
          <w:szCs w:val="24"/>
          <w:lang w:eastAsia="es-CR"/>
        </w:rPr>
        <w:t>colonia una</w:t>
      </w:r>
      <w:r w:rsidRPr="000F7DB8">
        <w:rPr>
          <w:rFonts w:eastAsia="Times New Roman" w:cs="Times New Roman"/>
          <w:szCs w:val="24"/>
          <w:lang w:eastAsia="es-CR"/>
        </w:rPr>
        <w:t xml:space="preserve"> pequeña asada de cada una de las bacterias</w:t>
      </w:r>
      <w:r w:rsidR="00066400">
        <w:rPr>
          <w:rFonts w:eastAsia="Times New Roman" w:cs="Times New Roman"/>
          <w:szCs w:val="24"/>
          <w:lang w:eastAsia="es-CR"/>
        </w:rPr>
        <w:t xml:space="preserve"> </w:t>
      </w:r>
      <w:r w:rsidR="00992903">
        <w:rPr>
          <w:rFonts w:eastAsia="Times New Roman" w:cs="Times New Roman"/>
          <w:szCs w:val="24"/>
          <w:lang w:eastAsia="es-CR"/>
        </w:rPr>
        <w:t>ESKAPE utilizadas para</w:t>
      </w:r>
      <w:r w:rsidRPr="000F7DB8">
        <w:rPr>
          <w:rFonts w:eastAsia="Times New Roman" w:cs="Times New Roman"/>
          <w:szCs w:val="24"/>
          <w:lang w:eastAsia="es-CR"/>
        </w:rPr>
        <w:t xml:space="preserve"> </w:t>
      </w:r>
      <w:r w:rsidR="0006543A">
        <w:rPr>
          <w:rFonts w:eastAsia="Times New Roman" w:cs="Times New Roman"/>
          <w:szCs w:val="24"/>
          <w:lang w:eastAsia="es-CR"/>
        </w:rPr>
        <w:t xml:space="preserve">estimular </w:t>
      </w:r>
      <w:r w:rsidRPr="000F7DB8">
        <w:rPr>
          <w:rFonts w:eastAsia="Times New Roman" w:cs="Times New Roman"/>
          <w:szCs w:val="24"/>
          <w:lang w:eastAsia="es-CR"/>
        </w:rPr>
        <w:t>la producción de metabolitos secundarios con actividad</w:t>
      </w:r>
      <w:r w:rsidR="00992903">
        <w:rPr>
          <w:rFonts w:eastAsia="Times New Roman" w:cs="Times New Roman"/>
          <w:szCs w:val="24"/>
          <w:lang w:eastAsia="es-CR"/>
        </w:rPr>
        <w:t xml:space="preserve"> anti</w:t>
      </w:r>
      <w:r w:rsidR="0088322C">
        <w:rPr>
          <w:rFonts w:eastAsia="Times New Roman" w:cs="Times New Roman"/>
          <w:szCs w:val="24"/>
          <w:lang w:eastAsia="es-CR"/>
        </w:rPr>
        <w:t>bacteriana</w:t>
      </w:r>
      <w:r w:rsidRPr="000F7DB8">
        <w:rPr>
          <w:rFonts w:eastAsia="Times New Roman" w:cs="Times New Roman"/>
          <w:szCs w:val="24"/>
          <w:lang w:eastAsia="es-CR"/>
        </w:rPr>
        <w:t xml:space="preserve">. </w:t>
      </w:r>
      <w:r w:rsidR="00992903">
        <w:rPr>
          <w:rFonts w:eastAsia="Times New Roman" w:cs="Times New Roman"/>
          <w:szCs w:val="24"/>
          <w:lang w:eastAsia="es-CR"/>
        </w:rPr>
        <w:t>Los cultivos</w:t>
      </w:r>
      <w:r w:rsidRPr="000F7DB8">
        <w:rPr>
          <w:rFonts w:eastAsia="Times New Roman" w:cs="Times New Roman"/>
          <w:szCs w:val="24"/>
          <w:lang w:eastAsia="es-CR"/>
        </w:rPr>
        <w:t xml:space="preserve"> se continuaron incubando hasta que el crecimiento del hongo marino abarcara aproximadamente un tercio de la placa</w:t>
      </w:r>
      <w:r w:rsidR="006948AE">
        <w:rPr>
          <w:rFonts w:eastAsia="Times New Roman" w:cs="Times New Roman"/>
          <w:szCs w:val="24"/>
          <w:lang w:eastAsia="es-CR"/>
        </w:rPr>
        <w:t xml:space="preserve">. </w:t>
      </w:r>
      <w:r w:rsidR="0051086C">
        <w:rPr>
          <w:rFonts w:eastAsia="Times New Roman" w:cs="Times New Roman"/>
          <w:szCs w:val="24"/>
          <w:lang w:eastAsia="es-CR"/>
        </w:rPr>
        <w:t xml:space="preserve">Seguidamente, las </w:t>
      </w:r>
      <w:r w:rsidR="009B6738">
        <w:rPr>
          <w:rFonts w:eastAsia="Times New Roman" w:cs="Times New Roman"/>
          <w:szCs w:val="24"/>
          <w:lang w:eastAsia="es-CR"/>
        </w:rPr>
        <w:t>bacterias cultivadas</w:t>
      </w:r>
      <w:r w:rsidR="0051086C">
        <w:rPr>
          <w:rFonts w:eastAsia="Times New Roman" w:cs="Times New Roman"/>
          <w:szCs w:val="24"/>
          <w:lang w:eastAsia="es-CR"/>
        </w:rPr>
        <w:t xml:space="preserve"> en Caldo Nutritivo a 37 ºC por 10-20 h y 250 rpm, se inocularon de manera lineal y perpendicular </w:t>
      </w:r>
      <w:r w:rsidR="0006543A">
        <w:rPr>
          <w:rFonts w:eastAsia="Times New Roman" w:cs="Times New Roman"/>
          <w:szCs w:val="24"/>
          <w:lang w:eastAsia="es-CR"/>
        </w:rPr>
        <w:t>a 0.5 cm del borde de</w:t>
      </w:r>
      <w:r w:rsidR="0051086C">
        <w:rPr>
          <w:rFonts w:eastAsia="Times New Roman" w:cs="Times New Roman"/>
          <w:szCs w:val="24"/>
          <w:lang w:eastAsia="es-CR"/>
        </w:rPr>
        <w:t>l</w:t>
      </w:r>
      <w:r w:rsidR="0006543A">
        <w:rPr>
          <w:rFonts w:eastAsia="Times New Roman" w:cs="Times New Roman"/>
          <w:szCs w:val="24"/>
          <w:lang w:eastAsia="es-CR"/>
        </w:rPr>
        <w:t xml:space="preserve"> crecimiento </w:t>
      </w:r>
      <w:r w:rsidR="00FF51AA">
        <w:rPr>
          <w:rFonts w:eastAsia="Times New Roman" w:cs="Times New Roman"/>
          <w:szCs w:val="24"/>
          <w:lang w:eastAsia="es-CR"/>
        </w:rPr>
        <w:t>micelar</w:t>
      </w:r>
      <w:r w:rsidR="009E6059">
        <w:rPr>
          <w:rFonts w:eastAsia="Times New Roman" w:cs="Times New Roman"/>
          <w:szCs w:val="24"/>
          <w:lang w:eastAsia="es-CR"/>
        </w:rPr>
        <w:t xml:space="preserve"> </w:t>
      </w:r>
      <w:r w:rsidR="003D2793">
        <w:rPr>
          <w:rFonts w:eastAsia="Times New Roman" w:cs="Times New Roman"/>
          <w:szCs w:val="24"/>
          <w:lang w:eastAsia="es-CR"/>
        </w:rPr>
        <w:t>hasta el final de la placa</w:t>
      </w:r>
      <w:r w:rsidR="0088322C">
        <w:rPr>
          <w:rFonts w:eastAsia="Times New Roman" w:cs="Times New Roman"/>
          <w:szCs w:val="24"/>
          <w:lang w:eastAsia="es-CR"/>
        </w:rPr>
        <w:t>, como se representa en la Figura 2</w:t>
      </w:r>
      <w:r w:rsidR="003D2793">
        <w:rPr>
          <w:rFonts w:eastAsia="Times New Roman" w:cs="Times New Roman"/>
          <w:szCs w:val="24"/>
          <w:lang w:eastAsia="es-CR"/>
        </w:rPr>
        <w:t xml:space="preserve">. </w:t>
      </w:r>
      <w:r w:rsidR="0088322C">
        <w:rPr>
          <w:rFonts w:eastAsia="Times New Roman" w:cs="Times New Roman"/>
          <w:szCs w:val="24"/>
          <w:lang w:eastAsia="es-CR"/>
        </w:rPr>
        <w:t>Los co-cultivos se incubaron</w:t>
      </w:r>
      <w:r w:rsidR="00C3764C">
        <w:rPr>
          <w:rFonts w:eastAsia="Times New Roman" w:cs="Times New Roman"/>
          <w:szCs w:val="24"/>
          <w:lang w:eastAsia="es-CR"/>
        </w:rPr>
        <w:t xml:space="preserve"> a 28 °C y</w:t>
      </w:r>
      <w:r w:rsidR="003D2793">
        <w:rPr>
          <w:rFonts w:eastAsia="Times New Roman" w:cs="Times New Roman"/>
          <w:szCs w:val="24"/>
          <w:lang w:eastAsia="es-CR"/>
        </w:rPr>
        <w:t xml:space="preserve"> </w:t>
      </w:r>
      <w:r w:rsidR="0088322C">
        <w:rPr>
          <w:rFonts w:eastAsia="Times New Roman" w:cs="Times New Roman"/>
          <w:szCs w:val="24"/>
          <w:lang w:eastAsia="es-CR"/>
        </w:rPr>
        <w:t xml:space="preserve">la actividad inhibitoria del hongo se registró en cm </w:t>
      </w:r>
      <w:r w:rsidR="003D2793">
        <w:rPr>
          <w:rFonts w:eastAsia="Times New Roman" w:cs="Times New Roman"/>
          <w:szCs w:val="24"/>
          <w:lang w:eastAsia="es-CR"/>
        </w:rPr>
        <w:t xml:space="preserve">a las 24 y 48 </w:t>
      </w:r>
      <w:r w:rsidR="0088322C">
        <w:rPr>
          <w:rFonts w:eastAsia="Times New Roman" w:cs="Times New Roman"/>
          <w:szCs w:val="24"/>
          <w:lang w:eastAsia="es-CR"/>
        </w:rPr>
        <w:t>h de incubación</w:t>
      </w:r>
      <w:r w:rsidR="003D2793">
        <w:rPr>
          <w:rFonts w:eastAsia="Times New Roman" w:cs="Times New Roman"/>
          <w:szCs w:val="24"/>
          <w:lang w:eastAsia="es-CR"/>
        </w:rPr>
        <w:t>.</w:t>
      </w:r>
    </w:p>
    <w:p w14:paraId="381BE74E" w14:textId="77777777" w:rsidR="00085E70" w:rsidRDefault="00E910EA" w:rsidP="00085E70">
      <w:pPr>
        <w:keepNext/>
        <w:spacing w:after="0"/>
        <w:jc w:val="center"/>
      </w:pPr>
      <w:r>
        <w:rPr>
          <w:rFonts w:eastAsia="Times New Roman" w:cs="Times New Roman"/>
          <w:noProof/>
          <w:szCs w:val="24"/>
          <w:lang w:eastAsia="es-CR"/>
        </w:rPr>
        <w:drawing>
          <wp:inline distT="0" distB="0" distL="0" distR="0" wp14:anchorId="77D7BF7F" wp14:editId="4F4812C4">
            <wp:extent cx="5762625" cy="2728626"/>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75018" cy="2781845"/>
                    </a:xfrm>
                    <a:prstGeom prst="rect">
                      <a:avLst/>
                    </a:prstGeom>
                  </pic:spPr>
                </pic:pic>
              </a:graphicData>
            </a:graphic>
          </wp:inline>
        </w:drawing>
      </w:r>
    </w:p>
    <w:p w14:paraId="1A92EE51" w14:textId="33B52BEF" w:rsidR="007B79EA" w:rsidRPr="006D469C" w:rsidRDefault="4447C96C" w:rsidP="4447C96C">
      <w:pPr>
        <w:pStyle w:val="Descripcin"/>
        <w:jc w:val="center"/>
        <w:rPr>
          <w:b/>
          <w:bCs/>
          <w:i w:val="0"/>
          <w:iCs w:val="0"/>
          <w:color w:val="auto"/>
          <w:sz w:val="20"/>
          <w:szCs w:val="20"/>
        </w:rPr>
      </w:pPr>
      <w:bookmarkStart w:id="66" w:name="_Toc138574964"/>
      <w:bookmarkStart w:id="67" w:name="_Toc142272971"/>
      <w:r w:rsidRPr="006D469C">
        <w:rPr>
          <w:b/>
          <w:bCs/>
          <w:i w:val="0"/>
          <w:iCs w:val="0"/>
          <w:color w:val="auto"/>
          <w:sz w:val="20"/>
          <w:szCs w:val="20"/>
        </w:rPr>
        <w:t xml:space="preserve">Figura  </w:t>
      </w:r>
      <w:r w:rsidR="00085E70" w:rsidRPr="006D469C">
        <w:rPr>
          <w:b/>
          <w:bCs/>
          <w:i w:val="0"/>
          <w:iCs w:val="0"/>
          <w:color w:val="auto"/>
          <w:sz w:val="20"/>
          <w:szCs w:val="20"/>
        </w:rPr>
        <w:fldChar w:fldCharType="begin"/>
      </w:r>
      <w:r w:rsidR="00085E70" w:rsidRPr="006D469C">
        <w:rPr>
          <w:b/>
          <w:bCs/>
          <w:i w:val="0"/>
          <w:iCs w:val="0"/>
          <w:color w:val="auto"/>
          <w:sz w:val="20"/>
          <w:szCs w:val="20"/>
        </w:rPr>
        <w:instrText xml:space="preserve"> SEQ Figura_ \* ARABIC </w:instrText>
      </w:r>
      <w:r w:rsidR="00085E70" w:rsidRPr="006D469C">
        <w:rPr>
          <w:b/>
          <w:bCs/>
          <w:i w:val="0"/>
          <w:iCs w:val="0"/>
          <w:color w:val="auto"/>
          <w:sz w:val="20"/>
          <w:szCs w:val="20"/>
        </w:rPr>
        <w:fldChar w:fldCharType="separate"/>
      </w:r>
      <w:r w:rsidRPr="006D469C">
        <w:rPr>
          <w:b/>
          <w:bCs/>
          <w:i w:val="0"/>
          <w:iCs w:val="0"/>
          <w:noProof/>
          <w:color w:val="auto"/>
          <w:sz w:val="20"/>
          <w:szCs w:val="20"/>
        </w:rPr>
        <w:t>2</w:t>
      </w:r>
      <w:r w:rsidR="00085E70" w:rsidRPr="006D469C">
        <w:rPr>
          <w:b/>
          <w:bCs/>
          <w:i w:val="0"/>
          <w:iCs w:val="0"/>
          <w:color w:val="auto"/>
          <w:sz w:val="20"/>
          <w:szCs w:val="20"/>
        </w:rPr>
        <w:fldChar w:fldCharType="end"/>
      </w:r>
      <w:r w:rsidRPr="006D469C">
        <w:rPr>
          <w:b/>
          <w:bCs/>
          <w:i w:val="0"/>
          <w:iCs w:val="0"/>
          <w:color w:val="auto"/>
          <w:sz w:val="20"/>
          <w:szCs w:val="20"/>
        </w:rPr>
        <w:t xml:space="preserve">. </w:t>
      </w:r>
      <w:r w:rsidRPr="006D469C">
        <w:rPr>
          <w:rFonts w:eastAsia="Times New Roman" w:cs="Times New Roman"/>
          <w:i w:val="0"/>
          <w:iCs w:val="0"/>
          <w:color w:val="auto"/>
          <w:sz w:val="20"/>
          <w:szCs w:val="20"/>
          <w:lang w:eastAsia="es-CR"/>
        </w:rPr>
        <w:t>Diagrama del ensayo para la selección de cepas de hongos marinos con actividad antimicrobiana mediante estimulación con co-cultivo de bacterias ESKAPE en medio Mueller Hinton con y sin 2 % de NaCl.</w:t>
      </w:r>
      <w:bookmarkEnd w:id="66"/>
      <w:r w:rsidR="00EA6567" w:rsidRPr="006D469C">
        <w:rPr>
          <w:rFonts w:eastAsia="Times New Roman" w:cs="Times New Roman"/>
          <w:i w:val="0"/>
          <w:iCs w:val="0"/>
          <w:color w:val="auto"/>
          <w:sz w:val="20"/>
          <w:szCs w:val="20"/>
          <w:lang w:eastAsia="es-CR"/>
        </w:rPr>
        <w:t xml:space="preserve"> (Fuente: elaboración propia)</w:t>
      </w:r>
      <w:r w:rsidR="00FE1261" w:rsidRPr="006D469C">
        <w:rPr>
          <w:rFonts w:eastAsia="Times New Roman" w:cs="Times New Roman"/>
          <w:i w:val="0"/>
          <w:iCs w:val="0"/>
          <w:color w:val="auto"/>
          <w:sz w:val="20"/>
          <w:szCs w:val="20"/>
          <w:lang w:eastAsia="es-CR"/>
        </w:rPr>
        <w:t>.</w:t>
      </w:r>
      <w:bookmarkEnd w:id="67"/>
    </w:p>
    <w:p w14:paraId="2F718C3C" w14:textId="314D7296" w:rsidR="00A00C67" w:rsidRDefault="00C72053" w:rsidP="00FE1261">
      <w:pPr>
        <w:spacing w:before="240" w:after="0"/>
        <w:ind w:firstLine="708"/>
        <w:rPr>
          <w:rFonts w:eastAsia="Times New Roman" w:cs="Times New Roman"/>
          <w:color w:val="000000"/>
          <w:szCs w:val="24"/>
          <w:lang w:eastAsia="es-CR"/>
        </w:rPr>
      </w:pPr>
      <w:bookmarkStart w:id="68" w:name="_Toc24018774"/>
      <w:bookmarkEnd w:id="63"/>
      <w:r>
        <w:rPr>
          <w:lang w:eastAsia="es-CR"/>
        </w:rPr>
        <w:t>De igual manera, se realizaron ensayos de inhibición mediante el método de</w:t>
      </w:r>
      <w:r w:rsidR="007E0718">
        <w:rPr>
          <w:lang w:eastAsia="es-CR"/>
        </w:rPr>
        <w:t xml:space="preserve"> difusión en</w:t>
      </w:r>
      <w:r>
        <w:rPr>
          <w:lang w:eastAsia="es-CR"/>
        </w:rPr>
        <w:t xml:space="preserve"> </w:t>
      </w:r>
      <w:r w:rsidR="007E0718">
        <w:rPr>
          <w:lang w:eastAsia="es-CR"/>
        </w:rPr>
        <w:t>pozo (</w:t>
      </w:r>
      <w:proofErr w:type="spellStart"/>
      <w:r w:rsidR="007E0718">
        <w:rPr>
          <w:rFonts w:eastAsia="Times New Roman" w:cs="Times New Roman"/>
          <w:color w:val="000000"/>
          <w:szCs w:val="24"/>
          <w:lang w:eastAsia="es-CR"/>
        </w:rPr>
        <w:fldChar w:fldCharType="begin" w:fldLock="1"/>
      </w:r>
      <w:r w:rsidR="00C0188D">
        <w:rPr>
          <w:rFonts w:eastAsia="Times New Roman" w:cs="Times New Roman"/>
          <w:color w:val="000000"/>
          <w:szCs w:val="24"/>
          <w:lang w:eastAsia="es-CR"/>
        </w:rPr>
        <w:instrText>ADDIN CSL_CITATION {"citationItems":[{"id":"ITEM-1","itemData":{"DOI":"10.1002/fsn3.1065","ISSN":"20487177","abstract":"Four important Cinnamomum species in China including C. cassia, C. loureiroi, C. wilsonii, and C. burmannii were chosen to be extracted by subcritical n-butane and ethanol. The chemical compounds of extracts were identified by GC-MS and HPLC-MS, and the antibacterial activities were evaluated by agar-well diffusion assay and twofold microdilution broth method. There were 47 compounds identified in n-butane extracts and 11 compounds in ethanol extracts totally. The major compounds in n-butane extracts varied significantly among different Cinnamomum species, and (E)-cinnamaldehyde and coumarin were major compounds for C. cassia with area percentage of 74.32%; (E)-cinnamaldehyde and α-copaene for C. loureiroi with area percentage of 67.83%; linalool, (E)-cinnamaldehyde, and citral for C. wilsonii with area percentage of 58.74%; and eugenol, (E)-cinnamaldehyde, and coumarin for C. burmannii with area percentage of 76.43%. The maximum compounds in ethanol extracts were (E)-cinnamaldehyde and (Z)-cinnamaldehyde, and others varied among the Cinnamomum species. All cinnamon extracts showed antibacterial activities that n-butane extracts were much more sensitive than ethanol extracts. The inhibition zone for N-butane extracts against Listeria monocytogenes, Staphylococcus aureus, Escherichia coli, and Salmonella anatum was from 18.98 to 37.45 mm while for ethanol extracts from 7.11 to 10.11 mm. The minimum bactericidal concentrations for n-butane extracts were ranged from 0.31 to 2.50 mg/ml and for ethanol extracts ranged from 20.00 to 160.00 mg/ml. N-butane extracts of C. cassia and C. loureiroi processed much higher antibacterial activities than C. wilsonii and C. burmannii. N-butane extracts of C. cassia and C. loureiroi have the potential to be used as food biopreservative.","author":[{"dropping-particle":"","family":"Liang","given":"Ying","non-dropping-particle":"","parse-names":false,"suffix":""},{"dropping-particle":"","family":"Li","given":"Yi","non-dropping-particle":"","parse-names":false,"suffix":""},{"dropping-particle":"","family":"Sun","given":"Aidong","non-dropping-particle":"","parse-names":false,"suffix":""},{"dropping-particle":"","family":"Liu","given":"Xianjin","non-dropping-particle":"","parse-names":false,"suffix":""}],"container-title":"Food Science and Nutrition","id":"ITEM-1","issue":"6","issued":{"date-parts":[["2019"]]},"page":"2186-2193","title":"Chemical compound identification and antibacterial activity evaluation of cinnamon extracts obtained by subcritical n-butane and ethanol extraction","type":"article-journal","volume":"7"},"uris":["http://www.mendeley.com/documents/?uuid=486e7417-0e61-4d87-b71e-fbe359ffc88e"]}],"mendeley":{"formattedCitation":"(Liang, Li, Sun, &amp; Liu, 2019)","manualFormatting":"Liang, Li, Sun, &amp; Liu, 2019)","plainTextFormattedCitation":"(Liang, Li, Sun, &amp; Liu, 2019)","previouslyFormattedCitation":"(Liang, Li, Sun, &amp; Liu, 2019)"},"properties":{"noteIndex":0},"schema":"https://github.com/citation-style-language/schema/raw/master/csl-citation.json"}</w:instrText>
      </w:r>
      <w:r w:rsidR="007E0718">
        <w:rPr>
          <w:rFonts w:eastAsia="Times New Roman" w:cs="Times New Roman"/>
          <w:color w:val="000000"/>
          <w:szCs w:val="24"/>
          <w:lang w:eastAsia="es-CR"/>
        </w:rPr>
        <w:fldChar w:fldCharType="separate"/>
      </w:r>
      <w:r w:rsidR="007E0718" w:rsidRPr="00C656AF">
        <w:rPr>
          <w:rFonts w:eastAsia="Times New Roman" w:cs="Times New Roman"/>
          <w:noProof/>
          <w:color w:val="000000"/>
          <w:szCs w:val="24"/>
          <w:lang w:eastAsia="es-CR"/>
        </w:rPr>
        <w:t>Liang</w:t>
      </w:r>
      <w:proofErr w:type="spellEnd"/>
      <w:r w:rsidR="007E0718" w:rsidRPr="00C656AF">
        <w:rPr>
          <w:rFonts w:eastAsia="Times New Roman" w:cs="Times New Roman"/>
          <w:noProof/>
          <w:color w:val="000000"/>
          <w:szCs w:val="24"/>
          <w:lang w:eastAsia="es-CR"/>
        </w:rPr>
        <w:t>, Li, Sun, &amp; Liu</w:t>
      </w:r>
      <w:r w:rsidR="007E0718">
        <w:rPr>
          <w:rFonts w:eastAsia="Times New Roman" w:cs="Times New Roman"/>
          <w:noProof/>
          <w:color w:val="000000"/>
          <w:szCs w:val="24"/>
          <w:lang w:eastAsia="es-CR"/>
        </w:rPr>
        <w:t xml:space="preserve">, </w:t>
      </w:r>
      <w:r w:rsidR="007E0718" w:rsidRPr="00C656AF">
        <w:rPr>
          <w:rFonts w:eastAsia="Times New Roman" w:cs="Times New Roman"/>
          <w:noProof/>
          <w:color w:val="000000"/>
          <w:szCs w:val="24"/>
          <w:lang w:eastAsia="es-CR"/>
        </w:rPr>
        <w:t>2019)</w:t>
      </w:r>
      <w:r w:rsidR="007E0718">
        <w:rPr>
          <w:rFonts w:eastAsia="Times New Roman" w:cs="Times New Roman"/>
          <w:color w:val="000000"/>
          <w:szCs w:val="24"/>
          <w:lang w:eastAsia="es-CR"/>
        </w:rPr>
        <w:fldChar w:fldCharType="end"/>
      </w:r>
      <w:r w:rsidR="00FB423F">
        <w:rPr>
          <w:rFonts w:eastAsia="Times New Roman" w:cs="Times New Roman"/>
          <w:color w:val="000000"/>
          <w:szCs w:val="24"/>
          <w:lang w:eastAsia="es-CR"/>
        </w:rPr>
        <w:t xml:space="preserve"> con los exudados</w:t>
      </w:r>
      <w:r w:rsidR="00FE1261">
        <w:rPr>
          <w:rFonts w:eastAsia="Times New Roman" w:cs="Times New Roman"/>
          <w:color w:val="000000"/>
          <w:szCs w:val="24"/>
          <w:lang w:eastAsia="es-CR"/>
        </w:rPr>
        <w:t xml:space="preserve"> superficiales</w:t>
      </w:r>
      <w:r w:rsidR="00FB423F">
        <w:rPr>
          <w:rFonts w:eastAsia="Times New Roman" w:cs="Times New Roman"/>
          <w:color w:val="000000"/>
          <w:szCs w:val="24"/>
          <w:lang w:eastAsia="es-CR"/>
        </w:rPr>
        <w:t xml:space="preserve"> </w:t>
      </w:r>
      <w:r w:rsidR="00053AEC">
        <w:rPr>
          <w:rFonts w:eastAsia="Times New Roman" w:cs="Times New Roman"/>
          <w:color w:val="000000"/>
          <w:szCs w:val="24"/>
          <w:lang w:eastAsia="es-CR"/>
        </w:rPr>
        <w:t>generados por</w:t>
      </w:r>
      <w:r w:rsidR="00FB423F">
        <w:rPr>
          <w:rFonts w:eastAsia="Times New Roman" w:cs="Times New Roman"/>
          <w:color w:val="000000"/>
          <w:szCs w:val="24"/>
          <w:lang w:eastAsia="es-CR"/>
        </w:rPr>
        <w:t xml:space="preserve"> </w:t>
      </w:r>
      <w:r w:rsidR="00053AEC">
        <w:rPr>
          <w:rFonts w:eastAsia="Times New Roman" w:cs="Times New Roman"/>
          <w:color w:val="000000"/>
          <w:szCs w:val="24"/>
          <w:lang w:eastAsia="es-CR"/>
        </w:rPr>
        <w:t xml:space="preserve">los hongos, los cuales </w:t>
      </w:r>
      <w:r w:rsidR="00FE1261">
        <w:rPr>
          <w:rFonts w:eastAsia="Times New Roman" w:cs="Times New Roman"/>
          <w:color w:val="000000"/>
          <w:szCs w:val="24"/>
          <w:lang w:eastAsia="es-CR"/>
        </w:rPr>
        <w:t xml:space="preserve">fueron colectados con ayuda de una micropipeta al momento de montar el ensayo. </w:t>
      </w:r>
    </w:p>
    <w:p w14:paraId="58D6AAAB" w14:textId="77777777" w:rsidR="00FE1261" w:rsidRDefault="00FE1261" w:rsidP="00FB423F">
      <w:pPr>
        <w:spacing w:after="0" w:line="276" w:lineRule="auto"/>
        <w:ind w:firstLine="708"/>
        <w:rPr>
          <w:lang w:eastAsia="es-CR"/>
        </w:rPr>
      </w:pPr>
    </w:p>
    <w:p w14:paraId="4E73C0DD" w14:textId="2AF511D2" w:rsidR="00A00C67" w:rsidRPr="00A00C67" w:rsidRDefault="00EC3CC8" w:rsidP="00121461">
      <w:pPr>
        <w:pStyle w:val="Prrafodelista"/>
        <w:numPr>
          <w:ilvl w:val="1"/>
          <w:numId w:val="19"/>
        </w:numPr>
        <w:spacing w:after="0"/>
        <w:rPr>
          <w:rFonts w:eastAsiaTheme="majorEastAsia" w:cs="Times New Roman"/>
          <w:b/>
          <w:color w:val="000000" w:themeColor="text1"/>
          <w:szCs w:val="20"/>
          <w:lang w:eastAsia="es-CR"/>
        </w:rPr>
      </w:pPr>
      <w:r w:rsidRPr="00A00C67">
        <w:rPr>
          <w:rFonts w:eastAsiaTheme="majorEastAsia" w:cs="Times New Roman"/>
          <w:b/>
          <w:color w:val="000000" w:themeColor="text1"/>
          <w:szCs w:val="20"/>
          <w:lang w:eastAsia="es-CR"/>
        </w:rPr>
        <w:t>Prueba de inhibición entre bacterias</w:t>
      </w:r>
    </w:p>
    <w:p w14:paraId="4E648231" w14:textId="144C4A19" w:rsidR="003C7260" w:rsidRDefault="003572EC" w:rsidP="003C7260">
      <w:pPr>
        <w:spacing w:after="0"/>
        <w:ind w:firstLine="708"/>
        <w:rPr>
          <w:rFonts w:eastAsia="Times New Roman" w:cs="Times New Roman"/>
          <w:color w:val="000000"/>
          <w:szCs w:val="24"/>
          <w:lang w:eastAsia="es-CR"/>
        </w:rPr>
      </w:pPr>
      <w:r w:rsidRPr="003572EC">
        <w:rPr>
          <w:rFonts w:eastAsia="Times New Roman" w:cs="Times New Roman"/>
          <w:color w:val="000000"/>
          <w:szCs w:val="24"/>
          <w:lang w:eastAsia="es-CR"/>
        </w:rPr>
        <w:t xml:space="preserve">Debido a </w:t>
      </w:r>
      <w:r>
        <w:rPr>
          <w:rFonts w:eastAsia="Times New Roman" w:cs="Times New Roman"/>
          <w:color w:val="000000"/>
          <w:szCs w:val="24"/>
          <w:lang w:eastAsia="es-CR"/>
        </w:rPr>
        <w:t xml:space="preserve">que las 6 bacterias </w:t>
      </w:r>
      <w:r w:rsidR="006B198F">
        <w:rPr>
          <w:rFonts w:eastAsia="Times New Roman" w:cs="Times New Roman"/>
          <w:color w:val="000000"/>
          <w:szCs w:val="24"/>
          <w:lang w:eastAsia="es-CR"/>
        </w:rPr>
        <w:t xml:space="preserve">utilizadas </w:t>
      </w:r>
      <w:r>
        <w:rPr>
          <w:rFonts w:eastAsia="Times New Roman" w:cs="Times New Roman"/>
          <w:color w:val="000000"/>
          <w:szCs w:val="24"/>
          <w:lang w:eastAsia="es-CR"/>
        </w:rPr>
        <w:t xml:space="preserve">en </w:t>
      </w:r>
      <w:r w:rsidR="00F51F3E">
        <w:rPr>
          <w:rFonts w:eastAsia="Times New Roman" w:cs="Times New Roman"/>
          <w:color w:val="000000"/>
          <w:szCs w:val="24"/>
          <w:lang w:eastAsia="es-CR"/>
        </w:rPr>
        <w:t xml:space="preserve">el </w:t>
      </w:r>
      <w:r w:rsidR="00571899">
        <w:rPr>
          <w:rFonts w:eastAsia="Times New Roman" w:cs="Times New Roman"/>
          <w:color w:val="000000"/>
          <w:szCs w:val="24"/>
          <w:lang w:eastAsia="es-CR"/>
        </w:rPr>
        <w:t xml:space="preserve">ensayo </w:t>
      </w:r>
      <w:r w:rsidR="0095134D">
        <w:rPr>
          <w:rFonts w:eastAsia="Times New Roman" w:cs="Times New Roman"/>
          <w:color w:val="000000"/>
          <w:szCs w:val="24"/>
          <w:lang w:eastAsia="es-CR"/>
        </w:rPr>
        <w:t xml:space="preserve">de actividad </w:t>
      </w:r>
      <w:r w:rsidR="006B198F">
        <w:rPr>
          <w:rFonts w:eastAsia="Times New Roman" w:cs="Times New Roman"/>
          <w:color w:val="000000"/>
          <w:szCs w:val="24"/>
          <w:lang w:eastAsia="es-CR"/>
        </w:rPr>
        <w:t xml:space="preserve">antimicrobiana </w:t>
      </w:r>
      <w:r w:rsidR="00571899">
        <w:rPr>
          <w:rFonts w:eastAsia="Times New Roman" w:cs="Times New Roman"/>
          <w:color w:val="000000"/>
          <w:szCs w:val="24"/>
          <w:lang w:eastAsia="es-CR"/>
        </w:rPr>
        <w:t xml:space="preserve">por </w:t>
      </w:r>
      <w:r>
        <w:rPr>
          <w:rFonts w:eastAsia="Times New Roman" w:cs="Times New Roman"/>
          <w:color w:val="000000"/>
          <w:szCs w:val="24"/>
          <w:lang w:eastAsia="es-CR"/>
        </w:rPr>
        <w:t>co-</w:t>
      </w:r>
      <w:r w:rsidR="00704601">
        <w:rPr>
          <w:rFonts w:eastAsia="Times New Roman" w:cs="Times New Roman"/>
          <w:color w:val="000000"/>
          <w:szCs w:val="24"/>
          <w:lang w:eastAsia="es-CR"/>
        </w:rPr>
        <w:t>cultivo</w:t>
      </w:r>
      <w:r w:rsidR="006B198F">
        <w:rPr>
          <w:rFonts w:eastAsia="Times New Roman" w:cs="Times New Roman"/>
          <w:color w:val="000000"/>
          <w:szCs w:val="24"/>
          <w:lang w:eastAsia="es-CR"/>
        </w:rPr>
        <w:t xml:space="preserve"> con el hongo</w:t>
      </w:r>
      <w:r w:rsidR="00704601">
        <w:rPr>
          <w:rFonts w:eastAsia="Times New Roman" w:cs="Times New Roman"/>
          <w:color w:val="000000"/>
          <w:szCs w:val="24"/>
          <w:lang w:eastAsia="es-CR"/>
        </w:rPr>
        <w:t xml:space="preserve"> </w:t>
      </w:r>
      <w:r w:rsidR="006B198F">
        <w:rPr>
          <w:rFonts w:eastAsia="Times New Roman" w:cs="Times New Roman"/>
          <w:color w:val="000000"/>
          <w:szCs w:val="24"/>
          <w:lang w:eastAsia="es-CR"/>
        </w:rPr>
        <w:t>se inoculaban muy cerca</w:t>
      </w:r>
      <w:r w:rsidR="00437393">
        <w:rPr>
          <w:rFonts w:eastAsia="Times New Roman" w:cs="Times New Roman"/>
          <w:color w:val="000000"/>
          <w:szCs w:val="24"/>
          <w:lang w:eastAsia="es-CR"/>
        </w:rPr>
        <w:t>,</w:t>
      </w:r>
      <w:r w:rsidR="00704601">
        <w:rPr>
          <w:rFonts w:eastAsia="Times New Roman" w:cs="Times New Roman"/>
          <w:color w:val="000000"/>
          <w:szCs w:val="24"/>
          <w:lang w:eastAsia="es-CR"/>
        </w:rPr>
        <w:t xml:space="preserve"> se </w:t>
      </w:r>
      <w:r w:rsidR="006B198F">
        <w:rPr>
          <w:rFonts w:eastAsia="Times New Roman" w:cs="Times New Roman"/>
          <w:color w:val="000000"/>
          <w:szCs w:val="24"/>
          <w:lang w:eastAsia="es-CR"/>
        </w:rPr>
        <w:t>evaluó</w:t>
      </w:r>
      <w:r w:rsidR="00704601">
        <w:rPr>
          <w:rFonts w:eastAsia="Times New Roman" w:cs="Times New Roman"/>
          <w:color w:val="000000"/>
          <w:szCs w:val="24"/>
          <w:lang w:eastAsia="es-CR"/>
        </w:rPr>
        <w:t xml:space="preserve"> la capacidad de </w:t>
      </w:r>
      <w:r w:rsidR="00F51F3E">
        <w:rPr>
          <w:rFonts w:eastAsia="Times New Roman" w:cs="Times New Roman"/>
          <w:color w:val="000000"/>
          <w:szCs w:val="24"/>
          <w:lang w:eastAsia="es-CR"/>
        </w:rPr>
        <w:t>inhibirse entre sí</w:t>
      </w:r>
      <w:r w:rsidR="00AC6FDE">
        <w:rPr>
          <w:rFonts w:eastAsia="Times New Roman" w:cs="Times New Roman"/>
          <w:color w:val="000000"/>
          <w:szCs w:val="24"/>
          <w:lang w:eastAsia="es-CR"/>
        </w:rPr>
        <w:t xml:space="preserve"> </w:t>
      </w:r>
      <w:r w:rsidR="006B198F">
        <w:rPr>
          <w:rFonts w:eastAsia="Times New Roman" w:cs="Times New Roman"/>
          <w:color w:val="000000"/>
          <w:szCs w:val="24"/>
          <w:lang w:eastAsia="es-CR"/>
        </w:rPr>
        <w:t>para</w:t>
      </w:r>
      <w:r w:rsidR="00F51F3E">
        <w:rPr>
          <w:rFonts w:eastAsia="Times New Roman" w:cs="Times New Roman"/>
          <w:color w:val="000000"/>
          <w:szCs w:val="24"/>
          <w:lang w:eastAsia="es-CR"/>
        </w:rPr>
        <w:t xml:space="preserve"> descartar falsos positivos. </w:t>
      </w:r>
      <w:r w:rsidR="008D35B5">
        <w:rPr>
          <w:rFonts w:eastAsia="Times New Roman" w:cs="Times New Roman"/>
          <w:color w:val="000000"/>
          <w:szCs w:val="24"/>
          <w:lang w:eastAsia="es-CR"/>
        </w:rPr>
        <w:t>Para ello se replic</w:t>
      </w:r>
      <w:r w:rsidR="0095134D">
        <w:rPr>
          <w:rFonts w:eastAsia="Times New Roman" w:cs="Times New Roman"/>
          <w:color w:val="000000"/>
          <w:szCs w:val="24"/>
          <w:lang w:eastAsia="es-CR"/>
        </w:rPr>
        <w:t>aron las condiciones d</w:t>
      </w:r>
      <w:r w:rsidR="008D35B5">
        <w:rPr>
          <w:rFonts w:eastAsia="Times New Roman" w:cs="Times New Roman"/>
          <w:color w:val="000000"/>
          <w:szCs w:val="24"/>
          <w:lang w:eastAsia="es-CR"/>
        </w:rPr>
        <w:t xml:space="preserve">el </w:t>
      </w:r>
      <w:r w:rsidR="00257DD5">
        <w:rPr>
          <w:rFonts w:eastAsia="Times New Roman" w:cs="Times New Roman"/>
          <w:color w:val="000000"/>
          <w:szCs w:val="24"/>
          <w:lang w:eastAsia="es-CR"/>
        </w:rPr>
        <w:t xml:space="preserve">ensayo anterior, pero sin </w:t>
      </w:r>
      <w:r w:rsidR="00257DD5">
        <w:rPr>
          <w:rFonts w:eastAsia="Times New Roman" w:cs="Times New Roman"/>
          <w:color w:val="000000"/>
          <w:szCs w:val="24"/>
          <w:lang w:eastAsia="es-CR"/>
        </w:rPr>
        <w:lastRenderedPageBreak/>
        <w:t xml:space="preserve">inocular al hongo, </w:t>
      </w:r>
      <w:r w:rsidR="00F02D17">
        <w:rPr>
          <w:rFonts w:eastAsia="Times New Roman" w:cs="Times New Roman"/>
          <w:color w:val="000000"/>
          <w:szCs w:val="24"/>
          <w:lang w:eastAsia="es-CR"/>
        </w:rPr>
        <w:t>permitiendo la interacción entre las</w:t>
      </w:r>
      <w:r w:rsidR="00257DD5">
        <w:rPr>
          <w:rFonts w:eastAsia="Times New Roman" w:cs="Times New Roman"/>
          <w:color w:val="000000"/>
          <w:szCs w:val="24"/>
          <w:lang w:eastAsia="es-CR"/>
        </w:rPr>
        <w:t xml:space="preserve"> bacterias sin la influencia de la cepa fúngica</w:t>
      </w:r>
      <w:r w:rsidR="00FB2CAA">
        <w:rPr>
          <w:rFonts w:eastAsia="Times New Roman" w:cs="Times New Roman"/>
          <w:color w:val="000000"/>
          <w:szCs w:val="24"/>
          <w:lang w:eastAsia="es-CR"/>
        </w:rPr>
        <w:t>.</w:t>
      </w:r>
      <w:r w:rsidR="001C3298">
        <w:rPr>
          <w:rFonts w:eastAsia="Times New Roman" w:cs="Times New Roman"/>
          <w:color w:val="000000"/>
          <w:szCs w:val="24"/>
          <w:lang w:eastAsia="es-CR"/>
        </w:rPr>
        <w:t xml:space="preserve"> </w:t>
      </w:r>
      <w:r w:rsidR="007150AC">
        <w:rPr>
          <w:rFonts w:eastAsia="Times New Roman" w:cs="Times New Roman"/>
          <w:color w:val="000000"/>
          <w:szCs w:val="24"/>
          <w:lang w:eastAsia="es-CR"/>
        </w:rPr>
        <w:t>T</w:t>
      </w:r>
      <w:r w:rsidR="0034479A">
        <w:rPr>
          <w:rFonts w:eastAsia="Times New Roman" w:cs="Times New Roman"/>
          <w:color w:val="000000"/>
          <w:szCs w:val="24"/>
          <w:lang w:eastAsia="es-CR"/>
        </w:rPr>
        <w:t xml:space="preserve">ambién se </w:t>
      </w:r>
      <w:r w:rsidR="007150AC">
        <w:rPr>
          <w:rFonts w:eastAsia="Times New Roman" w:cs="Times New Roman"/>
          <w:color w:val="000000"/>
          <w:szCs w:val="24"/>
          <w:lang w:eastAsia="es-CR"/>
        </w:rPr>
        <w:t>realizó el ensayo inoculando 2 cepas bacterianas a la vez</w:t>
      </w:r>
      <w:r w:rsidR="001C3298">
        <w:rPr>
          <w:rFonts w:eastAsia="Times New Roman" w:cs="Times New Roman"/>
          <w:color w:val="000000"/>
          <w:szCs w:val="24"/>
          <w:lang w:eastAsia="es-CR"/>
        </w:rPr>
        <w:t>.</w:t>
      </w:r>
    </w:p>
    <w:p w14:paraId="03DDBC32" w14:textId="77777777" w:rsidR="002D6787" w:rsidRDefault="002D6787" w:rsidP="003C7260">
      <w:pPr>
        <w:spacing w:after="0"/>
        <w:ind w:firstLine="708"/>
        <w:rPr>
          <w:rFonts w:eastAsia="Times New Roman" w:cs="Times New Roman"/>
          <w:color w:val="000000"/>
          <w:szCs w:val="24"/>
          <w:lang w:eastAsia="es-CR"/>
        </w:rPr>
      </w:pPr>
    </w:p>
    <w:p w14:paraId="071F6946" w14:textId="0943E55B" w:rsidR="002D6787" w:rsidRPr="00433569" w:rsidRDefault="002D6787" w:rsidP="003B6E8C">
      <w:pPr>
        <w:pStyle w:val="Titulo20"/>
        <w:numPr>
          <w:ilvl w:val="1"/>
          <w:numId w:val="19"/>
        </w:numPr>
        <w:spacing w:before="0" w:after="0"/>
        <w:rPr>
          <w:lang w:eastAsia="es-CR"/>
        </w:rPr>
      </w:pPr>
      <w:bookmarkStart w:id="69" w:name="_Toc140204072"/>
      <w:r w:rsidRPr="00433569">
        <w:rPr>
          <w:lang w:eastAsia="es-CR"/>
        </w:rPr>
        <w:t>Identificación molecular</w:t>
      </w:r>
      <w:bookmarkEnd w:id="69"/>
      <w:r w:rsidRPr="00433569">
        <w:rPr>
          <w:lang w:eastAsia="es-CR"/>
        </w:rPr>
        <w:t xml:space="preserve"> </w:t>
      </w:r>
    </w:p>
    <w:p w14:paraId="5B1651B5" w14:textId="331F5CF8" w:rsidR="002D6787" w:rsidRDefault="002D6787" w:rsidP="003952F6">
      <w:pPr>
        <w:spacing w:after="0"/>
        <w:ind w:firstLine="720"/>
        <w:rPr>
          <w:rFonts w:eastAsia="Times New Roman" w:cs="Times New Roman"/>
          <w:color w:val="000000"/>
          <w:szCs w:val="24"/>
          <w:lang w:eastAsia="es-CR"/>
        </w:rPr>
      </w:pPr>
      <w:r w:rsidRPr="00480C04">
        <w:rPr>
          <w:rFonts w:eastAsia="Times New Roman" w:cs="Times New Roman"/>
          <w:color w:val="000000"/>
          <w:szCs w:val="24"/>
          <w:lang w:eastAsia="es-CR"/>
        </w:rPr>
        <w:t xml:space="preserve">La extracción </w:t>
      </w:r>
      <w:r>
        <w:rPr>
          <w:rFonts w:eastAsia="Times New Roman" w:cs="Times New Roman"/>
          <w:color w:val="000000"/>
          <w:szCs w:val="24"/>
          <w:lang w:eastAsia="es-CR"/>
        </w:rPr>
        <w:t>de ADN</w:t>
      </w:r>
      <w:r w:rsidRPr="00480C04">
        <w:rPr>
          <w:rFonts w:eastAsia="Times New Roman" w:cs="Times New Roman"/>
          <w:color w:val="000000"/>
          <w:szCs w:val="24"/>
          <w:lang w:eastAsia="es-CR"/>
        </w:rPr>
        <w:t xml:space="preserve"> se realizó </w:t>
      </w:r>
      <w:r>
        <w:rPr>
          <w:rFonts w:eastAsia="Times New Roman" w:cs="Times New Roman"/>
          <w:color w:val="000000"/>
          <w:szCs w:val="24"/>
          <w:lang w:eastAsia="es-CR"/>
        </w:rPr>
        <w:t>utilizando</w:t>
      </w:r>
      <w:r w:rsidRPr="00480C04">
        <w:rPr>
          <w:rFonts w:eastAsia="Times New Roman" w:cs="Times New Roman"/>
          <w:color w:val="000000"/>
          <w:szCs w:val="24"/>
          <w:lang w:eastAsia="es-CR"/>
        </w:rPr>
        <w:t xml:space="preserve"> el kit DNeasy Blood &amp; Tissue </w:t>
      </w:r>
      <w:r>
        <w:rPr>
          <w:rFonts w:eastAsia="Times New Roman" w:cs="Times New Roman"/>
          <w:color w:val="000000"/>
          <w:szCs w:val="24"/>
          <w:lang w:eastAsia="es-CR"/>
        </w:rPr>
        <w:t xml:space="preserve">de </w:t>
      </w:r>
      <w:r w:rsidRPr="00480C04">
        <w:rPr>
          <w:rFonts w:eastAsia="Times New Roman" w:cs="Times New Roman"/>
          <w:color w:val="000000"/>
          <w:szCs w:val="24"/>
          <w:lang w:eastAsia="es-CR"/>
        </w:rPr>
        <w:t>Qiagen</w:t>
      </w:r>
      <w:r w:rsidRPr="00503641">
        <w:rPr>
          <w:rFonts w:ascii="Symbol" w:eastAsia="Symbol" w:hAnsi="Symbol" w:cs="Symbol"/>
          <w:color w:val="000000"/>
          <w:szCs w:val="24"/>
          <w:lang w:eastAsia="es-CR"/>
        </w:rPr>
        <w:t>Ò</w:t>
      </w:r>
      <w:r>
        <w:rPr>
          <w:rFonts w:eastAsia="Times New Roman" w:cs="Times New Roman"/>
          <w:color w:val="000000"/>
          <w:szCs w:val="24"/>
          <w:lang w:eastAsia="es-CR"/>
        </w:rPr>
        <w:t xml:space="preserve">, siguiendo el protocolo propuesto con algunas modificaciones. </w:t>
      </w:r>
      <w:r w:rsidRPr="004E77F7">
        <w:rPr>
          <w:rFonts w:eastAsia="Times New Roman" w:cs="Times New Roman"/>
          <w:color w:val="000000"/>
          <w:szCs w:val="24"/>
          <w:lang w:eastAsia="es-CR"/>
        </w:rPr>
        <w:t xml:space="preserve">Para </w:t>
      </w:r>
      <w:r>
        <w:rPr>
          <w:rFonts w:eastAsia="Times New Roman" w:cs="Times New Roman"/>
          <w:color w:val="000000"/>
          <w:szCs w:val="24"/>
          <w:lang w:eastAsia="es-CR"/>
        </w:rPr>
        <w:t>la</w:t>
      </w:r>
      <w:r w:rsidRPr="004E77F7">
        <w:rPr>
          <w:rFonts w:eastAsia="Times New Roman" w:cs="Times New Roman"/>
          <w:color w:val="000000"/>
          <w:szCs w:val="24"/>
          <w:lang w:eastAsia="es-CR"/>
        </w:rPr>
        <w:t xml:space="preserve"> extracción se utilizó micelio fresco de un cultivo en caldo papa dextrosa (BD®) incubado a 28</w:t>
      </w:r>
      <w:r>
        <w:rPr>
          <w:rFonts w:eastAsia="Times New Roman" w:cs="Times New Roman"/>
          <w:color w:val="000000"/>
          <w:szCs w:val="24"/>
          <w:lang w:eastAsia="es-CR"/>
        </w:rPr>
        <w:t xml:space="preserve"> </w:t>
      </w:r>
      <w:r w:rsidRPr="004E77F7">
        <w:rPr>
          <w:rFonts w:eastAsia="Times New Roman" w:cs="Times New Roman"/>
          <w:color w:val="000000"/>
          <w:szCs w:val="24"/>
          <w:lang w:eastAsia="es-CR"/>
        </w:rPr>
        <w:t xml:space="preserve">°C de manera estacionaria por 7 días. </w:t>
      </w:r>
      <w:r>
        <w:rPr>
          <w:rFonts w:eastAsia="Times New Roman" w:cs="Times New Roman"/>
          <w:color w:val="000000"/>
          <w:szCs w:val="24"/>
          <w:lang w:eastAsia="es-CR"/>
        </w:rPr>
        <w:t>A</w:t>
      </w:r>
      <w:r w:rsidRPr="004E77F7">
        <w:rPr>
          <w:rFonts w:eastAsia="Times New Roman" w:cs="Times New Roman"/>
          <w:color w:val="000000"/>
          <w:szCs w:val="24"/>
          <w:lang w:eastAsia="es-CR"/>
        </w:rPr>
        <w:t>proximadamente</w:t>
      </w:r>
      <w:r>
        <w:rPr>
          <w:rFonts w:eastAsia="Times New Roman" w:cs="Times New Roman"/>
          <w:color w:val="000000"/>
          <w:szCs w:val="24"/>
          <w:lang w:eastAsia="es-CR"/>
        </w:rPr>
        <w:t>,</w:t>
      </w:r>
      <w:r w:rsidRPr="004E77F7">
        <w:rPr>
          <w:rFonts w:eastAsia="Times New Roman" w:cs="Times New Roman"/>
          <w:color w:val="000000"/>
          <w:szCs w:val="24"/>
          <w:lang w:eastAsia="es-CR"/>
        </w:rPr>
        <w:t xml:space="preserve"> 25 mg </w:t>
      </w:r>
      <w:r>
        <w:rPr>
          <w:rFonts w:eastAsia="Times New Roman" w:cs="Times New Roman"/>
          <w:color w:val="000000"/>
          <w:szCs w:val="24"/>
          <w:lang w:eastAsia="es-CR"/>
        </w:rPr>
        <w:t xml:space="preserve">de micelio seco se mezclaron con </w:t>
      </w:r>
      <w:r w:rsidRPr="004E77F7">
        <w:rPr>
          <w:rFonts w:eastAsia="Times New Roman" w:cs="Times New Roman"/>
          <w:color w:val="000000"/>
          <w:szCs w:val="24"/>
          <w:lang w:eastAsia="es-CR"/>
        </w:rPr>
        <w:t xml:space="preserve">450 µL de buffer ATL </w:t>
      </w:r>
      <w:r>
        <w:rPr>
          <w:rFonts w:eastAsia="Times New Roman" w:cs="Times New Roman"/>
          <w:color w:val="000000"/>
          <w:szCs w:val="24"/>
          <w:lang w:eastAsia="es-CR"/>
        </w:rPr>
        <w:t xml:space="preserve">y </w:t>
      </w:r>
      <w:r w:rsidRPr="004E77F7">
        <w:rPr>
          <w:rFonts w:eastAsia="Times New Roman" w:cs="Times New Roman"/>
          <w:color w:val="000000"/>
          <w:szCs w:val="24"/>
          <w:lang w:eastAsia="es-CR"/>
        </w:rPr>
        <w:t xml:space="preserve">4 perlas </w:t>
      </w:r>
      <w:r w:rsidR="001D65DD" w:rsidRPr="004E77F7">
        <w:rPr>
          <w:rFonts w:eastAsia="Times New Roman" w:cs="Times New Roman"/>
          <w:color w:val="000000"/>
          <w:szCs w:val="24"/>
          <w:lang w:eastAsia="es-CR"/>
        </w:rPr>
        <w:t>metálicas</w:t>
      </w:r>
      <w:r w:rsidR="001D65DD">
        <w:rPr>
          <w:rFonts w:eastAsia="Times New Roman" w:cs="Times New Roman"/>
          <w:color w:val="000000"/>
          <w:szCs w:val="24"/>
          <w:lang w:eastAsia="es-CR"/>
        </w:rPr>
        <w:t xml:space="preserve"> y</w:t>
      </w:r>
      <w:r>
        <w:rPr>
          <w:rFonts w:eastAsia="Times New Roman" w:cs="Times New Roman"/>
          <w:color w:val="000000"/>
          <w:szCs w:val="24"/>
          <w:lang w:eastAsia="es-CR"/>
        </w:rPr>
        <w:t xml:space="preserve"> </w:t>
      </w:r>
      <w:r w:rsidRPr="004E77F7">
        <w:rPr>
          <w:rFonts w:eastAsia="Times New Roman" w:cs="Times New Roman"/>
          <w:color w:val="000000"/>
          <w:szCs w:val="24"/>
          <w:lang w:eastAsia="es-CR"/>
        </w:rPr>
        <w:t xml:space="preserve">se maceró con disrupción mecánica </w:t>
      </w:r>
      <w:r>
        <w:rPr>
          <w:rFonts w:eastAsia="Times New Roman" w:cs="Times New Roman"/>
          <w:color w:val="000000"/>
          <w:szCs w:val="24"/>
          <w:lang w:eastAsia="es-CR"/>
        </w:rPr>
        <w:t>con</w:t>
      </w:r>
      <w:r w:rsidRPr="004E77F7">
        <w:rPr>
          <w:rFonts w:eastAsia="Times New Roman" w:cs="Times New Roman"/>
          <w:color w:val="000000"/>
          <w:szCs w:val="24"/>
          <w:lang w:eastAsia="es-CR"/>
        </w:rPr>
        <w:t xml:space="preserve"> el equipo</w:t>
      </w:r>
      <w:r>
        <w:rPr>
          <w:rFonts w:eastAsia="Times New Roman" w:cs="Times New Roman"/>
          <w:color w:val="000000"/>
          <w:szCs w:val="24"/>
          <w:lang w:eastAsia="es-CR"/>
        </w:rPr>
        <w:t xml:space="preserve"> </w:t>
      </w:r>
      <w:r w:rsidRPr="009517ED">
        <w:rPr>
          <w:rFonts w:eastAsia="Times New Roman" w:cs="Times New Roman"/>
          <w:color w:val="000000"/>
          <w:szCs w:val="24"/>
          <w:lang w:eastAsia="es-CR"/>
        </w:rPr>
        <w:t xml:space="preserve">Tissue Lyser ll de Qiagen </w:t>
      </w:r>
      <w:r>
        <w:rPr>
          <w:rFonts w:eastAsia="Times New Roman" w:cs="Times New Roman"/>
          <w:color w:val="000000"/>
          <w:szCs w:val="24"/>
          <w:lang w:eastAsia="es-CR"/>
        </w:rPr>
        <w:t>a</w:t>
      </w:r>
      <w:r w:rsidRPr="004E77F7">
        <w:rPr>
          <w:rFonts w:eastAsia="Times New Roman" w:cs="Times New Roman"/>
          <w:color w:val="000000"/>
          <w:szCs w:val="24"/>
          <w:lang w:eastAsia="es-CR"/>
        </w:rPr>
        <w:t xml:space="preserve"> 30 000 </w:t>
      </w:r>
      <w:r>
        <w:rPr>
          <w:rFonts w:eastAsia="Times New Roman" w:cs="Times New Roman"/>
          <w:color w:val="000000"/>
          <w:szCs w:val="24"/>
          <w:lang w:eastAsia="es-CR"/>
        </w:rPr>
        <w:t>hz</w:t>
      </w:r>
      <w:r w:rsidRPr="004E77F7">
        <w:rPr>
          <w:rFonts w:eastAsia="Times New Roman" w:cs="Times New Roman"/>
          <w:color w:val="000000"/>
          <w:szCs w:val="24"/>
          <w:lang w:eastAsia="es-CR"/>
        </w:rPr>
        <w:t xml:space="preserve"> durante </w:t>
      </w:r>
      <w:r>
        <w:rPr>
          <w:rFonts w:eastAsia="Times New Roman" w:cs="Times New Roman"/>
          <w:color w:val="000000"/>
          <w:szCs w:val="24"/>
          <w:lang w:eastAsia="es-CR"/>
        </w:rPr>
        <w:t>10</w:t>
      </w:r>
      <w:r w:rsidRPr="004E77F7">
        <w:rPr>
          <w:rFonts w:eastAsia="Times New Roman" w:cs="Times New Roman"/>
          <w:color w:val="000000"/>
          <w:szCs w:val="24"/>
          <w:lang w:eastAsia="es-CR"/>
        </w:rPr>
        <w:t xml:space="preserve"> min</w:t>
      </w:r>
      <w:r>
        <w:rPr>
          <w:rFonts w:eastAsia="Times New Roman" w:cs="Times New Roman"/>
          <w:color w:val="000000"/>
          <w:szCs w:val="24"/>
          <w:lang w:eastAsia="es-CR"/>
        </w:rPr>
        <w:t>.</w:t>
      </w:r>
      <w:r w:rsidRPr="004E77F7">
        <w:rPr>
          <w:rFonts w:eastAsia="Times New Roman" w:cs="Times New Roman"/>
          <w:color w:val="000000"/>
          <w:szCs w:val="24"/>
          <w:lang w:eastAsia="es-CR"/>
        </w:rPr>
        <w:t xml:space="preserve"> Luego se le agregaron </w:t>
      </w:r>
      <w:r>
        <w:rPr>
          <w:rFonts w:eastAsia="Times New Roman" w:cs="Times New Roman"/>
          <w:color w:val="000000"/>
          <w:szCs w:val="24"/>
          <w:lang w:eastAsia="es-CR"/>
        </w:rPr>
        <w:t>40</w:t>
      </w:r>
      <w:r w:rsidRPr="004E77F7">
        <w:rPr>
          <w:rFonts w:eastAsia="Times New Roman" w:cs="Times New Roman"/>
          <w:color w:val="000000"/>
          <w:szCs w:val="24"/>
          <w:lang w:eastAsia="es-CR"/>
        </w:rPr>
        <w:t xml:space="preserve"> µL de proteinasa K y se </w:t>
      </w:r>
      <w:r>
        <w:rPr>
          <w:rFonts w:eastAsia="Times New Roman" w:cs="Times New Roman"/>
          <w:color w:val="000000"/>
          <w:szCs w:val="24"/>
          <w:lang w:eastAsia="es-CR"/>
        </w:rPr>
        <w:t>incubó</w:t>
      </w:r>
      <w:r w:rsidRPr="004E77F7">
        <w:rPr>
          <w:rFonts w:eastAsia="Times New Roman" w:cs="Times New Roman"/>
          <w:color w:val="000000"/>
          <w:szCs w:val="24"/>
          <w:lang w:eastAsia="es-CR"/>
        </w:rPr>
        <w:t xml:space="preserve"> a 56</w:t>
      </w:r>
      <w:r>
        <w:rPr>
          <w:rFonts w:eastAsia="Times New Roman" w:cs="Times New Roman"/>
          <w:color w:val="000000"/>
          <w:szCs w:val="24"/>
          <w:lang w:eastAsia="es-CR"/>
        </w:rPr>
        <w:t xml:space="preserve"> </w:t>
      </w:r>
      <w:r w:rsidRPr="004E77F7">
        <w:rPr>
          <w:rFonts w:eastAsia="Times New Roman" w:cs="Times New Roman"/>
          <w:color w:val="000000"/>
          <w:szCs w:val="24"/>
          <w:lang w:eastAsia="es-CR"/>
        </w:rPr>
        <w:t xml:space="preserve">°C </w:t>
      </w:r>
      <w:r>
        <w:rPr>
          <w:rFonts w:eastAsia="Times New Roman" w:cs="Times New Roman"/>
          <w:color w:val="000000"/>
          <w:szCs w:val="24"/>
          <w:lang w:eastAsia="es-CR"/>
        </w:rPr>
        <w:t>y</w:t>
      </w:r>
      <w:r w:rsidRPr="004E77F7">
        <w:rPr>
          <w:rFonts w:eastAsia="Times New Roman" w:cs="Times New Roman"/>
          <w:color w:val="000000"/>
          <w:szCs w:val="24"/>
          <w:lang w:eastAsia="es-CR"/>
        </w:rPr>
        <w:t xml:space="preserve"> 400 rpm </w:t>
      </w:r>
      <w:r w:rsidRPr="008A684D">
        <w:rPr>
          <w:rFonts w:eastAsia="Times New Roman" w:cs="Times New Roman"/>
          <w:color w:val="000000"/>
          <w:szCs w:val="24"/>
          <w:lang w:eastAsia="es-CR"/>
        </w:rPr>
        <w:t>durante 3-4 h</w:t>
      </w:r>
      <w:r w:rsidRPr="004E77F7">
        <w:rPr>
          <w:rFonts w:eastAsia="Times New Roman" w:cs="Times New Roman"/>
          <w:color w:val="000000"/>
          <w:szCs w:val="24"/>
          <w:lang w:eastAsia="es-CR"/>
        </w:rPr>
        <w:t>.</w:t>
      </w:r>
    </w:p>
    <w:p w14:paraId="587B1E27" w14:textId="0A77F022" w:rsidR="002D6787" w:rsidRDefault="002D6787" w:rsidP="003952F6">
      <w:pPr>
        <w:spacing w:before="200"/>
        <w:ind w:firstLine="720"/>
        <w:rPr>
          <w:rFonts w:eastAsia="Times New Roman" w:cs="Times New Roman"/>
          <w:color w:val="000000"/>
          <w:szCs w:val="24"/>
          <w:lang w:eastAsia="es-CR"/>
        </w:rPr>
      </w:pPr>
      <w:r w:rsidRPr="00BC732D">
        <w:rPr>
          <w:rFonts w:eastAsia="Times New Roman" w:cs="Times New Roman"/>
          <w:color w:val="000000"/>
          <w:szCs w:val="24"/>
          <w:lang w:eastAsia="es-CR"/>
        </w:rPr>
        <w:t xml:space="preserve"> </w:t>
      </w:r>
      <w:r w:rsidRPr="00F50AB5">
        <w:rPr>
          <w:rFonts w:eastAsia="Times New Roman" w:cs="Times New Roman"/>
          <w:color w:val="000000"/>
          <w:szCs w:val="24"/>
          <w:lang w:eastAsia="es-CR"/>
        </w:rPr>
        <w:t xml:space="preserve">Seguidamente, se </w:t>
      </w:r>
      <w:r>
        <w:rPr>
          <w:rFonts w:eastAsia="Times New Roman" w:cs="Times New Roman"/>
          <w:color w:val="000000"/>
          <w:szCs w:val="24"/>
          <w:lang w:eastAsia="es-CR"/>
        </w:rPr>
        <w:t>centrifugó por</w:t>
      </w:r>
      <w:r w:rsidRPr="00F50AB5">
        <w:rPr>
          <w:rFonts w:eastAsia="Times New Roman" w:cs="Times New Roman"/>
          <w:color w:val="000000"/>
          <w:szCs w:val="24"/>
          <w:lang w:eastAsia="es-CR"/>
        </w:rPr>
        <w:t xml:space="preserve"> 5 min a 10 000 rpm para eliminar restos de micelio</w:t>
      </w:r>
      <w:r>
        <w:rPr>
          <w:rFonts w:eastAsia="Times New Roman" w:cs="Times New Roman"/>
          <w:color w:val="000000"/>
          <w:szCs w:val="24"/>
          <w:lang w:eastAsia="es-CR"/>
        </w:rPr>
        <w:t>. Una alícuota de</w:t>
      </w:r>
      <w:r w:rsidRPr="00F50AB5">
        <w:rPr>
          <w:rFonts w:eastAsia="Times New Roman" w:cs="Times New Roman"/>
          <w:color w:val="000000"/>
          <w:szCs w:val="24"/>
          <w:lang w:eastAsia="es-CR"/>
        </w:rPr>
        <w:t xml:space="preserve"> 200 µL del</w:t>
      </w:r>
      <w:r w:rsidRPr="004B358D">
        <w:rPr>
          <w:rFonts w:eastAsia="Times New Roman" w:cs="Times New Roman"/>
          <w:color w:val="000000"/>
          <w:szCs w:val="24"/>
          <w:lang w:eastAsia="es-CR"/>
        </w:rPr>
        <w:t xml:space="preserve"> </w:t>
      </w:r>
      <w:r w:rsidRPr="00F50AB5">
        <w:rPr>
          <w:rFonts w:eastAsia="Times New Roman" w:cs="Times New Roman"/>
          <w:color w:val="000000"/>
          <w:szCs w:val="24"/>
          <w:lang w:eastAsia="es-CR"/>
        </w:rPr>
        <w:t>sobrenadante</w:t>
      </w:r>
      <w:r>
        <w:rPr>
          <w:rFonts w:eastAsia="Times New Roman" w:cs="Times New Roman"/>
          <w:color w:val="000000"/>
          <w:szCs w:val="24"/>
          <w:lang w:eastAsia="es-CR"/>
        </w:rPr>
        <w:t xml:space="preserve"> se</w:t>
      </w:r>
      <w:r w:rsidRPr="00F50AB5">
        <w:rPr>
          <w:rFonts w:eastAsia="Times New Roman" w:cs="Times New Roman"/>
          <w:color w:val="000000"/>
          <w:szCs w:val="24"/>
          <w:lang w:eastAsia="es-CR"/>
        </w:rPr>
        <w:t xml:space="preserve"> </w:t>
      </w:r>
      <w:r>
        <w:rPr>
          <w:rFonts w:eastAsia="Times New Roman" w:cs="Times New Roman"/>
          <w:color w:val="000000"/>
          <w:szCs w:val="24"/>
          <w:lang w:eastAsia="es-CR"/>
        </w:rPr>
        <w:t>colocó en</w:t>
      </w:r>
      <w:r w:rsidRPr="00F50AB5">
        <w:rPr>
          <w:rFonts w:eastAsia="Times New Roman" w:cs="Times New Roman"/>
          <w:color w:val="000000"/>
          <w:szCs w:val="24"/>
          <w:lang w:eastAsia="es-CR"/>
        </w:rPr>
        <w:t xml:space="preserve"> un nuevo tubo, se </w:t>
      </w:r>
      <w:r>
        <w:rPr>
          <w:rFonts w:eastAsia="Times New Roman" w:cs="Times New Roman"/>
          <w:color w:val="000000"/>
          <w:szCs w:val="24"/>
          <w:lang w:eastAsia="es-CR"/>
        </w:rPr>
        <w:t xml:space="preserve">le </w:t>
      </w:r>
      <w:r w:rsidRPr="00F50AB5">
        <w:rPr>
          <w:rFonts w:eastAsia="Times New Roman" w:cs="Times New Roman"/>
          <w:color w:val="000000"/>
          <w:szCs w:val="24"/>
          <w:lang w:eastAsia="es-CR"/>
        </w:rPr>
        <w:t>agreg</w:t>
      </w:r>
      <w:r>
        <w:rPr>
          <w:rFonts w:eastAsia="Times New Roman" w:cs="Times New Roman"/>
          <w:color w:val="000000"/>
          <w:szCs w:val="24"/>
          <w:lang w:eastAsia="es-CR"/>
        </w:rPr>
        <w:t>ó</w:t>
      </w:r>
      <w:r w:rsidRPr="00F50AB5">
        <w:rPr>
          <w:rFonts w:eastAsia="Times New Roman" w:cs="Times New Roman"/>
          <w:color w:val="000000"/>
          <w:szCs w:val="24"/>
          <w:lang w:eastAsia="es-CR"/>
        </w:rPr>
        <w:t xml:space="preserve"> 9 µL de ARNasa (10</w:t>
      </w:r>
      <w:r>
        <w:rPr>
          <w:rFonts w:eastAsia="Times New Roman" w:cs="Times New Roman"/>
          <w:color w:val="000000"/>
          <w:szCs w:val="24"/>
          <w:lang w:eastAsia="es-CR"/>
        </w:rPr>
        <w:t xml:space="preserve"> </w:t>
      </w:r>
      <w:r w:rsidRPr="00F50AB5">
        <w:rPr>
          <w:rFonts w:eastAsia="Times New Roman" w:cs="Times New Roman"/>
          <w:color w:val="000000"/>
          <w:szCs w:val="24"/>
          <w:lang w:eastAsia="es-CR"/>
        </w:rPr>
        <w:t>mg/mL) y se incubó durante 15 min a 37</w:t>
      </w:r>
      <w:r>
        <w:rPr>
          <w:rFonts w:eastAsia="Times New Roman" w:cs="Times New Roman"/>
          <w:color w:val="000000"/>
          <w:szCs w:val="24"/>
          <w:lang w:eastAsia="es-CR"/>
        </w:rPr>
        <w:t xml:space="preserve"> </w:t>
      </w:r>
      <w:r w:rsidRPr="00F50AB5">
        <w:rPr>
          <w:rFonts w:eastAsia="Times New Roman" w:cs="Times New Roman"/>
          <w:color w:val="000000"/>
          <w:szCs w:val="24"/>
          <w:lang w:eastAsia="es-CR"/>
        </w:rPr>
        <w:t xml:space="preserve">°C </w:t>
      </w:r>
      <w:r>
        <w:rPr>
          <w:rFonts w:eastAsia="Times New Roman" w:cs="Times New Roman"/>
          <w:color w:val="000000"/>
          <w:szCs w:val="24"/>
          <w:lang w:eastAsia="es-CR"/>
        </w:rPr>
        <w:t>y</w:t>
      </w:r>
      <w:r w:rsidRPr="00F50AB5">
        <w:rPr>
          <w:rFonts w:eastAsia="Times New Roman" w:cs="Times New Roman"/>
          <w:color w:val="000000"/>
          <w:szCs w:val="24"/>
          <w:lang w:eastAsia="es-CR"/>
        </w:rPr>
        <w:t xml:space="preserve"> 300 rpm. Terminada la incubación, se agregaron 200 µL de buffer AL y se </w:t>
      </w:r>
      <w:r>
        <w:rPr>
          <w:rFonts w:eastAsia="Times New Roman" w:cs="Times New Roman"/>
          <w:color w:val="000000"/>
          <w:szCs w:val="24"/>
          <w:lang w:eastAsia="es-CR"/>
        </w:rPr>
        <w:t>incubó</w:t>
      </w:r>
      <w:r w:rsidRPr="00F50AB5">
        <w:rPr>
          <w:rFonts w:eastAsia="Times New Roman" w:cs="Times New Roman"/>
          <w:color w:val="000000"/>
          <w:szCs w:val="24"/>
          <w:lang w:eastAsia="es-CR"/>
        </w:rPr>
        <w:t xml:space="preserve"> a 56</w:t>
      </w:r>
      <w:r>
        <w:rPr>
          <w:rFonts w:eastAsia="Times New Roman" w:cs="Times New Roman"/>
          <w:color w:val="000000"/>
          <w:szCs w:val="24"/>
          <w:lang w:eastAsia="es-CR"/>
        </w:rPr>
        <w:t xml:space="preserve"> </w:t>
      </w:r>
      <w:r w:rsidRPr="00F50AB5">
        <w:rPr>
          <w:rFonts w:eastAsia="Times New Roman" w:cs="Times New Roman"/>
          <w:color w:val="000000"/>
          <w:szCs w:val="24"/>
          <w:lang w:eastAsia="es-CR"/>
        </w:rPr>
        <w:t>°C por 10 min a 300 rpm</w:t>
      </w:r>
      <w:r>
        <w:rPr>
          <w:rFonts w:eastAsia="Times New Roman" w:cs="Times New Roman"/>
          <w:color w:val="000000"/>
          <w:szCs w:val="24"/>
          <w:lang w:eastAsia="es-CR"/>
        </w:rPr>
        <w:t>. S</w:t>
      </w:r>
      <w:r w:rsidRPr="00F50AB5">
        <w:rPr>
          <w:rFonts w:eastAsia="Times New Roman" w:cs="Times New Roman"/>
          <w:color w:val="000000"/>
          <w:szCs w:val="24"/>
          <w:lang w:eastAsia="es-CR"/>
        </w:rPr>
        <w:t>eguidamente se agregaron 200 µL de etanol absoluto frío y se continuó con el protocolo</w:t>
      </w:r>
      <w:r>
        <w:rPr>
          <w:rFonts w:eastAsia="Times New Roman" w:cs="Times New Roman"/>
          <w:color w:val="000000"/>
          <w:szCs w:val="24"/>
          <w:lang w:eastAsia="es-CR"/>
        </w:rPr>
        <w:t xml:space="preserve"> comercial</w:t>
      </w:r>
      <w:r w:rsidRPr="00F50AB5">
        <w:rPr>
          <w:rFonts w:eastAsia="Times New Roman" w:cs="Times New Roman"/>
          <w:color w:val="000000"/>
          <w:szCs w:val="24"/>
          <w:lang w:eastAsia="es-CR"/>
        </w:rPr>
        <w:t>.</w:t>
      </w:r>
      <w:r>
        <w:rPr>
          <w:rFonts w:eastAsia="Times New Roman" w:cs="Times New Roman"/>
          <w:color w:val="000000"/>
          <w:szCs w:val="24"/>
          <w:lang w:eastAsia="es-CR"/>
        </w:rPr>
        <w:t xml:space="preserve"> Finalmente, s</w:t>
      </w:r>
      <w:r w:rsidRPr="00F50AB5">
        <w:rPr>
          <w:rFonts w:eastAsia="Times New Roman" w:cs="Times New Roman"/>
          <w:color w:val="000000"/>
          <w:szCs w:val="24"/>
          <w:lang w:eastAsia="es-CR"/>
        </w:rPr>
        <w:t>e utilizaron 80 µL de buffer AE para realizar la elución de ADN y se realizaron 3 lavados con el mismo volumen para recuperar la mayor cantidad de ADN.  La cantidad y pureza del material genético extraído se cuantificó mediante el uso del Nanodrop 2000 (Thermo Scientific®), mientras que la integridad se determinó mediante un gel de agarosa al 1% en buffer TBE 1x 1 100</w:t>
      </w:r>
      <w:r>
        <w:rPr>
          <w:rFonts w:eastAsia="Times New Roman" w:cs="Times New Roman"/>
          <w:color w:val="000000"/>
          <w:szCs w:val="24"/>
          <w:lang w:eastAsia="es-CR"/>
        </w:rPr>
        <w:t xml:space="preserve"> </w:t>
      </w:r>
      <w:r w:rsidRPr="00F50AB5">
        <w:rPr>
          <w:rFonts w:eastAsia="Times New Roman" w:cs="Times New Roman"/>
          <w:color w:val="000000"/>
          <w:szCs w:val="24"/>
          <w:lang w:eastAsia="es-CR"/>
        </w:rPr>
        <w:t>V durante 1 h.</w:t>
      </w:r>
    </w:p>
    <w:p w14:paraId="06409DC8" w14:textId="32BDEAF0" w:rsidR="002D6787" w:rsidRDefault="4447C96C" w:rsidP="4447C96C">
      <w:pPr>
        <w:spacing w:before="240" w:after="0"/>
        <w:ind w:firstLine="720"/>
        <w:rPr>
          <w:rFonts w:eastAsia="Times New Roman" w:cs="Times New Roman"/>
          <w:color w:val="000000" w:themeColor="text1"/>
          <w:lang w:eastAsia="es-CR"/>
        </w:rPr>
      </w:pPr>
      <w:r w:rsidRPr="4447C96C">
        <w:rPr>
          <w:rFonts w:eastAsia="Times New Roman" w:cs="Times New Roman"/>
          <w:color w:val="000000" w:themeColor="text1"/>
          <w:lang w:eastAsia="es-CR"/>
        </w:rPr>
        <w:t xml:space="preserve">La amplificación por PCR se realizó utilizando las regiones ITS con los primers ITS1 ( 5´-TCCGTAGGTGAACCTGCGG-3) e ITS4 (5´-TCCTCCGCTTATTATTGATATGC-3´) </w:t>
      </w:r>
      <w:r w:rsidR="002D6787" w:rsidRPr="4447C96C">
        <w:rPr>
          <w:rFonts w:eastAsia="Times New Roman" w:cs="Times New Roman"/>
          <w:color w:val="000000" w:themeColor="text1"/>
          <w:lang w:eastAsia="es-CR"/>
        </w:rPr>
        <w:fldChar w:fldCharType="begin" w:fldLock="1"/>
      </w:r>
      <w:r w:rsidR="002D6787" w:rsidRPr="4447C96C">
        <w:rPr>
          <w:rFonts w:eastAsia="Times New Roman" w:cs="Times New Roman"/>
          <w:color w:val="000000" w:themeColor="text1"/>
          <w:lang w:eastAsia="es-CR"/>
        </w:rPr>
        <w:instrText>ADDIN CSL_CITATION {"citationItems":[{"id":"ITEM-1","itemData":{"DOI":"10.1128/aem.61.4.1323-1330.1995","ISSN":"00992240","PMID":"7747954","abstract":"We constructed nine sets of oligonucleotide primers on the basis of the results of DNA hybridization of cloned genes from Neurospora crassa and Aspergillus nidulans to the genomes of select filamentous ascomycetes and deuteromycetes (with filamentous ascomycete affiliations). Nine sets of primers were designed to amplify segments of DNA that span one or more introns in conserved genes. PCR DNA amplification with the nine primer sets with genomic DNA from ascomycetes, deuteromycetes, basidiomycetes, and plants revealed that five of the primer sets amplified a product only from DNA of the filamentous ascomycetes and deuteromycetes. The five primer sets were constructed from the N. crassa genes for histone 3, histone 4, β-tubulin, and the plasma membrane ATPase. With these five primer sets, polymorphisms were observed in both the size of and restriction enzyme sites in the amplified products from the filamentous ascomycetes. The primer sets described here may provide useful tools for phylogenetic studies and genome analyses in filamentous ascomycetes and deuteromycetes (with ascomycete affiliations), as well as for the rapid differentiation of fungal species by PCR.","author":[{"dropping-particle":"","family":"Glass","given":"N. L.","non-dropping-particle":"","parse-names":false,"suffix":""},{"dropping-particle":"","family":"Donaldson","given":"G. C.","non-dropping-particle":"","parse-names":false,"suffix":""}],"container-title":"Applied and Environmental Microbiology","id":"ITEM-1","issue":"4","issued":{"date-parts":[["1995"]]},"page":"1323-1330","title":"Development of primer sets designed for use with the PCR to amplify conserved genes from filamentous &lt;i&gt; Ascomycetes&lt;/i&gt;","type":"article-journal","volume":"61"},"uris":["http://www.mendeley.com/documents/?uuid=d9524b56-3896-40c6-8654-d240e48e68c2"]}],"mendeley":{"formattedCitation":"(Glass &amp; Donaldson, 1995)","plainTextFormattedCitation":"(Glass &amp; Donaldson, 1995)","previouslyFormattedCitation":"(Glass &amp; Donaldson, 1995)"},"properties":{"noteIndex":0},"schema":"https://github.com/citation-style-language/schema/raw/master/csl-citation.json"}</w:instrText>
      </w:r>
      <w:r w:rsidR="002D6787" w:rsidRPr="4447C96C">
        <w:rPr>
          <w:rFonts w:eastAsia="Times New Roman" w:cs="Times New Roman"/>
          <w:color w:val="000000" w:themeColor="text1"/>
          <w:lang w:eastAsia="es-CR"/>
        </w:rPr>
        <w:fldChar w:fldCharType="separate"/>
      </w:r>
      <w:r w:rsidRPr="4447C96C">
        <w:rPr>
          <w:rFonts w:eastAsia="Times New Roman" w:cs="Times New Roman"/>
          <w:noProof/>
          <w:color w:val="000000" w:themeColor="text1"/>
          <w:lang w:eastAsia="es-CR"/>
        </w:rPr>
        <w:t>(Glass &amp; Donaldson, 1995)</w:t>
      </w:r>
      <w:r w:rsidR="002D6787" w:rsidRPr="4447C96C">
        <w:rPr>
          <w:rFonts w:eastAsia="Times New Roman" w:cs="Times New Roman"/>
          <w:color w:val="000000" w:themeColor="text1"/>
          <w:lang w:eastAsia="es-CR"/>
        </w:rPr>
        <w:fldChar w:fldCharType="end"/>
      </w:r>
      <w:r w:rsidRPr="4447C96C">
        <w:rPr>
          <w:rFonts w:eastAsia="Times New Roman" w:cs="Times New Roman"/>
          <w:color w:val="000000" w:themeColor="text1"/>
          <w:lang w:eastAsia="es-CR"/>
        </w:rPr>
        <w:t xml:space="preserve"> para un tamaño esperado de 500-700 pb. Para el Master Mix se utilizó DreamTaq DNA polimerasa 5U/µL Thermo Scientific</w:t>
      </w:r>
      <w:r w:rsidRPr="4447C96C">
        <w:rPr>
          <w:rFonts w:ascii="Symbol" w:eastAsia="Symbol" w:hAnsi="Symbol" w:cs="Symbol"/>
        </w:rPr>
        <w:t>â</w:t>
      </w:r>
      <w:r w:rsidRPr="4447C96C">
        <w:rPr>
          <w:rFonts w:eastAsia="Times New Roman" w:cs="Times New Roman"/>
          <w:color w:val="000000" w:themeColor="text1"/>
          <w:lang w:eastAsia="es-CR"/>
        </w:rPr>
        <w:t xml:space="preserve"> (10x). De igual forma, se realizó una amplificación con la región </w:t>
      </w:r>
      <w:r w:rsidRPr="4447C96C">
        <w:rPr>
          <w:rFonts w:ascii="Symbol" w:eastAsia="Symbol" w:hAnsi="Symbol" w:cs="Symbol"/>
        </w:rPr>
        <w:t>b</w:t>
      </w:r>
      <w:r w:rsidRPr="4447C96C">
        <w:rPr>
          <w:rFonts w:eastAsia="Times New Roman" w:cs="Times New Roman"/>
          <w:color w:val="000000" w:themeColor="text1"/>
          <w:lang w:eastAsia="es-CR"/>
        </w:rPr>
        <w:t>-tubulina, utilizando las regiones BetaT1 (5´-AACATGCGTGAGATTGTAAGT-3´) y BetaT2 (5´-TCTGGATGTTGTTGGGAATCC-3´), con un tamaño de fragmento esperado de 1 227 pb (</w:t>
      </w:r>
      <w:r w:rsidR="002D6787" w:rsidRPr="4447C96C">
        <w:rPr>
          <w:rFonts w:eastAsia="Times New Roman" w:cs="Times New Roman"/>
          <w:color w:val="000000" w:themeColor="text1"/>
          <w:lang w:eastAsia="es-CR"/>
        </w:rPr>
        <w:fldChar w:fldCharType="begin" w:fldLock="1"/>
      </w:r>
      <w:r w:rsidR="002D6787" w:rsidRPr="4447C96C">
        <w:rPr>
          <w:rFonts w:eastAsia="Times New Roman" w:cs="Times New Roman"/>
          <w:color w:val="000000" w:themeColor="text1"/>
          <w:lang w:eastAsia="es-CR"/>
        </w:rPr>
        <w:instrText>ADDIN CSL_CITATION {"citationItems":[{"id":"ITEM-1","itemData":{"DOI":"10.1006/mpev.1996.0376","author":[{"dropping-particle":"","family":"O’Donnell","given":"Kerry","non-dropping-particle":"","parse-names":false,"suffix":""},{"dropping-particle":"","family":"Cigelnik","given":"Elizabeth","non-dropping-particle":"","parse-names":false,"suffix":""}],"container-title":"Molecular Phylogenetics and Evolution","id":"ITEM-1","issue":"1","issued":{"date-parts":[["1997"]]},"page":"103-116","title":"Two Divergent Intragenomic rDNA ITS2 Types within a Monophyletic Lineage of the Fungus Fusarium are Nonorthologous","type":"article-journal","volume":"7"},"uris":["http://www.mendeley.com/documents/?uuid=55edd6ed-0a69-46d1-a18f-a4a4840dee28"]}],"mendeley":{"formattedCitation":"(O’Donnell &amp; Cigelnik, 1997)","manualFormatting":"O’Donnell &amp; Cigelnik 1997)","plainTextFormattedCitation":"(O’Donnell &amp; Cigelnik, 1997)","previouslyFormattedCitation":"(O’Donnell &amp; Cigelnik, 1997)"},"properties":{"noteIndex":0},"schema":"https://github.com/citation-style-language/schema/raw/master/csl-citation.json"}</w:instrText>
      </w:r>
      <w:r w:rsidR="002D6787" w:rsidRPr="4447C96C">
        <w:rPr>
          <w:rFonts w:eastAsia="Times New Roman" w:cs="Times New Roman"/>
          <w:color w:val="000000" w:themeColor="text1"/>
          <w:lang w:eastAsia="es-CR"/>
        </w:rPr>
        <w:fldChar w:fldCharType="separate"/>
      </w:r>
      <w:r w:rsidRPr="4447C96C">
        <w:rPr>
          <w:rFonts w:eastAsia="Times New Roman" w:cs="Times New Roman"/>
          <w:noProof/>
          <w:color w:val="000000" w:themeColor="text1"/>
          <w:lang w:eastAsia="es-CR"/>
        </w:rPr>
        <w:t>O’Donnell &amp; Cigelnik 1997)</w:t>
      </w:r>
      <w:r w:rsidR="002D6787" w:rsidRPr="4447C96C">
        <w:rPr>
          <w:rFonts w:eastAsia="Times New Roman" w:cs="Times New Roman"/>
          <w:color w:val="000000" w:themeColor="text1"/>
          <w:lang w:eastAsia="es-CR"/>
        </w:rPr>
        <w:fldChar w:fldCharType="end"/>
      </w:r>
      <w:r w:rsidRPr="4447C96C">
        <w:rPr>
          <w:rFonts w:eastAsia="Times New Roman" w:cs="Times New Roman"/>
          <w:color w:val="000000" w:themeColor="text1"/>
          <w:lang w:eastAsia="es-CR"/>
        </w:rPr>
        <w:t>. Para el Master Mix se utilizó PCR Master Mix Phusion Flash High-Fidelity 2x. Las concentraciones de los reactivos utilizados en los Master Mix y las condiciones de las corridas, las cuales se optimizaron para cada región, se encuentran detalladas en el cuadro 1 y 2, respectivamente.</w:t>
      </w:r>
    </w:p>
    <w:p w14:paraId="10E3B253" w14:textId="69776AAC" w:rsidR="002D6787" w:rsidRPr="00A00711" w:rsidRDefault="00336027" w:rsidP="0056732C">
      <w:pPr>
        <w:pStyle w:val="Descripcin"/>
        <w:tabs>
          <w:tab w:val="left" w:pos="8364"/>
        </w:tabs>
        <w:ind w:left="1134" w:right="996"/>
        <w:jc w:val="center"/>
        <w:rPr>
          <w:rFonts w:eastAsia="Times New Roman" w:cs="Times New Roman"/>
          <w:i w:val="0"/>
          <w:iCs w:val="0"/>
          <w:color w:val="auto"/>
          <w:sz w:val="20"/>
          <w:szCs w:val="20"/>
          <w:lang w:eastAsia="es-CR"/>
        </w:rPr>
      </w:pPr>
      <w:bookmarkStart w:id="70" w:name="_Toc138573804"/>
      <w:bookmarkStart w:id="71" w:name="_Toc138593429"/>
      <w:r w:rsidRPr="00D67D27">
        <w:rPr>
          <w:b/>
          <w:bCs/>
          <w:i w:val="0"/>
          <w:iCs w:val="0"/>
          <w:color w:val="auto"/>
          <w:sz w:val="20"/>
          <w:szCs w:val="20"/>
        </w:rPr>
        <w:lastRenderedPageBreak/>
        <w:t xml:space="preserve">Cuadro </w:t>
      </w:r>
      <w:r w:rsidRPr="00D67D27">
        <w:rPr>
          <w:b/>
          <w:bCs/>
          <w:i w:val="0"/>
          <w:iCs w:val="0"/>
          <w:color w:val="auto"/>
          <w:sz w:val="20"/>
          <w:szCs w:val="20"/>
        </w:rPr>
        <w:fldChar w:fldCharType="begin"/>
      </w:r>
      <w:r w:rsidRPr="00D67D27">
        <w:rPr>
          <w:b/>
          <w:bCs/>
          <w:i w:val="0"/>
          <w:iCs w:val="0"/>
          <w:color w:val="auto"/>
          <w:sz w:val="20"/>
          <w:szCs w:val="20"/>
        </w:rPr>
        <w:instrText xml:space="preserve"> SEQ Cuadro \* ARABIC </w:instrText>
      </w:r>
      <w:r w:rsidRPr="00D67D27">
        <w:rPr>
          <w:b/>
          <w:bCs/>
          <w:i w:val="0"/>
          <w:iCs w:val="0"/>
          <w:color w:val="auto"/>
          <w:sz w:val="20"/>
          <w:szCs w:val="20"/>
        </w:rPr>
        <w:fldChar w:fldCharType="separate"/>
      </w:r>
      <w:r w:rsidRPr="00D67D27">
        <w:rPr>
          <w:b/>
          <w:bCs/>
          <w:i w:val="0"/>
          <w:iCs w:val="0"/>
          <w:noProof/>
          <w:color w:val="auto"/>
          <w:sz w:val="20"/>
          <w:szCs w:val="20"/>
        </w:rPr>
        <w:t>1</w:t>
      </w:r>
      <w:r w:rsidRPr="00D67D27">
        <w:rPr>
          <w:b/>
          <w:bCs/>
          <w:i w:val="0"/>
          <w:iCs w:val="0"/>
          <w:color w:val="auto"/>
          <w:sz w:val="20"/>
          <w:szCs w:val="20"/>
        </w:rPr>
        <w:fldChar w:fldCharType="end"/>
      </w:r>
      <w:r w:rsidRPr="00D67D27">
        <w:rPr>
          <w:b/>
          <w:bCs/>
          <w:i w:val="0"/>
          <w:iCs w:val="0"/>
          <w:color w:val="auto"/>
          <w:sz w:val="20"/>
          <w:szCs w:val="20"/>
        </w:rPr>
        <w:t>.</w:t>
      </w:r>
      <w:r w:rsidRPr="00D67D27">
        <w:rPr>
          <w:color w:val="auto"/>
          <w:sz w:val="20"/>
          <w:szCs w:val="20"/>
        </w:rPr>
        <w:t xml:space="preserve"> </w:t>
      </w:r>
      <w:r w:rsidR="002D6787" w:rsidRPr="00D67D27">
        <w:rPr>
          <w:rFonts w:eastAsia="Times New Roman" w:cs="Times New Roman"/>
          <w:i w:val="0"/>
          <w:iCs w:val="0"/>
          <w:color w:val="auto"/>
          <w:sz w:val="20"/>
          <w:szCs w:val="20"/>
          <w:lang w:eastAsia="es-CR"/>
        </w:rPr>
        <w:t xml:space="preserve">Concentración final de los reactivos del Master Mix para las regiones amplificadas </w:t>
      </w:r>
      <w:r w:rsidR="007E045F" w:rsidRPr="00D67D27">
        <w:rPr>
          <w:rFonts w:eastAsia="Times New Roman" w:cs="Times New Roman"/>
          <w:i w:val="0"/>
          <w:iCs w:val="0"/>
          <w:color w:val="auto"/>
          <w:sz w:val="20"/>
          <w:szCs w:val="20"/>
          <w:lang w:eastAsia="es-CR"/>
        </w:rPr>
        <w:t>en</w:t>
      </w:r>
      <w:r w:rsidR="002D6787" w:rsidRPr="00D67D27">
        <w:rPr>
          <w:rFonts w:eastAsia="Times New Roman" w:cs="Times New Roman"/>
          <w:i w:val="0"/>
          <w:iCs w:val="0"/>
          <w:color w:val="auto"/>
          <w:sz w:val="20"/>
          <w:szCs w:val="20"/>
          <w:lang w:eastAsia="es-CR"/>
        </w:rPr>
        <w:t xml:space="preserve"> la identificación molecular de hongos marinos </w:t>
      </w:r>
      <w:r w:rsidR="002D6787" w:rsidRPr="00D67D27">
        <w:rPr>
          <w:rFonts w:eastAsia="Times New Roman" w:cs="Times New Roman"/>
          <w:i w:val="0"/>
          <w:iCs w:val="0"/>
          <w:color w:val="000000"/>
          <w:sz w:val="20"/>
          <w:szCs w:val="20"/>
          <w:lang w:eastAsia="es-CR"/>
        </w:rPr>
        <w:t xml:space="preserve">aislados de sedimentos del </w:t>
      </w:r>
      <w:r w:rsidR="002D6787" w:rsidRPr="00A00711">
        <w:rPr>
          <w:rFonts w:eastAsia="Times New Roman" w:cs="Times New Roman"/>
          <w:i w:val="0"/>
          <w:iCs w:val="0"/>
          <w:color w:val="000000"/>
          <w:sz w:val="20"/>
          <w:szCs w:val="20"/>
          <w:lang w:eastAsia="es-CR"/>
        </w:rPr>
        <w:t>manglar de Puntarenas, Costa Rica</w:t>
      </w:r>
      <w:bookmarkEnd w:id="70"/>
      <w:bookmarkEnd w:id="71"/>
    </w:p>
    <w:tbl>
      <w:tblPr>
        <w:tblStyle w:val="Tablaconcuadrcula"/>
        <w:tblW w:w="0" w:type="auto"/>
        <w:jc w:val="center"/>
        <w:tblBorders>
          <w:bottom w:val="single" w:sz="12" w:space="0" w:color="auto"/>
        </w:tblBorders>
        <w:tblLook w:val="04A0" w:firstRow="1" w:lastRow="0" w:firstColumn="1" w:lastColumn="0" w:noHBand="0" w:noVBand="1"/>
      </w:tblPr>
      <w:tblGrid>
        <w:gridCol w:w="3771"/>
        <w:gridCol w:w="76"/>
        <w:gridCol w:w="1865"/>
        <w:gridCol w:w="1643"/>
      </w:tblGrid>
      <w:tr w:rsidR="002D6787" w:rsidRPr="00A00711" w14:paraId="1210F6D4" w14:textId="77777777" w:rsidTr="0056732C">
        <w:trPr>
          <w:trHeight w:val="64"/>
          <w:jc w:val="center"/>
        </w:trPr>
        <w:tc>
          <w:tcPr>
            <w:tcW w:w="3771" w:type="dxa"/>
            <w:vMerge w:val="restart"/>
            <w:tcBorders>
              <w:top w:val="single" w:sz="8" w:space="0" w:color="auto"/>
              <w:bottom w:val="single" w:sz="4" w:space="0" w:color="FFFFFF" w:themeColor="background1"/>
            </w:tcBorders>
            <w:vAlign w:val="center"/>
          </w:tcPr>
          <w:p w14:paraId="0A3CDFC4" w14:textId="77777777" w:rsidR="002D6787" w:rsidRPr="00A00711" w:rsidRDefault="002D6787" w:rsidP="003B2AD5">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Reactivo</w:t>
            </w:r>
          </w:p>
        </w:tc>
        <w:tc>
          <w:tcPr>
            <w:tcW w:w="3584" w:type="dxa"/>
            <w:gridSpan w:val="3"/>
            <w:tcBorders>
              <w:top w:val="single" w:sz="8" w:space="0" w:color="auto"/>
              <w:bottom w:val="single" w:sz="8" w:space="0" w:color="auto"/>
            </w:tcBorders>
          </w:tcPr>
          <w:p w14:paraId="5C610BDD" w14:textId="77777777" w:rsidR="002D6787" w:rsidRPr="00A00711" w:rsidRDefault="002D6787" w:rsidP="003B2AD5">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Concentración final</w:t>
            </w:r>
          </w:p>
        </w:tc>
      </w:tr>
      <w:tr w:rsidR="002D6787" w:rsidRPr="00A00711" w14:paraId="0D18925A" w14:textId="77777777" w:rsidTr="0056732C">
        <w:trPr>
          <w:trHeight w:val="64"/>
          <w:jc w:val="center"/>
        </w:trPr>
        <w:tc>
          <w:tcPr>
            <w:tcW w:w="3771" w:type="dxa"/>
            <w:vMerge/>
            <w:tcBorders>
              <w:bottom w:val="single" w:sz="8" w:space="0" w:color="auto"/>
            </w:tcBorders>
          </w:tcPr>
          <w:p w14:paraId="2FD9D8D1" w14:textId="77777777" w:rsidR="002D6787" w:rsidRPr="00A00711" w:rsidRDefault="002D6787" w:rsidP="003B2AD5">
            <w:pPr>
              <w:spacing w:line="240" w:lineRule="auto"/>
              <w:rPr>
                <w:rFonts w:eastAsia="Times New Roman" w:cs="Times New Roman"/>
                <w:color w:val="000000"/>
                <w:sz w:val="20"/>
                <w:szCs w:val="20"/>
                <w:lang w:eastAsia="es-CR"/>
              </w:rPr>
            </w:pPr>
          </w:p>
        </w:tc>
        <w:tc>
          <w:tcPr>
            <w:tcW w:w="1941" w:type="dxa"/>
            <w:gridSpan w:val="2"/>
            <w:tcBorders>
              <w:top w:val="single" w:sz="8" w:space="0" w:color="auto"/>
              <w:bottom w:val="single" w:sz="8" w:space="0" w:color="auto"/>
            </w:tcBorders>
          </w:tcPr>
          <w:p w14:paraId="535F8D6F"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ITS</w:t>
            </w:r>
          </w:p>
        </w:tc>
        <w:tc>
          <w:tcPr>
            <w:tcW w:w="1643" w:type="dxa"/>
            <w:tcBorders>
              <w:top w:val="single" w:sz="8" w:space="0" w:color="auto"/>
              <w:bottom w:val="single" w:sz="8" w:space="0" w:color="auto"/>
            </w:tcBorders>
          </w:tcPr>
          <w:p w14:paraId="13C1CE6B" w14:textId="3A7223DB" w:rsidR="002D6787" w:rsidRPr="00A00711" w:rsidRDefault="000D6F60" w:rsidP="003B2AD5">
            <w:pPr>
              <w:spacing w:line="240" w:lineRule="auto"/>
              <w:jc w:val="center"/>
              <w:rPr>
                <w:rFonts w:eastAsia="Times New Roman" w:cs="Times New Roman"/>
                <w:color w:val="000000"/>
                <w:sz w:val="20"/>
                <w:szCs w:val="20"/>
                <w:lang w:eastAsia="es-CR"/>
              </w:rPr>
            </w:pPr>
            <w:r w:rsidRPr="00A00711">
              <w:rPr>
                <w:rFonts w:ascii="Symbol" w:eastAsia="Symbol" w:hAnsi="Symbol" w:cs="Symbol"/>
                <w:sz w:val="20"/>
                <w:szCs w:val="20"/>
              </w:rPr>
              <w:t>b</w:t>
            </w:r>
            <w:r w:rsidR="002D6787" w:rsidRPr="00A00711">
              <w:rPr>
                <w:rFonts w:eastAsia="Times New Roman" w:cs="Times New Roman"/>
                <w:color w:val="000000"/>
                <w:sz w:val="20"/>
                <w:szCs w:val="20"/>
                <w:lang w:eastAsia="es-CR"/>
              </w:rPr>
              <w:t>-tubulina</w:t>
            </w:r>
          </w:p>
        </w:tc>
      </w:tr>
      <w:tr w:rsidR="002D6787" w:rsidRPr="00A00711" w14:paraId="03E5AF5D" w14:textId="77777777" w:rsidTr="0056732C">
        <w:trPr>
          <w:trHeight w:val="64"/>
          <w:jc w:val="center"/>
        </w:trPr>
        <w:tc>
          <w:tcPr>
            <w:tcW w:w="3847" w:type="dxa"/>
            <w:gridSpan w:val="2"/>
            <w:tcBorders>
              <w:top w:val="single" w:sz="8" w:space="0" w:color="auto"/>
            </w:tcBorders>
          </w:tcPr>
          <w:p w14:paraId="02B33202"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Agua</w:t>
            </w:r>
          </w:p>
        </w:tc>
        <w:tc>
          <w:tcPr>
            <w:tcW w:w="1865" w:type="dxa"/>
            <w:tcBorders>
              <w:top w:val="single" w:sz="8" w:space="0" w:color="auto"/>
            </w:tcBorders>
          </w:tcPr>
          <w:p w14:paraId="2F9229C1"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w:t>
            </w:r>
          </w:p>
        </w:tc>
        <w:tc>
          <w:tcPr>
            <w:tcW w:w="1643" w:type="dxa"/>
            <w:tcBorders>
              <w:top w:val="single" w:sz="8" w:space="0" w:color="auto"/>
            </w:tcBorders>
          </w:tcPr>
          <w:p w14:paraId="15589F58"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w:t>
            </w:r>
          </w:p>
        </w:tc>
      </w:tr>
      <w:tr w:rsidR="002D6787" w:rsidRPr="00A00711" w14:paraId="00CD2CAF" w14:textId="77777777" w:rsidTr="0056732C">
        <w:trPr>
          <w:trHeight w:val="64"/>
          <w:jc w:val="center"/>
        </w:trPr>
        <w:tc>
          <w:tcPr>
            <w:tcW w:w="3847" w:type="dxa"/>
            <w:gridSpan w:val="2"/>
          </w:tcPr>
          <w:p w14:paraId="1D8545B3"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Master Mix</w:t>
            </w:r>
          </w:p>
        </w:tc>
        <w:tc>
          <w:tcPr>
            <w:tcW w:w="1865" w:type="dxa"/>
          </w:tcPr>
          <w:p w14:paraId="1CCF9F5F"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1x</w:t>
            </w:r>
          </w:p>
        </w:tc>
        <w:tc>
          <w:tcPr>
            <w:tcW w:w="1643" w:type="dxa"/>
          </w:tcPr>
          <w:p w14:paraId="6421D3F4"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1x</w:t>
            </w:r>
          </w:p>
        </w:tc>
      </w:tr>
      <w:tr w:rsidR="002D6787" w:rsidRPr="00A00711" w14:paraId="26714047" w14:textId="77777777" w:rsidTr="0056732C">
        <w:trPr>
          <w:trHeight w:val="64"/>
          <w:jc w:val="center"/>
        </w:trPr>
        <w:tc>
          <w:tcPr>
            <w:tcW w:w="3847" w:type="dxa"/>
            <w:gridSpan w:val="2"/>
          </w:tcPr>
          <w:p w14:paraId="5A37DE69"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dNTP´s</w:t>
            </w:r>
          </w:p>
        </w:tc>
        <w:tc>
          <w:tcPr>
            <w:tcW w:w="1865" w:type="dxa"/>
          </w:tcPr>
          <w:p w14:paraId="2C5C3BC3"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200 µM</w:t>
            </w:r>
          </w:p>
        </w:tc>
        <w:tc>
          <w:tcPr>
            <w:tcW w:w="1643" w:type="dxa"/>
          </w:tcPr>
          <w:p w14:paraId="696D7012"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w:t>
            </w:r>
          </w:p>
        </w:tc>
      </w:tr>
      <w:tr w:rsidR="002D6787" w:rsidRPr="00A00711" w14:paraId="3F5D6014" w14:textId="77777777" w:rsidTr="0056732C">
        <w:trPr>
          <w:trHeight w:val="64"/>
          <w:jc w:val="center"/>
        </w:trPr>
        <w:tc>
          <w:tcPr>
            <w:tcW w:w="3847" w:type="dxa"/>
            <w:gridSpan w:val="2"/>
            <w:tcBorders>
              <w:bottom w:val="nil"/>
            </w:tcBorders>
          </w:tcPr>
          <w:p w14:paraId="61BBA02F"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Primer Forward</w:t>
            </w:r>
          </w:p>
        </w:tc>
        <w:tc>
          <w:tcPr>
            <w:tcW w:w="1865" w:type="dxa"/>
            <w:tcBorders>
              <w:bottom w:val="nil"/>
            </w:tcBorders>
          </w:tcPr>
          <w:p w14:paraId="75FD1458"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0.2 µM</w:t>
            </w:r>
          </w:p>
        </w:tc>
        <w:tc>
          <w:tcPr>
            <w:tcW w:w="1643" w:type="dxa"/>
            <w:tcBorders>
              <w:bottom w:val="nil"/>
            </w:tcBorders>
          </w:tcPr>
          <w:p w14:paraId="09027C0B"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0.1 µM</w:t>
            </w:r>
          </w:p>
        </w:tc>
      </w:tr>
      <w:tr w:rsidR="002D6787" w:rsidRPr="00A00711" w14:paraId="55CE22C9" w14:textId="77777777" w:rsidTr="0056732C">
        <w:trPr>
          <w:trHeight w:val="64"/>
          <w:jc w:val="center"/>
        </w:trPr>
        <w:tc>
          <w:tcPr>
            <w:tcW w:w="3847" w:type="dxa"/>
            <w:gridSpan w:val="2"/>
            <w:tcBorders>
              <w:top w:val="nil"/>
              <w:left w:val="nil"/>
              <w:bottom w:val="nil"/>
              <w:right w:val="nil"/>
            </w:tcBorders>
          </w:tcPr>
          <w:p w14:paraId="7C3BADF0"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Primer Reverse</w:t>
            </w:r>
          </w:p>
        </w:tc>
        <w:tc>
          <w:tcPr>
            <w:tcW w:w="1865" w:type="dxa"/>
            <w:tcBorders>
              <w:top w:val="nil"/>
              <w:left w:val="nil"/>
              <w:bottom w:val="nil"/>
              <w:right w:val="nil"/>
            </w:tcBorders>
          </w:tcPr>
          <w:p w14:paraId="188CC5C1"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0.2 µM</w:t>
            </w:r>
          </w:p>
        </w:tc>
        <w:tc>
          <w:tcPr>
            <w:tcW w:w="1643" w:type="dxa"/>
            <w:tcBorders>
              <w:top w:val="nil"/>
              <w:left w:val="nil"/>
              <w:bottom w:val="nil"/>
              <w:right w:val="nil"/>
            </w:tcBorders>
          </w:tcPr>
          <w:p w14:paraId="6B8B3070"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0.1 µM</w:t>
            </w:r>
          </w:p>
        </w:tc>
      </w:tr>
      <w:tr w:rsidR="002D6787" w:rsidRPr="00A00711" w14:paraId="71BC4EFB" w14:textId="77777777" w:rsidTr="0056732C">
        <w:trPr>
          <w:trHeight w:val="64"/>
          <w:jc w:val="center"/>
        </w:trPr>
        <w:tc>
          <w:tcPr>
            <w:tcW w:w="3847" w:type="dxa"/>
            <w:gridSpan w:val="2"/>
            <w:tcBorders>
              <w:top w:val="nil"/>
              <w:bottom w:val="single" w:sz="12" w:space="0" w:color="auto"/>
            </w:tcBorders>
          </w:tcPr>
          <w:p w14:paraId="60195AA6" w14:textId="77777777" w:rsidR="002D6787" w:rsidRPr="00A00711" w:rsidRDefault="002D6787" w:rsidP="0056732C">
            <w:pPr>
              <w:spacing w:line="240" w:lineRule="auto"/>
              <w:jc w:val="center"/>
              <w:rPr>
                <w:rFonts w:eastAsia="Times New Roman" w:cs="Times New Roman"/>
                <w:b/>
                <w:bCs/>
                <w:color w:val="000000"/>
                <w:sz w:val="20"/>
                <w:szCs w:val="20"/>
                <w:lang w:eastAsia="es-CR"/>
              </w:rPr>
            </w:pPr>
            <w:r w:rsidRPr="00A00711">
              <w:rPr>
                <w:rFonts w:eastAsia="Times New Roman" w:cs="Times New Roman"/>
                <w:b/>
                <w:bCs/>
                <w:color w:val="000000"/>
                <w:sz w:val="20"/>
                <w:szCs w:val="20"/>
                <w:lang w:eastAsia="es-CR"/>
              </w:rPr>
              <w:t>Taq</w:t>
            </w:r>
          </w:p>
        </w:tc>
        <w:tc>
          <w:tcPr>
            <w:tcW w:w="1865" w:type="dxa"/>
            <w:tcBorders>
              <w:top w:val="nil"/>
              <w:bottom w:val="single" w:sz="12" w:space="0" w:color="auto"/>
            </w:tcBorders>
          </w:tcPr>
          <w:p w14:paraId="47B78625"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0.05 U/µL</w:t>
            </w:r>
          </w:p>
        </w:tc>
        <w:tc>
          <w:tcPr>
            <w:tcW w:w="1643" w:type="dxa"/>
            <w:tcBorders>
              <w:top w:val="nil"/>
              <w:bottom w:val="single" w:sz="12" w:space="0" w:color="auto"/>
            </w:tcBorders>
          </w:tcPr>
          <w:p w14:paraId="66A20C3C" w14:textId="77777777" w:rsidR="002D6787" w:rsidRPr="00A00711" w:rsidRDefault="002D6787" w:rsidP="003B2AD5">
            <w:pPr>
              <w:spacing w:line="240" w:lineRule="auto"/>
              <w:jc w:val="center"/>
              <w:rPr>
                <w:rFonts w:eastAsia="Times New Roman" w:cs="Times New Roman"/>
                <w:color w:val="000000"/>
                <w:sz w:val="20"/>
                <w:szCs w:val="20"/>
                <w:lang w:eastAsia="es-CR"/>
              </w:rPr>
            </w:pPr>
            <w:r w:rsidRPr="00A00711">
              <w:rPr>
                <w:rFonts w:eastAsia="Times New Roman" w:cs="Times New Roman"/>
                <w:color w:val="000000"/>
                <w:sz w:val="20"/>
                <w:szCs w:val="20"/>
                <w:lang w:eastAsia="es-CR"/>
              </w:rPr>
              <w:t>-</w:t>
            </w:r>
          </w:p>
        </w:tc>
      </w:tr>
    </w:tbl>
    <w:p w14:paraId="11260F4E" w14:textId="77777777" w:rsidR="00D63BF2" w:rsidRDefault="00D63BF2" w:rsidP="00D63BF2">
      <w:pPr>
        <w:pStyle w:val="Descripcin"/>
        <w:spacing w:after="0"/>
        <w:rPr>
          <w:b/>
          <w:bCs/>
          <w:i w:val="0"/>
          <w:iCs w:val="0"/>
          <w:color w:val="auto"/>
          <w:sz w:val="20"/>
          <w:szCs w:val="20"/>
        </w:rPr>
      </w:pPr>
      <w:bookmarkStart w:id="72" w:name="_Toc138573805"/>
    </w:p>
    <w:p w14:paraId="04BA6906" w14:textId="56B4BCCE" w:rsidR="002D6787" w:rsidRPr="00A00711" w:rsidRDefault="00336027" w:rsidP="0056732C">
      <w:pPr>
        <w:pStyle w:val="Descripcin"/>
        <w:ind w:left="993" w:right="855" w:hanging="142"/>
        <w:jc w:val="center"/>
        <w:rPr>
          <w:rFonts w:eastAsia="Times New Roman" w:cs="Times New Roman"/>
          <w:i w:val="0"/>
          <w:iCs w:val="0"/>
          <w:color w:val="000000"/>
          <w:sz w:val="20"/>
          <w:szCs w:val="20"/>
          <w:lang w:eastAsia="es-CR"/>
        </w:rPr>
      </w:pPr>
      <w:bookmarkStart w:id="73" w:name="_Toc138593430"/>
      <w:r w:rsidRPr="00A00711">
        <w:rPr>
          <w:b/>
          <w:bCs/>
          <w:i w:val="0"/>
          <w:iCs w:val="0"/>
          <w:color w:val="auto"/>
          <w:sz w:val="20"/>
          <w:szCs w:val="20"/>
        </w:rPr>
        <w:t xml:space="preserve">Cuadro </w:t>
      </w:r>
      <w:r w:rsidRPr="00A00711">
        <w:rPr>
          <w:b/>
          <w:bCs/>
          <w:i w:val="0"/>
          <w:iCs w:val="0"/>
          <w:color w:val="auto"/>
          <w:sz w:val="20"/>
          <w:szCs w:val="20"/>
        </w:rPr>
        <w:fldChar w:fldCharType="begin"/>
      </w:r>
      <w:r w:rsidRPr="00A00711">
        <w:rPr>
          <w:b/>
          <w:bCs/>
          <w:i w:val="0"/>
          <w:iCs w:val="0"/>
          <w:color w:val="auto"/>
          <w:sz w:val="20"/>
          <w:szCs w:val="20"/>
        </w:rPr>
        <w:instrText xml:space="preserve"> SEQ Cuadro \* ARABIC </w:instrText>
      </w:r>
      <w:r w:rsidRPr="00A00711">
        <w:rPr>
          <w:b/>
          <w:bCs/>
          <w:i w:val="0"/>
          <w:iCs w:val="0"/>
          <w:color w:val="auto"/>
          <w:sz w:val="20"/>
          <w:szCs w:val="20"/>
        </w:rPr>
        <w:fldChar w:fldCharType="separate"/>
      </w:r>
      <w:r w:rsidRPr="00A00711">
        <w:rPr>
          <w:b/>
          <w:bCs/>
          <w:i w:val="0"/>
          <w:iCs w:val="0"/>
          <w:noProof/>
          <w:color w:val="auto"/>
          <w:sz w:val="20"/>
          <w:szCs w:val="20"/>
        </w:rPr>
        <w:t>2</w:t>
      </w:r>
      <w:r w:rsidRPr="00A00711">
        <w:rPr>
          <w:b/>
          <w:bCs/>
          <w:i w:val="0"/>
          <w:iCs w:val="0"/>
          <w:color w:val="auto"/>
          <w:sz w:val="20"/>
          <w:szCs w:val="20"/>
        </w:rPr>
        <w:fldChar w:fldCharType="end"/>
      </w:r>
      <w:r w:rsidRPr="00A00711">
        <w:rPr>
          <w:sz w:val="20"/>
          <w:szCs w:val="20"/>
        </w:rPr>
        <w:t xml:space="preserve">. </w:t>
      </w:r>
      <w:r w:rsidR="002D6787" w:rsidRPr="00A00711">
        <w:rPr>
          <w:rFonts w:eastAsia="Times New Roman" w:cs="Times New Roman"/>
          <w:i w:val="0"/>
          <w:iCs w:val="0"/>
          <w:color w:val="000000"/>
          <w:sz w:val="20"/>
          <w:szCs w:val="20"/>
          <w:lang w:eastAsia="es-CR"/>
        </w:rPr>
        <w:t xml:space="preserve">Condiciones de termociclado utilizadas para amplificar las regiones ITS y </w:t>
      </w:r>
      <w:r w:rsidR="003C2832" w:rsidRPr="00A00711">
        <w:rPr>
          <w:rFonts w:ascii="Symbol" w:eastAsia="Symbol" w:hAnsi="Symbol" w:cs="Symbol"/>
          <w:i w:val="0"/>
          <w:iCs w:val="0"/>
          <w:color w:val="auto"/>
          <w:sz w:val="20"/>
          <w:szCs w:val="20"/>
        </w:rPr>
        <w:t>b</w:t>
      </w:r>
      <w:r w:rsidR="003C2832" w:rsidRPr="00A00711">
        <w:rPr>
          <w:rFonts w:eastAsia="Times New Roman" w:cs="Times New Roman"/>
          <w:i w:val="0"/>
          <w:iCs w:val="0"/>
          <w:color w:val="auto"/>
          <w:sz w:val="20"/>
          <w:szCs w:val="20"/>
          <w:lang w:eastAsia="es-CR"/>
        </w:rPr>
        <w:t xml:space="preserve"> </w:t>
      </w:r>
      <w:r w:rsidR="002D6787" w:rsidRPr="00A00711">
        <w:rPr>
          <w:rFonts w:eastAsia="Times New Roman" w:cs="Times New Roman"/>
          <w:i w:val="0"/>
          <w:iCs w:val="0"/>
          <w:color w:val="000000"/>
          <w:sz w:val="20"/>
          <w:szCs w:val="20"/>
          <w:lang w:eastAsia="es-CR"/>
        </w:rPr>
        <w:t>-tubulina en hongos marinos aislados de sedimentos del manglar de Puntarenas, Costa Rica.</w:t>
      </w:r>
      <w:bookmarkEnd w:id="72"/>
      <w:bookmarkEnd w:id="73"/>
    </w:p>
    <w:tbl>
      <w:tblPr>
        <w:tblStyle w:val="Tablanormal2"/>
        <w:tblW w:w="7512" w:type="dxa"/>
        <w:tblInd w:w="993" w:type="dxa"/>
        <w:tblBorders>
          <w:top w:val="none" w:sz="0" w:space="0" w:color="auto"/>
          <w:bottom w:val="none" w:sz="0" w:space="0" w:color="auto"/>
        </w:tblBorders>
        <w:tblLook w:val="04A0" w:firstRow="1" w:lastRow="0" w:firstColumn="1" w:lastColumn="0" w:noHBand="0" w:noVBand="1"/>
      </w:tblPr>
      <w:tblGrid>
        <w:gridCol w:w="2545"/>
        <w:gridCol w:w="2404"/>
        <w:gridCol w:w="2563"/>
      </w:tblGrid>
      <w:tr w:rsidR="002D6787" w:rsidRPr="00A00711" w14:paraId="6C1132C7" w14:textId="77777777" w:rsidTr="0056732C">
        <w:trPr>
          <w:cnfStyle w:val="100000000000" w:firstRow="1" w:lastRow="0" w:firstColumn="0" w:lastColumn="0" w:oddVBand="0" w:evenVBand="0" w:oddHBand="0"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545" w:type="dxa"/>
            <w:tcBorders>
              <w:top w:val="single" w:sz="8" w:space="0" w:color="auto"/>
              <w:bottom w:val="single" w:sz="8" w:space="0" w:color="auto"/>
            </w:tcBorders>
          </w:tcPr>
          <w:p w14:paraId="7E5BCFA9" w14:textId="77777777" w:rsidR="002D6787" w:rsidRPr="00A00711" w:rsidRDefault="002D6787" w:rsidP="003B2AD5">
            <w:pPr>
              <w:spacing w:line="240" w:lineRule="auto"/>
              <w:jc w:val="center"/>
              <w:rPr>
                <w:sz w:val="20"/>
                <w:szCs w:val="20"/>
                <w:lang w:eastAsia="es-CR"/>
              </w:rPr>
            </w:pPr>
            <w:r w:rsidRPr="00A00711">
              <w:rPr>
                <w:sz w:val="20"/>
                <w:szCs w:val="20"/>
                <w:lang w:eastAsia="es-CR"/>
              </w:rPr>
              <w:t>Etapas de amplificación</w:t>
            </w:r>
          </w:p>
        </w:tc>
        <w:tc>
          <w:tcPr>
            <w:tcW w:w="2404" w:type="dxa"/>
            <w:tcBorders>
              <w:top w:val="single" w:sz="8" w:space="0" w:color="auto"/>
              <w:bottom w:val="single" w:sz="8" w:space="0" w:color="auto"/>
            </w:tcBorders>
          </w:tcPr>
          <w:p w14:paraId="233A8759" w14:textId="77777777" w:rsidR="002D6787" w:rsidRPr="00A00711" w:rsidRDefault="002D6787" w:rsidP="003B2AD5">
            <w:pPr>
              <w:spacing w:line="240" w:lineRule="auto"/>
              <w:jc w:val="center"/>
              <w:cnfStyle w:val="100000000000" w:firstRow="1" w:lastRow="0" w:firstColumn="0" w:lastColumn="0" w:oddVBand="0" w:evenVBand="0" w:oddHBand="0" w:evenHBand="0" w:firstRowFirstColumn="0" w:firstRowLastColumn="0" w:lastRowFirstColumn="0" w:lastRowLastColumn="0"/>
              <w:rPr>
                <w:sz w:val="20"/>
                <w:szCs w:val="20"/>
                <w:lang w:eastAsia="es-CR"/>
              </w:rPr>
            </w:pPr>
            <w:r w:rsidRPr="00A00711">
              <w:rPr>
                <w:sz w:val="20"/>
                <w:szCs w:val="20"/>
                <w:lang w:eastAsia="es-CR"/>
              </w:rPr>
              <w:t>ITS</w:t>
            </w:r>
          </w:p>
        </w:tc>
        <w:tc>
          <w:tcPr>
            <w:tcW w:w="2563" w:type="dxa"/>
            <w:tcBorders>
              <w:top w:val="single" w:sz="8" w:space="0" w:color="auto"/>
              <w:bottom w:val="single" w:sz="8" w:space="0" w:color="auto"/>
            </w:tcBorders>
          </w:tcPr>
          <w:p w14:paraId="17672C0A" w14:textId="0EA8978A" w:rsidR="002D6787" w:rsidRPr="00A00711" w:rsidRDefault="000D6F60" w:rsidP="003B2AD5">
            <w:pPr>
              <w:spacing w:line="240" w:lineRule="auto"/>
              <w:jc w:val="center"/>
              <w:cnfStyle w:val="100000000000" w:firstRow="1" w:lastRow="0" w:firstColumn="0" w:lastColumn="0" w:oddVBand="0" w:evenVBand="0" w:oddHBand="0" w:evenHBand="0" w:firstRowFirstColumn="0" w:firstRowLastColumn="0" w:lastRowFirstColumn="0" w:lastRowLastColumn="0"/>
              <w:rPr>
                <w:sz w:val="20"/>
                <w:szCs w:val="20"/>
                <w:lang w:eastAsia="es-CR"/>
              </w:rPr>
            </w:pPr>
            <w:r w:rsidRPr="00A00711">
              <w:rPr>
                <w:rFonts w:ascii="Symbol" w:eastAsia="Symbol" w:hAnsi="Symbol" w:cs="Symbol"/>
                <w:sz w:val="20"/>
                <w:szCs w:val="20"/>
              </w:rPr>
              <w:t>b</w:t>
            </w:r>
            <w:r w:rsidR="002D6787" w:rsidRPr="00A00711">
              <w:rPr>
                <w:sz w:val="20"/>
                <w:szCs w:val="20"/>
                <w:lang w:eastAsia="es-CR"/>
              </w:rPr>
              <w:t>-tubulina</w:t>
            </w:r>
          </w:p>
        </w:tc>
      </w:tr>
      <w:tr w:rsidR="002D6787" w:rsidRPr="00A00711" w14:paraId="08E28B67" w14:textId="77777777" w:rsidTr="0056732C">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545" w:type="dxa"/>
            <w:tcBorders>
              <w:top w:val="single" w:sz="8" w:space="0" w:color="auto"/>
              <w:bottom w:val="none" w:sz="0" w:space="0" w:color="auto"/>
            </w:tcBorders>
          </w:tcPr>
          <w:p w14:paraId="6AD5F081" w14:textId="77777777" w:rsidR="002D6787" w:rsidRPr="00A00711" w:rsidRDefault="002D6787" w:rsidP="003B2AD5">
            <w:pPr>
              <w:spacing w:line="240" w:lineRule="auto"/>
              <w:jc w:val="left"/>
              <w:rPr>
                <w:sz w:val="20"/>
                <w:szCs w:val="20"/>
                <w:lang w:eastAsia="es-CR"/>
              </w:rPr>
            </w:pPr>
            <w:r w:rsidRPr="00A00711">
              <w:rPr>
                <w:sz w:val="20"/>
                <w:szCs w:val="20"/>
                <w:lang w:eastAsia="es-CR"/>
              </w:rPr>
              <w:t>Desnaturalización inicial</w:t>
            </w:r>
          </w:p>
        </w:tc>
        <w:tc>
          <w:tcPr>
            <w:tcW w:w="2404" w:type="dxa"/>
            <w:tcBorders>
              <w:top w:val="single" w:sz="8" w:space="0" w:color="auto"/>
              <w:bottom w:val="none" w:sz="0" w:space="0" w:color="auto"/>
            </w:tcBorders>
          </w:tcPr>
          <w:p w14:paraId="2C787A94"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95 °C por 3 min</w:t>
            </w:r>
          </w:p>
        </w:tc>
        <w:tc>
          <w:tcPr>
            <w:tcW w:w="2563" w:type="dxa"/>
            <w:tcBorders>
              <w:top w:val="single" w:sz="8" w:space="0" w:color="auto"/>
              <w:bottom w:val="none" w:sz="0" w:space="0" w:color="auto"/>
            </w:tcBorders>
          </w:tcPr>
          <w:p w14:paraId="25034108"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95°C por 3 min</w:t>
            </w:r>
          </w:p>
        </w:tc>
      </w:tr>
      <w:tr w:rsidR="002D6787" w:rsidRPr="00A00711" w14:paraId="16980431" w14:textId="77777777" w:rsidTr="0056732C">
        <w:trPr>
          <w:trHeight w:val="295"/>
        </w:trPr>
        <w:tc>
          <w:tcPr>
            <w:cnfStyle w:val="001000000000" w:firstRow="0" w:lastRow="0" w:firstColumn="1" w:lastColumn="0" w:oddVBand="0" w:evenVBand="0" w:oddHBand="0" w:evenHBand="0" w:firstRowFirstColumn="0" w:firstRowLastColumn="0" w:lastRowFirstColumn="0" w:lastRowLastColumn="0"/>
            <w:tcW w:w="2545" w:type="dxa"/>
          </w:tcPr>
          <w:p w14:paraId="760AAA6F" w14:textId="77777777" w:rsidR="002D6787" w:rsidRPr="00A00711" w:rsidRDefault="002D6787" w:rsidP="003B2AD5">
            <w:pPr>
              <w:spacing w:line="240" w:lineRule="auto"/>
              <w:jc w:val="left"/>
              <w:rPr>
                <w:sz w:val="20"/>
                <w:szCs w:val="20"/>
                <w:lang w:eastAsia="es-CR"/>
              </w:rPr>
            </w:pPr>
            <w:r w:rsidRPr="00A00711">
              <w:rPr>
                <w:sz w:val="20"/>
                <w:szCs w:val="20"/>
                <w:lang w:eastAsia="es-CR"/>
              </w:rPr>
              <w:t>Desnaturalización</w:t>
            </w:r>
          </w:p>
        </w:tc>
        <w:tc>
          <w:tcPr>
            <w:tcW w:w="2404" w:type="dxa"/>
          </w:tcPr>
          <w:p w14:paraId="12395120" w14:textId="77777777" w:rsidR="002D6787" w:rsidRPr="00A00711" w:rsidRDefault="002D6787" w:rsidP="003B2A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95 °C por 30 s</w:t>
            </w:r>
          </w:p>
        </w:tc>
        <w:tc>
          <w:tcPr>
            <w:tcW w:w="2563" w:type="dxa"/>
          </w:tcPr>
          <w:p w14:paraId="3BE9E236" w14:textId="77777777" w:rsidR="002D6787" w:rsidRPr="00A00711" w:rsidRDefault="002D6787" w:rsidP="003B2A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95°C por 35 s</w:t>
            </w:r>
          </w:p>
        </w:tc>
      </w:tr>
      <w:tr w:rsidR="002D6787" w:rsidRPr="00A00711" w14:paraId="5D40216C" w14:textId="77777777" w:rsidTr="0056732C">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545" w:type="dxa"/>
            <w:tcBorders>
              <w:top w:val="none" w:sz="0" w:space="0" w:color="auto"/>
              <w:bottom w:val="none" w:sz="0" w:space="0" w:color="auto"/>
            </w:tcBorders>
          </w:tcPr>
          <w:p w14:paraId="60E585B8" w14:textId="77777777" w:rsidR="002D6787" w:rsidRPr="00A00711" w:rsidRDefault="002D6787" w:rsidP="003B2AD5">
            <w:pPr>
              <w:spacing w:line="240" w:lineRule="auto"/>
              <w:jc w:val="left"/>
              <w:rPr>
                <w:sz w:val="20"/>
                <w:szCs w:val="20"/>
                <w:lang w:eastAsia="es-CR"/>
              </w:rPr>
            </w:pPr>
            <w:r w:rsidRPr="00A00711">
              <w:rPr>
                <w:sz w:val="20"/>
                <w:szCs w:val="20"/>
                <w:lang w:eastAsia="es-CR"/>
              </w:rPr>
              <w:t>Annealing</w:t>
            </w:r>
          </w:p>
        </w:tc>
        <w:tc>
          <w:tcPr>
            <w:tcW w:w="2404" w:type="dxa"/>
            <w:tcBorders>
              <w:top w:val="none" w:sz="0" w:space="0" w:color="auto"/>
              <w:bottom w:val="none" w:sz="0" w:space="0" w:color="auto"/>
            </w:tcBorders>
          </w:tcPr>
          <w:p w14:paraId="6047CD57"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59 °C por 30 s</w:t>
            </w:r>
          </w:p>
        </w:tc>
        <w:tc>
          <w:tcPr>
            <w:tcW w:w="2563" w:type="dxa"/>
            <w:tcBorders>
              <w:top w:val="none" w:sz="0" w:space="0" w:color="auto"/>
              <w:bottom w:val="none" w:sz="0" w:space="0" w:color="auto"/>
            </w:tcBorders>
          </w:tcPr>
          <w:p w14:paraId="3D9D7938"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58 °C por 30 s*</w:t>
            </w:r>
          </w:p>
        </w:tc>
      </w:tr>
      <w:tr w:rsidR="002D6787" w:rsidRPr="00A00711" w14:paraId="58CEAD14" w14:textId="77777777" w:rsidTr="0056732C">
        <w:trPr>
          <w:trHeight w:val="295"/>
        </w:trPr>
        <w:tc>
          <w:tcPr>
            <w:cnfStyle w:val="001000000000" w:firstRow="0" w:lastRow="0" w:firstColumn="1" w:lastColumn="0" w:oddVBand="0" w:evenVBand="0" w:oddHBand="0" w:evenHBand="0" w:firstRowFirstColumn="0" w:firstRowLastColumn="0" w:lastRowFirstColumn="0" w:lastRowLastColumn="0"/>
            <w:tcW w:w="2545" w:type="dxa"/>
          </w:tcPr>
          <w:p w14:paraId="004F2267" w14:textId="77777777" w:rsidR="002D6787" w:rsidRPr="00A00711" w:rsidRDefault="002D6787" w:rsidP="003B2AD5">
            <w:pPr>
              <w:spacing w:line="240" w:lineRule="auto"/>
              <w:jc w:val="left"/>
              <w:rPr>
                <w:sz w:val="20"/>
                <w:szCs w:val="20"/>
                <w:lang w:eastAsia="es-CR"/>
              </w:rPr>
            </w:pPr>
            <w:r w:rsidRPr="00A00711">
              <w:rPr>
                <w:sz w:val="20"/>
                <w:szCs w:val="20"/>
                <w:lang w:eastAsia="es-CR"/>
              </w:rPr>
              <w:t>Elongación</w:t>
            </w:r>
          </w:p>
        </w:tc>
        <w:tc>
          <w:tcPr>
            <w:tcW w:w="2404" w:type="dxa"/>
          </w:tcPr>
          <w:p w14:paraId="76E767B0" w14:textId="77777777" w:rsidR="002D6787" w:rsidRPr="00A00711" w:rsidRDefault="002D6787" w:rsidP="003B2A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72 °C por 30 s</w:t>
            </w:r>
          </w:p>
        </w:tc>
        <w:tc>
          <w:tcPr>
            <w:tcW w:w="2563" w:type="dxa"/>
          </w:tcPr>
          <w:p w14:paraId="2681B377" w14:textId="77777777" w:rsidR="002D6787" w:rsidRPr="00A00711" w:rsidRDefault="002D6787" w:rsidP="00707596">
            <w:pPr>
              <w:spacing w:line="240" w:lineRule="auto"/>
              <w:ind w:right="25"/>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72°C por 30 s</w:t>
            </w:r>
          </w:p>
        </w:tc>
      </w:tr>
      <w:tr w:rsidR="002D6787" w:rsidRPr="00A00711" w14:paraId="2C333D1D" w14:textId="77777777" w:rsidTr="0056732C">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545" w:type="dxa"/>
            <w:tcBorders>
              <w:top w:val="none" w:sz="0" w:space="0" w:color="auto"/>
              <w:bottom w:val="none" w:sz="0" w:space="0" w:color="auto"/>
            </w:tcBorders>
          </w:tcPr>
          <w:p w14:paraId="0BD2B1BC" w14:textId="77777777" w:rsidR="002D6787" w:rsidRPr="00A00711" w:rsidRDefault="002D6787" w:rsidP="003B2AD5">
            <w:pPr>
              <w:spacing w:line="240" w:lineRule="auto"/>
              <w:jc w:val="left"/>
              <w:rPr>
                <w:sz w:val="20"/>
                <w:szCs w:val="20"/>
                <w:lang w:eastAsia="es-CR"/>
              </w:rPr>
            </w:pPr>
            <w:r w:rsidRPr="00A00711">
              <w:rPr>
                <w:sz w:val="20"/>
                <w:szCs w:val="20"/>
                <w:lang w:eastAsia="es-CR"/>
              </w:rPr>
              <w:t>Elongación final</w:t>
            </w:r>
          </w:p>
        </w:tc>
        <w:tc>
          <w:tcPr>
            <w:tcW w:w="2404" w:type="dxa"/>
            <w:tcBorders>
              <w:top w:val="none" w:sz="0" w:space="0" w:color="auto"/>
              <w:bottom w:val="none" w:sz="0" w:space="0" w:color="auto"/>
            </w:tcBorders>
          </w:tcPr>
          <w:p w14:paraId="2CF92821"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72 °C por 10 min</w:t>
            </w:r>
          </w:p>
        </w:tc>
        <w:tc>
          <w:tcPr>
            <w:tcW w:w="2563" w:type="dxa"/>
            <w:tcBorders>
              <w:top w:val="none" w:sz="0" w:space="0" w:color="auto"/>
              <w:bottom w:val="none" w:sz="0" w:space="0" w:color="auto"/>
            </w:tcBorders>
          </w:tcPr>
          <w:p w14:paraId="6D85419E" w14:textId="77777777" w:rsidR="002D6787" w:rsidRPr="00A00711" w:rsidRDefault="002D6787" w:rsidP="003B2AD5">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72°C por 10 min</w:t>
            </w:r>
          </w:p>
        </w:tc>
      </w:tr>
      <w:tr w:rsidR="002D6787" w:rsidRPr="00A00711" w14:paraId="43AD0E35" w14:textId="77777777" w:rsidTr="0056732C">
        <w:trPr>
          <w:trHeight w:val="295"/>
        </w:trPr>
        <w:tc>
          <w:tcPr>
            <w:cnfStyle w:val="001000000000" w:firstRow="0" w:lastRow="0" w:firstColumn="1" w:lastColumn="0" w:oddVBand="0" w:evenVBand="0" w:oddHBand="0" w:evenHBand="0" w:firstRowFirstColumn="0" w:firstRowLastColumn="0" w:lastRowFirstColumn="0" w:lastRowLastColumn="0"/>
            <w:tcW w:w="2545" w:type="dxa"/>
            <w:tcBorders>
              <w:bottom w:val="single" w:sz="8" w:space="0" w:color="auto"/>
            </w:tcBorders>
          </w:tcPr>
          <w:p w14:paraId="44BC5EF9" w14:textId="77777777" w:rsidR="002D6787" w:rsidRPr="00A00711" w:rsidRDefault="002D6787" w:rsidP="003B2AD5">
            <w:pPr>
              <w:spacing w:line="240" w:lineRule="auto"/>
              <w:jc w:val="left"/>
              <w:rPr>
                <w:sz w:val="20"/>
                <w:szCs w:val="20"/>
                <w:lang w:eastAsia="es-CR"/>
              </w:rPr>
            </w:pPr>
            <w:r w:rsidRPr="00A00711">
              <w:rPr>
                <w:sz w:val="20"/>
                <w:szCs w:val="20"/>
                <w:lang w:eastAsia="es-CR"/>
              </w:rPr>
              <w:t>Ciclos</w:t>
            </w:r>
          </w:p>
        </w:tc>
        <w:tc>
          <w:tcPr>
            <w:tcW w:w="2404" w:type="dxa"/>
            <w:tcBorders>
              <w:bottom w:val="single" w:sz="8" w:space="0" w:color="auto"/>
            </w:tcBorders>
          </w:tcPr>
          <w:p w14:paraId="09943D58" w14:textId="77777777" w:rsidR="002D6787" w:rsidRPr="00A00711" w:rsidRDefault="002D6787" w:rsidP="003B2A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30</w:t>
            </w:r>
          </w:p>
        </w:tc>
        <w:tc>
          <w:tcPr>
            <w:tcW w:w="2563" w:type="dxa"/>
            <w:tcBorders>
              <w:bottom w:val="single" w:sz="8" w:space="0" w:color="auto"/>
            </w:tcBorders>
          </w:tcPr>
          <w:p w14:paraId="17020601" w14:textId="77777777" w:rsidR="002D6787" w:rsidRPr="00A00711" w:rsidRDefault="002D6787" w:rsidP="003B2A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A00711">
              <w:rPr>
                <w:rFonts w:eastAsia="Times New Roman" w:cs="Times New Roman"/>
                <w:color w:val="000000"/>
                <w:sz w:val="20"/>
                <w:szCs w:val="20"/>
                <w:lang w:eastAsia="es-CR"/>
              </w:rPr>
              <w:t>35</w:t>
            </w:r>
          </w:p>
        </w:tc>
      </w:tr>
    </w:tbl>
    <w:p w14:paraId="6106E9C8" w14:textId="77777777" w:rsidR="002D6787" w:rsidRPr="00A00711" w:rsidRDefault="002D6787" w:rsidP="00A00711">
      <w:pPr>
        <w:ind w:left="708" w:firstLine="708"/>
        <w:jc w:val="left"/>
        <w:rPr>
          <w:sz w:val="20"/>
          <w:szCs w:val="20"/>
          <w:lang w:eastAsia="es-CR"/>
        </w:rPr>
      </w:pPr>
      <w:r w:rsidRPr="00A00711">
        <w:rPr>
          <w:sz w:val="20"/>
          <w:szCs w:val="20"/>
          <w:lang w:eastAsia="es-CR"/>
        </w:rPr>
        <w:t>*Temperatura se cambió a 57 °C para la cepa A 2.1</w:t>
      </w:r>
    </w:p>
    <w:p w14:paraId="10FFCFA1" w14:textId="595C3AB0" w:rsidR="0034479A" w:rsidRPr="00D63BF2" w:rsidRDefault="002D6787" w:rsidP="00D63BF2">
      <w:pPr>
        <w:ind w:firstLine="708"/>
        <w:rPr>
          <w:lang w:eastAsia="es-CR"/>
        </w:rPr>
      </w:pPr>
      <w:r w:rsidRPr="002D6F4A">
        <w:rPr>
          <w:lang w:eastAsia="es-CR"/>
        </w:rPr>
        <w:t xml:space="preserve">Los productos de la amplificación fueron </w:t>
      </w:r>
      <w:r>
        <w:rPr>
          <w:lang w:eastAsia="es-CR"/>
        </w:rPr>
        <w:t>secuenciados por</w:t>
      </w:r>
      <w:r w:rsidRPr="002D6F4A">
        <w:rPr>
          <w:lang w:eastAsia="es-CR"/>
        </w:rPr>
        <w:t xml:space="preserve"> la empresa Macrogen</w:t>
      </w:r>
      <w:r>
        <w:rPr>
          <w:rFonts w:ascii="Symbol" w:eastAsia="Symbol" w:hAnsi="Symbol" w:cs="Symbol"/>
        </w:rPr>
        <w:t>â</w:t>
      </w:r>
      <w:r>
        <w:rPr>
          <w:lang w:eastAsia="es-CR"/>
        </w:rPr>
        <w:t>. Los</w:t>
      </w:r>
      <w:r w:rsidRPr="002D6F4A">
        <w:rPr>
          <w:lang w:eastAsia="es-CR"/>
        </w:rPr>
        <w:t xml:space="preserve"> productos fueron curados manualmente mediante el programa Snapgen para remover posibles secuencias remanentes de </w:t>
      </w:r>
      <w:r w:rsidRPr="002D6F4A">
        <w:rPr>
          <w:i/>
          <w:iCs/>
          <w:lang w:eastAsia="es-CR"/>
        </w:rPr>
        <w:t>primers</w:t>
      </w:r>
      <w:r>
        <w:rPr>
          <w:i/>
          <w:iCs/>
          <w:lang w:eastAsia="es-CR"/>
        </w:rPr>
        <w:t>,</w:t>
      </w:r>
      <w:r w:rsidRPr="002D6F4A">
        <w:rPr>
          <w:lang w:eastAsia="es-CR"/>
        </w:rPr>
        <w:t xml:space="preserve"> así como lecturas de mala calidad. Cada secuencia consenso fue comparada con las bases de datos </w:t>
      </w:r>
      <w:r w:rsidRPr="002D6F4A">
        <w:rPr>
          <w:i/>
          <w:iCs/>
          <w:lang w:eastAsia="es-CR"/>
        </w:rPr>
        <w:t>Nucleotide collection</w:t>
      </w:r>
      <w:r w:rsidRPr="002D6F4A">
        <w:rPr>
          <w:lang w:eastAsia="es-CR"/>
        </w:rPr>
        <w:t xml:space="preserve"> (nr/nt) del GenBank de </w:t>
      </w:r>
      <w:r>
        <w:rPr>
          <w:lang w:eastAsia="es-CR"/>
        </w:rPr>
        <w:t>E</w:t>
      </w:r>
      <w:r w:rsidRPr="002D6F4A">
        <w:rPr>
          <w:lang w:eastAsia="es-CR"/>
        </w:rPr>
        <w:t>l Centro Nacional para la Información Biotecnológica ​(NCBI) mediante el algoritmo Blastn, con parámetros por defecto, con el fin de asignar taxonomía a la especie en cuestión, tomando como parámetros valores de identidad, porcentaje de cobertura y e-value.</w:t>
      </w:r>
    </w:p>
    <w:bookmarkEnd w:id="68"/>
    <w:p w14:paraId="1FAB8B59" w14:textId="1549F729" w:rsidR="00DC6E9A" w:rsidRPr="00A25AD2" w:rsidRDefault="00CD515E" w:rsidP="00B755D5">
      <w:pPr>
        <w:pStyle w:val="Titulo20"/>
        <w:numPr>
          <w:ilvl w:val="1"/>
          <w:numId w:val="19"/>
        </w:numPr>
        <w:spacing w:before="0" w:after="0"/>
        <w:rPr>
          <w:lang w:eastAsia="es-CR"/>
        </w:rPr>
      </w:pPr>
      <w:r>
        <w:rPr>
          <w:lang w:eastAsia="es-CR"/>
        </w:rPr>
        <w:t>Cultivo líquido</w:t>
      </w:r>
    </w:p>
    <w:p w14:paraId="549CBD8B" w14:textId="5F815BD1" w:rsidR="0034147F" w:rsidRPr="00B07A3F" w:rsidRDefault="4447C96C" w:rsidP="4447C96C">
      <w:pPr>
        <w:ind w:firstLine="708"/>
        <w:rPr>
          <w:rFonts w:eastAsia="Times New Roman" w:cs="Times New Roman"/>
          <w:color w:val="000000"/>
          <w:lang w:eastAsia="es-CR"/>
        </w:rPr>
      </w:pPr>
      <w:bookmarkStart w:id="74" w:name="_Hlk15899238"/>
      <w:r w:rsidRPr="4447C96C">
        <w:rPr>
          <w:rFonts w:eastAsia="Times New Roman" w:cs="Times New Roman"/>
          <w:color w:val="000000" w:themeColor="text1"/>
          <w:lang w:eastAsia="es-CR"/>
        </w:rPr>
        <w:t xml:space="preserve">Los tres aislamientos de hongos marinos que mostraron mayor actividad antimicrobiana, así como menores tiempos de crecimiento </w:t>
      </w:r>
      <w:r w:rsidR="00BF7DD6">
        <w:rPr>
          <w:rFonts w:eastAsia="Times New Roman" w:cs="Times New Roman"/>
          <w:color w:val="000000" w:themeColor="text1"/>
          <w:lang w:eastAsia="es-CR"/>
        </w:rPr>
        <w:t>se crecieron en un cultivo líquido</w:t>
      </w:r>
      <w:r w:rsidRPr="4447C96C">
        <w:rPr>
          <w:rFonts w:eastAsia="Times New Roman" w:cs="Times New Roman"/>
          <w:color w:val="000000" w:themeColor="text1"/>
          <w:lang w:eastAsia="es-CR"/>
        </w:rPr>
        <w:t xml:space="preserve"> en erlenmeyers de 250 mL con 100 mL de medio de cultivo Wickerham en agua destilada estéril </w:t>
      </w:r>
      <w:r w:rsidR="00DC6E9A" w:rsidRPr="4447C96C">
        <w:rPr>
          <w:rFonts w:eastAsia="Times New Roman" w:cs="Times New Roman"/>
          <w:color w:val="000000" w:themeColor="text1"/>
          <w:lang w:eastAsia="es-CR"/>
        </w:rPr>
        <w:fldChar w:fldCharType="begin" w:fldLock="1"/>
      </w:r>
      <w:r w:rsidR="00DC6E9A" w:rsidRPr="4447C96C">
        <w:rPr>
          <w:rFonts w:eastAsia="Times New Roman" w:cs="Times New Roman"/>
          <w:color w:val="000000" w:themeColor="text1"/>
          <w:lang w:eastAsia="es-CR"/>
        </w:rPr>
        <w:instrText>ADDIN CSL_CITATION {"citationItems":[{"id":"ITEM-1","itemData":{"DOI":"10.1038/nprot.2009.233","ISSN":"17542189","PMID":"20203665","abstract":"Marine-derived fungi have been shown in recent years to produce a plethora of new bioactive secondary metabolites, some of them featuring new carbon frameworks hitherto unprecedented in nature. These compounds are of interest as new lead structures for medicine as well as for plant protection. The aim of this protocol is to give a detailed description of methods useful for the isolation and cultivation of fungi associated with various marine organisms (sponges, algae and mangrove plants) for the extraction, characterization and structure elucidation of biologically active secondary metabolites produced by these marine-derived endophytic fungi, and for the preliminary evaluation of their pharmacological properties based on rapid 'in house' screening systems. Some results exemplifying the positive outcomes of the protocol are given at the end. From sampling in marine environment to completion of the structure elucidation and bioactivity screening, a period of at least 3 months has to be scheduled. © 2010 Nature Publishing Group.","author":[{"dropping-particle":"","family":"Kjer","given":"Julia","non-dropping-particle":"","parse-names":false,"suffix":""},{"dropping-particle":"","family":"Debbab","given":"Abdessamad","non-dropping-particle":"","parse-names":false,"suffix":""},{"dropping-particle":"","family":"Aly","given":"Amal H.","non-dropping-particle":"","parse-names":false,"suffix":""},{"dropping-particle":"","family":"Proksch","given":"Peter","non-dropping-particle":"","parse-names":false,"suffix":""}],"container-title":"Nature Protocols","id":"ITEM-1","issue":"3","issued":{"date-parts":[["2010"]]},"page":"479-490","title":"Methods for isolation of marine-derived endophytic fungi and their bioactive secondary products","type":"article-journal","volume":"5"},"uris":["http://www.mendeley.com/documents/?uuid=a9388935-3ce9-4001-be1f-0acbbec90708"]}],"mendeley":{"formattedCitation":"(Kjer, Debbab, Aly, &amp; Proksch, 2010)","plainTextFormattedCitation":"(Kjer, Debbab, Aly, &amp; Proksch, 2010)","previouslyFormattedCitation":"(Kjer, Debbab, Aly, &amp; Proksch, 2010)"},"properties":{"noteIndex":0},"schema":"https://github.com/citation-style-language/schema/raw/master/csl-citation.json"}</w:instrText>
      </w:r>
      <w:r w:rsidR="00DC6E9A" w:rsidRPr="4447C96C">
        <w:rPr>
          <w:rFonts w:eastAsia="Times New Roman" w:cs="Times New Roman"/>
          <w:color w:val="000000" w:themeColor="text1"/>
          <w:lang w:eastAsia="es-CR"/>
        </w:rPr>
        <w:fldChar w:fldCharType="separate"/>
      </w:r>
      <w:r w:rsidRPr="4447C96C">
        <w:rPr>
          <w:rFonts w:eastAsia="Times New Roman" w:cs="Times New Roman"/>
          <w:noProof/>
          <w:color w:val="000000" w:themeColor="text1"/>
          <w:lang w:eastAsia="es-CR"/>
        </w:rPr>
        <w:t>(Kjer, Debbab, Aly, &amp; Proksch, 2010)</w:t>
      </w:r>
      <w:r w:rsidR="00DC6E9A" w:rsidRPr="4447C96C">
        <w:rPr>
          <w:rFonts w:eastAsia="Times New Roman" w:cs="Times New Roman"/>
          <w:color w:val="000000" w:themeColor="text1"/>
          <w:lang w:eastAsia="es-CR"/>
        </w:rPr>
        <w:fldChar w:fldCharType="end"/>
      </w:r>
      <w:r w:rsidRPr="4447C96C">
        <w:rPr>
          <w:rFonts w:eastAsia="Times New Roman" w:cs="Times New Roman"/>
          <w:color w:val="000000" w:themeColor="text1"/>
          <w:lang w:eastAsia="es-CR"/>
        </w:rPr>
        <w:t xml:space="preserve">. Se realizaron 3 tratamientos, con cuatro repeticiones: (1) cultivo puro (CP), el cual consistía en el cultivo axénico de cada cepa fúngica, (2) la cepa fúngica en co-cultivo con </w:t>
      </w:r>
      <w:r w:rsidR="00FB3294">
        <w:rPr>
          <w:rFonts w:eastAsia="Times New Roman" w:cs="Times New Roman"/>
          <w:color w:val="000000" w:themeColor="text1"/>
          <w:lang w:eastAsia="es-CR"/>
        </w:rPr>
        <w:t xml:space="preserve">una bacteria </w:t>
      </w:r>
      <w:proofErr w:type="spellStart"/>
      <w:r w:rsidR="00FB3294">
        <w:rPr>
          <w:rFonts w:eastAsia="Times New Roman" w:cs="Times New Roman"/>
          <w:color w:val="000000" w:themeColor="text1"/>
          <w:lang w:eastAsia="es-CR"/>
        </w:rPr>
        <w:t>gra</w:t>
      </w:r>
      <w:r w:rsidR="000B6942">
        <w:rPr>
          <w:rFonts w:eastAsia="Times New Roman" w:cs="Times New Roman"/>
          <w:color w:val="000000" w:themeColor="text1"/>
          <w:lang w:eastAsia="es-CR"/>
        </w:rPr>
        <w:t>m</w:t>
      </w:r>
      <w:proofErr w:type="spellEnd"/>
      <w:r w:rsidR="000B6942">
        <w:rPr>
          <w:rFonts w:eastAsia="Times New Roman" w:cs="Times New Roman"/>
          <w:color w:val="000000" w:themeColor="text1"/>
          <w:lang w:eastAsia="es-CR"/>
        </w:rPr>
        <w:t xml:space="preserve"> </w:t>
      </w:r>
      <w:r w:rsidR="00FB3294">
        <w:rPr>
          <w:rFonts w:eastAsia="Times New Roman" w:cs="Times New Roman"/>
          <w:color w:val="000000" w:themeColor="text1"/>
          <w:lang w:eastAsia="es-CR"/>
        </w:rPr>
        <w:t xml:space="preserve">positiva, </w:t>
      </w:r>
      <w:r w:rsidR="000B6942">
        <w:rPr>
          <w:rFonts w:eastAsia="Times New Roman" w:cs="Times New Roman"/>
          <w:color w:val="000000" w:themeColor="text1"/>
          <w:lang w:eastAsia="es-CR"/>
        </w:rPr>
        <w:t xml:space="preserve">para la cual se utilizó </w:t>
      </w:r>
      <w:r w:rsidRPr="4447C96C">
        <w:rPr>
          <w:rFonts w:eastAsia="Times New Roman" w:cs="Times New Roman"/>
          <w:color w:val="000000" w:themeColor="text1"/>
          <w:lang w:eastAsia="es-CR"/>
        </w:rPr>
        <w:t xml:space="preserve">la bacteria </w:t>
      </w:r>
      <w:r w:rsidRPr="4447C96C">
        <w:rPr>
          <w:rFonts w:eastAsia="Times New Roman" w:cs="Times New Roman"/>
          <w:i/>
          <w:iCs/>
          <w:color w:val="000000" w:themeColor="text1"/>
          <w:lang w:eastAsia="es-CR"/>
        </w:rPr>
        <w:t>S. aureus</w:t>
      </w:r>
      <w:r w:rsidRPr="4447C96C">
        <w:rPr>
          <w:rFonts w:eastAsia="Times New Roman" w:cs="Times New Roman"/>
          <w:color w:val="000000" w:themeColor="text1"/>
          <w:lang w:eastAsia="es-CR"/>
        </w:rPr>
        <w:t xml:space="preserve"> (CCSA) y (3) la cepa fúngica en co-cultivo con la bacteria</w:t>
      </w:r>
      <w:r w:rsidR="000B6942">
        <w:rPr>
          <w:rFonts w:eastAsia="Times New Roman" w:cs="Times New Roman"/>
          <w:color w:val="000000" w:themeColor="text1"/>
          <w:lang w:eastAsia="es-CR"/>
        </w:rPr>
        <w:t xml:space="preserve"> </w:t>
      </w:r>
      <w:proofErr w:type="spellStart"/>
      <w:r w:rsidR="000B6942">
        <w:rPr>
          <w:rFonts w:eastAsia="Times New Roman" w:cs="Times New Roman"/>
          <w:color w:val="000000" w:themeColor="text1"/>
          <w:lang w:eastAsia="es-CR"/>
        </w:rPr>
        <w:t>gram</w:t>
      </w:r>
      <w:proofErr w:type="spellEnd"/>
      <w:r w:rsidR="000B6942">
        <w:rPr>
          <w:rFonts w:eastAsia="Times New Roman" w:cs="Times New Roman"/>
          <w:color w:val="000000" w:themeColor="text1"/>
          <w:lang w:eastAsia="es-CR"/>
        </w:rPr>
        <w:t xml:space="preserve"> negativa, en este caso,</w:t>
      </w:r>
      <w:r w:rsidRPr="4447C96C">
        <w:rPr>
          <w:rFonts w:eastAsia="Times New Roman" w:cs="Times New Roman"/>
          <w:color w:val="000000" w:themeColor="text1"/>
          <w:lang w:eastAsia="es-CR"/>
        </w:rPr>
        <w:t xml:space="preserve"> </w:t>
      </w:r>
      <w:r w:rsidRPr="4447C96C">
        <w:rPr>
          <w:rFonts w:eastAsia="Times New Roman" w:cs="Times New Roman"/>
          <w:i/>
          <w:iCs/>
          <w:color w:val="000000" w:themeColor="text1"/>
          <w:lang w:eastAsia="es-CR"/>
        </w:rPr>
        <w:t>E. hormaechei</w:t>
      </w:r>
      <w:r w:rsidRPr="4447C96C">
        <w:rPr>
          <w:rFonts w:eastAsia="Times New Roman" w:cs="Times New Roman"/>
          <w:color w:val="000000" w:themeColor="text1"/>
          <w:lang w:eastAsia="es-CR"/>
        </w:rPr>
        <w:t xml:space="preserve"> (CCEH)</w:t>
      </w:r>
      <w:r w:rsidRPr="4447C96C">
        <w:rPr>
          <w:rFonts w:eastAsia="Times New Roman" w:cs="Times New Roman"/>
          <w:i/>
          <w:iCs/>
          <w:color w:val="000000" w:themeColor="text1"/>
          <w:lang w:eastAsia="es-CR"/>
        </w:rPr>
        <w:t>.</w:t>
      </w:r>
      <w:r w:rsidRPr="4447C96C">
        <w:rPr>
          <w:rFonts w:eastAsia="Times New Roman" w:cs="Times New Roman"/>
          <w:color w:val="000000" w:themeColor="text1"/>
          <w:lang w:eastAsia="es-CR"/>
        </w:rPr>
        <w:t xml:space="preserve"> Como controles se utilizó el medio de cultivo estéril y los cultivos, por separado, de </w:t>
      </w:r>
      <w:r w:rsidRPr="4447C96C">
        <w:rPr>
          <w:rFonts w:eastAsia="Times New Roman" w:cs="Times New Roman"/>
          <w:i/>
          <w:iCs/>
          <w:color w:val="000000" w:themeColor="text1"/>
          <w:lang w:eastAsia="es-CR"/>
        </w:rPr>
        <w:t>S. aureus</w:t>
      </w:r>
      <w:r w:rsidRPr="4447C96C">
        <w:rPr>
          <w:rFonts w:eastAsia="Times New Roman" w:cs="Times New Roman"/>
          <w:color w:val="000000" w:themeColor="text1"/>
          <w:lang w:eastAsia="es-CR"/>
        </w:rPr>
        <w:t xml:space="preserve"> y </w:t>
      </w:r>
      <w:r w:rsidRPr="4447C96C">
        <w:rPr>
          <w:rFonts w:eastAsia="Times New Roman" w:cs="Times New Roman"/>
          <w:i/>
          <w:iCs/>
          <w:color w:val="000000" w:themeColor="text1"/>
          <w:lang w:eastAsia="es-CR"/>
        </w:rPr>
        <w:t>E. hormaechei</w:t>
      </w:r>
      <w:r w:rsidRPr="4447C96C">
        <w:rPr>
          <w:rFonts w:eastAsia="Times New Roman" w:cs="Times New Roman"/>
          <w:color w:val="000000" w:themeColor="text1"/>
          <w:lang w:eastAsia="es-CR"/>
        </w:rPr>
        <w:t>.</w:t>
      </w:r>
    </w:p>
    <w:p w14:paraId="4DB1AA64" w14:textId="13374535" w:rsidR="003117F4" w:rsidRDefault="00B13998" w:rsidP="003117F4">
      <w:pPr>
        <w:spacing w:after="0"/>
        <w:ind w:firstLine="708"/>
        <w:rPr>
          <w:rFonts w:eastAsia="Times New Roman" w:cs="Times New Roman"/>
          <w:color w:val="000000"/>
          <w:szCs w:val="24"/>
          <w:lang w:eastAsia="es-CR"/>
        </w:rPr>
      </w:pPr>
      <w:r w:rsidRPr="00B07A3F">
        <w:rPr>
          <w:rFonts w:eastAsia="Times New Roman" w:cs="Times New Roman"/>
          <w:color w:val="000000"/>
          <w:szCs w:val="24"/>
          <w:lang w:eastAsia="es-CR"/>
        </w:rPr>
        <w:lastRenderedPageBreak/>
        <w:t>C</w:t>
      </w:r>
      <w:r w:rsidR="00FE0969" w:rsidRPr="00B07A3F">
        <w:rPr>
          <w:rFonts w:eastAsia="Times New Roman" w:cs="Times New Roman"/>
          <w:color w:val="000000"/>
          <w:szCs w:val="24"/>
          <w:lang w:eastAsia="es-CR"/>
        </w:rPr>
        <w:t>a</w:t>
      </w:r>
      <w:r w:rsidR="00C669ED">
        <w:rPr>
          <w:rFonts w:eastAsia="Times New Roman" w:cs="Times New Roman"/>
          <w:color w:val="000000"/>
          <w:szCs w:val="24"/>
          <w:lang w:eastAsia="es-CR"/>
        </w:rPr>
        <w:t>d</w:t>
      </w:r>
      <w:r w:rsidR="00FE0969" w:rsidRPr="00B07A3F">
        <w:rPr>
          <w:rFonts w:eastAsia="Times New Roman" w:cs="Times New Roman"/>
          <w:color w:val="000000"/>
          <w:szCs w:val="24"/>
          <w:lang w:eastAsia="es-CR"/>
        </w:rPr>
        <w:t xml:space="preserve">a erlenmeyer se </w:t>
      </w:r>
      <w:r w:rsidRPr="00B07A3F">
        <w:rPr>
          <w:rFonts w:eastAsia="Times New Roman" w:cs="Times New Roman"/>
          <w:color w:val="000000"/>
          <w:szCs w:val="24"/>
          <w:lang w:eastAsia="es-CR"/>
        </w:rPr>
        <w:t>inoculó</w:t>
      </w:r>
      <w:r w:rsidR="003955A9">
        <w:rPr>
          <w:rFonts w:eastAsia="Times New Roman" w:cs="Times New Roman"/>
          <w:color w:val="000000"/>
          <w:szCs w:val="24"/>
          <w:lang w:eastAsia="es-CR"/>
        </w:rPr>
        <w:t>, por separado,</w:t>
      </w:r>
      <w:r w:rsidR="00E87846" w:rsidRPr="00B07A3F">
        <w:rPr>
          <w:rFonts w:eastAsia="Times New Roman" w:cs="Times New Roman"/>
          <w:color w:val="000000"/>
          <w:szCs w:val="24"/>
          <w:lang w:eastAsia="es-CR"/>
        </w:rPr>
        <w:t xml:space="preserve"> con un disco de agar micelio </w:t>
      </w:r>
      <w:r w:rsidRPr="00B07A3F">
        <w:rPr>
          <w:rFonts w:eastAsia="Times New Roman" w:cs="Times New Roman"/>
          <w:color w:val="000000"/>
          <w:szCs w:val="24"/>
          <w:lang w:eastAsia="es-CR"/>
        </w:rPr>
        <w:t xml:space="preserve">de </w:t>
      </w:r>
      <w:r w:rsidR="00E87846" w:rsidRPr="00B07A3F">
        <w:rPr>
          <w:rFonts w:eastAsia="Times New Roman" w:cs="Times New Roman"/>
          <w:color w:val="000000"/>
          <w:szCs w:val="24"/>
          <w:lang w:eastAsia="es-CR"/>
        </w:rPr>
        <w:t>los hongos</w:t>
      </w:r>
      <w:r w:rsidR="003955A9">
        <w:rPr>
          <w:rFonts w:eastAsia="Times New Roman" w:cs="Times New Roman"/>
          <w:color w:val="000000"/>
          <w:szCs w:val="24"/>
          <w:lang w:eastAsia="es-CR"/>
        </w:rPr>
        <w:t xml:space="preserve"> seleccionados</w:t>
      </w:r>
      <w:r w:rsidR="00F97C38">
        <w:rPr>
          <w:rFonts w:eastAsia="Times New Roman" w:cs="Times New Roman"/>
          <w:color w:val="000000"/>
          <w:szCs w:val="24"/>
          <w:lang w:eastAsia="es-CR"/>
        </w:rPr>
        <w:t xml:space="preserve">, </w:t>
      </w:r>
      <w:r w:rsidR="001F4BC4">
        <w:rPr>
          <w:rFonts w:eastAsia="Times New Roman" w:cs="Times New Roman"/>
          <w:color w:val="000000"/>
          <w:szCs w:val="24"/>
          <w:lang w:eastAsia="es-CR"/>
        </w:rPr>
        <w:t>cultivados por</w:t>
      </w:r>
      <w:r w:rsidR="00E87846" w:rsidRPr="00B07A3F">
        <w:rPr>
          <w:rFonts w:eastAsia="Times New Roman" w:cs="Times New Roman"/>
          <w:color w:val="000000"/>
          <w:szCs w:val="24"/>
          <w:lang w:eastAsia="es-CR"/>
        </w:rPr>
        <w:t xml:space="preserve"> 7 días </w:t>
      </w:r>
      <w:r w:rsidR="00902499" w:rsidRPr="00B07A3F">
        <w:rPr>
          <w:rFonts w:eastAsia="Times New Roman" w:cs="Times New Roman"/>
          <w:color w:val="000000"/>
          <w:szCs w:val="24"/>
          <w:lang w:eastAsia="es-CR"/>
        </w:rPr>
        <w:t xml:space="preserve">a 28°C </w:t>
      </w:r>
      <w:r w:rsidR="001F4BC4">
        <w:rPr>
          <w:rFonts w:eastAsia="Times New Roman" w:cs="Times New Roman"/>
          <w:color w:val="000000"/>
          <w:szCs w:val="24"/>
          <w:lang w:eastAsia="es-CR"/>
        </w:rPr>
        <w:t>y</w:t>
      </w:r>
      <w:r w:rsidR="00902499" w:rsidRPr="00B07A3F">
        <w:rPr>
          <w:rFonts w:eastAsia="Times New Roman" w:cs="Times New Roman"/>
          <w:color w:val="000000"/>
          <w:szCs w:val="24"/>
          <w:lang w:eastAsia="es-CR"/>
        </w:rPr>
        <w:t xml:space="preserve"> 200 rpm</w:t>
      </w:r>
      <w:r w:rsidR="001F4BC4">
        <w:rPr>
          <w:rFonts w:eastAsia="Times New Roman" w:cs="Times New Roman"/>
          <w:color w:val="000000"/>
          <w:szCs w:val="24"/>
          <w:lang w:eastAsia="es-CR"/>
        </w:rPr>
        <w:t>. L</w:t>
      </w:r>
      <w:r w:rsidR="00B11C9F">
        <w:rPr>
          <w:rFonts w:eastAsia="Times New Roman" w:cs="Times New Roman"/>
          <w:color w:val="000000"/>
          <w:szCs w:val="24"/>
          <w:lang w:eastAsia="es-CR"/>
        </w:rPr>
        <w:t>o</w:t>
      </w:r>
      <w:r w:rsidR="001F4BC4">
        <w:rPr>
          <w:rFonts w:eastAsia="Times New Roman" w:cs="Times New Roman"/>
          <w:color w:val="000000"/>
          <w:szCs w:val="24"/>
          <w:lang w:eastAsia="es-CR"/>
        </w:rPr>
        <w:t xml:space="preserve">s </w:t>
      </w:r>
      <w:r w:rsidR="0032284E">
        <w:rPr>
          <w:rFonts w:eastAsia="Times New Roman" w:cs="Times New Roman"/>
          <w:color w:val="000000"/>
          <w:szCs w:val="24"/>
          <w:lang w:eastAsia="es-CR"/>
        </w:rPr>
        <w:t>cultivos líquidos</w:t>
      </w:r>
      <w:r w:rsidR="001F4BC4">
        <w:rPr>
          <w:rFonts w:eastAsia="Times New Roman" w:cs="Times New Roman"/>
          <w:color w:val="000000"/>
          <w:szCs w:val="24"/>
          <w:lang w:eastAsia="es-CR"/>
        </w:rPr>
        <w:t xml:space="preserve"> se incubaron en las mismas condiciones</w:t>
      </w:r>
      <w:r w:rsidR="00620BAB">
        <w:rPr>
          <w:rFonts w:eastAsia="Times New Roman" w:cs="Times New Roman"/>
          <w:color w:val="000000"/>
          <w:szCs w:val="24"/>
          <w:lang w:eastAsia="es-CR"/>
        </w:rPr>
        <w:t xml:space="preserve"> por 7 días</w:t>
      </w:r>
      <w:r w:rsidR="00E87846" w:rsidRPr="00B07A3F">
        <w:rPr>
          <w:rFonts w:eastAsia="Times New Roman" w:cs="Times New Roman"/>
          <w:color w:val="000000"/>
          <w:szCs w:val="24"/>
          <w:lang w:eastAsia="es-CR"/>
        </w:rPr>
        <w:t xml:space="preserve">. </w:t>
      </w:r>
      <w:r w:rsidR="00620BAB">
        <w:rPr>
          <w:rFonts w:eastAsia="Times New Roman" w:cs="Times New Roman"/>
          <w:color w:val="000000"/>
          <w:szCs w:val="24"/>
          <w:lang w:eastAsia="es-CR"/>
        </w:rPr>
        <w:t xml:space="preserve">Luego del periodo </w:t>
      </w:r>
      <w:r w:rsidR="004567DF" w:rsidRPr="00B07A3F">
        <w:rPr>
          <w:rFonts w:eastAsia="Times New Roman" w:cs="Times New Roman"/>
          <w:color w:val="000000"/>
          <w:szCs w:val="24"/>
          <w:lang w:eastAsia="es-CR"/>
        </w:rPr>
        <w:t>de incu</w:t>
      </w:r>
      <w:r w:rsidR="00902499" w:rsidRPr="00B07A3F">
        <w:rPr>
          <w:rFonts w:eastAsia="Times New Roman" w:cs="Times New Roman"/>
          <w:color w:val="000000"/>
          <w:szCs w:val="24"/>
          <w:lang w:eastAsia="es-CR"/>
        </w:rPr>
        <w:t>bación</w:t>
      </w:r>
      <w:r w:rsidR="00620BAB">
        <w:rPr>
          <w:rFonts w:eastAsia="Times New Roman" w:cs="Times New Roman"/>
          <w:color w:val="000000"/>
          <w:szCs w:val="24"/>
          <w:lang w:eastAsia="es-CR"/>
        </w:rPr>
        <w:t xml:space="preserve">, </w:t>
      </w:r>
      <w:r w:rsidR="006A420C" w:rsidRPr="00B07A3F">
        <w:rPr>
          <w:rFonts w:eastAsia="Times New Roman" w:cs="Times New Roman"/>
          <w:color w:val="000000"/>
          <w:szCs w:val="24"/>
          <w:lang w:eastAsia="es-CR"/>
        </w:rPr>
        <w:t>a los tratamientos</w:t>
      </w:r>
      <w:r w:rsidR="00902499" w:rsidRPr="00B07A3F">
        <w:rPr>
          <w:rFonts w:eastAsia="Times New Roman" w:cs="Times New Roman"/>
          <w:color w:val="000000"/>
          <w:szCs w:val="24"/>
          <w:lang w:eastAsia="es-CR"/>
        </w:rPr>
        <w:t xml:space="preserve"> en co-cultivo</w:t>
      </w:r>
      <w:r w:rsidR="00620BAB">
        <w:rPr>
          <w:rFonts w:eastAsia="Times New Roman" w:cs="Times New Roman"/>
          <w:color w:val="000000"/>
          <w:szCs w:val="24"/>
          <w:lang w:eastAsia="es-CR"/>
        </w:rPr>
        <w:t>, se les inoculó</w:t>
      </w:r>
      <w:r w:rsidR="00902499" w:rsidRPr="00B07A3F">
        <w:rPr>
          <w:rFonts w:eastAsia="Times New Roman" w:cs="Times New Roman"/>
          <w:color w:val="000000"/>
          <w:szCs w:val="24"/>
          <w:lang w:eastAsia="es-CR"/>
        </w:rPr>
        <w:t xml:space="preserve"> </w:t>
      </w:r>
      <w:r w:rsidR="00FE0969" w:rsidRPr="00B07A3F">
        <w:rPr>
          <w:rFonts w:eastAsia="Times New Roman" w:cs="Times New Roman"/>
          <w:color w:val="000000"/>
          <w:szCs w:val="24"/>
          <w:lang w:eastAsia="es-CR"/>
        </w:rPr>
        <w:t xml:space="preserve">50 </w:t>
      </w:r>
      <w:r w:rsidRPr="00B07A3F">
        <w:rPr>
          <w:rFonts w:eastAsia="Times New Roman" w:cs="Times New Roman"/>
          <w:color w:val="000000"/>
          <w:szCs w:val="24"/>
          <w:lang w:eastAsia="es-CR"/>
        </w:rPr>
        <w:t xml:space="preserve">µL </w:t>
      </w:r>
      <w:r w:rsidR="00FE0969" w:rsidRPr="00B07A3F">
        <w:rPr>
          <w:rFonts w:eastAsia="Times New Roman" w:cs="Times New Roman"/>
          <w:color w:val="000000"/>
          <w:szCs w:val="24"/>
          <w:lang w:eastAsia="es-CR"/>
        </w:rPr>
        <w:t xml:space="preserve">de </w:t>
      </w:r>
      <w:r w:rsidR="00902499" w:rsidRPr="00B07A3F">
        <w:rPr>
          <w:rFonts w:eastAsia="Times New Roman" w:cs="Times New Roman"/>
          <w:color w:val="000000"/>
          <w:szCs w:val="24"/>
          <w:lang w:eastAsia="es-CR"/>
        </w:rPr>
        <w:t>una suspensión</w:t>
      </w:r>
      <w:r w:rsidRPr="00B07A3F">
        <w:rPr>
          <w:rFonts w:eastAsia="Times New Roman" w:cs="Times New Roman"/>
          <w:color w:val="000000"/>
          <w:szCs w:val="24"/>
          <w:lang w:eastAsia="es-CR"/>
        </w:rPr>
        <w:t xml:space="preserve"> McFarland 0.5 de </w:t>
      </w:r>
      <w:r w:rsidR="00336E57" w:rsidRPr="00B07A3F">
        <w:rPr>
          <w:rFonts w:eastAsia="Times New Roman" w:cs="Times New Roman"/>
          <w:color w:val="000000"/>
          <w:szCs w:val="24"/>
          <w:lang w:eastAsia="es-CR"/>
        </w:rPr>
        <w:t xml:space="preserve">la bacteria correspondiente, </w:t>
      </w:r>
      <w:r w:rsidR="00620BAB">
        <w:rPr>
          <w:rFonts w:eastAsia="Times New Roman" w:cs="Times New Roman"/>
          <w:color w:val="000000"/>
          <w:szCs w:val="24"/>
          <w:lang w:eastAsia="es-CR"/>
        </w:rPr>
        <w:t>a partir de cultivos con</w:t>
      </w:r>
      <w:r w:rsidR="00336E57" w:rsidRPr="00B07A3F">
        <w:rPr>
          <w:rFonts w:eastAsia="Times New Roman" w:cs="Times New Roman"/>
          <w:color w:val="000000"/>
          <w:szCs w:val="24"/>
          <w:lang w:eastAsia="es-CR"/>
        </w:rPr>
        <w:t xml:space="preserve"> 8 h de </w:t>
      </w:r>
      <w:r w:rsidR="00620BAB">
        <w:rPr>
          <w:rFonts w:eastAsia="Times New Roman" w:cs="Times New Roman"/>
          <w:color w:val="000000"/>
          <w:szCs w:val="24"/>
          <w:lang w:eastAsia="es-CR"/>
        </w:rPr>
        <w:t>crecimiento</w:t>
      </w:r>
      <w:r w:rsidR="00336E57" w:rsidRPr="00B07A3F">
        <w:rPr>
          <w:rFonts w:eastAsia="Times New Roman" w:cs="Times New Roman"/>
          <w:color w:val="000000"/>
          <w:szCs w:val="24"/>
          <w:lang w:eastAsia="es-CR"/>
        </w:rPr>
        <w:t>. Los</w:t>
      </w:r>
      <w:r w:rsidR="00620BAB">
        <w:rPr>
          <w:rFonts w:eastAsia="Times New Roman" w:cs="Times New Roman"/>
          <w:color w:val="000000"/>
          <w:szCs w:val="24"/>
          <w:lang w:eastAsia="es-CR"/>
        </w:rPr>
        <w:t xml:space="preserve"> tratamientos</w:t>
      </w:r>
      <w:r w:rsidR="00336E57" w:rsidRPr="00B07A3F">
        <w:rPr>
          <w:rFonts w:eastAsia="Times New Roman" w:cs="Times New Roman"/>
          <w:color w:val="000000"/>
          <w:szCs w:val="24"/>
          <w:lang w:eastAsia="es-CR"/>
        </w:rPr>
        <w:t xml:space="preserve"> se </w:t>
      </w:r>
      <w:r w:rsidR="00620BAB" w:rsidRPr="00B07A3F">
        <w:rPr>
          <w:rFonts w:eastAsia="Times New Roman" w:cs="Times New Roman"/>
          <w:color w:val="000000"/>
          <w:szCs w:val="24"/>
          <w:lang w:eastAsia="es-CR"/>
        </w:rPr>
        <w:t>incuba</w:t>
      </w:r>
      <w:r w:rsidR="00620BAB">
        <w:rPr>
          <w:rFonts w:eastAsia="Times New Roman" w:cs="Times New Roman"/>
          <w:color w:val="000000"/>
          <w:szCs w:val="24"/>
          <w:lang w:eastAsia="es-CR"/>
        </w:rPr>
        <w:t>ron</w:t>
      </w:r>
      <w:r w:rsidR="00620BAB" w:rsidRPr="00B07A3F">
        <w:rPr>
          <w:rFonts w:eastAsia="Times New Roman" w:cs="Times New Roman"/>
          <w:color w:val="000000"/>
          <w:szCs w:val="24"/>
          <w:lang w:eastAsia="es-CR"/>
        </w:rPr>
        <w:t xml:space="preserve"> </w:t>
      </w:r>
      <w:r w:rsidR="00336E57" w:rsidRPr="00B07A3F">
        <w:rPr>
          <w:rFonts w:eastAsia="Times New Roman" w:cs="Times New Roman"/>
          <w:color w:val="000000"/>
          <w:szCs w:val="24"/>
          <w:lang w:eastAsia="es-CR"/>
        </w:rPr>
        <w:t xml:space="preserve">por </w:t>
      </w:r>
      <w:r w:rsidR="006A420C" w:rsidRPr="00B07A3F">
        <w:rPr>
          <w:rFonts w:eastAsia="Times New Roman" w:cs="Times New Roman"/>
          <w:color w:val="000000"/>
          <w:szCs w:val="24"/>
          <w:lang w:eastAsia="es-CR"/>
        </w:rPr>
        <w:t>dos semanas</w:t>
      </w:r>
      <w:r w:rsidR="00336E57" w:rsidRPr="00B07A3F">
        <w:rPr>
          <w:rFonts w:eastAsia="Times New Roman" w:cs="Times New Roman"/>
          <w:color w:val="000000"/>
          <w:szCs w:val="24"/>
          <w:lang w:eastAsia="es-CR"/>
        </w:rPr>
        <w:t xml:space="preserve"> más</w:t>
      </w:r>
      <w:r w:rsidR="009F0321" w:rsidRPr="00B07A3F">
        <w:rPr>
          <w:rFonts w:eastAsia="Times New Roman" w:cs="Times New Roman"/>
          <w:color w:val="000000"/>
          <w:szCs w:val="24"/>
          <w:lang w:eastAsia="es-CR"/>
        </w:rPr>
        <w:t>, para luego ser cosechadas.</w:t>
      </w:r>
    </w:p>
    <w:p w14:paraId="17E86D49" w14:textId="12832F13" w:rsidR="00DC6E9A" w:rsidRPr="000B79E0" w:rsidRDefault="00BB6863" w:rsidP="003117F4">
      <w:pPr>
        <w:spacing w:after="0"/>
        <w:ind w:firstLine="708"/>
        <w:rPr>
          <w:rFonts w:eastAsia="Times New Roman" w:cs="Times New Roman"/>
          <w:color w:val="000000"/>
          <w:szCs w:val="24"/>
          <w:highlight w:val="darkGray"/>
          <w:lang w:eastAsia="es-CR"/>
        </w:rPr>
      </w:pPr>
      <w:r w:rsidRPr="00B07A3F">
        <w:rPr>
          <w:rFonts w:eastAsia="Times New Roman" w:cs="Times New Roman"/>
          <w:color w:val="000000"/>
          <w:szCs w:val="24"/>
          <w:lang w:eastAsia="es-CR"/>
        </w:rPr>
        <w:t xml:space="preserve"> </w:t>
      </w:r>
      <w:bookmarkEnd w:id="74"/>
    </w:p>
    <w:p w14:paraId="4AB537FA" w14:textId="3C38839A" w:rsidR="00DC6E9A" w:rsidRPr="009C7C5A" w:rsidRDefault="00DC6E9A" w:rsidP="000778E5">
      <w:pPr>
        <w:pStyle w:val="Titulo20"/>
        <w:numPr>
          <w:ilvl w:val="1"/>
          <w:numId w:val="19"/>
        </w:numPr>
        <w:spacing w:before="0" w:after="0"/>
        <w:rPr>
          <w:lang w:eastAsia="es-CR"/>
        </w:rPr>
      </w:pPr>
      <w:bookmarkStart w:id="75" w:name="_Toc24018775"/>
      <w:bookmarkStart w:id="76" w:name="_Toc140204074"/>
      <w:r w:rsidRPr="009C7C5A">
        <w:rPr>
          <w:lang w:eastAsia="es-CR"/>
        </w:rPr>
        <w:t xml:space="preserve">Preparación </w:t>
      </w:r>
      <w:r w:rsidR="00622644" w:rsidRPr="009C7C5A">
        <w:rPr>
          <w:lang w:eastAsia="es-CR"/>
        </w:rPr>
        <w:t>de ex</w:t>
      </w:r>
      <w:r w:rsidRPr="009C7C5A">
        <w:rPr>
          <w:lang w:eastAsia="es-CR"/>
        </w:rPr>
        <w:t>tracto</w:t>
      </w:r>
      <w:bookmarkEnd w:id="75"/>
      <w:r w:rsidR="00622644" w:rsidRPr="009C7C5A">
        <w:rPr>
          <w:lang w:eastAsia="es-CR"/>
        </w:rPr>
        <w:t>s</w:t>
      </w:r>
      <w:bookmarkEnd w:id="76"/>
      <w:r w:rsidR="00B76533">
        <w:rPr>
          <w:lang w:eastAsia="es-CR"/>
        </w:rPr>
        <w:t xml:space="preserve"> </w:t>
      </w:r>
    </w:p>
    <w:p w14:paraId="716F2812" w14:textId="0FFE67E8" w:rsidR="00837811" w:rsidRDefault="009C7C5A" w:rsidP="00B755D5">
      <w:pPr>
        <w:spacing w:after="0"/>
        <w:ind w:firstLine="708"/>
        <w:rPr>
          <w:rFonts w:eastAsia="Times New Roman" w:cs="Times New Roman"/>
          <w:color w:val="000000"/>
          <w:szCs w:val="24"/>
          <w:lang w:eastAsia="es-CR"/>
        </w:rPr>
      </w:pPr>
      <w:r w:rsidRPr="009C7C5A">
        <w:rPr>
          <w:rFonts w:eastAsia="Times New Roman" w:cs="Times New Roman"/>
          <w:color w:val="000000"/>
          <w:szCs w:val="24"/>
          <w:lang w:eastAsia="es-CR"/>
        </w:rPr>
        <w:t xml:space="preserve">Para la obtención de los extractos de </w:t>
      </w:r>
      <w:r w:rsidR="0032284E">
        <w:rPr>
          <w:rFonts w:eastAsia="Times New Roman" w:cs="Times New Roman"/>
          <w:color w:val="000000"/>
          <w:szCs w:val="24"/>
          <w:lang w:eastAsia="es-CR"/>
        </w:rPr>
        <w:t>los cultivos líquidos</w:t>
      </w:r>
      <w:r w:rsidRPr="009C7C5A">
        <w:rPr>
          <w:rFonts w:eastAsia="Times New Roman" w:cs="Times New Roman"/>
          <w:color w:val="000000"/>
          <w:szCs w:val="24"/>
          <w:lang w:eastAsia="es-CR"/>
        </w:rPr>
        <w:t>,</w:t>
      </w:r>
      <w:r w:rsidR="00000A58">
        <w:rPr>
          <w:rFonts w:eastAsia="Times New Roman" w:cs="Times New Roman"/>
          <w:color w:val="000000"/>
          <w:szCs w:val="24"/>
          <w:lang w:eastAsia="es-CR"/>
        </w:rPr>
        <w:t xml:space="preserve"> </w:t>
      </w:r>
      <w:r w:rsidR="0032284E">
        <w:rPr>
          <w:rFonts w:eastAsia="Times New Roman" w:cs="Times New Roman"/>
          <w:color w:val="000000"/>
          <w:szCs w:val="24"/>
          <w:lang w:eastAsia="es-CR"/>
        </w:rPr>
        <w:t>los erlenmeyers</w:t>
      </w:r>
      <w:r w:rsidR="00031F57" w:rsidRPr="009C7C5A">
        <w:rPr>
          <w:rFonts w:eastAsia="Times New Roman" w:cs="Times New Roman"/>
          <w:color w:val="000000"/>
          <w:szCs w:val="24"/>
          <w:lang w:eastAsia="es-CR"/>
        </w:rPr>
        <w:t xml:space="preserve"> </w:t>
      </w:r>
      <w:r w:rsidRPr="009C7C5A">
        <w:rPr>
          <w:rFonts w:eastAsia="Times New Roman" w:cs="Times New Roman"/>
          <w:color w:val="000000"/>
          <w:szCs w:val="24"/>
          <w:lang w:eastAsia="es-CR"/>
        </w:rPr>
        <w:t xml:space="preserve">se </w:t>
      </w:r>
      <w:r w:rsidR="00000A58">
        <w:rPr>
          <w:rFonts w:eastAsia="Times New Roman" w:cs="Times New Roman"/>
          <w:color w:val="000000"/>
          <w:szCs w:val="24"/>
          <w:lang w:eastAsia="es-CR"/>
        </w:rPr>
        <w:t xml:space="preserve">colaron en ultrasónico por 5 min, </w:t>
      </w:r>
      <w:r w:rsidR="00115E34">
        <w:rPr>
          <w:rFonts w:eastAsia="Times New Roman" w:cs="Times New Roman"/>
          <w:color w:val="000000"/>
          <w:szCs w:val="24"/>
          <w:lang w:eastAsia="es-CR"/>
        </w:rPr>
        <w:t xml:space="preserve">con el fin de liberar </w:t>
      </w:r>
      <w:r w:rsidR="005E3861">
        <w:rPr>
          <w:rFonts w:eastAsia="Times New Roman" w:cs="Times New Roman"/>
          <w:color w:val="000000"/>
          <w:szCs w:val="24"/>
          <w:lang w:eastAsia="es-CR"/>
        </w:rPr>
        <w:t>todos los compuestos adheridos</w:t>
      </w:r>
      <w:r w:rsidR="00115E34">
        <w:rPr>
          <w:rFonts w:eastAsia="Times New Roman" w:cs="Times New Roman"/>
          <w:color w:val="000000"/>
          <w:szCs w:val="24"/>
          <w:lang w:eastAsia="es-CR"/>
        </w:rPr>
        <w:t xml:space="preserve"> al micelio</w:t>
      </w:r>
      <w:r w:rsidR="00031F57">
        <w:rPr>
          <w:rFonts w:eastAsia="Times New Roman" w:cs="Times New Roman"/>
          <w:color w:val="000000"/>
          <w:szCs w:val="24"/>
          <w:lang w:eastAsia="es-CR"/>
        </w:rPr>
        <w:t>. L</w:t>
      </w:r>
      <w:r w:rsidR="00000A58">
        <w:rPr>
          <w:rFonts w:eastAsia="Times New Roman" w:cs="Times New Roman"/>
          <w:color w:val="000000"/>
          <w:szCs w:val="24"/>
          <w:lang w:eastAsia="es-CR"/>
        </w:rPr>
        <w:t xml:space="preserve">uego se </w:t>
      </w:r>
      <w:r w:rsidRPr="009C7C5A">
        <w:rPr>
          <w:rFonts w:eastAsia="Times New Roman" w:cs="Times New Roman"/>
          <w:color w:val="000000"/>
          <w:szCs w:val="24"/>
          <w:lang w:eastAsia="es-CR"/>
        </w:rPr>
        <w:t>separó el</w:t>
      </w:r>
      <w:r w:rsidR="00DF1245" w:rsidRPr="009C7C5A">
        <w:rPr>
          <w:rFonts w:eastAsia="Times New Roman" w:cs="Times New Roman"/>
          <w:color w:val="000000"/>
          <w:szCs w:val="24"/>
          <w:lang w:eastAsia="es-CR"/>
        </w:rPr>
        <w:t xml:space="preserve"> </w:t>
      </w:r>
      <w:r w:rsidRPr="009C7C5A">
        <w:rPr>
          <w:rFonts w:eastAsia="Times New Roman" w:cs="Times New Roman"/>
          <w:color w:val="000000"/>
          <w:szCs w:val="24"/>
          <w:lang w:eastAsia="es-CR"/>
        </w:rPr>
        <w:t>micelio</w:t>
      </w:r>
      <w:r w:rsidR="001A6F6F" w:rsidRPr="009C7C5A">
        <w:rPr>
          <w:rFonts w:eastAsia="Times New Roman" w:cs="Times New Roman"/>
          <w:color w:val="000000"/>
          <w:szCs w:val="24"/>
          <w:lang w:eastAsia="es-CR"/>
        </w:rPr>
        <w:t xml:space="preserve"> </w:t>
      </w:r>
      <w:r w:rsidR="00C638F5">
        <w:rPr>
          <w:rFonts w:eastAsia="Times New Roman" w:cs="Times New Roman"/>
          <w:color w:val="000000"/>
          <w:szCs w:val="24"/>
          <w:lang w:eastAsia="es-CR"/>
        </w:rPr>
        <w:t>por</w:t>
      </w:r>
      <w:r w:rsidR="0027038D">
        <w:rPr>
          <w:rFonts w:eastAsia="Times New Roman" w:cs="Times New Roman"/>
          <w:color w:val="000000"/>
          <w:szCs w:val="24"/>
          <w:lang w:eastAsia="es-CR"/>
        </w:rPr>
        <w:t xml:space="preserve"> </w:t>
      </w:r>
      <w:r w:rsidR="001A6F6F" w:rsidRPr="009C7C5A">
        <w:rPr>
          <w:rFonts w:eastAsia="Times New Roman" w:cs="Times New Roman"/>
          <w:color w:val="000000"/>
          <w:szCs w:val="24"/>
          <w:lang w:eastAsia="es-CR"/>
        </w:rPr>
        <w:t xml:space="preserve">decantación y filtración </w:t>
      </w:r>
      <w:r w:rsidR="00C638F5">
        <w:rPr>
          <w:rFonts w:eastAsia="Times New Roman" w:cs="Times New Roman"/>
          <w:color w:val="000000"/>
          <w:szCs w:val="24"/>
          <w:lang w:eastAsia="es-CR"/>
        </w:rPr>
        <w:t>con</w:t>
      </w:r>
      <w:r w:rsidR="00C638F5" w:rsidRPr="009C7C5A">
        <w:rPr>
          <w:rFonts w:eastAsia="Times New Roman" w:cs="Times New Roman"/>
          <w:color w:val="000000"/>
          <w:szCs w:val="24"/>
          <w:lang w:eastAsia="es-CR"/>
        </w:rPr>
        <w:t xml:space="preserve"> </w:t>
      </w:r>
      <w:r w:rsidR="001A6F6F" w:rsidRPr="009C7C5A">
        <w:rPr>
          <w:rFonts w:eastAsia="Times New Roman" w:cs="Times New Roman"/>
          <w:color w:val="000000"/>
          <w:szCs w:val="24"/>
          <w:lang w:eastAsia="es-CR"/>
        </w:rPr>
        <w:t>gaza estéril.</w:t>
      </w:r>
      <w:r w:rsidR="00493262">
        <w:rPr>
          <w:rFonts w:eastAsia="Times New Roman" w:cs="Times New Roman"/>
          <w:color w:val="000000"/>
          <w:szCs w:val="24"/>
          <w:lang w:eastAsia="es-CR"/>
        </w:rPr>
        <w:t xml:space="preserve"> El medio de cultivo se </w:t>
      </w:r>
      <w:r w:rsidR="0029431A">
        <w:rPr>
          <w:rFonts w:eastAsia="Times New Roman" w:cs="Times New Roman"/>
          <w:color w:val="000000"/>
          <w:szCs w:val="24"/>
          <w:lang w:eastAsia="es-CR"/>
        </w:rPr>
        <w:t>concentró apr</w:t>
      </w:r>
      <w:r w:rsidR="0069531D">
        <w:rPr>
          <w:rFonts w:eastAsia="Times New Roman" w:cs="Times New Roman"/>
          <w:color w:val="000000"/>
          <w:szCs w:val="24"/>
          <w:lang w:eastAsia="es-CR"/>
        </w:rPr>
        <w:t>oximadamente 20 veces mediante el uso de</w:t>
      </w:r>
      <w:r w:rsidR="00ED3D95">
        <w:rPr>
          <w:rFonts w:eastAsia="Times New Roman" w:cs="Times New Roman"/>
          <w:color w:val="000000"/>
          <w:szCs w:val="24"/>
          <w:lang w:eastAsia="es-CR"/>
        </w:rPr>
        <w:t xml:space="preserve"> liofilización</w:t>
      </w:r>
      <w:r w:rsidR="0069531D">
        <w:rPr>
          <w:rFonts w:eastAsia="Times New Roman" w:cs="Times New Roman"/>
          <w:color w:val="000000"/>
          <w:szCs w:val="24"/>
          <w:lang w:eastAsia="es-CR"/>
        </w:rPr>
        <w:t xml:space="preserve">. </w:t>
      </w:r>
      <w:r w:rsidR="00837811">
        <w:rPr>
          <w:rFonts w:eastAsia="Times New Roman" w:cs="Times New Roman"/>
          <w:color w:val="000000"/>
          <w:szCs w:val="24"/>
          <w:lang w:eastAsia="es-CR"/>
        </w:rPr>
        <w:t xml:space="preserve">Los extractos crudos resultantes se conservaron en refrigeración </w:t>
      </w:r>
      <w:r w:rsidR="0057141F">
        <w:rPr>
          <w:rFonts w:eastAsia="Times New Roman" w:cs="Times New Roman"/>
          <w:color w:val="000000"/>
          <w:szCs w:val="24"/>
          <w:lang w:eastAsia="es-CR"/>
        </w:rPr>
        <w:t>durante el análisis y montaje de ensayos</w:t>
      </w:r>
      <w:r w:rsidR="00B76533">
        <w:rPr>
          <w:rFonts w:eastAsia="Times New Roman" w:cs="Times New Roman"/>
          <w:color w:val="000000"/>
          <w:szCs w:val="24"/>
          <w:lang w:eastAsia="es-CR"/>
        </w:rPr>
        <w:t xml:space="preserve"> posteriores</w:t>
      </w:r>
      <w:r w:rsidR="0057141F">
        <w:rPr>
          <w:rFonts w:eastAsia="Times New Roman" w:cs="Times New Roman"/>
          <w:color w:val="000000"/>
          <w:szCs w:val="24"/>
          <w:lang w:eastAsia="es-CR"/>
        </w:rPr>
        <w:t>.</w:t>
      </w:r>
    </w:p>
    <w:p w14:paraId="37DF5E1C" w14:textId="77777777" w:rsidR="00C669ED" w:rsidRPr="009C7C5A" w:rsidRDefault="00C669ED" w:rsidP="009934E6">
      <w:pPr>
        <w:spacing w:after="0"/>
        <w:ind w:firstLine="708"/>
        <w:rPr>
          <w:rFonts w:eastAsia="Times New Roman" w:cs="Times New Roman"/>
          <w:color w:val="000000"/>
          <w:szCs w:val="24"/>
          <w:lang w:eastAsia="es-CR"/>
        </w:rPr>
      </w:pPr>
    </w:p>
    <w:p w14:paraId="4092A6FF" w14:textId="511FBD8A" w:rsidR="00DC6E9A" w:rsidRPr="00503641" w:rsidRDefault="0027038D" w:rsidP="00B755D5">
      <w:pPr>
        <w:pStyle w:val="Titulo20"/>
        <w:numPr>
          <w:ilvl w:val="1"/>
          <w:numId w:val="19"/>
        </w:numPr>
        <w:spacing w:after="0"/>
        <w:rPr>
          <w:lang w:eastAsia="es-CR"/>
        </w:rPr>
      </w:pPr>
      <w:bookmarkStart w:id="77" w:name="_Toc140204075"/>
      <w:bookmarkStart w:id="78" w:name="_Toc24018776"/>
      <w:r>
        <w:rPr>
          <w:lang w:eastAsia="es-CR"/>
        </w:rPr>
        <w:t>Ensayo de</w:t>
      </w:r>
      <w:r w:rsidR="00DC6E9A" w:rsidRPr="00503641">
        <w:rPr>
          <w:lang w:eastAsia="es-CR"/>
        </w:rPr>
        <w:t xml:space="preserve"> </w:t>
      </w:r>
      <w:r w:rsidR="005F7346">
        <w:rPr>
          <w:lang w:eastAsia="es-CR"/>
        </w:rPr>
        <w:t>actividad</w:t>
      </w:r>
      <w:r w:rsidR="00DC6E9A" w:rsidRPr="00503641">
        <w:rPr>
          <w:lang w:eastAsia="es-CR"/>
        </w:rPr>
        <w:t xml:space="preserve"> </w:t>
      </w:r>
      <w:r w:rsidR="005F7346">
        <w:rPr>
          <w:lang w:eastAsia="es-CR"/>
        </w:rPr>
        <w:t>de</w:t>
      </w:r>
      <w:r w:rsidR="00DC6E9A" w:rsidRPr="00503641">
        <w:rPr>
          <w:lang w:eastAsia="es-CR"/>
        </w:rPr>
        <w:t xml:space="preserve"> las fracciones</w:t>
      </w:r>
      <w:bookmarkEnd w:id="77"/>
      <w:r w:rsidR="00DC6E9A" w:rsidRPr="00503641">
        <w:rPr>
          <w:lang w:eastAsia="es-CR"/>
        </w:rPr>
        <w:t xml:space="preserve"> </w:t>
      </w:r>
      <w:bookmarkEnd w:id="78"/>
    </w:p>
    <w:p w14:paraId="2AC19D75" w14:textId="0C7E0A0E" w:rsidR="007B0D4D" w:rsidRDefault="00707258" w:rsidP="00A60D2D">
      <w:pPr>
        <w:spacing w:after="0"/>
        <w:ind w:firstLine="708"/>
        <w:rPr>
          <w:rFonts w:eastAsia="Times New Roman" w:cs="Times New Roman"/>
          <w:color w:val="000000"/>
          <w:szCs w:val="24"/>
          <w:lang w:eastAsia="es-CR"/>
        </w:rPr>
      </w:pPr>
      <w:bookmarkStart w:id="79" w:name="_Hlk15899814"/>
      <w:r>
        <w:rPr>
          <w:rFonts w:eastAsia="Times New Roman" w:cs="Times New Roman"/>
          <w:color w:val="000000"/>
          <w:szCs w:val="24"/>
          <w:lang w:eastAsia="es-CR"/>
        </w:rPr>
        <w:t xml:space="preserve">La actividad </w:t>
      </w:r>
      <w:r w:rsidR="00C638F5">
        <w:rPr>
          <w:rFonts w:eastAsia="Times New Roman" w:cs="Times New Roman"/>
          <w:color w:val="000000"/>
          <w:szCs w:val="24"/>
          <w:lang w:eastAsia="es-CR"/>
        </w:rPr>
        <w:t xml:space="preserve">antimicrobiana de los extractos crudos de </w:t>
      </w:r>
      <w:r w:rsidR="00B20E8C">
        <w:rPr>
          <w:rFonts w:eastAsia="Times New Roman" w:cs="Times New Roman"/>
          <w:color w:val="000000"/>
          <w:szCs w:val="24"/>
          <w:lang w:eastAsia="es-CR"/>
        </w:rPr>
        <w:t>los cultivos líquidos</w:t>
      </w:r>
      <w:r w:rsidR="00C638F5">
        <w:rPr>
          <w:rFonts w:eastAsia="Times New Roman" w:cs="Times New Roman"/>
          <w:color w:val="000000"/>
          <w:szCs w:val="24"/>
          <w:lang w:eastAsia="es-CR"/>
        </w:rPr>
        <w:t xml:space="preserve"> axénic</w:t>
      </w:r>
      <w:r w:rsidR="00B20E8C">
        <w:rPr>
          <w:rFonts w:eastAsia="Times New Roman" w:cs="Times New Roman"/>
          <w:color w:val="000000"/>
          <w:szCs w:val="24"/>
          <w:lang w:eastAsia="es-CR"/>
        </w:rPr>
        <w:t>o</w:t>
      </w:r>
      <w:r w:rsidR="00C638F5">
        <w:rPr>
          <w:rFonts w:eastAsia="Times New Roman" w:cs="Times New Roman"/>
          <w:color w:val="000000"/>
          <w:szCs w:val="24"/>
          <w:lang w:eastAsia="es-CR"/>
        </w:rPr>
        <w:t xml:space="preserve">s y en co-cultivo de las cepas de hongos seleccionas, </w:t>
      </w:r>
      <w:r>
        <w:rPr>
          <w:rFonts w:eastAsia="Times New Roman" w:cs="Times New Roman"/>
          <w:color w:val="000000"/>
          <w:szCs w:val="24"/>
          <w:lang w:eastAsia="es-CR"/>
        </w:rPr>
        <w:t xml:space="preserve">se evaluó contra las bacterias </w:t>
      </w:r>
      <w:r w:rsidR="00C638F5">
        <w:rPr>
          <w:rFonts w:eastAsia="Times New Roman" w:cs="Times New Roman"/>
          <w:color w:val="000000"/>
          <w:szCs w:val="24"/>
          <w:lang w:eastAsia="es-CR"/>
        </w:rPr>
        <w:t xml:space="preserve">ESKAPE </w:t>
      </w:r>
      <w:r>
        <w:rPr>
          <w:rFonts w:eastAsia="Times New Roman" w:cs="Times New Roman"/>
          <w:color w:val="000000"/>
          <w:szCs w:val="24"/>
          <w:lang w:eastAsia="es-CR"/>
        </w:rPr>
        <w:t xml:space="preserve">utilizadas </w:t>
      </w:r>
      <w:r w:rsidR="00C638F5">
        <w:rPr>
          <w:rFonts w:eastAsia="Times New Roman" w:cs="Times New Roman"/>
          <w:color w:val="000000"/>
          <w:szCs w:val="24"/>
          <w:lang w:eastAsia="es-CR"/>
        </w:rPr>
        <w:t>y con</w:t>
      </w:r>
      <w:r w:rsidR="00DA1806">
        <w:rPr>
          <w:rFonts w:eastAsia="Times New Roman" w:cs="Times New Roman"/>
          <w:color w:val="000000"/>
          <w:szCs w:val="24"/>
          <w:lang w:eastAsia="es-CR"/>
        </w:rPr>
        <w:t xml:space="preserve"> </w:t>
      </w:r>
      <w:r>
        <w:rPr>
          <w:rFonts w:eastAsia="Times New Roman" w:cs="Times New Roman"/>
          <w:color w:val="000000"/>
          <w:szCs w:val="24"/>
          <w:lang w:eastAsia="es-CR"/>
        </w:rPr>
        <w:t xml:space="preserve">tres cepas de hongos </w:t>
      </w:r>
      <w:r w:rsidR="00DA1806">
        <w:rPr>
          <w:rFonts w:eastAsia="Times New Roman" w:cs="Times New Roman"/>
          <w:color w:val="000000"/>
          <w:szCs w:val="24"/>
          <w:lang w:eastAsia="es-CR"/>
        </w:rPr>
        <w:t>de i</w:t>
      </w:r>
      <w:r>
        <w:rPr>
          <w:rFonts w:eastAsia="Times New Roman" w:cs="Times New Roman"/>
          <w:color w:val="000000"/>
          <w:szCs w:val="24"/>
          <w:lang w:eastAsia="es-CR"/>
        </w:rPr>
        <w:t xml:space="preserve">mportancia médica: </w:t>
      </w:r>
      <w:bookmarkStart w:id="80" w:name="OLE_LINK1"/>
      <w:bookmarkStart w:id="81" w:name="OLE_LINK2"/>
      <w:r w:rsidRPr="00503641">
        <w:rPr>
          <w:rFonts w:eastAsia="Times New Roman" w:cs="Times New Roman"/>
          <w:i/>
          <w:iCs/>
          <w:color w:val="000000"/>
          <w:szCs w:val="24"/>
          <w:lang w:eastAsia="es-CR"/>
        </w:rPr>
        <w:t>Aspergillus niger</w:t>
      </w:r>
      <w:r w:rsidRPr="00503641">
        <w:rPr>
          <w:rFonts w:eastAsia="Times New Roman" w:cs="Times New Roman"/>
          <w:color w:val="000000"/>
          <w:szCs w:val="24"/>
          <w:lang w:eastAsia="es-CR"/>
        </w:rPr>
        <w:t xml:space="preserve"> (ATCC® 6275™), </w:t>
      </w:r>
      <w:r w:rsidRPr="00503641">
        <w:rPr>
          <w:rFonts w:eastAsia="Times New Roman" w:cs="Times New Roman"/>
          <w:i/>
          <w:iCs/>
          <w:color w:val="000000"/>
          <w:szCs w:val="24"/>
          <w:lang w:eastAsia="es-CR"/>
        </w:rPr>
        <w:t xml:space="preserve">Aspergillus </w:t>
      </w:r>
      <w:r>
        <w:rPr>
          <w:rFonts w:eastAsia="Times New Roman" w:cs="Times New Roman"/>
          <w:i/>
          <w:iCs/>
          <w:color w:val="000000"/>
          <w:szCs w:val="24"/>
          <w:lang w:eastAsia="es-CR"/>
        </w:rPr>
        <w:t>fumigatus</w:t>
      </w:r>
      <w:r w:rsidRPr="00503641">
        <w:rPr>
          <w:rFonts w:eastAsia="Times New Roman" w:cs="Times New Roman"/>
          <w:color w:val="000000"/>
          <w:szCs w:val="24"/>
          <w:lang w:eastAsia="es-CR"/>
        </w:rPr>
        <w:t xml:space="preserve"> (ATCC® 36031™) y </w:t>
      </w:r>
      <w:r w:rsidRPr="00503641">
        <w:rPr>
          <w:rFonts w:eastAsia="Times New Roman" w:cs="Times New Roman"/>
          <w:i/>
          <w:iCs/>
          <w:color w:val="000000"/>
          <w:szCs w:val="24"/>
          <w:lang w:eastAsia="es-CR"/>
        </w:rPr>
        <w:t xml:space="preserve">Candida albicans </w:t>
      </w:r>
      <w:r w:rsidRPr="00503641">
        <w:rPr>
          <w:rFonts w:eastAsia="Times New Roman" w:cs="Times New Roman"/>
          <w:color w:val="000000"/>
          <w:szCs w:val="24"/>
          <w:lang w:eastAsia="es-CR"/>
        </w:rPr>
        <w:t>(ATCC® 10231™).</w:t>
      </w:r>
      <w:bookmarkEnd w:id="80"/>
      <w:bookmarkEnd w:id="81"/>
      <w:r>
        <w:rPr>
          <w:rFonts w:eastAsia="Times New Roman" w:cs="Times New Roman"/>
          <w:color w:val="000000"/>
          <w:szCs w:val="24"/>
          <w:lang w:eastAsia="es-CR"/>
        </w:rPr>
        <w:t xml:space="preserve"> Como controles positivos se utilizó </w:t>
      </w:r>
      <w:r w:rsidRPr="00707258">
        <w:rPr>
          <w:rFonts w:eastAsia="Times New Roman" w:cs="Times New Roman"/>
          <w:color w:val="000000"/>
          <w:szCs w:val="24"/>
          <w:lang w:eastAsia="es-CR"/>
        </w:rPr>
        <w:t>estreptomicina/penicilina (1</w:t>
      </w:r>
      <w:r w:rsidR="00C638F5">
        <w:rPr>
          <w:rFonts w:eastAsia="Times New Roman" w:cs="Times New Roman"/>
          <w:color w:val="000000"/>
          <w:szCs w:val="24"/>
          <w:lang w:eastAsia="es-CR"/>
        </w:rPr>
        <w:t xml:space="preserve"> </w:t>
      </w:r>
      <w:r w:rsidRPr="00707258">
        <w:rPr>
          <w:rFonts w:eastAsia="Times New Roman" w:cs="Times New Roman"/>
          <w:color w:val="000000"/>
          <w:szCs w:val="24"/>
          <w:lang w:eastAsia="es-CR"/>
        </w:rPr>
        <w:t>000 µg/mL) para las bacterias, fluoconazol (1</w:t>
      </w:r>
      <w:r w:rsidR="00C638F5">
        <w:rPr>
          <w:rFonts w:eastAsia="Times New Roman" w:cs="Times New Roman"/>
          <w:color w:val="000000"/>
          <w:szCs w:val="24"/>
          <w:lang w:eastAsia="es-CR"/>
        </w:rPr>
        <w:t xml:space="preserve"> </w:t>
      </w:r>
      <w:r w:rsidRPr="00707258">
        <w:rPr>
          <w:rFonts w:eastAsia="Times New Roman" w:cs="Times New Roman"/>
          <w:color w:val="000000"/>
          <w:szCs w:val="24"/>
          <w:lang w:eastAsia="es-CR"/>
        </w:rPr>
        <w:t xml:space="preserve">000 µg/mL) para </w:t>
      </w:r>
      <w:r w:rsidRPr="00707258">
        <w:rPr>
          <w:rFonts w:eastAsia="Times New Roman" w:cs="Times New Roman"/>
          <w:i/>
          <w:iCs/>
          <w:color w:val="000000"/>
          <w:szCs w:val="24"/>
          <w:lang w:eastAsia="es-CR"/>
        </w:rPr>
        <w:t>C. albicans</w:t>
      </w:r>
      <w:r w:rsidRPr="00707258">
        <w:rPr>
          <w:rFonts w:eastAsia="Times New Roman" w:cs="Times New Roman"/>
          <w:color w:val="000000"/>
          <w:szCs w:val="24"/>
          <w:lang w:eastAsia="es-CR"/>
        </w:rPr>
        <w:t xml:space="preserve"> y cicloheximida</w:t>
      </w:r>
      <w:r w:rsidR="000439C7">
        <w:rPr>
          <w:rFonts w:eastAsia="Times New Roman" w:cs="Times New Roman"/>
          <w:color w:val="000000"/>
          <w:szCs w:val="24"/>
          <w:lang w:eastAsia="es-CR"/>
        </w:rPr>
        <w:t xml:space="preserve"> (</w:t>
      </w:r>
      <w:r w:rsidR="000439C7" w:rsidRPr="00707258">
        <w:rPr>
          <w:rFonts w:eastAsia="Times New Roman" w:cs="Times New Roman"/>
          <w:color w:val="000000"/>
          <w:szCs w:val="24"/>
          <w:lang w:eastAsia="es-CR"/>
        </w:rPr>
        <w:t>0.1</w:t>
      </w:r>
      <w:r w:rsidR="009F155B" w:rsidRPr="00707258">
        <w:rPr>
          <w:rFonts w:eastAsia="Times New Roman" w:cs="Times New Roman"/>
          <w:color w:val="000000"/>
          <w:szCs w:val="24"/>
          <w:lang w:eastAsia="es-CR"/>
        </w:rPr>
        <w:t>%)</w:t>
      </w:r>
      <w:r w:rsidRPr="00707258">
        <w:rPr>
          <w:rFonts w:eastAsia="Times New Roman" w:cs="Times New Roman"/>
          <w:color w:val="000000"/>
          <w:szCs w:val="24"/>
          <w:lang w:eastAsia="es-CR"/>
        </w:rPr>
        <w:t xml:space="preserve"> para </w:t>
      </w:r>
      <w:r w:rsidRPr="00707258">
        <w:rPr>
          <w:rFonts w:eastAsia="Times New Roman" w:cs="Times New Roman"/>
          <w:i/>
          <w:iCs/>
          <w:color w:val="000000"/>
          <w:szCs w:val="24"/>
          <w:lang w:eastAsia="es-CR"/>
        </w:rPr>
        <w:t>A. niger</w:t>
      </w:r>
      <w:r w:rsidRPr="00707258">
        <w:rPr>
          <w:rFonts w:eastAsia="Times New Roman" w:cs="Times New Roman"/>
          <w:color w:val="000000"/>
          <w:szCs w:val="24"/>
          <w:lang w:eastAsia="es-CR"/>
        </w:rPr>
        <w:t xml:space="preserve"> y </w:t>
      </w:r>
      <w:r w:rsidRPr="00707258">
        <w:rPr>
          <w:rFonts w:eastAsia="Times New Roman" w:cs="Times New Roman"/>
          <w:i/>
          <w:iCs/>
          <w:color w:val="000000"/>
          <w:szCs w:val="24"/>
          <w:lang w:eastAsia="es-CR"/>
        </w:rPr>
        <w:t>A. fumigatus.</w:t>
      </w:r>
      <w:r w:rsidRPr="00707258">
        <w:rPr>
          <w:rFonts w:eastAsia="Times New Roman" w:cs="Times New Roman"/>
          <w:color w:val="000000"/>
          <w:szCs w:val="24"/>
          <w:lang w:eastAsia="es-CR"/>
        </w:rPr>
        <w:t xml:space="preserve"> </w:t>
      </w:r>
      <w:r w:rsidR="00C638F5">
        <w:rPr>
          <w:rFonts w:eastAsia="Times New Roman" w:cs="Times New Roman"/>
          <w:color w:val="000000"/>
          <w:szCs w:val="24"/>
          <w:lang w:eastAsia="es-CR"/>
        </w:rPr>
        <w:t>Como</w:t>
      </w:r>
      <w:r w:rsidR="00C27C64">
        <w:rPr>
          <w:rFonts w:eastAsia="Times New Roman" w:cs="Times New Roman"/>
          <w:color w:val="000000"/>
          <w:szCs w:val="24"/>
          <w:lang w:eastAsia="es-CR"/>
        </w:rPr>
        <w:t xml:space="preserve"> </w:t>
      </w:r>
      <w:r w:rsidR="00C638F5">
        <w:rPr>
          <w:rFonts w:eastAsia="Times New Roman" w:cs="Times New Roman"/>
          <w:color w:val="000000"/>
          <w:szCs w:val="24"/>
          <w:lang w:eastAsia="es-CR"/>
        </w:rPr>
        <w:t xml:space="preserve">control negativo se utilizó </w:t>
      </w:r>
      <w:r w:rsidR="00C27C64">
        <w:rPr>
          <w:rFonts w:eastAsia="Times New Roman" w:cs="Times New Roman"/>
          <w:color w:val="000000"/>
          <w:szCs w:val="24"/>
          <w:lang w:eastAsia="es-CR"/>
        </w:rPr>
        <w:t xml:space="preserve">agua destilada estéril </w:t>
      </w:r>
      <w:r w:rsidR="00C638F5">
        <w:rPr>
          <w:rFonts w:eastAsia="Times New Roman" w:cs="Times New Roman"/>
          <w:color w:val="000000"/>
          <w:szCs w:val="24"/>
          <w:lang w:eastAsia="es-CR"/>
        </w:rPr>
        <w:t xml:space="preserve">y los cultivos, por separado, de </w:t>
      </w:r>
      <w:r w:rsidR="00C638F5" w:rsidRPr="00B07A3F">
        <w:rPr>
          <w:rFonts w:eastAsia="Times New Roman" w:cs="Times New Roman"/>
          <w:i/>
          <w:iCs/>
          <w:color w:val="000000"/>
          <w:szCs w:val="24"/>
          <w:lang w:eastAsia="es-CR"/>
        </w:rPr>
        <w:t>S. aureus</w:t>
      </w:r>
      <w:r w:rsidR="00C638F5" w:rsidRPr="00B07A3F">
        <w:rPr>
          <w:rFonts w:eastAsia="Times New Roman" w:cs="Times New Roman"/>
          <w:color w:val="000000"/>
          <w:szCs w:val="24"/>
          <w:lang w:eastAsia="es-CR"/>
        </w:rPr>
        <w:t xml:space="preserve"> </w:t>
      </w:r>
      <w:r w:rsidR="00C638F5">
        <w:rPr>
          <w:rFonts w:eastAsia="Times New Roman" w:cs="Times New Roman"/>
          <w:color w:val="000000"/>
          <w:szCs w:val="24"/>
          <w:lang w:eastAsia="es-CR"/>
        </w:rPr>
        <w:t xml:space="preserve">y </w:t>
      </w:r>
      <w:r w:rsidR="00C638F5" w:rsidRPr="00B07A3F">
        <w:rPr>
          <w:rFonts w:eastAsia="Times New Roman" w:cs="Times New Roman"/>
          <w:i/>
          <w:iCs/>
          <w:color w:val="000000"/>
          <w:szCs w:val="24"/>
          <w:lang w:eastAsia="es-CR"/>
        </w:rPr>
        <w:t>E. hormaechei</w:t>
      </w:r>
      <w:r w:rsidR="00C27C64">
        <w:rPr>
          <w:rFonts w:eastAsia="Times New Roman" w:cs="Times New Roman"/>
          <w:color w:val="000000"/>
          <w:szCs w:val="24"/>
          <w:lang w:eastAsia="es-CR"/>
        </w:rPr>
        <w:t>.</w:t>
      </w:r>
    </w:p>
    <w:p w14:paraId="61820E37" w14:textId="03718572" w:rsidR="00DC6E9A" w:rsidRPr="00503641" w:rsidRDefault="00FA030F" w:rsidP="00DC6E9A">
      <w:pPr>
        <w:spacing w:before="200" w:after="0"/>
        <w:ind w:firstLine="708"/>
        <w:rPr>
          <w:rFonts w:eastAsia="Times New Roman" w:cs="Times New Roman"/>
          <w:color w:val="000000"/>
          <w:szCs w:val="24"/>
          <w:lang w:eastAsia="es-CR"/>
        </w:rPr>
      </w:pPr>
      <w:r>
        <w:rPr>
          <w:rFonts w:eastAsia="Times New Roman" w:cs="Times New Roman"/>
          <w:color w:val="000000"/>
          <w:szCs w:val="24"/>
          <w:lang w:eastAsia="es-CR"/>
        </w:rPr>
        <w:t xml:space="preserve">La evaluación de la actividad </w:t>
      </w:r>
      <w:r w:rsidR="00B036ED">
        <w:rPr>
          <w:rFonts w:eastAsia="Times New Roman" w:cs="Times New Roman"/>
          <w:color w:val="000000"/>
          <w:szCs w:val="24"/>
          <w:lang w:eastAsia="es-CR"/>
        </w:rPr>
        <w:t xml:space="preserve">antibacteriana </w:t>
      </w:r>
      <w:r>
        <w:rPr>
          <w:rFonts w:eastAsia="Times New Roman" w:cs="Times New Roman"/>
          <w:color w:val="000000"/>
          <w:szCs w:val="24"/>
          <w:lang w:eastAsia="es-CR"/>
        </w:rPr>
        <w:t xml:space="preserve">se realizó </w:t>
      </w:r>
      <w:r w:rsidRPr="00503641">
        <w:rPr>
          <w:rFonts w:eastAsia="Times New Roman" w:cs="Times New Roman"/>
          <w:color w:val="000000"/>
          <w:szCs w:val="24"/>
          <w:lang w:eastAsia="es-CR"/>
        </w:rPr>
        <w:t xml:space="preserve">mediante el método de difusión en pozo </w:t>
      </w:r>
      <w:r>
        <w:rPr>
          <w:rFonts w:eastAsia="Times New Roman" w:cs="Times New Roman"/>
          <w:color w:val="000000"/>
          <w:szCs w:val="24"/>
          <w:lang w:eastAsia="es-CR"/>
        </w:rPr>
        <w:t xml:space="preserve">propuesto </w:t>
      </w:r>
      <w:r w:rsidRPr="00503641">
        <w:rPr>
          <w:rFonts w:eastAsia="Times New Roman" w:cs="Times New Roman"/>
          <w:color w:val="000000"/>
          <w:szCs w:val="24"/>
          <w:lang w:eastAsia="es-CR"/>
        </w:rPr>
        <w:t>por</w:t>
      </w:r>
      <w:r w:rsidR="00B44F33">
        <w:rPr>
          <w:rFonts w:eastAsia="Times New Roman" w:cs="Times New Roman"/>
          <w:color w:val="000000"/>
          <w:szCs w:val="24"/>
          <w:lang w:eastAsia="es-CR"/>
        </w:rPr>
        <w:t xml:space="preserve"> </w:t>
      </w:r>
      <w:r w:rsidR="00C656AF">
        <w:rPr>
          <w:rFonts w:eastAsia="Times New Roman" w:cs="Times New Roman"/>
          <w:color w:val="000000"/>
          <w:szCs w:val="24"/>
          <w:lang w:eastAsia="es-CR"/>
        </w:rPr>
        <w:fldChar w:fldCharType="begin" w:fldLock="1"/>
      </w:r>
      <w:r w:rsidR="00794E54">
        <w:rPr>
          <w:rFonts w:eastAsia="Times New Roman" w:cs="Times New Roman"/>
          <w:color w:val="000000"/>
          <w:szCs w:val="24"/>
          <w:lang w:eastAsia="es-CR"/>
        </w:rPr>
        <w:instrText>ADDIN CSL_CITATION {"citationItems":[{"id":"ITEM-1","itemData":{"DOI":"10.1002/fsn3.1065","ISSN":"20487177","abstract":"Four important Cinnamomum species in China including C. cassia, C. loureiroi, C. wilsonii, and C. burmannii were chosen to be extracted by subcritical n-butane and ethanol. The chemical compounds of extracts were identified by GC-MS and HPLC-MS, and the antibacterial activities were evaluated by agar-well diffusion assay and twofold microdilution broth method. There were 47 compounds identified in n-butane extracts and 11 compounds in ethanol extracts totally. The major compounds in n-butane extracts varied significantly among different Cinnamomum species, and (E)-cinnamaldehyde and coumarin were major compounds for C. cassia with area percentage of 74.32%; (E)-cinnamaldehyde and α-copaene for C. loureiroi with area percentage of 67.83%; linalool, (E)-cinnamaldehyde, and citral for C. wilsonii with area percentage of 58.74%; and eugenol, (E)-cinnamaldehyde, and coumarin for C. burmannii with area percentage of 76.43%. The maximum compounds in ethanol extracts were (E)-cinnamaldehyde and (Z)-cinnamaldehyde, and others varied among the Cinnamomum species. All cinnamon extracts showed antibacterial activities that n-butane extracts were much more sensitive than ethanol extracts. The inhibition zone for N-butane extracts against Listeria monocytogenes, Staphylococcus aureus, Escherichia coli, and Salmonella anatum was from 18.98 to 37.45 mm while for ethanol extracts from 7.11 to 10.11 mm. The minimum bactericidal concentrations for n-butane extracts were ranged from 0.31 to 2.50 mg/ml and for ethanol extracts ranged from 20.00 to 160.00 mg/ml. N-butane extracts of C. cassia and C. loureiroi processed much higher antibacterial activities than C. wilsonii and C. burmannii. N-butane extracts of C. cassia and C. loureiroi have the potential to be used as food biopreservative.","author":[{"dropping-particle":"","family":"Liang","given":"Ying","non-dropping-particle":"","parse-names":false,"suffix":""},{"dropping-particle":"","family":"Li","given":"Yi","non-dropping-particle":"","parse-names":false,"suffix":""},{"dropping-particle":"","family":"Sun","given":"Aidong","non-dropping-particle":"","parse-names":false,"suffix":""},{"dropping-particle":"","family":"Liu","given":"Xianjin","non-dropping-particle":"","parse-names":false,"suffix":""}],"container-title":"Food Science and Nutrition","id":"ITEM-1","issue":"6","issued":{"date-parts":[["2019"]]},"page":"2186-2193","title":"Chemical compound identification and antibacterial activity evaluation of cinnamon extracts obtained by subcritical n-butane and ethanol extraction","type":"article-journal","volume":"7"},"uris":["http://www.mendeley.com/documents/?uuid=486e7417-0e61-4d87-b71e-fbe359ffc88e"]}],"mendeley":{"formattedCitation":"(Liang et al., 2019)","manualFormatting":"Liang, Li, Sun, &amp; Liu (2019)","plainTextFormattedCitation":"(Liang et al., 2019)","previouslyFormattedCitation":"(Liang et al., 2019)"},"properties":{"noteIndex":0},"schema":"https://github.com/citation-style-language/schema/raw/master/csl-citation.json"}</w:instrText>
      </w:r>
      <w:r w:rsidR="00C656AF">
        <w:rPr>
          <w:rFonts w:eastAsia="Times New Roman" w:cs="Times New Roman"/>
          <w:color w:val="000000"/>
          <w:szCs w:val="24"/>
          <w:lang w:eastAsia="es-CR"/>
        </w:rPr>
        <w:fldChar w:fldCharType="separate"/>
      </w:r>
      <w:r w:rsidR="00C656AF" w:rsidRPr="00C656AF">
        <w:rPr>
          <w:rFonts w:eastAsia="Times New Roman" w:cs="Times New Roman"/>
          <w:noProof/>
          <w:color w:val="000000"/>
          <w:szCs w:val="24"/>
          <w:lang w:eastAsia="es-CR"/>
        </w:rPr>
        <w:t xml:space="preserve">Liang, Li, Sun, &amp; Liu </w:t>
      </w:r>
      <w:r w:rsidR="00105109">
        <w:rPr>
          <w:rFonts w:eastAsia="Times New Roman" w:cs="Times New Roman"/>
          <w:noProof/>
          <w:color w:val="000000"/>
          <w:szCs w:val="24"/>
          <w:lang w:eastAsia="es-CR"/>
        </w:rPr>
        <w:t>(</w:t>
      </w:r>
      <w:r w:rsidR="00C656AF" w:rsidRPr="00C656AF">
        <w:rPr>
          <w:rFonts w:eastAsia="Times New Roman" w:cs="Times New Roman"/>
          <w:noProof/>
          <w:color w:val="000000"/>
          <w:szCs w:val="24"/>
          <w:lang w:eastAsia="es-CR"/>
        </w:rPr>
        <w:t>2019)</w:t>
      </w:r>
      <w:r w:rsidR="00C656AF">
        <w:rPr>
          <w:rFonts w:eastAsia="Times New Roman" w:cs="Times New Roman"/>
          <w:color w:val="000000"/>
          <w:szCs w:val="24"/>
          <w:lang w:eastAsia="es-CR"/>
        </w:rPr>
        <w:fldChar w:fldCharType="end"/>
      </w:r>
      <w:r w:rsidR="00007A4B">
        <w:rPr>
          <w:rFonts w:eastAsia="Times New Roman" w:cs="Times New Roman"/>
          <w:color w:val="000000"/>
          <w:szCs w:val="24"/>
          <w:lang w:eastAsia="es-CR"/>
        </w:rPr>
        <w:t>, utilizando medio Mueller Hinton</w:t>
      </w:r>
      <w:r w:rsidR="00105109">
        <w:rPr>
          <w:rFonts w:eastAsia="Times New Roman" w:cs="Times New Roman"/>
          <w:color w:val="000000"/>
          <w:szCs w:val="24"/>
          <w:lang w:eastAsia="es-CR"/>
        </w:rPr>
        <w:t xml:space="preserve"> y suspensión McFarl</w:t>
      </w:r>
      <w:r w:rsidR="00B036ED">
        <w:rPr>
          <w:rFonts w:eastAsia="Times New Roman" w:cs="Times New Roman"/>
          <w:color w:val="000000"/>
          <w:szCs w:val="24"/>
          <w:lang w:eastAsia="es-CR"/>
        </w:rPr>
        <w:t>a</w:t>
      </w:r>
      <w:r w:rsidR="00105109">
        <w:rPr>
          <w:rFonts w:eastAsia="Times New Roman" w:cs="Times New Roman"/>
          <w:color w:val="000000"/>
          <w:szCs w:val="24"/>
          <w:lang w:eastAsia="es-CR"/>
        </w:rPr>
        <w:t>nd 0.5</w:t>
      </w:r>
      <w:r w:rsidR="00D93895">
        <w:rPr>
          <w:rFonts w:eastAsia="Times New Roman" w:cs="Times New Roman"/>
          <w:color w:val="000000"/>
          <w:szCs w:val="24"/>
          <w:lang w:eastAsia="es-CR"/>
        </w:rPr>
        <w:t xml:space="preserve">. </w:t>
      </w:r>
      <w:r w:rsidR="00B036ED">
        <w:rPr>
          <w:rFonts w:eastAsia="Times New Roman" w:cs="Times New Roman"/>
          <w:color w:val="000000"/>
          <w:szCs w:val="24"/>
          <w:lang w:eastAsia="es-CR"/>
        </w:rPr>
        <w:t>Para la actividad antifúngica</w:t>
      </w:r>
      <w:r w:rsidR="003E66F6">
        <w:rPr>
          <w:rFonts w:eastAsia="Times New Roman" w:cs="Times New Roman"/>
          <w:color w:val="000000"/>
          <w:szCs w:val="24"/>
          <w:lang w:eastAsia="es-CR"/>
        </w:rPr>
        <w:t xml:space="preserve">, </w:t>
      </w:r>
      <w:r w:rsidR="00DC6E9A" w:rsidRPr="00503641">
        <w:rPr>
          <w:rFonts w:eastAsia="Times New Roman" w:cs="Times New Roman"/>
          <w:color w:val="000000"/>
          <w:szCs w:val="24"/>
          <w:lang w:eastAsia="es-CR"/>
        </w:rPr>
        <w:t xml:space="preserve">se utilizó el protocolo descrito por </w:t>
      </w:r>
      <w:r w:rsidR="00DC6E9A" w:rsidRPr="00503641">
        <w:rPr>
          <w:rFonts w:eastAsia="Times New Roman" w:cs="Times New Roman"/>
          <w:color w:val="000000"/>
          <w:szCs w:val="24"/>
          <w:lang w:eastAsia="es-CR"/>
        </w:rPr>
        <w:fldChar w:fldCharType="begin" w:fldLock="1"/>
      </w:r>
      <w:r w:rsidR="00DC6E9A" w:rsidRPr="00503641">
        <w:rPr>
          <w:rFonts w:eastAsia="Times New Roman" w:cs="Times New Roman"/>
          <w:color w:val="000000"/>
          <w:szCs w:val="24"/>
          <w:lang w:eastAsia="es-CR"/>
        </w:rPr>
        <w:instrText>ADDIN CSL_CITATION {"citationItems":[{"id":"ITEM-1","itemData":{"DOI":"10.1038/s41598-017-08673-9","ISSN":"20452322","abstract":"© 2017 The Author(s). Six essential oils (from oregano, thyme, clove, lavender, clary sage, and arborvitae) exhibited different antibacterial and antifungal properties. Antimicrobial activity was shown against pathogenic (Escherichia coli, Salmonella typhimurium, Yersinia enterocolitica, Staphylococcus aureus, Listeria monocytogenes, and Enterococcus faecalis) and environmental bacteria (Bacillus cereus, Arthrobacter protophormiae, Pseudomonas fragi) and fungi (Chaetomium globosum, Penicillium chrysogenum, Cladosporium cladosporoides, Alternaria alternata, and Aspergillus fumigatus). Oregano, thyme, clove and arborvitae showed very strong antibacterial activity against all tested strains at both full strength and reduced concentrations. These essential oils showed different fungistatic and fungicidal activities when tested by direct application and in the vapor phase. The genotoxic effects of these oils on HEL 12469 human embryo lung cells were evaluated using an alkaline comet assay for the first time, revealing that none of the oils induced significant DNA damage in vitro after 24 h. This study provides novel approaches for assessing the antimicrobial potential of essential oils in both direct contact and the vapor phase and also demonstrates the valuable properties of the phenol-free arborvitae oil. These results suggest that all the tested essential oils might be used as broad-spectrum anti-microbial agents for decontaminating an indoor environment.","author":[{"dropping-particle":"","family":"Puškárová","given":"Andrea","non-dropping-particle":"","parse-names":false,"suffix":""},{"dropping-particle":"","family":"Bučková","given":"Mária","non-dropping-particle":"","parse-names":false,"suffix":""},{"dropping-particle":"","family":"Kraková","given":"Lucia","non-dropping-particle":"","parse-names":false,"suffix":""},{"dropping-particle":"","family":"Pangallo","given":"Domenico","non-dropping-particle":"","parse-names":false,"suffix":""},{"dropping-particle":"","family":"Kozics","given":"Katarína","non-dropping-particle":"","parse-names":false,"suffix":""}],"container-title":"Scientific Reports","id":"ITEM-1","issue":"1","issued":{"date-parts":[["2017"]]},"page":"1-11","title":"The antibacterial and antifungal activity of six essential oils and their cyto/genotoxicity to human HEL 12469 cells","type":"article-journal","volume":"7"},"uris":["http://www.mendeley.com/documents/?uuid=ed233c17-9919-4dc6-81b6-6964269dbc83"]}],"mendeley":{"formattedCitation":"(Puškárová, Bučková, Kraková, Pangallo, &amp; Kozics, 2017)","manualFormatting":"Puškárová, Bučková, Kraková, Pangallo y Kozics (2017)","plainTextFormattedCitation":"(Puškárová, Bučková, Kraková, Pangallo, &amp; Kozics, 2017)","previouslyFormattedCitation":"(Puškárová, Bučková, Kraková, Pangallo, &amp; Kozics, 2017)"},"properties":{"noteIndex":0},"schema":"https://github.com/citation-style-language/schema/raw/master/csl-citation.json"}</w:instrText>
      </w:r>
      <w:r w:rsidR="00DC6E9A" w:rsidRPr="00503641">
        <w:rPr>
          <w:rFonts w:eastAsia="Times New Roman" w:cs="Times New Roman"/>
          <w:color w:val="000000"/>
          <w:szCs w:val="24"/>
          <w:lang w:eastAsia="es-CR"/>
        </w:rPr>
        <w:fldChar w:fldCharType="separate"/>
      </w:r>
      <w:r w:rsidR="00DC6E9A" w:rsidRPr="00503641">
        <w:rPr>
          <w:rFonts w:eastAsia="Times New Roman" w:cs="Times New Roman"/>
          <w:noProof/>
          <w:color w:val="000000"/>
          <w:szCs w:val="24"/>
          <w:lang w:eastAsia="es-CR"/>
        </w:rPr>
        <w:t>Puškárová, Bučková, Kraková, Pangallo y Kozics (2017)</w:t>
      </w:r>
      <w:r w:rsidR="00DC6E9A" w:rsidRPr="00503641">
        <w:rPr>
          <w:rFonts w:eastAsia="Times New Roman" w:cs="Times New Roman"/>
          <w:color w:val="000000"/>
          <w:szCs w:val="24"/>
          <w:lang w:eastAsia="es-CR"/>
        </w:rPr>
        <w:fldChar w:fldCharType="end"/>
      </w:r>
      <w:r w:rsidR="00B036ED">
        <w:rPr>
          <w:rFonts w:eastAsia="Times New Roman" w:cs="Times New Roman"/>
          <w:color w:val="000000"/>
          <w:szCs w:val="24"/>
          <w:lang w:eastAsia="es-CR"/>
        </w:rPr>
        <w:t>. Se</w:t>
      </w:r>
      <w:r w:rsidR="00DC6E9A" w:rsidRPr="00503641">
        <w:rPr>
          <w:rFonts w:eastAsia="Times New Roman" w:cs="Times New Roman"/>
          <w:color w:val="000000"/>
          <w:szCs w:val="24"/>
          <w:lang w:eastAsia="es-CR"/>
        </w:rPr>
        <w:t xml:space="preserve"> cultivó por esparcido una suspensión de esporas a una concentración de 10</w:t>
      </w:r>
      <w:r w:rsidR="006F7D5D">
        <w:rPr>
          <w:rFonts w:eastAsia="Times New Roman" w:cs="Times New Roman"/>
          <w:color w:val="000000"/>
          <w:szCs w:val="24"/>
          <w:vertAlign w:val="superscript"/>
          <w:lang w:eastAsia="es-CR"/>
        </w:rPr>
        <w:t>5</w:t>
      </w:r>
      <w:r w:rsidR="00DC6E9A" w:rsidRPr="00503641">
        <w:rPr>
          <w:rFonts w:eastAsia="Times New Roman" w:cs="Times New Roman"/>
          <w:color w:val="000000"/>
          <w:szCs w:val="24"/>
          <w:lang w:eastAsia="es-CR"/>
        </w:rPr>
        <w:t xml:space="preserve"> esporas/mL en </w:t>
      </w:r>
      <w:r w:rsidR="00B036ED">
        <w:rPr>
          <w:rFonts w:eastAsia="Times New Roman" w:cs="Times New Roman"/>
          <w:color w:val="000000"/>
          <w:szCs w:val="24"/>
          <w:lang w:eastAsia="es-CR"/>
        </w:rPr>
        <w:t>agar</w:t>
      </w:r>
      <w:r w:rsidR="00B036ED" w:rsidRPr="00503641">
        <w:rPr>
          <w:rFonts w:eastAsia="Times New Roman" w:cs="Times New Roman"/>
          <w:color w:val="000000"/>
          <w:szCs w:val="24"/>
          <w:lang w:eastAsia="es-CR"/>
        </w:rPr>
        <w:t xml:space="preserve"> </w:t>
      </w:r>
      <w:r w:rsidR="00F01FB3">
        <w:rPr>
          <w:rFonts w:eastAsia="Times New Roman" w:cs="Times New Roman"/>
          <w:color w:val="000000"/>
          <w:szCs w:val="24"/>
          <w:lang w:eastAsia="es-CR"/>
        </w:rPr>
        <w:t>Saborou</w:t>
      </w:r>
      <w:r w:rsidR="00770E71">
        <w:rPr>
          <w:rFonts w:eastAsia="Times New Roman" w:cs="Times New Roman"/>
          <w:color w:val="000000"/>
          <w:szCs w:val="24"/>
          <w:lang w:eastAsia="es-CR"/>
        </w:rPr>
        <w:t>d Dextrosa</w:t>
      </w:r>
      <w:r w:rsidR="00DC6E9A" w:rsidRPr="00503641">
        <w:rPr>
          <w:rFonts w:eastAsia="Times New Roman" w:cs="Times New Roman"/>
          <w:color w:val="000000"/>
          <w:szCs w:val="24"/>
          <w:lang w:eastAsia="es-CR"/>
        </w:rPr>
        <w:t xml:space="preserve"> (BD</w:t>
      </w:r>
      <w:r w:rsidR="00DC6E9A" w:rsidRPr="00503641">
        <w:rPr>
          <w:rFonts w:ascii="Symbol" w:eastAsia="Symbol" w:hAnsi="Symbol" w:cs="Symbol"/>
          <w:color w:val="000000"/>
          <w:szCs w:val="24"/>
          <w:lang w:eastAsia="es-CR"/>
        </w:rPr>
        <w:t>Ò</w:t>
      </w:r>
      <w:r w:rsidR="00DC6E9A" w:rsidRPr="00503641">
        <w:rPr>
          <w:rFonts w:eastAsia="Times New Roman" w:cs="Times New Roman"/>
          <w:color w:val="000000"/>
          <w:szCs w:val="24"/>
          <w:lang w:eastAsia="es-CR"/>
        </w:rPr>
        <w:t>)</w:t>
      </w:r>
      <w:bookmarkStart w:id="82" w:name="_Hlk10423244"/>
      <w:bookmarkEnd w:id="79"/>
      <w:r w:rsidR="00DC6E9A" w:rsidRPr="00503641">
        <w:rPr>
          <w:rFonts w:eastAsia="Times New Roman" w:cs="Times New Roman"/>
          <w:color w:val="000000"/>
          <w:szCs w:val="24"/>
          <w:lang w:eastAsia="es-CR"/>
        </w:rPr>
        <w:t>.</w:t>
      </w:r>
      <w:r w:rsidR="00770E71">
        <w:rPr>
          <w:rFonts w:eastAsia="Times New Roman" w:cs="Times New Roman"/>
          <w:color w:val="000000"/>
          <w:szCs w:val="24"/>
          <w:lang w:eastAsia="es-CR"/>
        </w:rPr>
        <w:t xml:space="preserve"> Luego de inocular cada patógeno, se realizaron agujeros de 6 mm de diámetro </w:t>
      </w:r>
      <w:r w:rsidR="00B036ED">
        <w:rPr>
          <w:rFonts w:eastAsia="Times New Roman" w:cs="Times New Roman"/>
          <w:color w:val="000000"/>
          <w:szCs w:val="24"/>
          <w:lang w:eastAsia="es-CR"/>
        </w:rPr>
        <w:t xml:space="preserve">en el agar </w:t>
      </w:r>
      <w:r w:rsidR="00770E71">
        <w:rPr>
          <w:rFonts w:eastAsia="Times New Roman" w:cs="Times New Roman"/>
          <w:color w:val="000000"/>
          <w:szCs w:val="24"/>
          <w:lang w:eastAsia="es-CR"/>
        </w:rPr>
        <w:t>y se inocularon</w:t>
      </w:r>
      <w:r w:rsidR="00B036ED">
        <w:rPr>
          <w:rFonts w:eastAsia="Times New Roman" w:cs="Times New Roman"/>
          <w:color w:val="000000"/>
          <w:szCs w:val="24"/>
          <w:lang w:eastAsia="es-CR"/>
        </w:rPr>
        <w:t>, por separado,</w:t>
      </w:r>
      <w:r w:rsidR="00770E71">
        <w:rPr>
          <w:rFonts w:eastAsia="Times New Roman" w:cs="Times New Roman"/>
          <w:color w:val="000000"/>
          <w:szCs w:val="24"/>
          <w:lang w:eastAsia="es-CR"/>
        </w:rPr>
        <w:t xml:space="preserve"> 45 µL de los extractos crudos y </w:t>
      </w:r>
      <w:r w:rsidR="00A16187">
        <w:rPr>
          <w:rFonts w:eastAsia="Times New Roman" w:cs="Times New Roman"/>
          <w:color w:val="000000"/>
          <w:szCs w:val="24"/>
          <w:lang w:eastAsia="es-CR"/>
        </w:rPr>
        <w:t xml:space="preserve">de los </w:t>
      </w:r>
      <w:r w:rsidR="00770E71">
        <w:rPr>
          <w:rFonts w:eastAsia="Times New Roman" w:cs="Times New Roman"/>
          <w:color w:val="000000"/>
          <w:szCs w:val="24"/>
          <w:lang w:eastAsia="es-CR"/>
        </w:rPr>
        <w:t>controles</w:t>
      </w:r>
      <w:r w:rsidR="001F5789">
        <w:rPr>
          <w:rFonts w:eastAsia="Times New Roman" w:cs="Times New Roman"/>
          <w:color w:val="000000"/>
          <w:szCs w:val="24"/>
          <w:lang w:eastAsia="es-CR"/>
        </w:rPr>
        <w:t xml:space="preserve">. </w:t>
      </w:r>
    </w:p>
    <w:p w14:paraId="68D380D7" w14:textId="01CC78AF" w:rsidR="00E43B04" w:rsidRDefault="00853F26" w:rsidP="005159D2">
      <w:pPr>
        <w:spacing w:after="0"/>
        <w:ind w:firstLine="720"/>
        <w:rPr>
          <w:rFonts w:eastAsia="Times New Roman" w:cs="Times New Roman"/>
          <w:color w:val="000000"/>
          <w:szCs w:val="24"/>
          <w:lang w:eastAsia="es-CR"/>
        </w:rPr>
      </w:pPr>
      <w:r>
        <w:rPr>
          <w:rFonts w:eastAsia="Times New Roman" w:cs="Times New Roman"/>
          <w:color w:val="000000"/>
          <w:szCs w:val="24"/>
          <w:lang w:eastAsia="es-CR"/>
        </w:rPr>
        <w:t xml:space="preserve">La </w:t>
      </w:r>
      <w:r w:rsidR="00252E28">
        <w:rPr>
          <w:rFonts w:eastAsia="Times New Roman" w:cs="Times New Roman"/>
          <w:color w:val="000000"/>
          <w:szCs w:val="24"/>
          <w:lang w:eastAsia="es-CR"/>
        </w:rPr>
        <w:t xml:space="preserve">inhibición del crecimiento microbiano de las </w:t>
      </w:r>
      <w:r w:rsidR="00875E62">
        <w:rPr>
          <w:rFonts w:eastAsia="Times New Roman" w:cs="Times New Roman"/>
          <w:color w:val="000000"/>
          <w:szCs w:val="24"/>
          <w:lang w:eastAsia="es-CR"/>
        </w:rPr>
        <w:t>cepas patógenas</w:t>
      </w:r>
      <w:r w:rsidR="00252E28">
        <w:rPr>
          <w:rFonts w:eastAsia="Times New Roman" w:cs="Times New Roman"/>
          <w:color w:val="000000"/>
          <w:szCs w:val="24"/>
          <w:lang w:eastAsia="es-CR"/>
        </w:rPr>
        <w:t xml:space="preserve">, producto de los extractos de </w:t>
      </w:r>
      <w:r w:rsidR="00B20E8C">
        <w:rPr>
          <w:rFonts w:eastAsia="Times New Roman" w:cs="Times New Roman"/>
          <w:color w:val="000000"/>
          <w:szCs w:val="24"/>
          <w:lang w:eastAsia="es-CR"/>
        </w:rPr>
        <w:t>los cultivos líquidos</w:t>
      </w:r>
      <w:r w:rsidR="00252E28">
        <w:rPr>
          <w:rFonts w:eastAsia="Times New Roman" w:cs="Times New Roman"/>
          <w:color w:val="000000"/>
          <w:szCs w:val="24"/>
          <w:lang w:eastAsia="es-CR"/>
        </w:rPr>
        <w:t xml:space="preserve"> </w:t>
      </w:r>
      <w:r>
        <w:rPr>
          <w:rFonts w:eastAsia="Times New Roman" w:cs="Times New Roman"/>
          <w:color w:val="000000"/>
          <w:szCs w:val="24"/>
          <w:lang w:eastAsia="es-CR"/>
        </w:rPr>
        <w:t xml:space="preserve">se </w:t>
      </w:r>
      <w:r w:rsidR="00252E28">
        <w:rPr>
          <w:rFonts w:eastAsia="Times New Roman" w:cs="Times New Roman"/>
          <w:color w:val="000000"/>
          <w:szCs w:val="24"/>
          <w:lang w:eastAsia="es-CR"/>
        </w:rPr>
        <w:t xml:space="preserve">registró en mm </w:t>
      </w:r>
      <w:r>
        <w:rPr>
          <w:rFonts w:eastAsia="Times New Roman" w:cs="Times New Roman"/>
          <w:color w:val="000000"/>
          <w:szCs w:val="24"/>
          <w:lang w:eastAsia="es-CR"/>
        </w:rPr>
        <w:t xml:space="preserve">a las 24 </w:t>
      </w:r>
      <w:r w:rsidR="00B036ED">
        <w:rPr>
          <w:rFonts w:eastAsia="Times New Roman" w:cs="Times New Roman"/>
          <w:color w:val="000000"/>
          <w:szCs w:val="24"/>
          <w:lang w:eastAsia="es-CR"/>
        </w:rPr>
        <w:t xml:space="preserve">h </w:t>
      </w:r>
      <w:r w:rsidR="00252E28">
        <w:rPr>
          <w:rFonts w:eastAsia="Times New Roman" w:cs="Times New Roman"/>
          <w:color w:val="000000"/>
          <w:szCs w:val="24"/>
          <w:lang w:eastAsia="es-CR"/>
        </w:rPr>
        <w:t xml:space="preserve">de incubación </w:t>
      </w:r>
      <w:r>
        <w:rPr>
          <w:rFonts w:eastAsia="Times New Roman" w:cs="Times New Roman"/>
          <w:color w:val="000000"/>
          <w:szCs w:val="24"/>
          <w:lang w:eastAsia="es-CR"/>
        </w:rPr>
        <w:t>para las bacterias y de 48</w:t>
      </w:r>
      <w:r w:rsidR="002E290A">
        <w:rPr>
          <w:rFonts w:eastAsia="Times New Roman" w:cs="Times New Roman"/>
          <w:color w:val="000000"/>
          <w:szCs w:val="24"/>
          <w:lang w:eastAsia="es-CR"/>
        </w:rPr>
        <w:t xml:space="preserve"> a 72 </w:t>
      </w:r>
      <w:r w:rsidR="00B036ED">
        <w:rPr>
          <w:rFonts w:eastAsia="Times New Roman" w:cs="Times New Roman"/>
          <w:color w:val="000000"/>
          <w:szCs w:val="24"/>
          <w:lang w:eastAsia="es-CR"/>
        </w:rPr>
        <w:t xml:space="preserve">h </w:t>
      </w:r>
      <w:r w:rsidR="002E290A">
        <w:rPr>
          <w:rFonts w:eastAsia="Times New Roman" w:cs="Times New Roman"/>
          <w:color w:val="000000"/>
          <w:szCs w:val="24"/>
          <w:lang w:eastAsia="es-CR"/>
        </w:rPr>
        <w:t>para los hongos</w:t>
      </w:r>
      <w:bookmarkStart w:id="83" w:name="_Toc24018777"/>
      <w:r w:rsidR="00246396">
        <w:rPr>
          <w:rFonts w:eastAsia="Times New Roman" w:cs="Times New Roman"/>
          <w:color w:val="000000"/>
          <w:szCs w:val="24"/>
          <w:lang w:eastAsia="es-CR"/>
        </w:rPr>
        <w:t xml:space="preserve"> y se categorizó </w:t>
      </w:r>
      <w:r w:rsidR="00F72805">
        <w:rPr>
          <w:rFonts w:eastAsia="Times New Roman" w:cs="Times New Roman"/>
          <w:color w:val="000000"/>
          <w:szCs w:val="24"/>
          <w:lang w:eastAsia="es-CR"/>
        </w:rPr>
        <w:t>en nula, baja, moderada y completa.</w:t>
      </w:r>
    </w:p>
    <w:p w14:paraId="65EEFFE5" w14:textId="17672C48" w:rsidR="00E43B04" w:rsidRPr="00E43B04" w:rsidRDefault="00DC6E9A" w:rsidP="00B755D5">
      <w:pPr>
        <w:pStyle w:val="Titulo20"/>
        <w:numPr>
          <w:ilvl w:val="1"/>
          <w:numId w:val="19"/>
        </w:numPr>
        <w:spacing w:before="0" w:after="0"/>
        <w:rPr>
          <w:lang w:eastAsia="es-CR"/>
        </w:rPr>
      </w:pPr>
      <w:bookmarkStart w:id="84" w:name="_Toc140204076"/>
      <w:r w:rsidRPr="007F11D5">
        <w:rPr>
          <w:lang w:eastAsia="es-CR"/>
        </w:rPr>
        <w:lastRenderedPageBreak/>
        <w:t>Purificación e identificación parcial de las fracciones</w:t>
      </w:r>
      <w:bookmarkEnd w:id="84"/>
      <w:r w:rsidRPr="007F11D5">
        <w:rPr>
          <w:lang w:eastAsia="es-CR"/>
        </w:rPr>
        <w:t xml:space="preserve"> </w:t>
      </w:r>
      <w:bookmarkEnd w:id="83"/>
      <w:r w:rsidR="00C960EC">
        <w:rPr>
          <w:lang w:eastAsia="es-CR"/>
        </w:rPr>
        <w:t xml:space="preserve"> </w:t>
      </w:r>
    </w:p>
    <w:p w14:paraId="4E8E2D8A" w14:textId="77777777" w:rsidR="00BB0A78" w:rsidRDefault="00BB0A78" w:rsidP="00EE6686">
      <w:pPr>
        <w:pStyle w:val="NormalWeb"/>
        <w:spacing w:before="0" w:beforeAutospacing="0" w:after="240" w:afterAutospacing="0" w:line="360" w:lineRule="auto"/>
        <w:ind w:firstLine="720"/>
        <w:rPr>
          <w:color w:val="000000"/>
        </w:rPr>
      </w:pPr>
      <w:bookmarkStart w:id="85" w:name="_Hlk15900018"/>
      <w:r w:rsidRPr="00BB0A78">
        <w:rPr>
          <w:color w:val="000000"/>
        </w:rPr>
        <w:t xml:space="preserve">Los extractos de las fermentaciones que mostraron actividad antimicrobiana contra las cepas patógenas fueron sometidos a una purificación parcial en el Laboratorio de Bioquímica y Biotecnología de Proteínas (LBBP). Se utilizó como base el protocolo utilizado por Je, </w:t>
      </w:r>
      <w:proofErr w:type="spellStart"/>
      <w:r w:rsidRPr="00BB0A78">
        <w:rPr>
          <w:color w:val="000000"/>
        </w:rPr>
        <w:t>Qian</w:t>
      </w:r>
      <w:proofErr w:type="spellEnd"/>
      <w:r w:rsidRPr="00BB0A78">
        <w:rPr>
          <w:color w:val="000000"/>
        </w:rPr>
        <w:t xml:space="preserve">, </w:t>
      </w:r>
      <w:proofErr w:type="spellStart"/>
      <w:r w:rsidRPr="00BB0A78">
        <w:rPr>
          <w:color w:val="000000"/>
        </w:rPr>
        <w:t>Byun</w:t>
      </w:r>
      <w:proofErr w:type="spellEnd"/>
      <w:r w:rsidRPr="00BB0A78">
        <w:rPr>
          <w:color w:val="000000"/>
        </w:rPr>
        <w:t xml:space="preserve">, &amp; Kim (2007) con algunas modificaciones. Alícuotas de 1.5 mL de los extractos crudos fueron clarificados por centrifugación y fraccionados mediante cromatografía líquida de alta eficacia en fase reversa (RP-HPLC) utilizando un cromatógrafo con detector de arreglo de iodos (MD-4010 JASCO, Japón) y el software ChromNAV AS-4150-L Para ello en una columna RESTEK Ultra C18 3µm con dimensiones de 150 x 4.6 mm se inyectaron volúmenes de 10 y 50 µL para obtener el perfil cromatográfico de la muestra y de 100 µL para recolectar las fracciones de los picos de absorbancia a 215 y 280 nm. </w:t>
      </w:r>
    </w:p>
    <w:p w14:paraId="02F2D6E9" w14:textId="2A8C07E1" w:rsidR="00BB0A78" w:rsidRDefault="00BB0A78" w:rsidP="00EE6686">
      <w:pPr>
        <w:pStyle w:val="NormalWeb"/>
        <w:spacing w:before="0" w:beforeAutospacing="0" w:after="240" w:afterAutospacing="0" w:line="360" w:lineRule="auto"/>
        <w:ind w:firstLine="720"/>
        <w:rPr>
          <w:color w:val="000000"/>
        </w:rPr>
      </w:pPr>
      <w:r w:rsidRPr="00BB0A78">
        <w:rPr>
          <w:color w:val="000000"/>
        </w:rPr>
        <w:t xml:space="preserve">El gradiente utilizado fue de agua/acetonitrilo en el cual la fase móvil A estaba constituida de agua destilada, al 0.1 % de ácido </w:t>
      </w:r>
      <w:proofErr w:type="spellStart"/>
      <w:r w:rsidRPr="00BB0A78">
        <w:rPr>
          <w:color w:val="000000"/>
        </w:rPr>
        <w:t>trifluoroacético</w:t>
      </w:r>
      <w:proofErr w:type="spellEnd"/>
      <w:r w:rsidRPr="00BB0A78">
        <w:rPr>
          <w:color w:val="000000"/>
        </w:rPr>
        <w:t xml:space="preserve"> (TFA), mientras que la fase móvil B acetonitrilo, y 0.1 % de ácido TFA. Las corridas se realizaron a un flujo de 1 mL/min durante un total de corrida de 30 min, empezando con 100 % de la fase móvil A desde los 0 hasta los 2 min, seguido de un gradiente lineal desde el minuto 2 hasta alcanzar 80% de B a los 28 min, para finalizar con una fase de equilibración de la columna utilizando 100% de la fase A por 2 min. La temperatura empleada en la columna durante la corrida fue de 35 ºC</w:t>
      </w:r>
      <w:r>
        <w:rPr>
          <w:color w:val="000000"/>
        </w:rPr>
        <w:t>.</w:t>
      </w:r>
    </w:p>
    <w:p w14:paraId="76D6BA02" w14:textId="7BC6568A" w:rsidR="00E85488" w:rsidRDefault="001D05BE" w:rsidP="00EE6686">
      <w:pPr>
        <w:pStyle w:val="NormalWeb"/>
        <w:spacing w:before="0" w:beforeAutospacing="0" w:after="240" w:afterAutospacing="0" w:line="360" w:lineRule="auto"/>
        <w:ind w:firstLine="720"/>
        <w:rPr>
          <w:color w:val="000000"/>
        </w:rPr>
      </w:pPr>
      <w:r>
        <w:rPr>
          <w:color w:val="000000"/>
        </w:rPr>
        <w:t xml:space="preserve">Los picos obtenidos en los cromatogramas fueron </w:t>
      </w:r>
      <w:r w:rsidR="00CF289D">
        <w:rPr>
          <w:color w:val="000000"/>
        </w:rPr>
        <w:t>separados</w:t>
      </w:r>
      <w:r w:rsidR="00D164B6">
        <w:rPr>
          <w:color w:val="000000"/>
        </w:rPr>
        <w:t xml:space="preserve"> y </w:t>
      </w:r>
      <w:r>
        <w:rPr>
          <w:color w:val="000000"/>
        </w:rPr>
        <w:t xml:space="preserve">concentrados </w:t>
      </w:r>
      <w:r w:rsidR="00D8117E">
        <w:t xml:space="preserve">a temperatura </w:t>
      </w:r>
      <w:r w:rsidR="00F87E3E">
        <w:t xml:space="preserve">de </w:t>
      </w:r>
      <w:r w:rsidR="002F69F5">
        <w:t>43°C</w:t>
      </w:r>
      <w:r w:rsidR="00D8117E">
        <w:t xml:space="preserve"> </w:t>
      </w:r>
      <w:r w:rsidR="00E018E4">
        <w:rPr>
          <w:color w:val="000000"/>
        </w:rPr>
        <w:t>en</w:t>
      </w:r>
      <w:r>
        <w:rPr>
          <w:color w:val="000000"/>
        </w:rPr>
        <w:t xml:space="preserve"> un </w:t>
      </w:r>
      <w:r w:rsidR="00EB2004">
        <w:t xml:space="preserve">concentrador al vacío </w:t>
      </w:r>
      <w:r w:rsidR="00EB2004" w:rsidRPr="00EB2004">
        <w:t>Savant SpeedVac DNA 110 &amp; DNA 120 Concentrator</w:t>
      </w:r>
      <w:r w:rsidR="00D8117E">
        <w:t>,</w:t>
      </w:r>
      <w:r w:rsidR="00EB2004">
        <w:t xml:space="preserve"> de Thermo Scientific</w:t>
      </w:r>
      <w:r w:rsidR="00045257">
        <w:t xml:space="preserve"> hasta evaporar todo el </w:t>
      </w:r>
      <w:r w:rsidR="006465B1">
        <w:t xml:space="preserve">líquido. </w:t>
      </w:r>
      <w:r w:rsidR="00CF289D">
        <w:t xml:space="preserve">Cada </w:t>
      </w:r>
      <w:r w:rsidR="006465B1">
        <w:t xml:space="preserve">concentrado se </w:t>
      </w:r>
      <w:r w:rsidR="006465B1" w:rsidRPr="00D86F2B">
        <w:t xml:space="preserve">resuspendió en </w:t>
      </w:r>
      <w:r w:rsidR="00D86F2B" w:rsidRPr="00D86F2B">
        <w:t>60 µ</w:t>
      </w:r>
      <w:r w:rsidR="006D718E">
        <w:t>L de agua destilada estéril</w:t>
      </w:r>
      <w:r w:rsidR="00D86F2B" w:rsidRPr="00D86F2B">
        <w:rPr>
          <w:color w:val="000000"/>
        </w:rPr>
        <w:t xml:space="preserve"> </w:t>
      </w:r>
      <w:r w:rsidRPr="00D86F2B">
        <w:rPr>
          <w:color w:val="000000"/>
        </w:rPr>
        <w:t>y</w:t>
      </w:r>
      <w:r w:rsidR="006D2135">
        <w:rPr>
          <w:color w:val="000000"/>
        </w:rPr>
        <w:t>,</w:t>
      </w:r>
      <w:r>
        <w:rPr>
          <w:color w:val="000000"/>
        </w:rPr>
        <w:t xml:space="preserve"> se </w:t>
      </w:r>
      <w:r w:rsidR="00CF289D">
        <w:rPr>
          <w:color w:val="000000"/>
        </w:rPr>
        <w:t>evaluó</w:t>
      </w:r>
      <w:r>
        <w:rPr>
          <w:color w:val="000000"/>
        </w:rPr>
        <w:t xml:space="preserve"> su actividad antimicrobiana </w:t>
      </w:r>
      <w:r w:rsidR="00AF366E">
        <w:rPr>
          <w:color w:val="000000"/>
        </w:rPr>
        <w:t xml:space="preserve">para determinar cuál de las fracciones produce la </w:t>
      </w:r>
      <w:r w:rsidR="00EE6686">
        <w:rPr>
          <w:color w:val="000000"/>
        </w:rPr>
        <w:t>actividad inhibitoria</w:t>
      </w:r>
      <w:r w:rsidR="00AF366E">
        <w:rPr>
          <w:color w:val="000000"/>
        </w:rPr>
        <w:t xml:space="preserve"> del crecimiento de las cepas patógenas</w:t>
      </w:r>
      <w:r>
        <w:rPr>
          <w:color w:val="000000"/>
        </w:rPr>
        <w:t>.</w:t>
      </w:r>
      <w:r w:rsidR="002D657F">
        <w:rPr>
          <w:color w:val="000000"/>
        </w:rPr>
        <w:t xml:space="preserve"> </w:t>
      </w:r>
    </w:p>
    <w:p w14:paraId="1DAF24C7" w14:textId="5E7385C1" w:rsidR="00F348B3" w:rsidRDefault="00D6378D" w:rsidP="00DC6E9A">
      <w:pPr>
        <w:pStyle w:val="NormalWeb"/>
        <w:spacing w:before="0" w:beforeAutospacing="0" w:after="0" w:afterAutospacing="0" w:line="360" w:lineRule="auto"/>
        <w:ind w:firstLine="720"/>
        <w:rPr>
          <w:color w:val="000000"/>
        </w:rPr>
      </w:pPr>
      <w:r>
        <w:rPr>
          <w:color w:val="000000"/>
        </w:rPr>
        <w:t>El medio</w:t>
      </w:r>
      <w:r w:rsidR="00E85488">
        <w:rPr>
          <w:color w:val="000000"/>
        </w:rPr>
        <w:t xml:space="preserve"> de cultivo</w:t>
      </w:r>
      <w:r w:rsidR="00DB77F1">
        <w:rPr>
          <w:color w:val="000000"/>
        </w:rPr>
        <w:t xml:space="preserve"> </w:t>
      </w:r>
      <w:r w:rsidR="00AF366E">
        <w:rPr>
          <w:color w:val="000000"/>
        </w:rPr>
        <w:t xml:space="preserve">estéril </w:t>
      </w:r>
      <w:r>
        <w:rPr>
          <w:color w:val="000000"/>
        </w:rPr>
        <w:t>y l</w:t>
      </w:r>
      <w:r w:rsidR="00DB1E3D">
        <w:rPr>
          <w:color w:val="000000"/>
        </w:rPr>
        <w:t xml:space="preserve">os cultivos líquidos </w:t>
      </w:r>
      <w:r w:rsidR="00DB77F1">
        <w:rPr>
          <w:color w:val="000000"/>
        </w:rPr>
        <w:t>de</w:t>
      </w:r>
      <w:r>
        <w:rPr>
          <w:color w:val="000000"/>
        </w:rPr>
        <w:t xml:space="preserve"> </w:t>
      </w:r>
      <w:r w:rsidR="00DB77F1" w:rsidRPr="00D6378D">
        <w:rPr>
          <w:i/>
          <w:iCs/>
          <w:color w:val="000000"/>
        </w:rPr>
        <w:t>S. aureus</w:t>
      </w:r>
      <w:r w:rsidR="00DB77F1">
        <w:rPr>
          <w:color w:val="000000"/>
        </w:rPr>
        <w:t xml:space="preserve"> y </w:t>
      </w:r>
      <w:r w:rsidR="00DB77F1" w:rsidRPr="00D6378D">
        <w:rPr>
          <w:i/>
          <w:iCs/>
          <w:color w:val="000000"/>
        </w:rPr>
        <w:t>E. hormaechei</w:t>
      </w:r>
      <w:r w:rsidR="00AF366E">
        <w:rPr>
          <w:i/>
          <w:iCs/>
          <w:color w:val="000000"/>
        </w:rPr>
        <w:t>,</w:t>
      </w:r>
      <w:r w:rsidR="00E85488">
        <w:rPr>
          <w:color w:val="000000"/>
        </w:rPr>
        <w:t xml:space="preserve"> utilizado</w:t>
      </w:r>
      <w:r>
        <w:rPr>
          <w:color w:val="000000"/>
        </w:rPr>
        <w:t>s</w:t>
      </w:r>
      <w:r w:rsidR="00E85488">
        <w:rPr>
          <w:color w:val="000000"/>
        </w:rPr>
        <w:t xml:space="preserve"> como control</w:t>
      </w:r>
      <w:r>
        <w:rPr>
          <w:color w:val="000000"/>
        </w:rPr>
        <w:t>es</w:t>
      </w:r>
      <w:r w:rsidR="00E85488">
        <w:rPr>
          <w:color w:val="000000"/>
        </w:rPr>
        <w:t xml:space="preserve"> en el ensayo</w:t>
      </w:r>
      <w:r w:rsidR="00AF366E">
        <w:rPr>
          <w:color w:val="000000"/>
        </w:rPr>
        <w:t xml:space="preserve"> actividad antimicrobiana, </w:t>
      </w:r>
      <w:r w:rsidR="00E85488">
        <w:rPr>
          <w:color w:val="000000"/>
        </w:rPr>
        <w:t>también fue</w:t>
      </w:r>
      <w:r w:rsidR="0032611E">
        <w:rPr>
          <w:color w:val="000000"/>
        </w:rPr>
        <w:t>ron</w:t>
      </w:r>
      <w:r w:rsidR="00E85488">
        <w:rPr>
          <w:color w:val="000000"/>
        </w:rPr>
        <w:t xml:space="preserve"> fraccionado</w:t>
      </w:r>
      <w:r w:rsidR="00AF366E">
        <w:rPr>
          <w:color w:val="000000"/>
        </w:rPr>
        <w:t>s</w:t>
      </w:r>
      <w:r w:rsidR="00E85488">
        <w:rPr>
          <w:color w:val="000000"/>
        </w:rPr>
        <w:t xml:space="preserve"> con el </w:t>
      </w:r>
      <w:r w:rsidR="00B771CA">
        <w:rPr>
          <w:color w:val="000000"/>
        </w:rPr>
        <w:t>fin</w:t>
      </w:r>
      <w:r w:rsidR="00E85488">
        <w:rPr>
          <w:color w:val="000000"/>
        </w:rPr>
        <w:t xml:space="preserve"> de </w:t>
      </w:r>
      <w:r w:rsidR="00AF366E">
        <w:rPr>
          <w:color w:val="000000"/>
        </w:rPr>
        <w:t xml:space="preserve">comparar </w:t>
      </w:r>
      <w:r w:rsidR="00E85488">
        <w:rPr>
          <w:color w:val="000000"/>
        </w:rPr>
        <w:t xml:space="preserve">los cromatogramas </w:t>
      </w:r>
      <w:r w:rsidR="00AF366E">
        <w:rPr>
          <w:color w:val="000000"/>
        </w:rPr>
        <w:t>con los de</w:t>
      </w:r>
      <w:r w:rsidR="009B49D8">
        <w:rPr>
          <w:color w:val="000000"/>
        </w:rPr>
        <w:t xml:space="preserve"> </w:t>
      </w:r>
      <w:r w:rsidR="00DB1E3D">
        <w:rPr>
          <w:color w:val="000000"/>
        </w:rPr>
        <w:t>los cultivos líquidos de las cepas</w:t>
      </w:r>
      <w:r w:rsidR="0032611E">
        <w:rPr>
          <w:color w:val="000000"/>
        </w:rPr>
        <w:t xml:space="preserve"> fúngic</w:t>
      </w:r>
      <w:r w:rsidR="009B49D8">
        <w:rPr>
          <w:color w:val="000000"/>
        </w:rPr>
        <w:t>a</w:t>
      </w:r>
      <w:r w:rsidR="0032611E">
        <w:rPr>
          <w:color w:val="000000"/>
        </w:rPr>
        <w:t>s</w:t>
      </w:r>
      <w:r w:rsidR="00AF366E">
        <w:rPr>
          <w:color w:val="000000"/>
        </w:rPr>
        <w:t>, para</w:t>
      </w:r>
      <w:r w:rsidR="0063168D">
        <w:rPr>
          <w:color w:val="000000"/>
        </w:rPr>
        <w:t xml:space="preserve"> seleccionar</w:t>
      </w:r>
      <w:r w:rsidR="003467BB">
        <w:rPr>
          <w:color w:val="000000"/>
        </w:rPr>
        <w:t xml:space="preserve"> </w:t>
      </w:r>
      <w:r w:rsidR="0063168D">
        <w:rPr>
          <w:color w:val="000000"/>
        </w:rPr>
        <w:t xml:space="preserve">los </w:t>
      </w:r>
      <w:r w:rsidR="00E85488">
        <w:rPr>
          <w:color w:val="000000"/>
        </w:rPr>
        <w:t xml:space="preserve">picos y señales </w:t>
      </w:r>
      <w:r w:rsidR="0063168D">
        <w:rPr>
          <w:color w:val="000000"/>
        </w:rPr>
        <w:t xml:space="preserve">que </w:t>
      </w:r>
      <w:r w:rsidR="00E85488">
        <w:rPr>
          <w:color w:val="000000"/>
        </w:rPr>
        <w:t>corresponden a los compuestos producidos por los hongos marinos</w:t>
      </w:r>
      <w:r w:rsidR="009B49D8">
        <w:rPr>
          <w:color w:val="000000"/>
        </w:rPr>
        <w:t>.</w:t>
      </w:r>
    </w:p>
    <w:p w14:paraId="23C5B8A0" w14:textId="77777777" w:rsidR="009B49D8" w:rsidRDefault="009B49D8" w:rsidP="00DC6E9A">
      <w:pPr>
        <w:pStyle w:val="NormalWeb"/>
        <w:spacing w:before="0" w:beforeAutospacing="0" w:after="0" w:afterAutospacing="0" w:line="360" w:lineRule="auto"/>
        <w:ind w:firstLine="720"/>
        <w:rPr>
          <w:color w:val="000000"/>
        </w:rPr>
      </w:pPr>
    </w:p>
    <w:p w14:paraId="7AA85407" w14:textId="20E535CE" w:rsidR="00B91E3F" w:rsidRPr="00B91E3F" w:rsidRDefault="0090209A" w:rsidP="00B91E3F">
      <w:pPr>
        <w:pStyle w:val="Titulo20"/>
        <w:numPr>
          <w:ilvl w:val="1"/>
          <w:numId w:val="19"/>
        </w:numPr>
        <w:spacing w:after="0"/>
        <w:rPr>
          <w:lang w:eastAsia="es-CR"/>
        </w:rPr>
      </w:pPr>
      <w:bookmarkStart w:id="86" w:name="_Toc140204077"/>
      <w:r>
        <w:rPr>
          <w:lang w:eastAsia="es-CR"/>
        </w:rPr>
        <w:lastRenderedPageBreak/>
        <w:t>Caracterización química</w:t>
      </w:r>
      <w:r w:rsidR="005F7346">
        <w:rPr>
          <w:lang w:eastAsia="es-CR"/>
        </w:rPr>
        <w:t xml:space="preserve"> de las fracciones</w:t>
      </w:r>
      <w:bookmarkEnd w:id="86"/>
    </w:p>
    <w:p w14:paraId="08262EF6" w14:textId="4DA87C4C" w:rsidR="002D6787" w:rsidRDefault="00940FCF" w:rsidP="00B771CA">
      <w:pPr>
        <w:spacing w:after="0"/>
        <w:ind w:firstLine="708"/>
        <w:rPr>
          <w:iCs/>
        </w:rPr>
      </w:pPr>
      <w:r>
        <w:t xml:space="preserve">Los extractos crudos fueron </w:t>
      </w:r>
      <w:r w:rsidR="006C3CCB" w:rsidRPr="007F11D5">
        <w:t>caracterizad</w:t>
      </w:r>
      <w:r w:rsidR="006C3CCB">
        <w:t>o</w:t>
      </w:r>
      <w:r w:rsidR="006C3CCB" w:rsidRPr="007F11D5">
        <w:t xml:space="preserve">s </w:t>
      </w:r>
      <w:r w:rsidR="00DC6E9A" w:rsidRPr="007F11D5">
        <w:t>químicamente en el Laboratorio de Investigación y Desarrollo en Tecnología Química (LIDETEQ)</w:t>
      </w:r>
      <w:r w:rsidR="006137FE">
        <w:t>,</w:t>
      </w:r>
      <w:r w:rsidR="00DC6E9A" w:rsidRPr="007F11D5">
        <w:t xml:space="preserve"> según el protocolo establecido por </w:t>
      </w:r>
      <w:r w:rsidR="00DC6E9A" w:rsidRPr="007F11D5">
        <w:fldChar w:fldCharType="begin" w:fldLock="1"/>
      </w:r>
      <w:r w:rsidR="00DC6E9A" w:rsidRPr="007F11D5">
        <w:instrText>ADDIN CSL_CITATION {"citationItems":[{"id":"ITEM-1","itemData":{"author":[{"dropping-particle":"","family":"Borbón","given":"Henry","non-dropping-particle":"","parse-names":false,"suffix":""},{"dropping-particle":"","family":"Alvarado-Mesén","given":"Javier","non-dropping-particle":"","parse-names":false,"suffix":""},{"dropping-particle":"","family":"Soto","given":"Roy","non-dropping-particle":"","parse-names":false,"suffix":""},{"dropping-particle":"","family":"Vega","given":"Ilena","non-dropping-particle":"","parse-names":false,"suffix":""}],"id":"ITEM-1","issue":"2","issued":{"date-parts":[["2015"]]},"page":"212-221","title":"Antimicrobial Properties and Screening of Secondary Metabolites Extracted from Sea Anemone &lt;i&gt; Anthopleura nigrescens &lt;/i&gt; ( Cnidaria : Actiniaria : Actiniidae ) on the Pacific Coast of Costa Rica","type":"article-journal","volume":"134"},"uris":["http://www.mendeley.com/documents/?uuid=2f38a633-1b68-4436-b749-9f274bf28cc4"]}],"mendeley":{"formattedCitation":"(Borbón, Alvarado-Mesén, Soto, &amp; Vega, 2015)","manualFormatting":"Borbón, Alvarado-Mesén, Soto, &amp; Vega (2015)","plainTextFormattedCitation":"(Borbón, Alvarado-Mesén, Soto, &amp; Vega, 2015)","previouslyFormattedCitation":"(Borbón, Alvarado-Mesén, Soto, &amp; Vega, 2015)"},"properties":{"noteIndex":0},"schema":"https://github.com/citation-style-language/schema/raw/master/csl-citation.json"}</w:instrText>
      </w:r>
      <w:r w:rsidR="00DC6E9A" w:rsidRPr="007F11D5">
        <w:fldChar w:fldCharType="separate"/>
      </w:r>
      <w:r w:rsidR="00DC6E9A" w:rsidRPr="007F11D5">
        <w:rPr>
          <w:noProof/>
        </w:rPr>
        <w:t>Borbón, Alvarado-Mesén, Soto, &amp; Vega (2015)</w:t>
      </w:r>
      <w:r w:rsidR="00DC6E9A" w:rsidRPr="007F11D5">
        <w:fldChar w:fldCharType="end"/>
      </w:r>
      <w:r w:rsidR="00DC6E9A" w:rsidRPr="007F11D5">
        <w:t xml:space="preserve">.  </w:t>
      </w:r>
      <w:r w:rsidR="0081035A">
        <w:t>para</w:t>
      </w:r>
      <w:r w:rsidR="00DC6E9A" w:rsidRPr="007F11D5">
        <w:t xml:space="preserve"> elucidar las familias de metabolitos secundarios presentes en los extractos</w:t>
      </w:r>
      <w:bookmarkEnd w:id="82"/>
      <w:bookmarkEnd w:id="85"/>
      <w:r w:rsidR="00E9646A">
        <w:t xml:space="preserve"> mediante las pruebas</w:t>
      </w:r>
      <w:r w:rsidR="006137FE">
        <w:t xml:space="preserve"> de</w:t>
      </w:r>
      <w:r w:rsidR="00E9646A">
        <w:t xml:space="preserve">: </w:t>
      </w:r>
      <w:r w:rsidR="0034224B">
        <w:rPr>
          <w:iCs/>
        </w:rPr>
        <w:t>Dragendorff, Wagner y Mayer</w:t>
      </w:r>
      <w:r w:rsidR="00706119">
        <w:rPr>
          <w:iCs/>
        </w:rPr>
        <w:t xml:space="preserve"> para alcaloides, </w:t>
      </w:r>
      <w:r w:rsidR="00934E32">
        <w:rPr>
          <w:iCs/>
        </w:rPr>
        <w:t xml:space="preserve">Biuret para puentes </w:t>
      </w:r>
      <w:r w:rsidR="00A36A2C">
        <w:rPr>
          <w:iCs/>
        </w:rPr>
        <w:t>peptídicos</w:t>
      </w:r>
      <w:r w:rsidR="00934E32">
        <w:rPr>
          <w:iCs/>
        </w:rPr>
        <w:t xml:space="preserve">, </w:t>
      </w:r>
      <w:r w:rsidR="00EA457D">
        <w:rPr>
          <w:iCs/>
        </w:rPr>
        <w:t xml:space="preserve">Molisch para carbohidratos, </w:t>
      </w:r>
      <w:r w:rsidR="00275DDE" w:rsidRPr="00275DDE">
        <w:rPr>
          <w:iCs/>
        </w:rPr>
        <w:t>Shinoda</w:t>
      </w:r>
      <w:r w:rsidR="00275DDE">
        <w:rPr>
          <w:iCs/>
        </w:rPr>
        <w:t xml:space="preserve"> </w:t>
      </w:r>
      <w:r w:rsidR="00207E7F">
        <w:rPr>
          <w:iCs/>
        </w:rPr>
        <w:t xml:space="preserve">para </w:t>
      </w:r>
      <w:r w:rsidR="00275DDE" w:rsidRPr="00275DDE">
        <w:rPr>
          <w:iCs/>
        </w:rPr>
        <w:t>flavonoid</w:t>
      </w:r>
      <w:r w:rsidR="00207E7F">
        <w:rPr>
          <w:iCs/>
        </w:rPr>
        <w:t>e</w:t>
      </w:r>
      <w:r w:rsidR="00275DDE" w:rsidRPr="00275DDE">
        <w:rPr>
          <w:iCs/>
        </w:rPr>
        <w:t xml:space="preserve">s, </w:t>
      </w:r>
      <w:r w:rsidR="00720B8F">
        <w:rPr>
          <w:iCs/>
        </w:rPr>
        <w:t xml:space="preserve">prueba </w:t>
      </w:r>
      <w:r w:rsidR="00275DDE" w:rsidRPr="00275DDE">
        <w:rPr>
          <w:iCs/>
        </w:rPr>
        <w:t xml:space="preserve">FeCl3 </w:t>
      </w:r>
      <w:r w:rsidR="00720B8F">
        <w:rPr>
          <w:iCs/>
        </w:rPr>
        <w:t>para fenoles y taninos,</w:t>
      </w:r>
      <w:r w:rsidR="00275DDE" w:rsidRPr="00275DDE">
        <w:rPr>
          <w:iCs/>
        </w:rPr>
        <w:t xml:space="preserve"> </w:t>
      </w:r>
      <w:r w:rsidR="002306BC" w:rsidRPr="002306BC">
        <w:rPr>
          <w:iCs/>
        </w:rPr>
        <w:t xml:space="preserve">e Bornträger </w:t>
      </w:r>
      <w:r w:rsidR="00432968">
        <w:rPr>
          <w:iCs/>
        </w:rPr>
        <w:t>para</w:t>
      </w:r>
      <w:r w:rsidR="00275DDE" w:rsidRPr="00275DDE">
        <w:rPr>
          <w:iCs/>
        </w:rPr>
        <w:t xml:space="preserve"> antraquinon</w:t>
      </w:r>
      <w:r w:rsidR="00432968">
        <w:rPr>
          <w:iCs/>
        </w:rPr>
        <w:t>a</w:t>
      </w:r>
      <w:r w:rsidR="00275DDE" w:rsidRPr="00275DDE">
        <w:rPr>
          <w:iCs/>
        </w:rPr>
        <w:t>s, Lieberman</w:t>
      </w:r>
      <w:r w:rsidR="00601E8D">
        <w:rPr>
          <w:iCs/>
        </w:rPr>
        <w:t>/</w:t>
      </w:r>
      <w:r w:rsidR="00275DDE" w:rsidRPr="00275DDE">
        <w:rPr>
          <w:iCs/>
        </w:rPr>
        <w:t>Bouchard</w:t>
      </w:r>
      <w:r w:rsidR="00432968">
        <w:rPr>
          <w:iCs/>
        </w:rPr>
        <w:t xml:space="preserve"> para terpenos y esteroides</w:t>
      </w:r>
      <w:r w:rsidR="00275DDE" w:rsidRPr="00275DDE">
        <w:rPr>
          <w:iCs/>
        </w:rPr>
        <w:t xml:space="preserve">, </w:t>
      </w:r>
      <w:r w:rsidR="00C4201E" w:rsidRPr="00C4201E">
        <w:rPr>
          <w:iCs/>
        </w:rPr>
        <w:t>KOH</w:t>
      </w:r>
      <w:r w:rsidR="00C4201E">
        <w:rPr>
          <w:iCs/>
        </w:rPr>
        <w:t xml:space="preserve">, </w:t>
      </w:r>
      <w:r w:rsidR="00C4201E" w:rsidRPr="00C4201E">
        <w:rPr>
          <w:iCs/>
        </w:rPr>
        <w:t xml:space="preserve">luz ultravioleta o </w:t>
      </w:r>
      <w:r w:rsidR="00DD31A0">
        <w:rPr>
          <w:iCs/>
        </w:rPr>
        <w:t>p</w:t>
      </w:r>
      <w:r w:rsidR="00C4201E" w:rsidRPr="00C4201E">
        <w:rPr>
          <w:iCs/>
        </w:rPr>
        <w:t>rueba NaOH</w:t>
      </w:r>
      <w:r w:rsidR="00275DDE" w:rsidRPr="00275DDE">
        <w:rPr>
          <w:iCs/>
        </w:rPr>
        <w:t xml:space="preserve"> </w:t>
      </w:r>
      <w:r w:rsidR="008D4092">
        <w:rPr>
          <w:iCs/>
        </w:rPr>
        <w:t>para cumarinas</w:t>
      </w:r>
      <w:r w:rsidR="00275DDE" w:rsidRPr="00275DDE">
        <w:rPr>
          <w:iCs/>
        </w:rPr>
        <w:t xml:space="preserve">, </w:t>
      </w:r>
      <w:r w:rsidR="006137FE">
        <w:rPr>
          <w:iCs/>
        </w:rPr>
        <w:t>E</w:t>
      </w:r>
      <w:r w:rsidR="00961F31">
        <w:rPr>
          <w:iCs/>
        </w:rPr>
        <w:t>spuma para</w:t>
      </w:r>
      <w:r w:rsidR="00275DDE" w:rsidRPr="00275DDE">
        <w:rPr>
          <w:iCs/>
        </w:rPr>
        <w:t xml:space="preserve"> saponin</w:t>
      </w:r>
      <w:r w:rsidR="00961F31">
        <w:rPr>
          <w:iCs/>
        </w:rPr>
        <w:t>a</w:t>
      </w:r>
      <w:r w:rsidR="00275DDE" w:rsidRPr="00275DDE">
        <w:rPr>
          <w:iCs/>
        </w:rPr>
        <w:t>s</w:t>
      </w:r>
      <w:r w:rsidR="006D3D2C">
        <w:rPr>
          <w:iCs/>
        </w:rPr>
        <w:t xml:space="preserve"> y </w:t>
      </w:r>
      <w:r w:rsidR="00A36A2C">
        <w:rPr>
          <w:iCs/>
        </w:rPr>
        <w:t>pH</w:t>
      </w:r>
      <w:r w:rsidR="00522CDC" w:rsidRPr="00522CDC">
        <w:rPr>
          <w:iCs/>
        </w:rPr>
        <w:t xml:space="preserve"> </w:t>
      </w:r>
      <w:r w:rsidR="006D3D2C">
        <w:rPr>
          <w:iCs/>
        </w:rPr>
        <w:t>para</w:t>
      </w:r>
      <w:r w:rsidR="00275DDE" w:rsidRPr="00275DDE">
        <w:rPr>
          <w:iCs/>
        </w:rPr>
        <w:t xml:space="preserve"> an</w:t>
      </w:r>
      <w:r w:rsidR="006D3D2C">
        <w:rPr>
          <w:iCs/>
        </w:rPr>
        <w:t>tocia</w:t>
      </w:r>
      <w:r w:rsidR="00275DDE" w:rsidRPr="00275DDE">
        <w:rPr>
          <w:iCs/>
        </w:rPr>
        <w:t>nin</w:t>
      </w:r>
      <w:r w:rsidR="006D3D2C">
        <w:rPr>
          <w:iCs/>
        </w:rPr>
        <w:t>a</w:t>
      </w:r>
      <w:r w:rsidR="00275DDE" w:rsidRPr="00275DDE">
        <w:rPr>
          <w:iCs/>
        </w:rPr>
        <w:t>s.</w:t>
      </w:r>
      <w:bookmarkStart w:id="87" w:name="_Toc24018778"/>
    </w:p>
    <w:p w14:paraId="67C8F744" w14:textId="77777777" w:rsidR="00B771CA" w:rsidRDefault="00B771CA" w:rsidP="00B771CA">
      <w:pPr>
        <w:spacing w:after="0"/>
        <w:ind w:firstLine="708"/>
        <w:rPr>
          <w:iCs/>
        </w:rPr>
      </w:pPr>
    </w:p>
    <w:p w14:paraId="6BF2D46D" w14:textId="2D169A10" w:rsidR="00560D61" w:rsidRDefault="00B836CF" w:rsidP="00D63BF2">
      <w:pPr>
        <w:pStyle w:val="Titulo20"/>
        <w:numPr>
          <w:ilvl w:val="1"/>
          <w:numId w:val="19"/>
        </w:numPr>
        <w:spacing w:before="0" w:after="0"/>
        <w:rPr>
          <w:lang w:eastAsia="es-CR"/>
        </w:rPr>
      </w:pPr>
      <w:bookmarkStart w:id="88" w:name="_Toc140204078"/>
      <w:r>
        <w:rPr>
          <w:lang w:eastAsia="es-CR"/>
        </w:rPr>
        <w:t>A</w:t>
      </w:r>
      <w:r w:rsidR="00560D61" w:rsidRPr="00560D61">
        <w:rPr>
          <w:lang w:eastAsia="es-CR"/>
        </w:rPr>
        <w:t>nálisis de genómica comparativa</w:t>
      </w:r>
      <w:bookmarkEnd w:id="88"/>
    </w:p>
    <w:p w14:paraId="4166279D" w14:textId="56AC7D41" w:rsidR="007006E9" w:rsidRPr="007006E9" w:rsidRDefault="007006E9" w:rsidP="00D63BF2">
      <w:pPr>
        <w:ind w:firstLine="708"/>
        <w:rPr>
          <w:lang w:eastAsia="es-CR"/>
        </w:rPr>
      </w:pPr>
      <w:bookmarkStart w:id="89" w:name="_Hlk9315646"/>
      <w:bookmarkStart w:id="90" w:name="_Hlk15900527"/>
      <w:bookmarkEnd w:id="87"/>
      <w:r w:rsidRPr="007006E9">
        <w:rPr>
          <w:lang w:eastAsia="es-CR"/>
        </w:rPr>
        <w:t xml:space="preserve">Con el objetivo de tener una aproximación filogenética de las especies </w:t>
      </w:r>
      <w:r w:rsidR="002D111E">
        <w:rPr>
          <w:lang w:eastAsia="es-CR"/>
        </w:rPr>
        <w:t>de los hongos marinos aislados de sedimentos de manglar</w:t>
      </w:r>
      <w:r w:rsidRPr="007006E9">
        <w:rPr>
          <w:lang w:eastAsia="es-CR"/>
        </w:rPr>
        <w:t>, se procedió a realizar un alineamiento y filogenia. Para lo anterior</w:t>
      </w:r>
      <w:r w:rsidR="002D111E">
        <w:rPr>
          <w:lang w:eastAsia="es-CR"/>
        </w:rPr>
        <w:t>,</w:t>
      </w:r>
      <w:r w:rsidRPr="007006E9">
        <w:rPr>
          <w:lang w:eastAsia="es-CR"/>
        </w:rPr>
        <w:t xml:space="preserve"> se seleccionaron secuencias de regiones ITS de las especies de hongos marinos, correspondientes a los géneros identificados mediante los análisis de Blastn, para los cuales se haya reportado actividad antimicrobiana y que</w:t>
      </w:r>
      <w:r w:rsidR="002D111E">
        <w:rPr>
          <w:lang w:eastAsia="es-CR"/>
        </w:rPr>
        <w:t>,</w:t>
      </w:r>
      <w:r w:rsidRPr="007006E9">
        <w:rPr>
          <w:lang w:eastAsia="es-CR"/>
        </w:rPr>
        <w:t xml:space="preserve"> además</w:t>
      </w:r>
      <w:r w:rsidR="002D111E">
        <w:rPr>
          <w:lang w:eastAsia="es-CR"/>
        </w:rPr>
        <w:t>,</w:t>
      </w:r>
      <w:r w:rsidRPr="007006E9">
        <w:rPr>
          <w:lang w:eastAsia="es-CR"/>
        </w:rPr>
        <w:t xml:space="preserve"> hayan sido aislados de ambientes marinos. Con la ayuda del programa MEGA X v. 10.1.6 se realizó el alineamiento de las secuencias bajo los parámetros por defecto de CLUSTALw y se realizó un </w:t>
      </w:r>
      <w:r w:rsidR="00FE6298" w:rsidRPr="007006E9">
        <w:rPr>
          <w:lang w:eastAsia="es-CR"/>
        </w:rPr>
        <w:t>árbol</w:t>
      </w:r>
      <w:r w:rsidRPr="007006E9">
        <w:rPr>
          <w:lang w:eastAsia="es-CR"/>
        </w:rPr>
        <w:t xml:space="preserve"> filogenético con el método Neighbor-Joining utilizando un </w:t>
      </w:r>
      <w:r w:rsidR="001D65DD" w:rsidRPr="007006E9">
        <w:rPr>
          <w:lang w:eastAsia="es-CR"/>
        </w:rPr>
        <w:t>Bootstrap</w:t>
      </w:r>
      <w:r w:rsidRPr="007006E9">
        <w:rPr>
          <w:lang w:eastAsia="es-CR"/>
        </w:rPr>
        <w:t xml:space="preserve"> de 100 réplicas, el cual fue editado</w:t>
      </w:r>
      <w:r w:rsidR="002D111E">
        <w:rPr>
          <w:lang w:eastAsia="es-CR"/>
        </w:rPr>
        <w:t xml:space="preserve"> </w:t>
      </w:r>
      <w:r w:rsidRPr="007006E9">
        <w:rPr>
          <w:lang w:eastAsia="es-CR"/>
        </w:rPr>
        <w:t>en la plataforma web iTOL (https://itol.embl.de/).</w:t>
      </w:r>
    </w:p>
    <w:p w14:paraId="40E7DE88" w14:textId="78F2EC7F" w:rsidR="00054497" w:rsidRDefault="007006E9" w:rsidP="00054497">
      <w:pPr>
        <w:ind w:firstLine="360"/>
        <w:rPr>
          <w:lang w:eastAsia="es-CR"/>
        </w:rPr>
      </w:pPr>
      <w:r w:rsidRPr="007006E9">
        <w:rPr>
          <w:lang w:eastAsia="es-CR"/>
        </w:rPr>
        <w:t xml:space="preserve">También, se realizó un perfil metabólico para las tres cepas con </w:t>
      </w:r>
      <w:r w:rsidR="002D111E">
        <w:rPr>
          <w:lang w:eastAsia="es-CR"/>
        </w:rPr>
        <w:t>mayor</w:t>
      </w:r>
      <w:r w:rsidR="002D111E" w:rsidRPr="007006E9">
        <w:rPr>
          <w:lang w:eastAsia="es-CR"/>
        </w:rPr>
        <w:t xml:space="preserve"> </w:t>
      </w:r>
      <w:r w:rsidRPr="007006E9">
        <w:rPr>
          <w:lang w:eastAsia="es-CR"/>
        </w:rPr>
        <w:t>actividad</w:t>
      </w:r>
      <w:r w:rsidR="002D111E">
        <w:rPr>
          <w:lang w:eastAsia="es-CR"/>
        </w:rPr>
        <w:t xml:space="preserve"> antimicrobiana</w:t>
      </w:r>
      <w:r w:rsidRPr="007006E9">
        <w:rPr>
          <w:lang w:eastAsia="es-CR"/>
        </w:rPr>
        <w:t xml:space="preserve">, mediante la búsqueda de potenciales </w:t>
      </w:r>
      <w:r w:rsidR="00116BBE">
        <w:rPr>
          <w:lang w:eastAsia="es-CR"/>
        </w:rPr>
        <w:t>clúster</w:t>
      </w:r>
      <w:r w:rsidRPr="007006E9">
        <w:rPr>
          <w:lang w:eastAsia="es-CR"/>
        </w:rPr>
        <w:t>s de genes biosintéticos (CGB) asociados a la producción de metabolitos secundarios con actividad antimicrobiana mediante el programa en línea ANTISMASH 5.0. Para llevar esto a cabo, se descargaron los genomas completos y disponibles en las bases de datos del NCBI de las especies de hongos identificados en la secuenciación</w:t>
      </w:r>
      <w:r w:rsidR="001B5C8E">
        <w:rPr>
          <w:lang w:eastAsia="es-CR"/>
        </w:rPr>
        <w:t xml:space="preserve"> </w:t>
      </w:r>
      <w:r w:rsidR="00C1395C">
        <w:rPr>
          <w:lang w:eastAsia="es-CR"/>
        </w:rPr>
        <w:t xml:space="preserve">(Figura </w:t>
      </w:r>
      <w:r w:rsidR="00312202">
        <w:rPr>
          <w:lang w:eastAsia="es-CR"/>
        </w:rPr>
        <w:t>3</w:t>
      </w:r>
      <w:r w:rsidR="00C1395C">
        <w:rPr>
          <w:lang w:eastAsia="es-CR"/>
        </w:rPr>
        <w:t>)</w:t>
      </w:r>
      <w:r w:rsidRPr="007006E9">
        <w:rPr>
          <w:lang w:eastAsia="es-CR"/>
        </w:rPr>
        <w:t xml:space="preserve">. Cuando los genomas no se encontraban disponibles, se utilizaron los árboles filogenéticos anteriormente realizados como guía para encontrar los organismos filogenéticamente más cercanos, o bien, se utilizó el genoma de referencia disponible para el género en cuestión (Cuadro 3). La elección de los </w:t>
      </w:r>
      <w:r w:rsidR="00116BBE">
        <w:rPr>
          <w:lang w:eastAsia="es-CR"/>
        </w:rPr>
        <w:t>clúster</w:t>
      </w:r>
      <w:r w:rsidRPr="007006E9">
        <w:rPr>
          <w:lang w:eastAsia="es-CR"/>
        </w:rPr>
        <w:t>s con los cuales trabajar se realizó filtrando los que tuvieran un porcentaje mayor o igual al 50% de similitud y para los cuales se haya reportado previamente actividad antibacteriana o antifúngica.</w:t>
      </w:r>
    </w:p>
    <w:bookmarkEnd w:id="89"/>
    <w:p w14:paraId="6B088DC3" w14:textId="77777777" w:rsidR="00012A79" w:rsidRDefault="00054497" w:rsidP="00D82E16">
      <w:pPr>
        <w:keepNext/>
        <w:spacing w:after="0"/>
        <w:ind w:firstLine="360"/>
        <w:jc w:val="center"/>
      </w:pPr>
      <w:r>
        <w:rPr>
          <w:noProof/>
          <w:lang w:eastAsia="es-CR"/>
        </w:rPr>
        <w:lastRenderedPageBreak/>
        <w:drawing>
          <wp:inline distT="0" distB="0" distL="0" distR="0" wp14:anchorId="68E3AB8F" wp14:editId="203FE4CA">
            <wp:extent cx="5660614" cy="7490298"/>
            <wp:effectExtent l="0" t="0" r="0" b="0"/>
            <wp:docPr id="266972810" name="Imagen 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972810" name="Imagen 3" descr="Interfaz de usuario gráfica, Aplicación&#10;&#10;Descripción generada automáticamente"/>
                    <pic:cNvPicPr/>
                  </pic:nvPicPr>
                  <pic:blipFill rotWithShape="1">
                    <a:blip r:embed="rId13" cstate="print">
                      <a:extLst>
                        <a:ext uri="{28A0092B-C50C-407E-A947-70E740481C1C}">
                          <a14:useLocalDpi xmlns:a14="http://schemas.microsoft.com/office/drawing/2010/main" val="0"/>
                        </a:ext>
                      </a:extLst>
                    </a:blip>
                    <a:srcRect l="2987" t="636" r="4504" b="2471"/>
                    <a:stretch/>
                  </pic:blipFill>
                  <pic:spPr bwMode="auto">
                    <a:xfrm>
                      <a:off x="0" y="0"/>
                      <a:ext cx="5662210" cy="7492410"/>
                    </a:xfrm>
                    <a:prstGeom prst="rect">
                      <a:avLst/>
                    </a:prstGeom>
                    <a:ln>
                      <a:noFill/>
                    </a:ln>
                    <a:extLst>
                      <a:ext uri="{53640926-AAD7-44D8-BBD7-CCE9431645EC}">
                        <a14:shadowObscured xmlns:a14="http://schemas.microsoft.com/office/drawing/2010/main"/>
                      </a:ext>
                    </a:extLst>
                  </pic:spPr>
                </pic:pic>
              </a:graphicData>
            </a:graphic>
          </wp:inline>
        </w:drawing>
      </w:r>
    </w:p>
    <w:p w14:paraId="766A586C" w14:textId="227FC6BA" w:rsidR="008D0F17" w:rsidRPr="006D469C" w:rsidRDefault="00012A79" w:rsidP="00A00711">
      <w:pPr>
        <w:pStyle w:val="Descripcin"/>
        <w:ind w:left="426"/>
        <w:rPr>
          <w:b/>
          <w:bCs/>
          <w:i w:val="0"/>
          <w:iCs w:val="0"/>
          <w:color w:val="auto"/>
          <w:sz w:val="20"/>
          <w:szCs w:val="20"/>
        </w:rPr>
      </w:pPr>
      <w:bookmarkStart w:id="91" w:name="_Toc138574965"/>
      <w:bookmarkStart w:id="92" w:name="_Toc142272972"/>
      <w:r w:rsidRPr="006D469C">
        <w:rPr>
          <w:b/>
          <w:bCs/>
          <w:i w:val="0"/>
          <w:iCs w:val="0"/>
          <w:color w:val="auto"/>
          <w:sz w:val="20"/>
          <w:szCs w:val="20"/>
        </w:rPr>
        <w:t xml:space="preserve">Figura </w:t>
      </w:r>
      <w:r w:rsidRPr="006D469C">
        <w:rPr>
          <w:b/>
          <w:bCs/>
          <w:i w:val="0"/>
          <w:iCs w:val="0"/>
          <w:color w:val="auto"/>
          <w:sz w:val="20"/>
          <w:szCs w:val="20"/>
        </w:rPr>
        <w:fldChar w:fldCharType="begin"/>
      </w:r>
      <w:r w:rsidRPr="006D469C">
        <w:rPr>
          <w:b/>
          <w:bCs/>
          <w:i w:val="0"/>
          <w:iCs w:val="0"/>
          <w:color w:val="auto"/>
          <w:sz w:val="20"/>
          <w:szCs w:val="20"/>
        </w:rPr>
        <w:instrText xml:space="preserve"> SEQ Figura_ \* ARABIC </w:instrText>
      </w:r>
      <w:r w:rsidRPr="006D469C">
        <w:rPr>
          <w:b/>
          <w:bCs/>
          <w:i w:val="0"/>
          <w:iCs w:val="0"/>
          <w:color w:val="auto"/>
          <w:sz w:val="20"/>
          <w:szCs w:val="20"/>
        </w:rPr>
        <w:fldChar w:fldCharType="separate"/>
      </w:r>
      <w:r w:rsidR="00915F20" w:rsidRPr="006D469C">
        <w:rPr>
          <w:b/>
          <w:bCs/>
          <w:i w:val="0"/>
          <w:iCs w:val="0"/>
          <w:noProof/>
          <w:color w:val="auto"/>
          <w:sz w:val="20"/>
          <w:szCs w:val="20"/>
        </w:rPr>
        <w:t>3</w:t>
      </w:r>
      <w:r w:rsidRPr="006D469C">
        <w:rPr>
          <w:b/>
          <w:bCs/>
          <w:i w:val="0"/>
          <w:iCs w:val="0"/>
          <w:color w:val="auto"/>
          <w:sz w:val="20"/>
          <w:szCs w:val="20"/>
        </w:rPr>
        <w:fldChar w:fldCharType="end"/>
      </w:r>
      <w:r w:rsidR="00312202" w:rsidRPr="006D469C">
        <w:rPr>
          <w:b/>
          <w:bCs/>
          <w:i w:val="0"/>
          <w:iCs w:val="0"/>
          <w:color w:val="auto"/>
          <w:sz w:val="20"/>
          <w:szCs w:val="20"/>
        </w:rPr>
        <w:t>.</w:t>
      </w:r>
      <w:r w:rsidR="00312202" w:rsidRPr="006D469C">
        <w:rPr>
          <w:i w:val="0"/>
          <w:iCs w:val="0"/>
          <w:color w:val="auto"/>
          <w:sz w:val="20"/>
          <w:szCs w:val="20"/>
        </w:rPr>
        <w:t xml:space="preserve"> Desarrollo metodológico para el análisis de genómica comparativa</w:t>
      </w:r>
      <w:r w:rsidR="000034B2" w:rsidRPr="006D469C">
        <w:rPr>
          <w:i w:val="0"/>
          <w:iCs w:val="0"/>
          <w:color w:val="auto"/>
          <w:sz w:val="20"/>
          <w:szCs w:val="20"/>
        </w:rPr>
        <w:t xml:space="preserve"> de los</w:t>
      </w:r>
      <w:r w:rsidR="00FE6298" w:rsidRPr="006D469C">
        <w:rPr>
          <w:i w:val="0"/>
          <w:iCs w:val="0"/>
          <w:color w:val="auto"/>
          <w:sz w:val="20"/>
          <w:szCs w:val="20"/>
        </w:rPr>
        <w:t xml:space="preserve"> </w:t>
      </w:r>
      <w:r w:rsidR="00C117DC" w:rsidRPr="006D469C">
        <w:rPr>
          <w:i w:val="0"/>
          <w:iCs w:val="0"/>
          <w:color w:val="auto"/>
          <w:sz w:val="20"/>
          <w:szCs w:val="20"/>
        </w:rPr>
        <w:t>clústers</w:t>
      </w:r>
      <w:r w:rsidR="000034B2" w:rsidRPr="006D469C">
        <w:rPr>
          <w:i w:val="0"/>
          <w:iCs w:val="0"/>
          <w:color w:val="auto"/>
          <w:sz w:val="20"/>
          <w:szCs w:val="20"/>
        </w:rPr>
        <w:t xml:space="preserve"> de genes biosint</w:t>
      </w:r>
      <w:r w:rsidR="00620632" w:rsidRPr="006D469C">
        <w:rPr>
          <w:i w:val="0"/>
          <w:iCs w:val="0"/>
          <w:color w:val="auto"/>
          <w:sz w:val="20"/>
          <w:szCs w:val="20"/>
        </w:rPr>
        <w:t xml:space="preserve">éticos </w:t>
      </w:r>
      <w:r w:rsidR="00C3308F" w:rsidRPr="006D469C">
        <w:rPr>
          <w:i w:val="0"/>
          <w:iCs w:val="0"/>
          <w:color w:val="auto"/>
          <w:sz w:val="20"/>
          <w:szCs w:val="20"/>
        </w:rPr>
        <w:t xml:space="preserve">presentes en las especies de hongos asociados </w:t>
      </w:r>
      <w:r w:rsidR="000F46A5" w:rsidRPr="006D469C">
        <w:rPr>
          <w:i w:val="0"/>
          <w:iCs w:val="0"/>
          <w:color w:val="auto"/>
          <w:sz w:val="20"/>
          <w:szCs w:val="20"/>
        </w:rPr>
        <w:t>molecularmente con los aislamientos de hongos marinos aislados de sedimentos de manglar de Puntarenas, Costa Rica.</w:t>
      </w:r>
      <w:bookmarkEnd w:id="91"/>
      <w:bookmarkEnd w:id="92"/>
    </w:p>
    <w:p w14:paraId="7134129C" w14:textId="0C0AED03" w:rsidR="00D63BF2" w:rsidRPr="00A00711" w:rsidRDefault="00336027" w:rsidP="00336027">
      <w:pPr>
        <w:pStyle w:val="Descripcin"/>
        <w:rPr>
          <w:rFonts w:eastAsia="Times New Roman" w:cs="Times New Roman"/>
          <w:color w:val="000000"/>
          <w:sz w:val="20"/>
          <w:szCs w:val="16"/>
          <w:lang w:eastAsia="es-CR"/>
        </w:rPr>
      </w:pPr>
      <w:bookmarkStart w:id="93" w:name="_Toc138593431"/>
      <w:r w:rsidRPr="00A00711">
        <w:rPr>
          <w:b/>
          <w:bCs/>
          <w:i w:val="0"/>
          <w:iCs w:val="0"/>
          <w:color w:val="auto"/>
          <w:sz w:val="20"/>
          <w:szCs w:val="20"/>
        </w:rPr>
        <w:t xml:space="preserve">Cuadro </w:t>
      </w:r>
      <w:r w:rsidRPr="00A00711">
        <w:rPr>
          <w:b/>
          <w:bCs/>
          <w:i w:val="0"/>
          <w:iCs w:val="0"/>
          <w:color w:val="auto"/>
          <w:sz w:val="20"/>
          <w:szCs w:val="20"/>
        </w:rPr>
        <w:fldChar w:fldCharType="begin"/>
      </w:r>
      <w:r w:rsidRPr="00A00711">
        <w:rPr>
          <w:b/>
          <w:bCs/>
          <w:i w:val="0"/>
          <w:iCs w:val="0"/>
          <w:color w:val="auto"/>
          <w:sz w:val="20"/>
          <w:szCs w:val="20"/>
        </w:rPr>
        <w:instrText xml:space="preserve"> SEQ Cuadro \* ARABIC </w:instrText>
      </w:r>
      <w:r w:rsidRPr="00A00711">
        <w:rPr>
          <w:b/>
          <w:bCs/>
          <w:i w:val="0"/>
          <w:iCs w:val="0"/>
          <w:color w:val="auto"/>
          <w:sz w:val="20"/>
          <w:szCs w:val="20"/>
        </w:rPr>
        <w:fldChar w:fldCharType="separate"/>
      </w:r>
      <w:r w:rsidRPr="00A00711">
        <w:rPr>
          <w:b/>
          <w:bCs/>
          <w:i w:val="0"/>
          <w:iCs w:val="0"/>
          <w:noProof/>
          <w:color w:val="auto"/>
          <w:sz w:val="20"/>
          <w:szCs w:val="20"/>
        </w:rPr>
        <w:t>3</w:t>
      </w:r>
      <w:r w:rsidRPr="00A00711">
        <w:rPr>
          <w:b/>
          <w:bCs/>
          <w:i w:val="0"/>
          <w:iCs w:val="0"/>
          <w:color w:val="auto"/>
          <w:sz w:val="20"/>
          <w:szCs w:val="20"/>
        </w:rPr>
        <w:fldChar w:fldCharType="end"/>
      </w:r>
      <w:r w:rsidR="00D63BF2" w:rsidRPr="00A00711">
        <w:rPr>
          <w:rFonts w:eastAsia="Times New Roman" w:cs="Times New Roman"/>
          <w:b/>
          <w:bCs/>
          <w:i w:val="0"/>
          <w:iCs w:val="0"/>
          <w:color w:val="auto"/>
          <w:sz w:val="20"/>
          <w:szCs w:val="20"/>
          <w:lang w:eastAsia="es-CR"/>
        </w:rPr>
        <w:t>.</w:t>
      </w:r>
      <w:r w:rsidR="00D63BF2" w:rsidRPr="00A00711">
        <w:rPr>
          <w:rFonts w:eastAsia="Times New Roman" w:cs="Times New Roman"/>
          <w:color w:val="auto"/>
          <w:sz w:val="24"/>
          <w:szCs w:val="20"/>
          <w:lang w:eastAsia="es-CR"/>
        </w:rPr>
        <w:t xml:space="preserve"> </w:t>
      </w:r>
      <w:r w:rsidR="00D63BF2" w:rsidRPr="00A00711">
        <w:rPr>
          <w:rFonts w:eastAsia="Times New Roman" w:cs="Times New Roman"/>
          <w:i w:val="0"/>
          <w:iCs w:val="0"/>
          <w:color w:val="000000"/>
          <w:sz w:val="20"/>
          <w:szCs w:val="16"/>
          <w:lang w:eastAsia="es-CR"/>
        </w:rPr>
        <w:t>Genomas utilizados para la búsqueda de potenciales Clústers de Genes Biosintéticos de hongos marinos con actividad antimicrobiana en la plataforma ANTISMASH</w:t>
      </w:r>
      <w:r w:rsidR="00D63BF2" w:rsidRPr="00A00711">
        <w:rPr>
          <w:rFonts w:eastAsia="Times New Roman" w:cs="Times New Roman"/>
          <w:color w:val="000000"/>
          <w:sz w:val="20"/>
          <w:szCs w:val="16"/>
          <w:lang w:eastAsia="es-CR"/>
        </w:rPr>
        <w:t>.</w:t>
      </w:r>
      <w:bookmarkEnd w:id="93"/>
    </w:p>
    <w:tbl>
      <w:tblPr>
        <w:tblStyle w:val="Tablaconcuadrcula"/>
        <w:tblW w:w="9803" w:type="dxa"/>
        <w:tblInd w:w="-147" w:type="dxa"/>
        <w:tblLook w:val="04A0" w:firstRow="1" w:lastRow="0" w:firstColumn="1" w:lastColumn="0" w:noHBand="0" w:noVBand="1"/>
      </w:tblPr>
      <w:tblGrid>
        <w:gridCol w:w="2307"/>
        <w:gridCol w:w="2397"/>
        <w:gridCol w:w="5099"/>
      </w:tblGrid>
      <w:tr w:rsidR="00D63BF2" w:rsidRPr="00A60D2D" w14:paraId="23A1BC12" w14:textId="77777777" w:rsidTr="00D63BF2">
        <w:trPr>
          <w:trHeight w:val="20"/>
        </w:trPr>
        <w:tc>
          <w:tcPr>
            <w:tcW w:w="2307" w:type="dxa"/>
            <w:tcBorders>
              <w:top w:val="single" w:sz="4" w:space="0" w:color="auto"/>
              <w:bottom w:val="single" w:sz="4" w:space="0" w:color="auto"/>
            </w:tcBorders>
          </w:tcPr>
          <w:p w14:paraId="75BAD358"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b/>
                <w:bCs/>
                <w:color w:val="000000"/>
                <w:sz w:val="22"/>
                <w:lang w:eastAsia="es-CR"/>
              </w:rPr>
              <w:lastRenderedPageBreak/>
              <w:t>Especie / Género</w:t>
            </w:r>
          </w:p>
        </w:tc>
        <w:tc>
          <w:tcPr>
            <w:tcW w:w="2397" w:type="dxa"/>
            <w:tcBorders>
              <w:top w:val="single" w:sz="4" w:space="0" w:color="auto"/>
              <w:bottom w:val="single" w:sz="4" w:space="0" w:color="auto"/>
            </w:tcBorders>
          </w:tcPr>
          <w:p w14:paraId="1B4ACDBC"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b/>
                <w:bCs/>
                <w:color w:val="000000"/>
                <w:sz w:val="22"/>
                <w:lang w:eastAsia="es-CR"/>
              </w:rPr>
              <w:t>Número de acceso </w:t>
            </w:r>
          </w:p>
        </w:tc>
        <w:tc>
          <w:tcPr>
            <w:tcW w:w="5099" w:type="dxa"/>
            <w:tcBorders>
              <w:top w:val="single" w:sz="4" w:space="0" w:color="auto"/>
              <w:bottom w:val="single" w:sz="4" w:space="0" w:color="auto"/>
            </w:tcBorders>
          </w:tcPr>
          <w:p w14:paraId="1FC35507"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b/>
                <w:bCs/>
                <w:color w:val="000000"/>
                <w:sz w:val="22"/>
                <w:lang w:eastAsia="es-CR"/>
              </w:rPr>
              <w:t>Referencia</w:t>
            </w:r>
          </w:p>
        </w:tc>
      </w:tr>
      <w:tr w:rsidR="00D63BF2" w:rsidRPr="00A60D2D" w14:paraId="33017AFD" w14:textId="77777777" w:rsidTr="00D63BF2">
        <w:trPr>
          <w:trHeight w:val="20"/>
        </w:trPr>
        <w:tc>
          <w:tcPr>
            <w:tcW w:w="2307" w:type="dxa"/>
            <w:tcBorders>
              <w:top w:val="single" w:sz="4" w:space="0" w:color="auto"/>
            </w:tcBorders>
            <w:vAlign w:val="center"/>
          </w:tcPr>
          <w:p w14:paraId="0EB8BFCE"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i/>
                <w:iCs/>
                <w:color w:val="000000"/>
                <w:sz w:val="22"/>
                <w:lang w:eastAsia="es-CR"/>
              </w:rPr>
              <w:t>Aspergillus caelatus</w:t>
            </w:r>
          </w:p>
        </w:tc>
        <w:tc>
          <w:tcPr>
            <w:tcW w:w="2397" w:type="dxa"/>
            <w:tcBorders>
              <w:top w:val="single" w:sz="4" w:space="0" w:color="auto"/>
            </w:tcBorders>
            <w:vAlign w:val="center"/>
          </w:tcPr>
          <w:p w14:paraId="60A2FD54"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STFO00000000</w:t>
            </w:r>
          </w:p>
        </w:tc>
        <w:tc>
          <w:tcPr>
            <w:tcW w:w="5099" w:type="dxa"/>
            <w:tcBorders>
              <w:top w:val="single" w:sz="4" w:space="0" w:color="auto"/>
            </w:tcBorders>
            <w:vAlign w:val="center"/>
          </w:tcPr>
          <w:p w14:paraId="67DD61E5" w14:textId="386D8FF3" w:rsidR="00D63BF2" w:rsidRPr="00A60D2D" w:rsidRDefault="00E14A2A" w:rsidP="009C758C">
            <w:pPr>
              <w:spacing w:line="240" w:lineRule="auto"/>
              <w:jc w:val="center"/>
              <w:rPr>
                <w:rFonts w:eastAsia="Times New Roman" w:cs="Times New Roman"/>
                <w:color w:val="000000"/>
                <w:sz w:val="22"/>
                <w:lang w:eastAsia="es-CR"/>
              </w:rPr>
            </w:pPr>
            <w:r>
              <w:rPr>
                <w:rFonts w:eastAsia="Times New Roman" w:cs="Times New Roman"/>
                <w:color w:val="000000"/>
                <w:sz w:val="22"/>
                <w:lang w:eastAsia="es-CR"/>
              </w:rPr>
              <w:fldChar w:fldCharType="begin" w:fldLock="1"/>
            </w:r>
            <w:r w:rsidR="0029458E">
              <w:rPr>
                <w:rFonts w:eastAsia="Times New Roman" w:cs="Times New Roman"/>
                <w:color w:val="000000"/>
                <w:sz w:val="22"/>
                <w:lang w:eastAsia="es-CR"/>
              </w:rPr>
              <w:instrText>ADDIN CSL_CITATION {"citationItems":[{"id":"ITEM-1","itemData":{"DOI":"10.1038/s41467-019-14051-y","ISSN":"20411723","PMID":"32107379","abstract":"Section Flavi encompasses both harmful and beneficial Aspergillus species, such as Aspergillus oryzae, used in food fermentation and enzyme production, and Aspergillus flavus, food spoiler and mycotoxin producer. Here, we sequence 19 genomes spanning section Flavi and compare 31 fungal genomes including 23 Flavi species. We reassess their phylogenetic relationships and show that the closest relative of A. oryzae is not A. flavus, but A. minisclerotigenes or A. aflatoxiformans and identify high genome diversity, especially in sub-telomeric regions. We predict abundant CAZymes (598 per species) and prolific secondary metabolite gene clusters (73 per species) in section Flavi. However, the observed phenotypes (growth characteristics, polysaccharide degradation) do not necessarily correlate with inferences made from the predicted CAZyme content. Our work, including genomic analyses, phenotypic assays, and identification of secondary metabolites, highlights the genetic and metabolic diversity within section Flavi.","author":[{"dropping-particle":"","family":"Kjærbølling","given":"Inge","non-dropping-particle":"","parse-names":false,"suffix":""},{"dropping-particle":"","family":"Vesth","given":"Tammi","non-dropping-particle":"","parse-names":false,"suffix":""},{"dropping-particle":"","family":"Frisvad","given":"Jens C.","non-dropping-particle":"","parse-names":false,"suffix":""},{"dropping-particle":"","family":"Nybo","given":"Jane L.","non-dropping-particle":"","parse-names":false,"suffix":""},{"dropping-particle":"","family":"Theobald","given":"Sebastian","non-dropping-particle":"","parse-names":false,"suffix":""},{"dropping-particle":"","family":"Kildgaard","given":"Sara","non-dropping-particle":"","parse-names":false,"suffix":""},{"dropping-particle":"","family":"Petersen","given":"Thomas Isbrandt","non-dropping-particle":"","parse-names":false,"suffix":""},{"dropping-particle":"","family":"Kuo","given":"Alan","non-dropping-particle":"","parse-names":false,"suffix":""},{"dropping-particle":"","family":"Sato","given":"Atsushi","non-dropping-particle":"","parse-names":false,"suffix":""},{"dropping-particle":"","family":"Lyhne","given":"Ellen K.","non-dropping-particle":"","parse-names":false,"suffix":""},{"dropping-particle":"","family":"Kogle","given":"Martin E.","non-dropping-particle":"","parse-names":false,"suffix":""},{"dropping-particle":"","family":"Wiebenga","given":"Ad","non-dropping-particle":"","parse-names":false,"suffix":""},{"dropping-particle":"","family":"Kun","given":"Roland S.","non-dropping-particle":"","parse-names":false,"suffix":""},{"dropping-particle":"","family":"Lubbers","given":"Ronnie J.M.","non-dropping-particle":"","parse-names":false,"suffix":""},{"dropping-particle":"","family":"Mäkelä","given":"Miia R.","non-dropping-particle":"","parse-names":false,"suffix":""},{"dropping-particle":"","family":"Barry","given":"Kerrie","non-dropping-particle":"","parse-names":false,"suffix":""},{"dropping-particle":"","family":"Chovatia","given":"Mansi","non-dropping-particle":"","parse-names":false,"suffix":""},{"dropping-particle":"","family":"Clum","given":"Alicia","non-dropping-particle":"","parse-names":false,"suffix":""},{"dropping-particle":"","family":"Daum","given":"Chris","non-dropping-particle":"","parse-names":false,"suffix":""},{"dropping-particle":"","family":"Haridas","given":"Sajeet","non-dropping-particle":"","parse-names":false,"suffix":""},{"dropping-particle":"","family":"He","given":"Guifen","non-dropping-particle":"","parse-names":false,"suffix":""},{"dropping-particle":"","family":"LaButti","given":"Kurt","non-dropping-particle":"","parse-names":false,"suffix":""},{"dropping-particle":"","family":"Lipzen","given":"Anna","non-dropping-particle":"","parse-names":false,"suffix":""},{"dropping-particle":"","family":"Mondo","given":"Stephen","non-dropping-particle":"","parse-names":false,"suffix":""},{"dropping-particle":"","family":"Pangilinan","given":"Jasmyn","non-dropping-particle":"","parse-names":false,"suffix":""},{"dropping-particle":"","family":"Riley","given":"Robert","non-dropping-particle":"","parse-names":false,"suffix":""},{"dropping-particle":"","family":"Salamov","given":"Asaf","non-dropping-particle":"","parse-names":false,"suffix":""},{"dropping-particle":"","family":"Simmons","given":"Blake A.","non-dropping-particle":"","parse-names":false,"suffix":""},{"dropping-particle":"","family":"Magnuson","given":"Jon K.","non-dropping-particle":"","parse-names":false,"suffix":""},{"dropping-particle":"","family":"Henrissat","given":"Bernard","non-dropping-particle":"","parse-names":false,"suffix":""},{"dropping-particle":"","family":"Mortensen","given":"Uffe H.","non-dropping-particle":"","parse-names":false,"suffix":""},{"dropping-particle":"","family":"Larsen","given":"Thomas O.","non-dropping-particle":"","parse-names":false,"suffix":""},{"dropping-particle":"","family":"Vries","given":"Ronald P.","non-dropping-particle":"de","parse-names":false,"suffix":""},{"dropping-particle":"V.","family":"Grigoriev","given":"Igor","non-dropping-particle":"","parse-names":false,"suffix":""},{"dropping-particle":"","family":"Machida","given":"Masayuki","non-dropping-particle":"","parse-names":false,"suffix":""},{"dropping-particle":"","family":"Baker","given":"Scott E.","non-dropping-particle":"","parse-names":false,"suffix":""},{"dropping-particle":"","family":"Andersen","given":"Mikael R.","non-dropping-particle":"","parse-names":false,"suffix":""}],"container-title":"Nature Communications","id":"ITEM-1","issue":"1","issued":{"date-parts":[["2020"]]},"publisher":"Springer US","title":"A comparative genomics study of 23 Aspergillus species from section Flavi","type":"article-journal","volume":"11"},"uris":["http://www.mendeley.com/documents/?uuid=652a95cc-af45-45bb-8d4d-1a3cc7d9eeac"]}],"mendeley":{"formattedCitation":"(Kjærbølling et al., 2020)","manualFormatting":"Kjærbølling et al. (2020)","plainTextFormattedCitation":"(Kjærbølling et al., 2020)","previouslyFormattedCitation":"(Kjærbølling et al., 2020)"},"properties":{"noteIndex":0},"schema":"https://github.com/citation-style-language/schema/raw/master/csl-citation.json"}</w:instrText>
            </w:r>
            <w:r>
              <w:rPr>
                <w:rFonts w:eastAsia="Times New Roman" w:cs="Times New Roman"/>
                <w:color w:val="000000"/>
                <w:sz w:val="22"/>
                <w:lang w:eastAsia="es-CR"/>
              </w:rPr>
              <w:fldChar w:fldCharType="separate"/>
            </w:r>
            <w:r w:rsidRPr="00E14A2A">
              <w:rPr>
                <w:rFonts w:eastAsia="Times New Roman" w:cs="Times New Roman"/>
                <w:noProof/>
                <w:color w:val="000000"/>
                <w:sz w:val="22"/>
                <w:lang w:eastAsia="es-CR"/>
              </w:rPr>
              <w:t>Kjærbølling et al.</w:t>
            </w:r>
            <w:r>
              <w:rPr>
                <w:rFonts w:eastAsia="Times New Roman" w:cs="Times New Roman"/>
                <w:noProof/>
                <w:color w:val="000000"/>
                <w:sz w:val="22"/>
                <w:lang w:eastAsia="es-CR"/>
              </w:rPr>
              <w:t xml:space="preserve"> (</w:t>
            </w:r>
            <w:r w:rsidRPr="00E14A2A">
              <w:rPr>
                <w:rFonts w:eastAsia="Times New Roman" w:cs="Times New Roman"/>
                <w:noProof/>
                <w:color w:val="000000"/>
                <w:sz w:val="22"/>
                <w:lang w:eastAsia="es-CR"/>
              </w:rPr>
              <w:t>2020)</w:t>
            </w:r>
            <w:r>
              <w:rPr>
                <w:rFonts w:eastAsia="Times New Roman" w:cs="Times New Roman"/>
                <w:color w:val="000000"/>
                <w:sz w:val="22"/>
                <w:lang w:eastAsia="es-CR"/>
              </w:rPr>
              <w:fldChar w:fldCharType="end"/>
            </w:r>
          </w:p>
        </w:tc>
      </w:tr>
      <w:tr w:rsidR="00D63BF2" w:rsidRPr="00A60D2D" w14:paraId="274A4D96" w14:textId="77777777" w:rsidTr="00D63BF2">
        <w:trPr>
          <w:trHeight w:val="20"/>
        </w:trPr>
        <w:tc>
          <w:tcPr>
            <w:tcW w:w="2307" w:type="dxa"/>
            <w:vAlign w:val="center"/>
          </w:tcPr>
          <w:p w14:paraId="5AD80BDB"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i/>
                <w:iCs/>
                <w:color w:val="000000"/>
                <w:sz w:val="22"/>
                <w:lang w:eastAsia="es-CR"/>
              </w:rPr>
              <w:t>Aspergillus pseudotamarii</w:t>
            </w:r>
          </w:p>
        </w:tc>
        <w:tc>
          <w:tcPr>
            <w:tcW w:w="2397" w:type="dxa"/>
            <w:vAlign w:val="center"/>
          </w:tcPr>
          <w:p w14:paraId="2D4BC97F"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STFH00000000</w:t>
            </w:r>
          </w:p>
        </w:tc>
        <w:tc>
          <w:tcPr>
            <w:tcW w:w="5099" w:type="dxa"/>
            <w:vAlign w:val="center"/>
          </w:tcPr>
          <w:p w14:paraId="4F7DC70E"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Kjærbølling et al. (2020)</w:t>
            </w:r>
          </w:p>
        </w:tc>
      </w:tr>
      <w:tr w:rsidR="00D63BF2" w:rsidRPr="00A60D2D" w14:paraId="684B0C4E" w14:textId="77777777" w:rsidTr="00D63BF2">
        <w:trPr>
          <w:trHeight w:val="20"/>
        </w:trPr>
        <w:tc>
          <w:tcPr>
            <w:tcW w:w="2307" w:type="dxa"/>
            <w:vAlign w:val="center"/>
          </w:tcPr>
          <w:p w14:paraId="688F43BD"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i/>
                <w:iCs/>
                <w:color w:val="000000"/>
                <w:sz w:val="22"/>
                <w:lang w:eastAsia="es-CR"/>
              </w:rPr>
              <w:t>Aspergillus tamarii</w:t>
            </w:r>
          </w:p>
        </w:tc>
        <w:tc>
          <w:tcPr>
            <w:tcW w:w="2397" w:type="dxa"/>
            <w:vAlign w:val="center"/>
          </w:tcPr>
          <w:p w14:paraId="5B26981A"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JALZYI000000000</w:t>
            </w:r>
          </w:p>
        </w:tc>
        <w:tc>
          <w:tcPr>
            <w:tcW w:w="5099" w:type="dxa"/>
            <w:vAlign w:val="center"/>
          </w:tcPr>
          <w:p w14:paraId="72A6139B"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Kjærbølling et al. (2020)</w:t>
            </w:r>
          </w:p>
        </w:tc>
      </w:tr>
      <w:tr w:rsidR="00D63BF2" w:rsidRPr="00917819" w14:paraId="66384A38" w14:textId="77777777" w:rsidTr="00D63BF2">
        <w:trPr>
          <w:trHeight w:val="20"/>
        </w:trPr>
        <w:tc>
          <w:tcPr>
            <w:tcW w:w="2307" w:type="dxa"/>
            <w:tcBorders>
              <w:bottom w:val="single" w:sz="4" w:space="0" w:color="FFFFFF" w:themeColor="background1"/>
            </w:tcBorders>
            <w:vAlign w:val="center"/>
          </w:tcPr>
          <w:p w14:paraId="2223F4DD"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i/>
                <w:iCs/>
                <w:color w:val="000000"/>
                <w:sz w:val="22"/>
                <w:lang w:eastAsia="es-CR"/>
              </w:rPr>
              <w:t>Paraconiothyrium sp.</w:t>
            </w:r>
          </w:p>
        </w:tc>
        <w:tc>
          <w:tcPr>
            <w:tcW w:w="2397" w:type="dxa"/>
            <w:tcBorders>
              <w:bottom w:val="single" w:sz="4" w:space="0" w:color="FFFFFF" w:themeColor="background1"/>
            </w:tcBorders>
            <w:vAlign w:val="center"/>
          </w:tcPr>
          <w:p w14:paraId="587584AC"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JAJUBI000000000</w:t>
            </w:r>
          </w:p>
        </w:tc>
        <w:tc>
          <w:tcPr>
            <w:tcW w:w="5099" w:type="dxa"/>
            <w:tcBorders>
              <w:bottom w:val="single" w:sz="4" w:space="0" w:color="FFFFFF" w:themeColor="background1"/>
            </w:tcBorders>
            <w:vAlign w:val="center"/>
          </w:tcPr>
          <w:p w14:paraId="2F6F91C7" w14:textId="79BEECD0" w:rsidR="00D63BF2" w:rsidRPr="0029458E" w:rsidRDefault="0029458E" w:rsidP="009C758C">
            <w:pPr>
              <w:spacing w:line="240" w:lineRule="auto"/>
              <w:jc w:val="center"/>
              <w:rPr>
                <w:rFonts w:eastAsia="Times New Roman" w:cs="Times New Roman"/>
                <w:color w:val="000000"/>
                <w:sz w:val="22"/>
                <w:lang w:val="en-US" w:eastAsia="es-CR"/>
              </w:rPr>
            </w:pPr>
            <w:r>
              <w:rPr>
                <w:rFonts w:eastAsia="Times New Roman" w:cs="Times New Roman"/>
                <w:color w:val="000000"/>
                <w:sz w:val="22"/>
                <w:lang w:eastAsia="es-CR"/>
              </w:rPr>
              <w:fldChar w:fldCharType="begin" w:fldLock="1"/>
            </w:r>
            <w:r w:rsidR="00C91154">
              <w:rPr>
                <w:rFonts w:eastAsia="Times New Roman" w:cs="Times New Roman"/>
                <w:color w:val="000000"/>
                <w:sz w:val="22"/>
                <w:lang w:val="en-US" w:eastAsia="es-CR"/>
              </w:rPr>
              <w:instrText>ADDIN CSL_CITATION {"citationItems":[{"id":"ITEM-1","itemData":{"DOI":"https://doi.org/10.3390/genes13020338","author":[{"dropping-particle":"","family":"Fu","given":"Zuo-Yi","non-dropping-particle":"","parse-names":false,"suffix":""},{"dropping-particle":"","family":"An","given":"Jia-Qi","non-dropping-particle":"","parse-names":false,"suffix":""},{"dropping-particle":"","family":"Liu","given":"Wei","non-dropping-particle":"","parse-names":false,"suffix":""},{"dropping-particle":"","family":"Zhang","given":"Hong-Ping","non-dropping-particle":"","parse-names":false,"suffix":""},{"dropping-particle":"","family":"Yang","given":"Pu","non-dropping-particle":"","parse-names":false,"suffix":""}],"container-title":"Genes","id":"ITEM-1","issued":{"date-parts":[["2022"]]},"page":"388","title":"Genomic Analyses of the Fungus Paraconiothyrium sp. Isolated from the Chinese White Wax Scale Insect Reveals Its Symbiotic Character","type":"article-journal","volume":"13"},"uris":["http://www.mendeley.com/documents/?uuid=a7cb2e74-af38-4046-add3-c15bd35d6a3f"]}],"mendeley":{"formattedCitation":"(Fu, An, Liu, Zhang, &amp; Yang, 2022)","manualFormatting":"Fu, An, Liu, Zhang, &amp; Yang (2022)","plainTextFormattedCitation":"(Fu, An, Liu, Zhang, &amp; Yang, 2022)","previouslyFormattedCitation":"(Fu, An, Liu, Zhang, &amp; Yang, 2022)"},"properties":{"noteIndex":0},"schema":"https://github.com/citation-style-language/schema/raw/master/csl-citation.json"}</w:instrText>
            </w:r>
            <w:r>
              <w:rPr>
                <w:rFonts w:eastAsia="Times New Roman" w:cs="Times New Roman"/>
                <w:color w:val="000000"/>
                <w:sz w:val="22"/>
                <w:lang w:eastAsia="es-CR"/>
              </w:rPr>
              <w:fldChar w:fldCharType="separate"/>
            </w:r>
            <w:r w:rsidRPr="0029458E">
              <w:rPr>
                <w:rFonts w:eastAsia="Times New Roman" w:cs="Times New Roman"/>
                <w:noProof/>
                <w:color w:val="000000"/>
                <w:sz w:val="22"/>
                <w:lang w:val="en-US" w:eastAsia="es-CR"/>
              </w:rPr>
              <w:t>Fu, An, Liu, Zhang, &amp; Yang</w:t>
            </w:r>
            <w:r w:rsidR="009551AC">
              <w:rPr>
                <w:rFonts w:eastAsia="Times New Roman" w:cs="Times New Roman"/>
                <w:noProof/>
                <w:color w:val="000000"/>
                <w:sz w:val="22"/>
                <w:lang w:val="en-US" w:eastAsia="es-CR"/>
              </w:rPr>
              <w:t xml:space="preserve"> (</w:t>
            </w:r>
            <w:r w:rsidRPr="0029458E">
              <w:rPr>
                <w:rFonts w:eastAsia="Times New Roman" w:cs="Times New Roman"/>
                <w:noProof/>
                <w:color w:val="000000"/>
                <w:sz w:val="22"/>
                <w:lang w:val="en-US" w:eastAsia="es-CR"/>
              </w:rPr>
              <w:t>2022)</w:t>
            </w:r>
            <w:r>
              <w:rPr>
                <w:rFonts w:eastAsia="Times New Roman" w:cs="Times New Roman"/>
                <w:color w:val="000000"/>
                <w:sz w:val="22"/>
                <w:lang w:eastAsia="es-CR"/>
              </w:rPr>
              <w:fldChar w:fldCharType="end"/>
            </w:r>
          </w:p>
        </w:tc>
      </w:tr>
      <w:tr w:rsidR="00D63BF2" w:rsidRPr="008D0F17" w14:paraId="7E6A5706" w14:textId="77777777" w:rsidTr="00D63BF2">
        <w:trPr>
          <w:trHeight w:val="20"/>
        </w:trPr>
        <w:tc>
          <w:tcPr>
            <w:tcW w:w="2307" w:type="dxa"/>
            <w:tcBorders>
              <w:bottom w:val="single" w:sz="4" w:space="0" w:color="auto"/>
            </w:tcBorders>
            <w:vAlign w:val="center"/>
          </w:tcPr>
          <w:p w14:paraId="188438C3"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i/>
                <w:iCs/>
                <w:color w:val="000000"/>
                <w:sz w:val="22"/>
                <w:lang w:eastAsia="es-CR"/>
              </w:rPr>
              <w:t>Penicillium sp</w:t>
            </w:r>
          </w:p>
        </w:tc>
        <w:tc>
          <w:tcPr>
            <w:tcW w:w="2397" w:type="dxa"/>
            <w:tcBorders>
              <w:bottom w:val="single" w:sz="4" w:space="0" w:color="auto"/>
            </w:tcBorders>
            <w:vAlign w:val="center"/>
          </w:tcPr>
          <w:p w14:paraId="23825254" w14:textId="77777777" w:rsidR="00D63BF2" w:rsidRPr="00A60D2D" w:rsidRDefault="00D63BF2" w:rsidP="009C758C">
            <w:pPr>
              <w:spacing w:line="240" w:lineRule="auto"/>
              <w:jc w:val="center"/>
              <w:rPr>
                <w:rFonts w:eastAsia="Times New Roman" w:cs="Times New Roman"/>
                <w:color w:val="000000"/>
                <w:sz w:val="22"/>
                <w:lang w:eastAsia="es-CR"/>
              </w:rPr>
            </w:pPr>
            <w:r w:rsidRPr="00A60D2D">
              <w:rPr>
                <w:rFonts w:eastAsia="Times New Roman" w:cs="Times New Roman"/>
                <w:color w:val="000000"/>
                <w:sz w:val="22"/>
                <w:lang w:eastAsia="es-CR"/>
              </w:rPr>
              <w:t>JAMFOT000000000.1</w:t>
            </w:r>
          </w:p>
        </w:tc>
        <w:tc>
          <w:tcPr>
            <w:tcW w:w="5099" w:type="dxa"/>
            <w:tcBorders>
              <w:bottom w:val="single" w:sz="4" w:space="0" w:color="auto"/>
            </w:tcBorders>
          </w:tcPr>
          <w:p w14:paraId="599D30EA" w14:textId="77777777" w:rsidR="00D63BF2" w:rsidRPr="00E14A2A" w:rsidRDefault="00D63BF2" w:rsidP="009C758C">
            <w:pPr>
              <w:spacing w:line="240" w:lineRule="auto"/>
              <w:jc w:val="center"/>
              <w:rPr>
                <w:rFonts w:eastAsia="Times New Roman" w:cs="Times New Roman"/>
                <w:color w:val="000000"/>
                <w:sz w:val="22"/>
                <w:lang w:eastAsia="es-CR"/>
              </w:rPr>
            </w:pPr>
            <w:proofErr w:type="spellStart"/>
            <w:r w:rsidRPr="0088198E">
              <w:rPr>
                <w:rFonts w:eastAsia="Times New Roman" w:cs="Times New Roman"/>
                <w:color w:val="000000"/>
                <w:sz w:val="20"/>
                <w:szCs w:val="20"/>
                <w:lang w:val="en-US" w:eastAsia="es-CR"/>
              </w:rPr>
              <w:t>Artículo</w:t>
            </w:r>
            <w:proofErr w:type="spellEnd"/>
            <w:r w:rsidRPr="0088198E">
              <w:rPr>
                <w:rFonts w:eastAsia="Times New Roman" w:cs="Times New Roman"/>
                <w:color w:val="000000"/>
                <w:sz w:val="20"/>
                <w:szCs w:val="20"/>
                <w:lang w:val="en-US" w:eastAsia="es-CR"/>
              </w:rPr>
              <w:t xml:space="preserve"> no </w:t>
            </w:r>
            <w:proofErr w:type="spellStart"/>
            <w:r w:rsidRPr="0088198E">
              <w:rPr>
                <w:rFonts w:eastAsia="Times New Roman" w:cs="Times New Roman"/>
                <w:color w:val="000000"/>
                <w:sz w:val="20"/>
                <w:szCs w:val="20"/>
                <w:lang w:val="en-US" w:eastAsia="es-CR"/>
              </w:rPr>
              <w:t>publicado</w:t>
            </w:r>
            <w:proofErr w:type="spellEnd"/>
            <w:r w:rsidRPr="0088198E">
              <w:rPr>
                <w:rFonts w:eastAsia="Times New Roman" w:cs="Times New Roman"/>
                <w:color w:val="000000"/>
                <w:sz w:val="20"/>
                <w:szCs w:val="20"/>
                <w:lang w:val="en-US" w:eastAsia="es-CR"/>
              </w:rPr>
              <w:t xml:space="preserve">: “Large-scale metagenomic analysis of the gut mycobiome across common human diseases.” </w:t>
            </w:r>
            <w:r w:rsidRPr="00E14A2A">
              <w:rPr>
                <w:rFonts w:eastAsia="Times New Roman" w:cs="Times New Roman"/>
                <w:color w:val="000000"/>
                <w:sz w:val="20"/>
                <w:szCs w:val="20"/>
                <w:lang w:eastAsia="es-CR"/>
              </w:rPr>
              <w:t xml:space="preserve">Yan, Q. Dalian Medical </w:t>
            </w:r>
            <w:proofErr w:type="spellStart"/>
            <w:r w:rsidRPr="00E14A2A">
              <w:rPr>
                <w:rFonts w:eastAsia="Times New Roman" w:cs="Times New Roman"/>
                <w:color w:val="000000"/>
                <w:sz w:val="20"/>
                <w:szCs w:val="20"/>
                <w:lang w:eastAsia="es-CR"/>
              </w:rPr>
              <w:t>University</w:t>
            </w:r>
            <w:proofErr w:type="spellEnd"/>
            <w:r w:rsidRPr="00E14A2A">
              <w:rPr>
                <w:rFonts w:eastAsia="Times New Roman" w:cs="Times New Roman"/>
                <w:color w:val="000000"/>
                <w:sz w:val="20"/>
                <w:szCs w:val="20"/>
                <w:lang w:eastAsia="es-CR"/>
              </w:rPr>
              <w:t xml:space="preserve"> (2022). </w:t>
            </w:r>
            <w:proofErr w:type="spellStart"/>
            <w:r w:rsidRPr="00E14A2A">
              <w:rPr>
                <w:rFonts w:eastAsia="Times New Roman" w:cs="Times New Roman"/>
                <w:color w:val="000000"/>
                <w:sz w:val="20"/>
                <w:szCs w:val="20"/>
                <w:lang w:eastAsia="es-CR"/>
              </w:rPr>
              <w:t>Strain</w:t>
            </w:r>
            <w:proofErr w:type="spellEnd"/>
            <w:r w:rsidRPr="00E14A2A">
              <w:rPr>
                <w:rFonts w:eastAsia="Times New Roman" w:cs="Times New Roman"/>
                <w:color w:val="000000"/>
                <w:sz w:val="20"/>
                <w:szCs w:val="20"/>
                <w:lang w:eastAsia="es-CR"/>
              </w:rPr>
              <w:t>: R2202</w:t>
            </w:r>
          </w:p>
        </w:tc>
      </w:tr>
    </w:tbl>
    <w:p w14:paraId="2947FDE8" w14:textId="0F86BF26" w:rsidR="00D63BF2" w:rsidRDefault="00D63BF2" w:rsidP="00542DD6">
      <w:pPr>
        <w:spacing w:before="240"/>
        <w:ind w:firstLine="708"/>
        <w:rPr>
          <w:rFonts w:eastAsia="Times New Roman" w:cs="Times New Roman"/>
          <w:bCs/>
          <w:color w:val="000000"/>
          <w:szCs w:val="24"/>
          <w:lang w:eastAsia="es-CR"/>
        </w:rPr>
      </w:pPr>
      <w:r w:rsidRPr="00974476">
        <w:rPr>
          <w:rFonts w:eastAsia="Times New Roman" w:cs="Times New Roman"/>
          <w:bCs/>
          <w:color w:val="000000"/>
          <w:szCs w:val="24"/>
          <w:lang w:eastAsia="es-CR"/>
        </w:rPr>
        <w:t>Luego de filtrar los CGB, se seleccionaron sus genes medulares y se descargó su secuencia nucleotídica</w:t>
      </w:r>
      <w:r w:rsidR="006D469C">
        <w:rPr>
          <w:rFonts w:eastAsia="Times New Roman" w:cs="Times New Roman"/>
          <w:bCs/>
          <w:color w:val="000000"/>
          <w:szCs w:val="24"/>
          <w:lang w:eastAsia="es-CR"/>
        </w:rPr>
        <w:t xml:space="preserve"> para</w:t>
      </w:r>
      <w:r w:rsidRPr="00974476">
        <w:rPr>
          <w:rFonts w:eastAsia="Times New Roman" w:cs="Times New Roman"/>
          <w:bCs/>
          <w:color w:val="000000"/>
          <w:szCs w:val="24"/>
          <w:lang w:eastAsia="es-CR"/>
        </w:rPr>
        <w:t xml:space="preserve"> compararlas entre sí </w:t>
      </w:r>
      <w:r w:rsidR="006D469C">
        <w:rPr>
          <w:rFonts w:eastAsia="Times New Roman" w:cs="Times New Roman"/>
          <w:bCs/>
          <w:color w:val="000000"/>
          <w:szCs w:val="24"/>
          <w:lang w:eastAsia="es-CR"/>
        </w:rPr>
        <w:t>con</w:t>
      </w:r>
      <w:r w:rsidRPr="00974476">
        <w:rPr>
          <w:rFonts w:eastAsia="Times New Roman" w:cs="Times New Roman"/>
          <w:bCs/>
          <w:color w:val="000000"/>
          <w:szCs w:val="24"/>
          <w:lang w:eastAsia="es-CR"/>
        </w:rPr>
        <w:t xml:space="preserve"> el cálculo de sus distancias genéticas. Para ello, </w:t>
      </w:r>
      <w:r w:rsidR="006D469C">
        <w:rPr>
          <w:rFonts w:eastAsia="Times New Roman" w:cs="Times New Roman"/>
          <w:bCs/>
          <w:color w:val="000000"/>
          <w:szCs w:val="24"/>
          <w:lang w:eastAsia="es-CR"/>
        </w:rPr>
        <w:t xml:space="preserve">en el </w:t>
      </w:r>
      <w:r w:rsidRPr="00974476">
        <w:rPr>
          <w:rFonts w:eastAsia="Times New Roman" w:cs="Times New Roman"/>
          <w:bCs/>
          <w:color w:val="000000"/>
          <w:szCs w:val="24"/>
          <w:lang w:eastAsia="es-CR"/>
        </w:rPr>
        <w:t>programa MEGA X v 10.1.6 se realizó un alineamiento con parámetros por defecto de CLUSTALW y se calcularon las distancias genéticas, también con parámetros por</w:t>
      </w:r>
      <w:r w:rsidR="006D469C">
        <w:rPr>
          <w:rFonts w:eastAsia="Times New Roman" w:cs="Times New Roman"/>
          <w:bCs/>
          <w:color w:val="000000"/>
          <w:szCs w:val="24"/>
          <w:lang w:eastAsia="es-CR"/>
        </w:rPr>
        <w:t xml:space="preserve"> defecto.</w:t>
      </w:r>
      <w:r w:rsidRPr="00974476">
        <w:rPr>
          <w:rFonts w:eastAsia="Times New Roman" w:cs="Times New Roman"/>
          <w:bCs/>
          <w:color w:val="000000"/>
          <w:szCs w:val="24"/>
          <w:lang w:eastAsia="es-CR"/>
        </w:rPr>
        <w:t xml:space="preserve"> Para la visualización de las distancias genéticas se realizó un mapa de calor mediante el uso del software</w:t>
      </w:r>
      <w:r>
        <w:rPr>
          <w:rFonts w:eastAsia="Times New Roman" w:cs="Times New Roman"/>
          <w:bCs/>
          <w:color w:val="000000"/>
          <w:szCs w:val="24"/>
          <w:lang w:eastAsia="es-CR"/>
        </w:rPr>
        <w:t xml:space="preserve"> R</w:t>
      </w:r>
      <w:r w:rsidRPr="00974476">
        <w:rPr>
          <w:rFonts w:eastAsia="Times New Roman" w:cs="Times New Roman"/>
          <w:bCs/>
          <w:color w:val="000000"/>
          <w:szCs w:val="24"/>
          <w:lang w:eastAsia="es-CR"/>
        </w:rPr>
        <w:t xml:space="preserve"> </w:t>
      </w:r>
      <w:r>
        <w:rPr>
          <w:rFonts w:eastAsia="Times New Roman" w:cs="Times New Roman"/>
          <w:bCs/>
          <w:color w:val="000000"/>
          <w:szCs w:val="24"/>
          <w:lang w:eastAsia="es-CR"/>
        </w:rPr>
        <w:t xml:space="preserve">v. 4.2.1 </w:t>
      </w:r>
      <w:r w:rsidRPr="00974476">
        <w:rPr>
          <w:rFonts w:eastAsia="Times New Roman" w:cs="Times New Roman"/>
          <w:bCs/>
          <w:color w:val="000000"/>
          <w:szCs w:val="24"/>
          <w:lang w:eastAsia="es-CR"/>
        </w:rPr>
        <w:t>y el paquete ggplot2</w:t>
      </w:r>
      <w:r>
        <w:rPr>
          <w:rFonts w:eastAsia="Times New Roman" w:cs="Times New Roman"/>
          <w:bCs/>
          <w:color w:val="000000"/>
          <w:szCs w:val="24"/>
          <w:lang w:eastAsia="es-CR"/>
        </w:rPr>
        <w:t>.</w:t>
      </w:r>
    </w:p>
    <w:p w14:paraId="15E4871E" w14:textId="77777777" w:rsidR="00054497" w:rsidRDefault="00054497" w:rsidP="00974476">
      <w:pPr>
        <w:spacing w:after="0"/>
        <w:ind w:firstLine="708"/>
        <w:rPr>
          <w:rFonts w:eastAsia="Times New Roman" w:cs="Times New Roman"/>
          <w:bCs/>
          <w:color w:val="000000"/>
          <w:szCs w:val="24"/>
          <w:lang w:eastAsia="es-CR"/>
        </w:rPr>
      </w:pPr>
    </w:p>
    <w:p w14:paraId="49E9D8B2" w14:textId="2DD0B3AA" w:rsidR="00833A07" w:rsidRDefault="00DC6E9A" w:rsidP="00527D97">
      <w:pPr>
        <w:pStyle w:val="Titulo10"/>
        <w:numPr>
          <w:ilvl w:val="0"/>
          <w:numId w:val="19"/>
        </w:numPr>
        <w:spacing w:before="0"/>
        <w:rPr>
          <w:lang w:eastAsia="es-CR"/>
        </w:rPr>
      </w:pPr>
      <w:bookmarkStart w:id="94" w:name="_Toc24018782"/>
      <w:bookmarkStart w:id="95" w:name="_Toc140204079"/>
      <w:bookmarkEnd w:id="90"/>
      <w:r>
        <w:rPr>
          <w:lang w:eastAsia="es-CR"/>
        </w:rPr>
        <w:t>Resultados</w:t>
      </w:r>
      <w:bookmarkEnd w:id="94"/>
      <w:bookmarkEnd w:id="95"/>
    </w:p>
    <w:p w14:paraId="5B8741D0" w14:textId="77777777" w:rsidR="006D469C" w:rsidRDefault="006D469C" w:rsidP="006D469C">
      <w:pPr>
        <w:pStyle w:val="Titulo10"/>
        <w:spacing w:before="0"/>
        <w:ind w:left="360"/>
        <w:jc w:val="both"/>
        <w:rPr>
          <w:lang w:eastAsia="es-CR"/>
        </w:rPr>
      </w:pPr>
    </w:p>
    <w:p w14:paraId="2FBB862C" w14:textId="27FF8ADB" w:rsidR="004118A3" w:rsidRDefault="00FC6E88" w:rsidP="00D82BAA">
      <w:pPr>
        <w:pStyle w:val="Titulo20"/>
        <w:spacing w:after="0"/>
        <w:ind w:left="720"/>
        <w:rPr>
          <w:lang w:eastAsia="es-CR"/>
        </w:rPr>
      </w:pPr>
      <w:bookmarkStart w:id="96" w:name="_Toc140204080"/>
      <w:bookmarkStart w:id="97" w:name="_Toc24018783"/>
      <w:r>
        <w:rPr>
          <w:lang w:eastAsia="es-CR"/>
        </w:rPr>
        <w:t>4.1</w:t>
      </w:r>
      <w:r w:rsidR="00B91E3F">
        <w:rPr>
          <w:lang w:eastAsia="es-CR"/>
        </w:rPr>
        <w:t xml:space="preserve"> </w:t>
      </w:r>
      <w:r w:rsidR="00DC6E9A" w:rsidRPr="00026265">
        <w:rPr>
          <w:lang w:eastAsia="es-CR"/>
        </w:rPr>
        <w:t>Aislamiento</w:t>
      </w:r>
      <w:bookmarkEnd w:id="96"/>
      <w:r w:rsidR="00DC6E9A">
        <w:rPr>
          <w:lang w:eastAsia="es-CR"/>
        </w:rPr>
        <w:t xml:space="preserve"> </w:t>
      </w:r>
      <w:bookmarkEnd w:id="97"/>
    </w:p>
    <w:p w14:paraId="65247169" w14:textId="074F08C0" w:rsidR="00FD00A6" w:rsidRDefault="4447C96C" w:rsidP="4447C96C">
      <w:pPr>
        <w:spacing w:after="0"/>
        <w:ind w:firstLine="708"/>
        <w:rPr>
          <w:rFonts w:eastAsia="Times New Roman" w:cs="Times New Roman"/>
          <w:color w:val="000000"/>
          <w:lang w:eastAsia="es-CR"/>
        </w:rPr>
      </w:pPr>
      <w:r w:rsidRPr="4447C96C">
        <w:rPr>
          <w:rFonts w:eastAsia="Times New Roman" w:cs="Times New Roman"/>
          <w:color w:val="000000" w:themeColor="text1"/>
          <w:lang w:eastAsia="es-CR"/>
        </w:rPr>
        <w:t xml:space="preserve">Se aislaron 21 cepas de hongos marinos filamentosos de los sedimentos del manglar de Puntarenas, Costa Rica, (8 cepas de sedimentos arenosos y 13 cepas, de sedimentos fangosos). Los aislamientos mostraron gran diversidad morfológica y diferentes características de crecimiento Cuadro </w:t>
      </w:r>
      <w:r w:rsidR="000043C5">
        <w:rPr>
          <w:rFonts w:eastAsia="Times New Roman" w:cs="Times New Roman"/>
          <w:color w:val="000000" w:themeColor="text1"/>
          <w:lang w:eastAsia="es-CR"/>
        </w:rPr>
        <w:t>4</w:t>
      </w:r>
      <w:r w:rsidRPr="4447C96C">
        <w:rPr>
          <w:rFonts w:eastAsia="Times New Roman" w:cs="Times New Roman"/>
          <w:color w:val="000000" w:themeColor="text1"/>
          <w:lang w:eastAsia="es-CR"/>
        </w:rPr>
        <w:t xml:space="preserve"> y Figura 4. Únicamente, 11 cepas produjeron estructuras microscópicas de identificación morfológica como </w:t>
      </w:r>
      <w:r w:rsidR="0050641C">
        <w:rPr>
          <w:rFonts w:eastAsia="Times New Roman" w:cs="Times New Roman"/>
          <w:color w:val="000000" w:themeColor="text1"/>
          <w:lang w:eastAsia="es-CR"/>
        </w:rPr>
        <w:t>esporas</w:t>
      </w:r>
      <w:r w:rsidRPr="4447C96C">
        <w:rPr>
          <w:rFonts w:eastAsia="Times New Roman" w:cs="Times New Roman"/>
          <w:color w:val="000000" w:themeColor="text1"/>
          <w:lang w:eastAsia="es-CR"/>
        </w:rPr>
        <w:t>, conidióforos o cleistotecios (Figura 5). Para las demás cepas, no se lograron detallar características que permitieran su identificación (Anexo 1-4).</w:t>
      </w:r>
    </w:p>
    <w:p w14:paraId="28B8FE51" w14:textId="77777777" w:rsidR="00B92967" w:rsidRDefault="00B92967" w:rsidP="00B92967">
      <w:pPr>
        <w:spacing w:after="0"/>
        <w:ind w:firstLine="708"/>
        <w:rPr>
          <w:rFonts w:eastAsia="Times New Roman" w:cs="Times New Roman"/>
          <w:bCs/>
          <w:color w:val="000000"/>
          <w:szCs w:val="24"/>
          <w:lang w:eastAsia="es-CR"/>
        </w:rPr>
      </w:pPr>
    </w:p>
    <w:p w14:paraId="70E5EF03" w14:textId="71C5DEEA" w:rsidR="00733977" w:rsidRDefault="00733977" w:rsidP="00D82BAA">
      <w:pPr>
        <w:pStyle w:val="Titulo20"/>
        <w:spacing w:before="0" w:after="0"/>
        <w:ind w:left="720"/>
        <w:rPr>
          <w:rFonts w:eastAsia="Times New Roman"/>
          <w:lang w:eastAsia="es-CR"/>
        </w:rPr>
      </w:pPr>
      <w:bookmarkStart w:id="98" w:name="_Toc140204081"/>
      <w:bookmarkStart w:id="99" w:name="_Toc24043257"/>
      <w:bookmarkStart w:id="100" w:name="_Toc24045904"/>
      <w:bookmarkStart w:id="101" w:name="_Toc24045957"/>
      <w:bookmarkStart w:id="102" w:name="_Toc24060347"/>
      <w:r>
        <w:rPr>
          <w:rFonts w:eastAsia="Times New Roman"/>
          <w:lang w:eastAsia="es-CR"/>
        </w:rPr>
        <w:t>4.2 Selección preliminar</w:t>
      </w:r>
      <w:bookmarkEnd w:id="98"/>
      <w:r>
        <w:rPr>
          <w:rFonts w:eastAsia="Times New Roman"/>
          <w:lang w:eastAsia="es-CR"/>
        </w:rPr>
        <w:t xml:space="preserve"> </w:t>
      </w:r>
      <w:r w:rsidR="008246E3">
        <w:rPr>
          <w:rFonts w:eastAsia="Times New Roman"/>
          <w:lang w:eastAsia="es-CR"/>
        </w:rPr>
        <w:t>de los hongos</w:t>
      </w:r>
    </w:p>
    <w:p w14:paraId="400F31FD" w14:textId="4D3E4AE4" w:rsidR="00733977" w:rsidRDefault="00733977" w:rsidP="00D82BAA">
      <w:pPr>
        <w:ind w:firstLine="708"/>
        <w:rPr>
          <w:rFonts w:eastAsia="Times New Roman" w:cs="Times New Roman"/>
          <w:bCs/>
          <w:color w:val="000000"/>
          <w:szCs w:val="24"/>
          <w:lang w:eastAsia="es-CR"/>
        </w:rPr>
      </w:pPr>
      <w:r>
        <w:rPr>
          <w:rFonts w:eastAsia="Times New Roman" w:cs="Times New Roman"/>
          <w:bCs/>
          <w:color w:val="000000"/>
          <w:szCs w:val="24"/>
          <w:lang w:eastAsia="es-CR"/>
        </w:rPr>
        <w:t>L</w:t>
      </w:r>
      <w:r w:rsidRPr="00C334AA">
        <w:rPr>
          <w:rFonts w:eastAsia="Times New Roman" w:cs="Times New Roman"/>
          <w:bCs/>
          <w:color w:val="000000"/>
          <w:szCs w:val="24"/>
          <w:lang w:eastAsia="es-CR"/>
        </w:rPr>
        <w:t xml:space="preserve">a metodología utilizada </w:t>
      </w:r>
      <w:r>
        <w:rPr>
          <w:rFonts w:eastAsia="Times New Roman" w:cs="Times New Roman"/>
          <w:bCs/>
          <w:color w:val="000000"/>
          <w:szCs w:val="24"/>
          <w:lang w:eastAsia="es-CR"/>
        </w:rPr>
        <w:t xml:space="preserve">permitió </w:t>
      </w:r>
      <w:r w:rsidR="00CE2992">
        <w:rPr>
          <w:rFonts w:eastAsia="Times New Roman" w:cs="Times New Roman"/>
          <w:bCs/>
          <w:color w:val="000000"/>
          <w:szCs w:val="24"/>
          <w:lang w:eastAsia="es-CR"/>
        </w:rPr>
        <w:t>determinar</w:t>
      </w:r>
      <w:r>
        <w:rPr>
          <w:rFonts w:eastAsia="Times New Roman" w:cs="Times New Roman"/>
          <w:bCs/>
          <w:color w:val="000000"/>
          <w:szCs w:val="24"/>
          <w:lang w:eastAsia="es-CR"/>
        </w:rPr>
        <w:t xml:space="preserve"> actividad </w:t>
      </w:r>
      <w:r w:rsidR="00CE2992">
        <w:rPr>
          <w:rFonts w:eastAsia="Times New Roman" w:cs="Times New Roman"/>
          <w:bCs/>
          <w:color w:val="000000"/>
          <w:szCs w:val="24"/>
          <w:lang w:eastAsia="es-CR"/>
        </w:rPr>
        <w:t xml:space="preserve">antibacteriana en </w:t>
      </w:r>
      <w:r>
        <w:rPr>
          <w:rFonts w:eastAsia="Times New Roman" w:cs="Times New Roman"/>
          <w:bCs/>
          <w:color w:val="000000"/>
          <w:szCs w:val="24"/>
          <w:lang w:eastAsia="es-CR"/>
        </w:rPr>
        <w:t xml:space="preserve">5 </w:t>
      </w:r>
      <w:r w:rsidR="00CE2992">
        <w:rPr>
          <w:rFonts w:eastAsia="Times New Roman" w:cs="Times New Roman"/>
          <w:bCs/>
          <w:color w:val="000000"/>
          <w:szCs w:val="24"/>
          <w:lang w:eastAsia="es-CR"/>
        </w:rPr>
        <w:t xml:space="preserve">de las </w:t>
      </w:r>
      <w:r>
        <w:rPr>
          <w:rFonts w:eastAsia="Times New Roman" w:cs="Times New Roman"/>
          <w:bCs/>
          <w:color w:val="000000"/>
          <w:szCs w:val="24"/>
          <w:lang w:eastAsia="es-CR"/>
        </w:rPr>
        <w:t>cepas de</w:t>
      </w:r>
      <w:r w:rsidR="00CE2992">
        <w:rPr>
          <w:rFonts w:eastAsia="Times New Roman" w:cs="Times New Roman"/>
          <w:bCs/>
          <w:color w:val="000000"/>
          <w:szCs w:val="24"/>
          <w:lang w:eastAsia="es-CR"/>
        </w:rPr>
        <w:t xml:space="preserve"> los</w:t>
      </w:r>
      <w:r>
        <w:rPr>
          <w:rFonts w:eastAsia="Times New Roman" w:cs="Times New Roman"/>
          <w:bCs/>
          <w:color w:val="000000"/>
          <w:szCs w:val="24"/>
          <w:lang w:eastAsia="es-CR"/>
        </w:rPr>
        <w:t xml:space="preserve"> hongos marinos</w:t>
      </w:r>
      <w:r w:rsidR="00CE2992">
        <w:rPr>
          <w:rFonts w:eastAsia="Times New Roman" w:cs="Times New Roman"/>
          <w:bCs/>
          <w:color w:val="000000"/>
          <w:szCs w:val="24"/>
          <w:lang w:eastAsia="es-CR"/>
        </w:rPr>
        <w:t xml:space="preserve"> aislados</w:t>
      </w:r>
      <w:r w:rsidR="00AD7F31">
        <w:rPr>
          <w:rFonts w:eastAsia="Times New Roman" w:cs="Times New Roman"/>
          <w:bCs/>
          <w:color w:val="000000"/>
          <w:szCs w:val="24"/>
          <w:lang w:eastAsia="es-CR"/>
        </w:rPr>
        <w:t>: A 1.2, A 4.1, B 3.2, B. 6.1, B 6.2</w:t>
      </w:r>
      <w:r>
        <w:rPr>
          <w:rFonts w:eastAsia="Times New Roman" w:cs="Times New Roman"/>
          <w:bCs/>
          <w:color w:val="000000"/>
          <w:szCs w:val="24"/>
          <w:lang w:eastAsia="es-CR"/>
        </w:rPr>
        <w:t xml:space="preserve">, las cuales inhibieron completamente o disminuyeron el crecimiento de al menos una de las bacterias </w:t>
      </w:r>
      <w:r w:rsidR="00CE2992">
        <w:rPr>
          <w:rFonts w:eastAsia="Times New Roman" w:cs="Times New Roman"/>
          <w:bCs/>
          <w:color w:val="000000"/>
          <w:szCs w:val="24"/>
          <w:lang w:eastAsia="es-CR"/>
        </w:rPr>
        <w:t xml:space="preserve">ESKAPE </w:t>
      </w:r>
      <w:r>
        <w:rPr>
          <w:rFonts w:eastAsia="Times New Roman" w:cs="Times New Roman"/>
          <w:bCs/>
          <w:color w:val="000000"/>
          <w:szCs w:val="24"/>
          <w:lang w:eastAsia="es-CR"/>
        </w:rPr>
        <w:t xml:space="preserve">utilizadas.  Las restantes cepas fúngicas no produjeron inhibición en el crecimiento bacteriano o su actividad no pudo ser determinada debido a que </w:t>
      </w:r>
      <w:r w:rsidRPr="00C334AA">
        <w:rPr>
          <w:rFonts w:eastAsia="Times New Roman" w:cs="Times New Roman"/>
          <w:bCs/>
          <w:color w:val="000000"/>
          <w:szCs w:val="24"/>
          <w:lang w:eastAsia="es-CR"/>
        </w:rPr>
        <w:t xml:space="preserve">no </w:t>
      </w:r>
      <w:r>
        <w:rPr>
          <w:rFonts w:eastAsia="Times New Roman" w:cs="Times New Roman"/>
          <w:bCs/>
          <w:color w:val="000000"/>
          <w:szCs w:val="24"/>
          <w:lang w:eastAsia="es-CR"/>
        </w:rPr>
        <w:t>fueron capaces de crecer</w:t>
      </w:r>
      <w:r w:rsidRPr="00C334AA">
        <w:rPr>
          <w:rFonts w:eastAsia="Times New Roman" w:cs="Times New Roman"/>
          <w:bCs/>
          <w:color w:val="000000"/>
          <w:szCs w:val="24"/>
          <w:lang w:eastAsia="es-CR"/>
        </w:rPr>
        <w:t xml:space="preserve"> en el medio de cultivo Mueller Hinton</w:t>
      </w:r>
      <w:r>
        <w:rPr>
          <w:rFonts w:eastAsia="Times New Roman" w:cs="Times New Roman"/>
          <w:bCs/>
          <w:color w:val="000000"/>
          <w:szCs w:val="24"/>
          <w:lang w:eastAsia="es-CR"/>
        </w:rPr>
        <w:t xml:space="preserve"> o su crecimiento fue inhibido por las bacterias utilizadas en el ensayo.</w:t>
      </w:r>
    </w:p>
    <w:p w14:paraId="33DECB09" w14:textId="6A5C0963" w:rsidR="00BB6573" w:rsidRPr="00BB35FD" w:rsidRDefault="00BB6573" w:rsidP="009D2A51">
      <w:pPr>
        <w:ind w:firstLine="708"/>
        <w:rPr>
          <w:rFonts w:eastAsia="Times New Roman" w:cs="Times New Roman"/>
          <w:bCs/>
          <w:color w:val="000000"/>
          <w:szCs w:val="24"/>
          <w:lang w:eastAsia="es-CR"/>
        </w:rPr>
        <w:sectPr w:rsidR="00BB6573" w:rsidRPr="00BB35FD" w:rsidSect="009934E6">
          <w:pgSz w:w="12240" w:h="15840"/>
          <w:pgMar w:top="993" w:right="1440" w:bottom="1440" w:left="1440" w:header="709" w:footer="709" w:gutter="0"/>
          <w:pgNumType w:start="1"/>
          <w:cols w:space="708"/>
          <w:docGrid w:linePitch="360"/>
        </w:sectPr>
      </w:pPr>
    </w:p>
    <w:p w14:paraId="436FD22C" w14:textId="4849FD57" w:rsidR="00C05C3A" w:rsidRPr="00365D8E" w:rsidRDefault="00336027" w:rsidP="00A00711">
      <w:pPr>
        <w:pStyle w:val="Descripcin"/>
        <w:ind w:right="284" w:hanging="567"/>
        <w:rPr>
          <w:rFonts w:eastAsia="Times New Roman" w:cs="Times New Roman"/>
          <w:bCs/>
          <w:i w:val="0"/>
          <w:iCs w:val="0"/>
          <w:color w:val="000000"/>
          <w:sz w:val="22"/>
          <w:szCs w:val="22"/>
          <w:lang w:eastAsia="es-CR"/>
        </w:rPr>
      </w:pPr>
      <w:bookmarkStart w:id="103" w:name="_Toc138593432"/>
      <w:bookmarkEnd w:id="99"/>
      <w:bookmarkEnd w:id="100"/>
      <w:bookmarkEnd w:id="101"/>
      <w:bookmarkEnd w:id="102"/>
      <w:r w:rsidRPr="00A00711">
        <w:rPr>
          <w:b/>
          <w:bCs/>
          <w:i w:val="0"/>
          <w:iCs w:val="0"/>
          <w:color w:val="auto"/>
          <w:sz w:val="20"/>
          <w:szCs w:val="20"/>
        </w:rPr>
        <w:lastRenderedPageBreak/>
        <w:t xml:space="preserve">Cuadro </w:t>
      </w:r>
      <w:r w:rsidRPr="00A00711">
        <w:rPr>
          <w:b/>
          <w:bCs/>
          <w:i w:val="0"/>
          <w:iCs w:val="0"/>
          <w:color w:val="auto"/>
          <w:sz w:val="20"/>
          <w:szCs w:val="20"/>
        </w:rPr>
        <w:fldChar w:fldCharType="begin"/>
      </w:r>
      <w:r w:rsidRPr="00A00711">
        <w:rPr>
          <w:b/>
          <w:bCs/>
          <w:i w:val="0"/>
          <w:iCs w:val="0"/>
          <w:color w:val="auto"/>
          <w:sz w:val="20"/>
          <w:szCs w:val="20"/>
        </w:rPr>
        <w:instrText xml:space="preserve"> SEQ Cuadro \* ARABIC </w:instrText>
      </w:r>
      <w:r w:rsidRPr="00A00711">
        <w:rPr>
          <w:b/>
          <w:bCs/>
          <w:i w:val="0"/>
          <w:iCs w:val="0"/>
          <w:color w:val="auto"/>
          <w:sz w:val="20"/>
          <w:szCs w:val="20"/>
        </w:rPr>
        <w:fldChar w:fldCharType="separate"/>
      </w:r>
      <w:r w:rsidRPr="00A00711">
        <w:rPr>
          <w:b/>
          <w:bCs/>
          <w:i w:val="0"/>
          <w:iCs w:val="0"/>
          <w:noProof/>
          <w:color w:val="auto"/>
          <w:sz w:val="20"/>
          <w:szCs w:val="20"/>
        </w:rPr>
        <w:t>4</w:t>
      </w:r>
      <w:r w:rsidRPr="00A00711">
        <w:rPr>
          <w:b/>
          <w:bCs/>
          <w:i w:val="0"/>
          <w:iCs w:val="0"/>
          <w:color w:val="auto"/>
          <w:sz w:val="20"/>
          <w:szCs w:val="20"/>
        </w:rPr>
        <w:fldChar w:fldCharType="end"/>
      </w:r>
      <w:r w:rsidR="002E2FA1" w:rsidRPr="00A00711">
        <w:rPr>
          <w:b/>
          <w:bCs/>
          <w:i w:val="0"/>
          <w:iCs w:val="0"/>
          <w:color w:val="auto"/>
          <w:sz w:val="20"/>
          <w:szCs w:val="20"/>
        </w:rPr>
        <w:t>.</w:t>
      </w:r>
      <w:r w:rsidR="002E2FA1" w:rsidRPr="00A00711">
        <w:rPr>
          <w:color w:val="auto"/>
          <w:sz w:val="20"/>
          <w:szCs w:val="20"/>
        </w:rPr>
        <w:t xml:space="preserve">  </w:t>
      </w:r>
      <w:r w:rsidR="00843F8C" w:rsidRPr="00A00711">
        <w:rPr>
          <w:rFonts w:cs="Times New Roman"/>
          <w:i w:val="0"/>
          <w:iCs w:val="0"/>
          <w:color w:val="000000" w:themeColor="text1"/>
          <w:sz w:val="20"/>
          <w:szCs w:val="20"/>
        </w:rPr>
        <w:t>Descripción y c</w:t>
      </w:r>
      <w:r w:rsidR="00110C01" w:rsidRPr="00A00711">
        <w:rPr>
          <w:rFonts w:cs="Times New Roman"/>
          <w:i w:val="0"/>
          <w:iCs w:val="0"/>
          <w:color w:val="000000" w:themeColor="text1"/>
          <w:sz w:val="20"/>
          <w:szCs w:val="20"/>
        </w:rPr>
        <w:t xml:space="preserve">aracterización morfológica </w:t>
      </w:r>
      <w:r w:rsidR="002E0C55" w:rsidRPr="00A00711">
        <w:rPr>
          <w:rFonts w:cs="Times New Roman"/>
          <w:i w:val="0"/>
          <w:iCs w:val="0"/>
          <w:color w:val="000000" w:themeColor="text1"/>
          <w:sz w:val="20"/>
          <w:szCs w:val="20"/>
        </w:rPr>
        <w:t>macro y microscópica</w:t>
      </w:r>
      <w:r w:rsidR="00843F8C" w:rsidRPr="00A00711">
        <w:rPr>
          <w:rFonts w:cs="Times New Roman"/>
          <w:i w:val="0"/>
          <w:iCs w:val="0"/>
          <w:color w:val="000000" w:themeColor="text1"/>
          <w:sz w:val="20"/>
          <w:szCs w:val="20"/>
        </w:rPr>
        <w:t xml:space="preserve"> </w:t>
      </w:r>
      <w:r w:rsidR="00110C01" w:rsidRPr="00A00711">
        <w:rPr>
          <w:rFonts w:cs="Times New Roman"/>
          <w:i w:val="0"/>
          <w:iCs w:val="0"/>
          <w:color w:val="000000" w:themeColor="text1"/>
          <w:sz w:val="20"/>
          <w:szCs w:val="20"/>
        </w:rPr>
        <w:t xml:space="preserve">de </w:t>
      </w:r>
      <w:r w:rsidR="001E6FDC" w:rsidRPr="00A00711">
        <w:rPr>
          <w:rFonts w:cs="Times New Roman"/>
          <w:i w:val="0"/>
          <w:iCs w:val="0"/>
          <w:color w:val="000000" w:themeColor="text1"/>
          <w:sz w:val="20"/>
          <w:szCs w:val="20"/>
        </w:rPr>
        <w:t>cepas</w:t>
      </w:r>
      <w:r w:rsidR="00110C01" w:rsidRPr="00A00711">
        <w:rPr>
          <w:rFonts w:eastAsia="Times New Roman" w:cs="Times New Roman"/>
          <w:bCs/>
          <w:i w:val="0"/>
          <w:iCs w:val="0"/>
          <w:color w:val="000000"/>
          <w:sz w:val="20"/>
          <w:szCs w:val="20"/>
          <w:lang w:eastAsia="es-CR"/>
        </w:rPr>
        <w:t xml:space="preserve"> de hongos marinos </w:t>
      </w:r>
      <w:r w:rsidR="00843F8C" w:rsidRPr="00A00711">
        <w:rPr>
          <w:rFonts w:eastAsia="Times New Roman" w:cs="Times New Roman"/>
          <w:bCs/>
          <w:i w:val="0"/>
          <w:iCs w:val="0"/>
          <w:color w:val="000000"/>
          <w:sz w:val="20"/>
          <w:szCs w:val="20"/>
          <w:lang w:eastAsia="es-CR"/>
        </w:rPr>
        <w:t>aislados</w:t>
      </w:r>
      <w:r w:rsidR="00110C01" w:rsidRPr="00A00711">
        <w:rPr>
          <w:rFonts w:eastAsia="Times New Roman" w:cs="Times New Roman"/>
          <w:bCs/>
          <w:i w:val="0"/>
          <w:iCs w:val="0"/>
          <w:color w:val="000000"/>
          <w:sz w:val="20"/>
          <w:szCs w:val="20"/>
          <w:lang w:eastAsia="es-CR"/>
        </w:rPr>
        <w:t xml:space="preserve"> de sedimentos arenosos y fangosos del manglar de Puntarenas, Costa Rica</w:t>
      </w:r>
      <w:r w:rsidR="00110C01" w:rsidRPr="00365D8E">
        <w:rPr>
          <w:rFonts w:eastAsia="Times New Roman" w:cs="Times New Roman"/>
          <w:bCs/>
          <w:i w:val="0"/>
          <w:iCs w:val="0"/>
          <w:color w:val="000000"/>
          <w:sz w:val="22"/>
          <w:szCs w:val="22"/>
          <w:lang w:eastAsia="es-CR"/>
        </w:rPr>
        <w:t>.</w:t>
      </w:r>
      <w:bookmarkEnd w:id="103"/>
    </w:p>
    <w:tbl>
      <w:tblPr>
        <w:tblStyle w:val="Tablanormal2"/>
        <w:tblW w:w="14601" w:type="dxa"/>
        <w:tblInd w:w="-709" w:type="dxa"/>
        <w:tblLook w:val="06A0" w:firstRow="1" w:lastRow="0" w:firstColumn="1" w:lastColumn="0" w:noHBand="1" w:noVBand="1"/>
      </w:tblPr>
      <w:tblGrid>
        <w:gridCol w:w="748"/>
        <w:gridCol w:w="1072"/>
        <w:gridCol w:w="12781"/>
      </w:tblGrid>
      <w:tr w:rsidR="00F83F24" w:rsidRPr="003E57F1" w14:paraId="2AD90E77" w14:textId="1940E9AD" w:rsidTr="4447C96C">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48" w:type="dxa"/>
            <w:tcBorders>
              <w:top w:val="single" w:sz="12" w:space="0" w:color="000000" w:themeColor="text1"/>
              <w:bottom w:val="single" w:sz="12" w:space="0" w:color="000000" w:themeColor="text1"/>
            </w:tcBorders>
            <w:vAlign w:val="center"/>
            <w:hideMark/>
          </w:tcPr>
          <w:p w14:paraId="0942654B"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Cepa</w:t>
            </w:r>
          </w:p>
        </w:tc>
        <w:tc>
          <w:tcPr>
            <w:tcW w:w="1072" w:type="dxa"/>
            <w:tcBorders>
              <w:top w:val="single" w:sz="12" w:space="0" w:color="000000" w:themeColor="text1"/>
              <w:bottom w:val="single" w:sz="12" w:space="0" w:color="000000" w:themeColor="text1"/>
            </w:tcBorders>
            <w:vAlign w:val="center"/>
            <w:hideMark/>
          </w:tcPr>
          <w:p w14:paraId="5334B5A7" w14:textId="77777777" w:rsidR="00F83F24" w:rsidRPr="00EE0C91" w:rsidRDefault="00F83F24" w:rsidP="000C449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Tipo de muestra</w:t>
            </w:r>
          </w:p>
        </w:tc>
        <w:tc>
          <w:tcPr>
            <w:tcW w:w="12781" w:type="dxa"/>
            <w:tcBorders>
              <w:top w:val="single" w:sz="12" w:space="0" w:color="000000" w:themeColor="text1"/>
              <w:bottom w:val="single" w:sz="12" w:space="0" w:color="000000" w:themeColor="text1"/>
            </w:tcBorders>
            <w:vAlign w:val="center"/>
            <w:hideMark/>
          </w:tcPr>
          <w:p w14:paraId="60BE230B" w14:textId="66C7380C" w:rsidR="00F83F24" w:rsidRPr="00EE0C91" w:rsidRDefault="00F83F24" w:rsidP="000C449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 w:val="20"/>
                <w:szCs w:val="20"/>
                <w:lang w:eastAsia="es-CR"/>
              </w:rPr>
            </w:pPr>
            <w:r w:rsidRPr="00EE0C91">
              <w:rPr>
                <w:rFonts w:eastAsia="Times New Roman" w:cs="Times New Roman"/>
                <w:sz w:val="20"/>
                <w:szCs w:val="20"/>
                <w:lang w:eastAsia="es-CR"/>
              </w:rPr>
              <w:t>Descripción morfológica de las cepas crecidas en medio PDA</w:t>
            </w:r>
          </w:p>
        </w:tc>
      </w:tr>
      <w:tr w:rsidR="00F83F24" w:rsidRPr="003E57F1" w14:paraId="67B673E0" w14:textId="4CDFDBAD" w:rsidTr="4447C96C">
        <w:trPr>
          <w:trHeight w:val="850"/>
        </w:trPr>
        <w:tc>
          <w:tcPr>
            <w:cnfStyle w:val="001000000000" w:firstRow="0" w:lastRow="0" w:firstColumn="1" w:lastColumn="0" w:oddVBand="0" w:evenVBand="0" w:oddHBand="0" w:evenHBand="0" w:firstRowFirstColumn="0" w:firstRowLastColumn="0" w:lastRowFirstColumn="0" w:lastRowLastColumn="0"/>
            <w:tcW w:w="748" w:type="dxa"/>
            <w:tcBorders>
              <w:top w:val="single" w:sz="12" w:space="0" w:color="000000" w:themeColor="text1"/>
              <w:bottom w:val="nil"/>
            </w:tcBorders>
            <w:vAlign w:val="center"/>
            <w:hideMark/>
          </w:tcPr>
          <w:p w14:paraId="640CAC44"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1.1</w:t>
            </w:r>
          </w:p>
        </w:tc>
        <w:tc>
          <w:tcPr>
            <w:tcW w:w="1072" w:type="dxa"/>
            <w:tcBorders>
              <w:top w:val="single" w:sz="12" w:space="0" w:color="000000" w:themeColor="text1"/>
              <w:bottom w:val="nil"/>
            </w:tcBorders>
            <w:vAlign w:val="center"/>
            <w:hideMark/>
          </w:tcPr>
          <w:p w14:paraId="5539A004"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single" w:sz="12" w:space="0" w:color="000000" w:themeColor="text1"/>
              <w:bottom w:val="nil"/>
            </w:tcBorders>
            <w:vAlign w:val="center"/>
            <w:hideMark/>
          </w:tcPr>
          <w:p w14:paraId="468D71D6" w14:textId="18D720DC"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sz w:val="20"/>
                <w:szCs w:val="20"/>
                <w:lang w:eastAsia="es-CR"/>
              </w:rPr>
              <w:t xml:space="preserve">Colonias blancas con forma irregular y borde filiforme. Elevación en forma de umbo con consistencia blanda y textura afelpada. </w:t>
            </w:r>
            <w:r w:rsidR="0050641C">
              <w:rPr>
                <w:rFonts w:eastAsia="Times New Roman" w:cs="Times New Roman"/>
                <w:sz w:val="20"/>
                <w:szCs w:val="20"/>
                <w:lang w:eastAsia="es-CR"/>
              </w:rPr>
              <w:t>Reverso</w:t>
            </w:r>
            <w:r w:rsidRPr="4447C96C">
              <w:rPr>
                <w:rFonts w:eastAsia="Times New Roman" w:cs="Times New Roman"/>
                <w:sz w:val="20"/>
                <w:szCs w:val="20"/>
                <w:lang w:eastAsia="es-CR"/>
              </w:rPr>
              <w:t xml:space="preserve"> amarillento. Desarrollo colonial moderado con producción de conidiomas luego de 30 días de crecimiento. Sin producción de pigmentos solubles y exudados. Hifas hialinas y conidias cilíndricas de aproximadamente 4 µm de largo y 1 µm de ancho (Fig</w:t>
            </w:r>
            <w:r w:rsidR="001D65DD">
              <w:rPr>
                <w:rFonts w:eastAsia="Times New Roman" w:cs="Times New Roman"/>
                <w:sz w:val="20"/>
                <w:szCs w:val="20"/>
                <w:lang w:eastAsia="es-CR"/>
              </w:rPr>
              <w:t>ura</w:t>
            </w:r>
            <w:r w:rsidRPr="4447C96C">
              <w:rPr>
                <w:rFonts w:eastAsia="Times New Roman" w:cs="Times New Roman"/>
                <w:sz w:val="20"/>
                <w:szCs w:val="20"/>
                <w:lang w:eastAsia="es-CR"/>
              </w:rPr>
              <w:t xml:space="preserve"> 5.</w:t>
            </w:r>
            <w:r w:rsidR="000C557F">
              <w:rPr>
                <w:rFonts w:eastAsia="Times New Roman" w:cs="Times New Roman"/>
                <w:sz w:val="20"/>
                <w:szCs w:val="20"/>
                <w:lang w:eastAsia="es-CR"/>
              </w:rPr>
              <w:t>A</w:t>
            </w:r>
            <w:r w:rsidRPr="4447C96C">
              <w:rPr>
                <w:rFonts w:eastAsia="Times New Roman" w:cs="Times New Roman"/>
                <w:sz w:val="20"/>
                <w:szCs w:val="20"/>
                <w:lang w:eastAsia="es-CR"/>
              </w:rPr>
              <w:t>).</w:t>
            </w:r>
          </w:p>
        </w:tc>
      </w:tr>
      <w:tr w:rsidR="00F83F24" w:rsidRPr="003E57F1" w14:paraId="28155DB6" w14:textId="3DB18284" w:rsidTr="000B12CD">
        <w:trPr>
          <w:trHeight w:val="124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5D885055"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1.2</w:t>
            </w:r>
          </w:p>
        </w:tc>
        <w:tc>
          <w:tcPr>
            <w:tcW w:w="1072" w:type="dxa"/>
            <w:tcBorders>
              <w:top w:val="nil"/>
              <w:bottom w:val="nil"/>
            </w:tcBorders>
            <w:vAlign w:val="center"/>
            <w:hideMark/>
          </w:tcPr>
          <w:p w14:paraId="517EC5AA"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hideMark/>
          </w:tcPr>
          <w:p w14:paraId="0389A150" w14:textId="214C4491" w:rsidR="00F83F24" w:rsidRPr="00EE0C91" w:rsidRDefault="4447C96C" w:rsidP="4447C96C">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i/>
                <w:iCs/>
                <w:sz w:val="20"/>
                <w:szCs w:val="20"/>
                <w:lang w:eastAsia="es-CR"/>
              </w:rPr>
            </w:pPr>
            <w:r w:rsidRPr="4447C96C">
              <w:rPr>
                <w:sz w:val="20"/>
                <w:szCs w:val="20"/>
                <w:lang w:eastAsia="es-CR"/>
              </w:rPr>
              <w:t xml:space="preserve">De colonias de forma irregular, con elevación convexa y márgenes ondulados. Micelio aterciopelado y de consistencia algodonosa de color verde y blanco con </w:t>
            </w:r>
            <w:r w:rsidR="0050641C">
              <w:rPr>
                <w:sz w:val="20"/>
                <w:szCs w:val="20"/>
                <w:lang w:eastAsia="es-CR"/>
              </w:rPr>
              <w:t>reverso</w:t>
            </w:r>
            <w:r w:rsidRPr="4447C96C">
              <w:rPr>
                <w:sz w:val="20"/>
                <w:szCs w:val="20"/>
                <w:lang w:eastAsia="es-CR"/>
              </w:rPr>
              <w:t xml:space="preserve"> amarillo. Produce pigmentos solubles. Desarrollo colonial lento y de escasa esporulación (Anexo</w:t>
            </w:r>
            <w:r w:rsidR="006F706B">
              <w:rPr>
                <w:sz w:val="20"/>
                <w:szCs w:val="20"/>
                <w:lang w:eastAsia="es-CR"/>
              </w:rPr>
              <w:t xml:space="preserve"> </w:t>
            </w:r>
            <w:r w:rsidRPr="4447C96C">
              <w:rPr>
                <w:sz w:val="20"/>
                <w:szCs w:val="20"/>
                <w:lang w:eastAsia="es-CR"/>
              </w:rPr>
              <w:t>1</w:t>
            </w:r>
            <w:r w:rsidR="006F706B">
              <w:rPr>
                <w:sz w:val="20"/>
                <w:szCs w:val="20"/>
                <w:lang w:eastAsia="es-CR"/>
              </w:rPr>
              <w:t>.</w:t>
            </w:r>
            <w:r w:rsidR="000C557F">
              <w:rPr>
                <w:sz w:val="20"/>
                <w:szCs w:val="20"/>
                <w:lang w:eastAsia="es-CR"/>
              </w:rPr>
              <w:t>A</w:t>
            </w:r>
            <w:r w:rsidRPr="4447C96C">
              <w:rPr>
                <w:sz w:val="20"/>
                <w:szCs w:val="20"/>
                <w:lang w:eastAsia="es-CR"/>
              </w:rPr>
              <w:t xml:space="preserve">). </w:t>
            </w:r>
            <w:r w:rsidR="007E2BE8">
              <w:rPr>
                <w:sz w:val="20"/>
                <w:szCs w:val="20"/>
                <w:lang w:eastAsia="es-CR"/>
              </w:rPr>
              <w:t>H</w:t>
            </w:r>
            <w:r w:rsidR="000B12CD">
              <w:rPr>
                <w:sz w:val="20"/>
                <w:szCs w:val="20"/>
                <w:lang w:eastAsia="es-CR"/>
              </w:rPr>
              <w:t xml:space="preserve">ifas septadas fuliginosas. </w:t>
            </w:r>
            <w:r w:rsidRPr="4447C96C">
              <w:rPr>
                <w:sz w:val="20"/>
                <w:szCs w:val="20"/>
                <w:lang w:eastAsia="es-CR"/>
              </w:rPr>
              <w:t xml:space="preserve">Conidióforos con simétricamente </w:t>
            </w:r>
            <w:proofErr w:type="spellStart"/>
            <w:r w:rsidRPr="4447C96C">
              <w:rPr>
                <w:sz w:val="20"/>
                <w:szCs w:val="20"/>
                <w:lang w:eastAsia="es-CR"/>
              </w:rPr>
              <w:t>biverticiliados</w:t>
            </w:r>
            <w:proofErr w:type="spellEnd"/>
            <w:r w:rsidRPr="4447C96C">
              <w:rPr>
                <w:sz w:val="20"/>
                <w:szCs w:val="20"/>
                <w:lang w:eastAsia="es-CR"/>
              </w:rPr>
              <w:t xml:space="preserve">, con fiálides ampuliformes y </w:t>
            </w:r>
            <w:r w:rsidR="0050641C">
              <w:rPr>
                <w:sz w:val="20"/>
                <w:szCs w:val="20"/>
                <w:lang w:eastAsia="es-CR"/>
              </w:rPr>
              <w:t>esporas</w:t>
            </w:r>
            <w:r w:rsidRPr="4447C96C">
              <w:rPr>
                <w:sz w:val="20"/>
                <w:szCs w:val="20"/>
                <w:lang w:eastAsia="es-CR"/>
              </w:rPr>
              <w:t xml:space="preserve"> globosos de diámetro de 2 </w:t>
            </w:r>
            <w:r w:rsidRPr="4447C96C">
              <w:rPr>
                <w:rFonts w:cs="Times New Roman"/>
                <w:sz w:val="20"/>
                <w:szCs w:val="20"/>
                <w:lang w:eastAsia="es-CR"/>
              </w:rPr>
              <w:t>µ</w:t>
            </w:r>
            <w:r w:rsidRPr="4447C96C">
              <w:rPr>
                <w:sz w:val="20"/>
                <w:szCs w:val="20"/>
                <w:lang w:eastAsia="es-CR"/>
              </w:rPr>
              <w:t xml:space="preserve">m, similar al conidióforo de los hongos del género </w:t>
            </w:r>
            <w:r w:rsidRPr="4447C96C">
              <w:rPr>
                <w:rFonts w:eastAsia="Times New Roman" w:cs="Times New Roman"/>
                <w:i/>
                <w:iCs/>
                <w:sz w:val="20"/>
                <w:szCs w:val="20"/>
                <w:lang w:eastAsia="es-CR"/>
              </w:rPr>
              <w:t xml:space="preserve">Penicillium </w:t>
            </w:r>
            <w:r w:rsidRPr="4447C96C">
              <w:rPr>
                <w:sz w:val="20"/>
                <w:szCs w:val="20"/>
                <w:lang w:eastAsia="es-CR"/>
              </w:rPr>
              <w:t>(Figura 5.</w:t>
            </w:r>
            <w:r w:rsidR="000C557F">
              <w:rPr>
                <w:sz w:val="20"/>
                <w:szCs w:val="20"/>
                <w:lang w:eastAsia="es-CR"/>
              </w:rPr>
              <w:t>B</w:t>
            </w:r>
            <w:r w:rsidRPr="4447C96C">
              <w:rPr>
                <w:sz w:val="20"/>
                <w:szCs w:val="20"/>
                <w:lang w:eastAsia="es-CR"/>
              </w:rPr>
              <w:t xml:space="preserve">). Las 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Eurotiomycetes y género </w:t>
            </w:r>
            <w:r w:rsidRPr="4447C96C">
              <w:rPr>
                <w:rFonts w:eastAsia="Times New Roman" w:cs="Times New Roman"/>
                <w:i/>
                <w:iCs/>
                <w:sz w:val="20"/>
                <w:szCs w:val="20"/>
                <w:lang w:eastAsia="es-CR"/>
              </w:rPr>
              <w:t>Penicillium sp.</w:t>
            </w:r>
          </w:p>
          <w:p w14:paraId="363C2030" w14:textId="3FA95131" w:rsidR="00371003" w:rsidRPr="00EE0C91" w:rsidRDefault="00371003" w:rsidP="000C449A">
            <w:pPr>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CR"/>
              </w:rPr>
            </w:pPr>
          </w:p>
        </w:tc>
      </w:tr>
      <w:tr w:rsidR="00F83F24" w:rsidRPr="003E57F1" w14:paraId="0A73E4BE" w14:textId="4A6CDF19" w:rsidTr="4447C96C">
        <w:trPr>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left w:val="nil"/>
              <w:bottom w:val="nil"/>
            </w:tcBorders>
            <w:vAlign w:val="center"/>
            <w:hideMark/>
          </w:tcPr>
          <w:p w14:paraId="56B8D001"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1.3</w:t>
            </w:r>
          </w:p>
        </w:tc>
        <w:tc>
          <w:tcPr>
            <w:tcW w:w="1072" w:type="dxa"/>
            <w:tcBorders>
              <w:top w:val="nil"/>
              <w:bottom w:val="nil"/>
            </w:tcBorders>
            <w:vAlign w:val="center"/>
            <w:hideMark/>
          </w:tcPr>
          <w:p w14:paraId="0B109BBF"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hideMark/>
          </w:tcPr>
          <w:p w14:paraId="3173DCDE" w14:textId="02858DD5"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Crecimiento rizoide de elevación plana y márgenes filiformes. Color blanquecino amarillento por ambos lados de la placa. Presenta consistencia algodonosa. Sin producción de pigmentos solubles en el medio, exudados ni </w:t>
            </w:r>
            <w:proofErr w:type="spellStart"/>
            <w:r w:rsidRPr="4447C96C">
              <w:rPr>
                <w:rFonts w:eastAsia="Times New Roman" w:cs="Times New Roman"/>
                <w:color w:val="000000" w:themeColor="text1"/>
                <w:sz w:val="20"/>
                <w:szCs w:val="20"/>
                <w:lang w:eastAsia="es-CR"/>
              </w:rPr>
              <w:t>esporoluración</w:t>
            </w:r>
            <w:proofErr w:type="spellEnd"/>
            <w:r w:rsidRPr="4447C96C">
              <w:rPr>
                <w:rFonts w:eastAsia="Times New Roman" w:cs="Times New Roman"/>
                <w:color w:val="000000" w:themeColor="text1"/>
                <w:sz w:val="20"/>
                <w:szCs w:val="20"/>
                <w:lang w:eastAsia="es-CR"/>
              </w:rPr>
              <w:t>. Desarrollo colonial es rápido. Sus hifas son hialinas y septadas (Anexo 1</w:t>
            </w:r>
            <w:r w:rsidR="006F706B">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B</w:t>
            </w:r>
            <w:r w:rsidRPr="4447C96C">
              <w:rPr>
                <w:rFonts w:eastAsia="Times New Roman" w:cs="Times New Roman"/>
                <w:color w:val="000000" w:themeColor="text1"/>
                <w:sz w:val="20"/>
                <w:szCs w:val="20"/>
                <w:lang w:eastAsia="es-CR"/>
              </w:rPr>
              <w:t>).</w:t>
            </w:r>
          </w:p>
        </w:tc>
      </w:tr>
      <w:tr w:rsidR="00F83F24" w:rsidRPr="003E57F1" w14:paraId="619EB75C" w14:textId="17756374" w:rsidTr="00917FEE">
        <w:trPr>
          <w:trHeight w:val="1247"/>
        </w:trPr>
        <w:tc>
          <w:tcPr>
            <w:cnfStyle w:val="001000000000" w:firstRow="0" w:lastRow="0" w:firstColumn="1" w:lastColumn="0" w:oddVBand="0" w:evenVBand="0" w:oddHBand="0" w:evenHBand="0" w:firstRowFirstColumn="0" w:firstRowLastColumn="0" w:lastRowFirstColumn="0" w:lastRowLastColumn="0"/>
            <w:tcW w:w="748" w:type="dxa"/>
            <w:tcBorders>
              <w:top w:val="nil"/>
              <w:left w:val="nil"/>
              <w:bottom w:val="nil"/>
            </w:tcBorders>
            <w:vAlign w:val="center"/>
            <w:hideMark/>
          </w:tcPr>
          <w:p w14:paraId="1B1AF51D"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2.1</w:t>
            </w:r>
          </w:p>
        </w:tc>
        <w:tc>
          <w:tcPr>
            <w:tcW w:w="1072" w:type="dxa"/>
            <w:tcBorders>
              <w:top w:val="nil"/>
              <w:bottom w:val="nil"/>
            </w:tcBorders>
            <w:vAlign w:val="center"/>
            <w:hideMark/>
          </w:tcPr>
          <w:p w14:paraId="743A13D4"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hideMark/>
          </w:tcPr>
          <w:p w14:paraId="6A489F5A" w14:textId="20759555"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Colonias con forma irregular, </w:t>
            </w:r>
            <w:proofErr w:type="spellStart"/>
            <w:r w:rsidRPr="4447C96C">
              <w:rPr>
                <w:rFonts w:eastAsia="Times New Roman" w:cs="Times New Roman"/>
                <w:color w:val="000000" w:themeColor="text1"/>
                <w:sz w:val="20"/>
                <w:szCs w:val="20"/>
                <w:lang w:eastAsia="es-CR"/>
              </w:rPr>
              <w:t>umbonada</w:t>
            </w:r>
            <w:proofErr w:type="spellEnd"/>
            <w:r w:rsidRPr="4447C96C">
              <w:rPr>
                <w:rFonts w:eastAsia="Times New Roman" w:cs="Times New Roman"/>
                <w:color w:val="000000" w:themeColor="text1"/>
                <w:sz w:val="20"/>
                <w:szCs w:val="20"/>
                <w:lang w:eastAsia="es-CR"/>
              </w:rPr>
              <w:t xml:space="preserve"> y de bordes enteros. Primeros días de crecimiento muestra bordes blancos y las hifas más maduras se tornan cafés con el paso del tiempo. Presenta producción de exudados de color café y difusión de pigmentos al medio de cultivo (Anexo 1). Su aspecto es afelpado con consistencia algodonosa y con producción de surcos. Tiene un desarrollo colonial moderado, así como producción de cleistotecios cafés claros que cambian a café oscuro al madurar. (Figura 5.</w:t>
            </w:r>
            <w:r w:rsidR="000C557F">
              <w:rPr>
                <w:rFonts w:eastAsia="Times New Roman" w:cs="Times New Roman"/>
                <w:color w:val="000000" w:themeColor="text1"/>
                <w:sz w:val="20"/>
                <w:szCs w:val="20"/>
                <w:lang w:eastAsia="es-CR"/>
              </w:rPr>
              <w:t>C</w:t>
            </w:r>
            <w:r w:rsidRPr="4447C96C">
              <w:rPr>
                <w:rFonts w:eastAsia="Times New Roman" w:cs="Times New Roman"/>
                <w:color w:val="000000" w:themeColor="text1"/>
                <w:sz w:val="20"/>
                <w:szCs w:val="20"/>
                <w:lang w:eastAsia="es-CR"/>
              </w:rPr>
              <w:t>; Anexo 1</w:t>
            </w:r>
            <w:r w:rsidR="006E7B00">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C</w:t>
            </w:r>
            <w:r w:rsidRPr="4447C96C">
              <w:rPr>
                <w:rFonts w:eastAsia="Times New Roman" w:cs="Times New Roman"/>
                <w:color w:val="000000" w:themeColor="text1"/>
                <w:sz w:val="20"/>
                <w:szCs w:val="20"/>
                <w:lang w:eastAsia="es-CR"/>
              </w:rPr>
              <w:t>).</w:t>
            </w:r>
            <w:r w:rsidR="00DE7705" w:rsidRPr="4447C96C">
              <w:rPr>
                <w:rFonts w:eastAsia="Times New Roman" w:cs="Times New Roman"/>
                <w:color w:val="000000" w:themeColor="text1"/>
                <w:sz w:val="20"/>
                <w:szCs w:val="20"/>
                <w:lang w:eastAsia="es-CR"/>
              </w:rPr>
              <w:t xml:space="preserve"> Sus </w:t>
            </w:r>
            <w:r w:rsidR="00DE7705" w:rsidRPr="4447C96C">
              <w:rPr>
                <w:sz w:val="20"/>
                <w:szCs w:val="20"/>
                <w:lang w:eastAsia="es-CR"/>
              </w:rPr>
              <w:t xml:space="preserve">características </w:t>
            </w:r>
            <w:proofErr w:type="spellStart"/>
            <w:r w:rsidR="00DE7705" w:rsidRPr="4447C96C">
              <w:rPr>
                <w:sz w:val="20"/>
                <w:szCs w:val="20"/>
                <w:lang w:eastAsia="es-CR"/>
              </w:rPr>
              <w:t>micromorfológicas</w:t>
            </w:r>
            <w:proofErr w:type="spellEnd"/>
            <w:r w:rsidR="00DE7705" w:rsidRPr="4447C96C">
              <w:rPr>
                <w:sz w:val="20"/>
                <w:szCs w:val="20"/>
                <w:lang w:eastAsia="es-CR"/>
              </w:rPr>
              <w:t xml:space="preserve"> permiten clasificarlo dentro la división </w:t>
            </w:r>
            <w:r w:rsidR="00DE7705" w:rsidRPr="4447C96C">
              <w:rPr>
                <w:rFonts w:eastAsia="Times New Roman" w:cs="Times New Roman"/>
                <w:sz w:val="20"/>
                <w:szCs w:val="20"/>
                <w:lang w:eastAsia="es-CR"/>
              </w:rPr>
              <w:t xml:space="preserve">Ascomycota, clase Eurotiomycetes y género </w:t>
            </w:r>
            <w:r w:rsidR="00DE7705" w:rsidRPr="4447C96C">
              <w:rPr>
                <w:rFonts w:eastAsia="Times New Roman" w:cs="Times New Roman"/>
                <w:i/>
                <w:iCs/>
                <w:sz w:val="20"/>
                <w:szCs w:val="20"/>
                <w:lang w:eastAsia="es-CR"/>
              </w:rPr>
              <w:t>Penicillium sp.</w:t>
            </w:r>
            <w:r w:rsidR="00DE7705">
              <w:rPr>
                <w:rFonts w:eastAsia="Times New Roman" w:cs="Times New Roman"/>
                <w:i/>
                <w:iCs/>
                <w:sz w:val="20"/>
                <w:szCs w:val="20"/>
                <w:lang w:eastAsia="es-CR"/>
              </w:rPr>
              <w:t xml:space="preserve"> </w:t>
            </w:r>
          </w:p>
        </w:tc>
      </w:tr>
      <w:tr w:rsidR="00F83F24" w:rsidRPr="003E57F1" w14:paraId="07946116" w14:textId="5F776F4D" w:rsidTr="4447C96C">
        <w:trPr>
          <w:trHeight w:val="62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tcPr>
          <w:p w14:paraId="28B20E2F" w14:textId="4ED1DC7C" w:rsidR="00F83F24" w:rsidRPr="00EE0C91" w:rsidRDefault="00F83F24" w:rsidP="000C449A">
            <w:pPr>
              <w:spacing w:line="240" w:lineRule="auto"/>
              <w:jc w:val="center"/>
              <w:rPr>
                <w:rFonts w:eastAsia="Times New Roman" w:cs="Times New Roman"/>
                <w:color w:val="000000"/>
                <w:sz w:val="20"/>
                <w:szCs w:val="20"/>
                <w:lang w:eastAsia="es-CR"/>
              </w:rPr>
            </w:pPr>
            <w:r w:rsidRPr="00EE0C91">
              <w:rPr>
                <w:rFonts w:eastAsia="Times New Roman" w:cs="Times New Roman"/>
                <w:color w:val="000000"/>
                <w:sz w:val="20"/>
                <w:szCs w:val="20"/>
                <w:lang w:eastAsia="es-CR"/>
              </w:rPr>
              <w:t>A 2.2</w:t>
            </w:r>
          </w:p>
        </w:tc>
        <w:tc>
          <w:tcPr>
            <w:tcW w:w="1072" w:type="dxa"/>
            <w:tcBorders>
              <w:top w:val="nil"/>
              <w:bottom w:val="nil"/>
            </w:tcBorders>
            <w:vAlign w:val="center"/>
          </w:tcPr>
          <w:p w14:paraId="51D6E2DC" w14:textId="51304675"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tcPr>
          <w:p w14:paraId="4F2989B2" w14:textId="5B37829E"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4447C96C">
              <w:rPr>
                <w:rFonts w:eastAsia="Times New Roman" w:cs="Times New Roman"/>
                <w:color w:val="000000" w:themeColor="text1"/>
                <w:sz w:val="20"/>
                <w:szCs w:val="20"/>
                <w:lang w:eastAsia="es-CR"/>
              </w:rPr>
              <w:t xml:space="preserve">Su crecimiento presenta forma irregular, con textura afelpada, bordes lobulados y elevación </w:t>
            </w:r>
            <w:proofErr w:type="spellStart"/>
            <w:r w:rsidRPr="4447C96C">
              <w:rPr>
                <w:rFonts w:eastAsia="Times New Roman" w:cs="Times New Roman"/>
                <w:color w:val="000000" w:themeColor="text1"/>
                <w:sz w:val="20"/>
                <w:szCs w:val="20"/>
                <w:lang w:eastAsia="es-CR"/>
              </w:rPr>
              <w:t>umbonada</w:t>
            </w:r>
            <w:proofErr w:type="spellEnd"/>
            <w:r w:rsidRPr="4447C96C">
              <w:rPr>
                <w:rFonts w:eastAsia="Times New Roman" w:cs="Times New Roman"/>
                <w:color w:val="000000" w:themeColor="text1"/>
                <w:sz w:val="20"/>
                <w:szCs w:val="20"/>
                <w:lang w:eastAsia="es-CR"/>
              </w:rPr>
              <w:t xml:space="preserve">. Presenta consistencia algodonosa. Color del micelio blanco con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café en el centro y bordes blancos. Difusión de pigmentos color café al medio. Sin esporulación y desarrollo colonial moderado.  </w:t>
            </w:r>
          </w:p>
        </w:tc>
      </w:tr>
      <w:tr w:rsidR="00B57387" w:rsidRPr="003E57F1" w14:paraId="70C46B4E" w14:textId="77777777" w:rsidTr="00917FEE">
        <w:trPr>
          <w:trHeight w:val="850"/>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tcPr>
          <w:p w14:paraId="0A3074C7" w14:textId="016F4A08" w:rsidR="00B57387" w:rsidRPr="00EE0C91" w:rsidRDefault="00B57387" w:rsidP="000C449A">
            <w:pPr>
              <w:spacing w:line="240" w:lineRule="auto"/>
              <w:jc w:val="center"/>
              <w:rPr>
                <w:rFonts w:eastAsia="Times New Roman" w:cs="Times New Roman"/>
                <w:color w:val="000000"/>
                <w:sz w:val="20"/>
                <w:szCs w:val="20"/>
                <w:lang w:eastAsia="es-CR"/>
              </w:rPr>
            </w:pPr>
            <w:r w:rsidRPr="00EE0C91">
              <w:rPr>
                <w:rFonts w:eastAsia="Times New Roman" w:cs="Times New Roman"/>
                <w:color w:val="000000"/>
                <w:sz w:val="20"/>
                <w:szCs w:val="20"/>
                <w:lang w:eastAsia="es-CR"/>
              </w:rPr>
              <w:t>A 2.3</w:t>
            </w:r>
          </w:p>
        </w:tc>
        <w:tc>
          <w:tcPr>
            <w:tcW w:w="1072" w:type="dxa"/>
            <w:tcBorders>
              <w:top w:val="nil"/>
              <w:bottom w:val="nil"/>
            </w:tcBorders>
            <w:vAlign w:val="center"/>
          </w:tcPr>
          <w:p w14:paraId="7FFCBD2C" w14:textId="15124D0C" w:rsidR="00B57387" w:rsidRPr="00EE0C91" w:rsidRDefault="00B57387"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tcPr>
          <w:p w14:paraId="1DF23ABF" w14:textId="0615C3CA" w:rsidR="00B57387"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4447C96C">
              <w:rPr>
                <w:rFonts w:eastAsia="Times New Roman" w:cs="Times New Roman"/>
                <w:color w:val="000000" w:themeColor="text1"/>
                <w:sz w:val="20"/>
                <w:szCs w:val="20"/>
                <w:lang w:eastAsia="es-CR"/>
              </w:rPr>
              <w:t xml:space="preserve">Presenta colonias rizoides, de forma </w:t>
            </w:r>
            <w:proofErr w:type="spellStart"/>
            <w:r w:rsidRPr="4447C96C">
              <w:rPr>
                <w:rFonts w:eastAsia="Times New Roman" w:cs="Times New Roman"/>
                <w:color w:val="000000" w:themeColor="text1"/>
                <w:sz w:val="20"/>
                <w:szCs w:val="20"/>
                <w:lang w:eastAsia="es-CR"/>
              </w:rPr>
              <w:t>umbonada</w:t>
            </w:r>
            <w:proofErr w:type="spellEnd"/>
            <w:r w:rsidRPr="4447C96C">
              <w:rPr>
                <w:rFonts w:eastAsia="Times New Roman" w:cs="Times New Roman"/>
                <w:color w:val="000000" w:themeColor="text1"/>
                <w:sz w:val="20"/>
                <w:szCs w:val="20"/>
                <w:lang w:eastAsia="es-CR"/>
              </w:rPr>
              <w:t xml:space="preserve"> con márgenes filiformes. Su textura es filamentosa y su consistencia algodonosa. El color del es micelio blanco con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amarillo en el centro de la colonia que cambia a naranja al madurar (Anexo 1</w:t>
            </w:r>
            <w:r w:rsidR="006E7B00">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D</w:t>
            </w:r>
            <w:r w:rsidRPr="4447C96C">
              <w:rPr>
                <w:rFonts w:eastAsia="Times New Roman" w:cs="Times New Roman"/>
                <w:color w:val="000000" w:themeColor="text1"/>
                <w:sz w:val="20"/>
                <w:szCs w:val="20"/>
                <w:lang w:eastAsia="es-CR"/>
              </w:rPr>
              <w:t xml:space="preserve">). Presenta liberación de pigmentos solubles. Su crecimiento es moderado sin presentar esporulación. </w:t>
            </w:r>
          </w:p>
        </w:tc>
      </w:tr>
      <w:tr w:rsidR="00F83F24" w:rsidRPr="003E57F1" w14:paraId="621C627C" w14:textId="35BA73C4" w:rsidTr="4447C96C">
        <w:trPr>
          <w:trHeight w:val="130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644FCB72"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3.1</w:t>
            </w:r>
          </w:p>
        </w:tc>
        <w:tc>
          <w:tcPr>
            <w:tcW w:w="1072" w:type="dxa"/>
            <w:tcBorders>
              <w:top w:val="nil"/>
              <w:bottom w:val="nil"/>
            </w:tcBorders>
            <w:vAlign w:val="center"/>
            <w:hideMark/>
          </w:tcPr>
          <w:p w14:paraId="643CC627"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hideMark/>
          </w:tcPr>
          <w:p w14:paraId="075C4E09" w14:textId="56661CCE"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Colonia de color </w:t>
            </w:r>
            <w:r w:rsidR="00C22D58">
              <w:rPr>
                <w:rFonts w:eastAsia="Times New Roman" w:cs="Times New Roman"/>
                <w:color w:val="000000" w:themeColor="text1"/>
                <w:sz w:val="20"/>
                <w:szCs w:val="20"/>
                <w:lang w:eastAsia="es-CR"/>
              </w:rPr>
              <w:t>café verduzco</w:t>
            </w:r>
            <w:r w:rsidR="0050641C">
              <w:rPr>
                <w:rFonts w:eastAsia="Times New Roman" w:cs="Times New Roman"/>
                <w:color w:val="000000" w:themeColor="text1"/>
                <w:sz w:val="20"/>
                <w:szCs w:val="20"/>
                <w:lang w:eastAsia="es-CR"/>
              </w:rPr>
              <w:t>-negro grisáceo</w:t>
            </w:r>
            <w:r w:rsidRPr="4447C96C">
              <w:rPr>
                <w:rFonts w:eastAsia="Times New Roman" w:cs="Times New Roman"/>
                <w:color w:val="000000" w:themeColor="text1"/>
                <w:sz w:val="20"/>
                <w:szCs w:val="20"/>
                <w:lang w:eastAsia="es-CR"/>
              </w:rPr>
              <w:t xml:space="preserve">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negro. Su forma es irregular, con elevaciones convexa y textura aterciopelada. Sus bordes son ondulados y se convierten en filiformes con el paso del tiempo (Anexo 2</w:t>
            </w:r>
            <w:r w:rsidR="00455F77">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A</w:t>
            </w:r>
            <w:r w:rsidRPr="4447C96C">
              <w:rPr>
                <w:rFonts w:eastAsia="Times New Roman" w:cs="Times New Roman"/>
                <w:color w:val="000000" w:themeColor="text1"/>
                <w:sz w:val="20"/>
                <w:szCs w:val="20"/>
                <w:lang w:eastAsia="es-CR"/>
              </w:rPr>
              <w:t xml:space="preserve">). Con esporulación y desarrollo colonial moderado. No hay producción de exudados ni pigmentos. Microscópicamente sus hifas son </w:t>
            </w:r>
            <w:r w:rsidR="0050641C">
              <w:rPr>
                <w:rFonts w:eastAsia="Times New Roman" w:cs="Times New Roman"/>
                <w:color w:val="000000" w:themeColor="text1"/>
                <w:sz w:val="20"/>
                <w:szCs w:val="20"/>
                <w:lang w:eastAsia="es-CR"/>
              </w:rPr>
              <w:t>fuliginosas</w:t>
            </w:r>
            <w:r w:rsidRPr="4447C96C">
              <w:rPr>
                <w:rFonts w:eastAsia="Times New Roman" w:cs="Times New Roman"/>
                <w:color w:val="000000" w:themeColor="text1"/>
                <w:sz w:val="20"/>
                <w:szCs w:val="20"/>
                <w:lang w:eastAsia="es-CR"/>
              </w:rPr>
              <w:t xml:space="preserve">, </w:t>
            </w:r>
            <w:r w:rsidR="0050641C">
              <w:rPr>
                <w:rFonts w:eastAsia="Times New Roman" w:cs="Times New Roman"/>
                <w:color w:val="000000" w:themeColor="text1"/>
                <w:sz w:val="20"/>
                <w:szCs w:val="20"/>
                <w:lang w:eastAsia="es-CR"/>
              </w:rPr>
              <w:t>esporas fuliginos</w:t>
            </w:r>
            <w:r w:rsidR="005159D2">
              <w:rPr>
                <w:rFonts w:eastAsia="Times New Roman" w:cs="Times New Roman"/>
                <w:color w:val="000000" w:themeColor="text1"/>
                <w:sz w:val="20"/>
                <w:szCs w:val="20"/>
                <w:lang w:eastAsia="es-CR"/>
              </w:rPr>
              <w:t>a</w:t>
            </w:r>
            <w:r w:rsidR="0050641C">
              <w:rPr>
                <w:rFonts w:eastAsia="Times New Roman" w:cs="Times New Roman"/>
                <w:color w:val="000000" w:themeColor="text1"/>
                <w:sz w:val="20"/>
                <w:szCs w:val="20"/>
                <w:lang w:eastAsia="es-CR"/>
              </w:rPr>
              <w:t>s de redondos a ovales con</w:t>
            </w:r>
            <w:r w:rsidRPr="4447C96C">
              <w:rPr>
                <w:rFonts w:eastAsia="Times New Roman" w:cs="Times New Roman"/>
                <w:color w:val="000000" w:themeColor="text1"/>
                <w:sz w:val="20"/>
                <w:szCs w:val="20"/>
                <w:lang w:eastAsia="es-CR"/>
              </w:rPr>
              <w:t xml:space="preserve"> aproximadamente 3 µm de largo y ancho, </w:t>
            </w:r>
            <w:r w:rsidR="0050641C">
              <w:rPr>
                <w:rFonts w:eastAsia="Times New Roman" w:cs="Times New Roman"/>
                <w:color w:val="000000" w:themeColor="text1"/>
                <w:sz w:val="20"/>
                <w:szCs w:val="20"/>
                <w:lang w:eastAsia="es-CR"/>
              </w:rPr>
              <w:t xml:space="preserve">con escaras en puntos de unión. Conidióforos ramificados </w:t>
            </w:r>
            <w:r w:rsidRPr="4447C96C">
              <w:rPr>
                <w:rFonts w:eastAsia="Times New Roman" w:cs="Times New Roman"/>
                <w:color w:val="000000" w:themeColor="text1"/>
                <w:sz w:val="20"/>
                <w:szCs w:val="20"/>
                <w:lang w:eastAsia="es-CR"/>
              </w:rPr>
              <w:t xml:space="preserve">similar </w:t>
            </w:r>
            <w:r w:rsidR="009C1ECC">
              <w:rPr>
                <w:rFonts w:eastAsia="Times New Roman" w:cs="Times New Roman"/>
                <w:color w:val="000000" w:themeColor="text1"/>
                <w:sz w:val="20"/>
                <w:szCs w:val="20"/>
                <w:lang w:eastAsia="es-CR"/>
              </w:rPr>
              <w:t>al</w:t>
            </w:r>
            <w:r w:rsidRPr="4447C96C">
              <w:rPr>
                <w:rFonts w:eastAsia="Times New Roman" w:cs="Times New Roman"/>
                <w:color w:val="000000" w:themeColor="text1"/>
                <w:sz w:val="20"/>
                <w:szCs w:val="20"/>
                <w:lang w:eastAsia="es-CR"/>
              </w:rPr>
              <w:t xml:space="preserve"> hongo </w:t>
            </w:r>
            <w:r w:rsidRPr="4447C96C">
              <w:rPr>
                <w:rFonts w:eastAsia="Times New Roman" w:cs="Times New Roman"/>
                <w:i/>
                <w:iCs/>
                <w:sz w:val="20"/>
                <w:szCs w:val="20"/>
                <w:lang w:eastAsia="es-CR"/>
              </w:rPr>
              <w:t>Cladosporium sp</w:t>
            </w:r>
            <w:r w:rsidRPr="4447C96C">
              <w:rPr>
                <w:rFonts w:eastAsia="Times New Roman" w:cs="Times New Roman"/>
                <w:color w:val="000000" w:themeColor="text1"/>
                <w:sz w:val="20"/>
                <w:szCs w:val="20"/>
                <w:lang w:eastAsia="es-CR"/>
              </w:rPr>
              <w:t xml:space="preserve"> (Figura 5.</w:t>
            </w:r>
            <w:r w:rsidR="000C557F">
              <w:rPr>
                <w:rFonts w:eastAsia="Times New Roman" w:cs="Times New Roman"/>
                <w:color w:val="000000" w:themeColor="text1"/>
                <w:sz w:val="20"/>
                <w:szCs w:val="20"/>
                <w:lang w:eastAsia="es-CR"/>
              </w:rPr>
              <w:t>D</w:t>
            </w:r>
            <w:r w:rsidRPr="4447C96C">
              <w:rPr>
                <w:rFonts w:eastAsia="Times New Roman" w:cs="Times New Roman"/>
                <w:color w:val="000000" w:themeColor="text1"/>
                <w:sz w:val="20"/>
                <w:szCs w:val="20"/>
                <w:lang w:eastAsia="es-CR"/>
              </w:rPr>
              <w:t xml:space="preserve">). Las </w:t>
            </w:r>
            <w:r w:rsidRPr="4447C96C">
              <w:rPr>
                <w:sz w:val="20"/>
                <w:szCs w:val="20"/>
                <w:lang w:eastAsia="es-CR"/>
              </w:rPr>
              <w:t xml:space="preserve">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Dothideomycetes y género </w:t>
            </w:r>
            <w:r w:rsidRPr="4447C96C">
              <w:rPr>
                <w:rFonts w:eastAsia="Times New Roman" w:cs="Times New Roman"/>
                <w:i/>
                <w:iCs/>
                <w:sz w:val="20"/>
                <w:szCs w:val="20"/>
                <w:lang w:eastAsia="es-CR"/>
              </w:rPr>
              <w:t>Cladosporium sp.</w:t>
            </w:r>
          </w:p>
        </w:tc>
      </w:tr>
      <w:tr w:rsidR="00F83F24" w:rsidRPr="003E57F1" w14:paraId="7CF3B39F" w14:textId="5F01705E" w:rsidTr="4447C96C">
        <w:trPr>
          <w:trHeight w:val="79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75FB0D9A"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A 4.1</w:t>
            </w:r>
          </w:p>
        </w:tc>
        <w:tc>
          <w:tcPr>
            <w:tcW w:w="1072" w:type="dxa"/>
            <w:tcBorders>
              <w:top w:val="nil"/>
              <w:bottom w:val="nil"/>
            </w:tcBorders>
            <w:vAlign w:val="center"/>
            <w:hideMark/>
          </w:tcPr>
          <w:p w14:paraId="3B45D5FD"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arenoso</w:t>
            </w:r>
          </w:p>
        </w:tc>
        <w:tc>
          <w:tcPr>
            <w:tcW w:w="12781" w:type="dxa"/>
            <w:tcBorders>
              <w:top w:val="nil"/>
              <w:bottom w:val="nil"/>
            </w:tcBorders>
            <w:hideMark/>
          </w:tcPr>
          <w:p w14:paraId="09E95CAF" w14:textId="0A173C57"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Crecimiento filamentoso de color gris de forma elevada y con bordes completos. Con consistencia algodonosa. Presenta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gris oscuro con bordes blancos. Su desarrollo colonial es rápido sin esporulación. Produce pigmentos amarillos no solubles y exudados poco perceptibles. Sus hifas son septadas de color café y pared gruesa (Anexo 2</w:t>
            </w:r>
            <w:r w:rsidR="00455F77">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B</w:t>
            </w:r>
            <w:r w:rsidRPr="4447C96C">
              <w:rPr>
                <w:rFonts w:eastAsia="Times New Roman" w:cs="Times New Roman"/>
                <w:color w:val="000000" w:themeColor="text1"/>
                <w:sz w:val="20"/>
                <w:szCs w:val="20"/>
                <w:lang w:eastAsia="es-CR"/>
              </w:rPr>
              <w:t>).</w:t>
            </w:r>
          </w:p>
        </w:tc>
      </w:tr>
      <w:tr w:rsidR="00F83F24" w:rsidRPr="003E57F1" w14:paraId="078B98F5" w14:textId="2E2EFD17" w:rsidTr="4447C96C">
        <w:trPr>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2C3ED45F"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1.1</w:t>
            </w:r>
          </w:p>
        </w:tc>
        <w:tc>
          <w:tcPr>
            <w:tcW w:w="1072" w:type="dxa"/>
            <w:tcBorders>
              <w:top w:val="nil"/>
              <w:bottom w:val="nil"/>
            </w:tcBorders>
            <w:vAlign w:val="center"/>
            <w:hideMark/>
          </w:tcPr>
          <w:p w14:paraId="016612DD"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28185279" w14:textId="1DD9529B"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Con forma irregular, márgenes lobulados y superficie plana. Las colonias son de color blanco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amarillo claro. Presentan una textura afelpada. Crecimiento colonial es regular, sin esporulación. No hay producción de exudados ni pigmentos. Hifas hialinas septadas (Anexo 2</w:t>
            </w:r>
            <w:r w:rsidR="00455F77">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C)</w:t>
            </w:r>
            <w:r w:rsidRPr="4447C96C">
              <w:rPr>
                <w:rFonts w:eastAsia="Times New Roman" w:cs="Times New Roman"/>
                <w:color w:val="000000" w:themeColor="text1"/>
                <w:sz w:val="20"/>
                <w:szCs w:val="20"/>
                <w:lang w:eastAsia="es-CR"/>
              </w:rPr>
              <w:t xml:space="preserve">. </w:t>
            </w:r>
          </w:p>
        </w:tc>
      </w:tr>
      <w:tr w:rsidR="00F83F24" w:rsidRPr="003E57F1" w14:paraId="06EFC5C9" w14:textId="0D2A2810" w:rsidTr="4447C96C">
        <w:trPr>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11779A9E"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1.2</w:t>
            </w:r>
          </w:p>
        </w:tc>
        <w:tc>
          <w:tcPr>
            <w:tcW w:w="1072" w:type="dxa"/>
            <w:tcBorders>
              <w:top w:val="nil"/>
              <w:bottom w:val="nil"/>
            </w:tcBorders>
            <w:vAlign w:val="center"/>
            <w:hideMark/>
          </w:tcPr>
          <w:p w14:paraId="347347F0"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79879AB5" w14:textId="5BA5893C"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Presenta un crecimiento irregular, con elevación plana y márgenes ondulados. Colonias de color blanco que cambian a verdu</w:t>
            </w:r>
            <w:r w:rsidR="00091B0A">
              <w:rPr>
                <w:rFonts w:eastAsia="Times New Roman" w:cs="Times New Roman"/>
                <w:color w:val="000000" w:themeColor="text1"/>
                <w:sz w:val="20"/>
                <w:szCs w:val="20"/>
                <w:lang w:eastAsia="es-CR"/>
              </w:rPr>
              <w:t>z</w:t>
            </w:r>
            <w:r w:rsidRPr="4447C96C">
              <w:rPr>
                <w:rFonts w:eastAsia="Times New Roman" w:cs="Times New Roman"/>
                <w:color w:val="000000" w:themeColor="text1"/>
                <w:sz w:val="20"/>
                <w:szCs w:val="20"/>
                <w:lang w:eastAsia="es-CR"/>
              </w:rPr>
              <w:t xml:space="preserve">co al madurar, con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amarillento. Su textura es afelpada. Produce conidiomas. No produce exudados ni pigmentos. Su desarrollo colonial es rápido y no hay producción de esporas. Hifas hialinas septadas (Anexo 2</w:t>
            </w:r>
            <w:r w:rsidR="00455F77">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D</w:t>
            </w:r>
            <w:r w:rsidRPr="4447C96C">
              <w:rPr>
                <w:rFonts w:eastAsia="Times New Roman" w:cs="Times New Roman"/>
                <w:color w:val="000000" w:themeColor="text1"/>
                <w:sz w:val="20"/>
                <w:szCs w:val="20"/>
                <w:lang w:eastAsia="es-CR"/>
              </w:rPr>
              <w:t>).</w:t>
            </w:r>
          </w:p>
        </w:tc>
      </w:tr>
      <w:tr w:rsidR="00F83F24" w:rsidRPr="003E57F1" w14:paraId="50D742DA" w14:textId="7A198EFE" w:rsidTr="4447C96C">
        <w:trPr>
          <w:trHeight w:val="1020"/>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37835D5A"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lastRenderedPageBreak/>
              <w:t>B 1.4</w:t>
            </w:r>
          </w:p>
        </w:tc>
        <w:tc>
          <w:tcPr>
            <w:tcW w:w="1072" w:type="dxa"/>
            <w:tcBorders>
              <w:top w:val="nil"/>
              <w:bottom w:val="nil"/>
            </w:tcBorders>
            <w:vAlign w:val="center"/>
            <w:hideMark/>
          </w:tcPr>
          <w:p w14:paraId="45A11B6A"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78B4B473" w14:textId="1214ADF6"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Colonias de forma irregular, </w:t>
            </w:r>
            <w:proofErr w:type="spellStart"/>
            <w:r w:rsidRPr="4447C96C">
              <w:rPr>
                <w:rFonts w:eastAsia="Times New Roman" w:cs="Times New Roman"/>
                <w:color w:val="000000" w:themeColor="text1"/>
                <w:sz w:val="20"/>
                <w:szCs w:val="20"/>
                <w:lang w:eastAsia="es-CR"/>
              </w:rPr>
              <w:t>umbonadas</w:t>
            </w:r>
            <w:proofErr w:type="spellEnd"/>
            <w:r w:rsidRPr="4447C96C">
              <w:rPr>
                <w:rFonts w:eastAsia="Times New Roman" w:cs="Times New Roman"/>
                <w:color w:val="000000" w:themeColor="text1"/>
                <w:sz w:val="20"/>
                <w:szCs w:val="20"/>
                <w:lang w:eastAsia="es-CR"/>
              </w:rPr>
              <w:t xml:space="preserve">, con bordes ondulados y textura cremosa. Produce surcos y tiene una consistencia adherente. Su color es verde-mostaza al anverso y al madurar se torna color café (Anexo </w:t>
            </w:r>
            <w:r w:rsidR="001F6F60">
              <w:rPr>
                <w:rFonts w:eastAsia="Times New Roman" w:cs="Times New Roman"/>
                <w:color w:val="000000" w:themeColor="text1"/>
                <w:sz w:val="20"/>
                <w:szCs w:val="20"/>
                <w:lang w:eastAsia="es-CR"/>
              </w:rPr>
              <w:t>3.</w:t>
            </w:r>
            <w:r w:rsidR="000C557F">
              <w:rPr>
                <w:rFonts w:eastAsia="Times New Roman" w:cs="Times New Roman"/>
                <w:color w:val="000000" w:themeColor="text1"/>
                <w:sz w:val="20"/>
                <w:szCs w:val="20"/>
                <w:lang w:eastAsia="es-CR"/>
              </w:rPr>
              <w:t>A)</w:t>
            </w:r>
            <w:r w:rsidRPr="4447C96C">
              <w:rPr>
                <w:rFonts w:eastAsia="Times New Roman" w:cs="Times New Roman"/>
                <w:color w:val="000000" w:themeColor="text1"/>
                <w:sz w:val="20"/>
                <w:szCs w:val="20"/>
                <w:lang w:eastAsia="es-CR"/>
              </w:rPr>
              <w:t xml:space="preserve">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es verde-mostaza. Su desarrollo colonial es lento. No produce exudados. Pigmentos color amarillo solubles en el medio. En medio MEA cambia a un crecimiento levaduriforme de color negro, convexo, redondo y de bordes enteros, produce además </w:t>
            </w:r>
            <w:r w:rsidR="0050641C">
              <w:rPr>
                <w:rFonts w:eastAsia="Times New Roman" w:cs="Times New Roman"/>
                <w:color w:val="000000" w:themeColor="text1"/>
                <w:sz w:val="20"/>
                <w:szCs w:val="20"/>
                <w:lang w:eastAsia="es-CR"/>
              </w:rPr>
              <w:t>esporas</w:t>
            </w:r>
            <w:r w:rsidRPr="4447C96C">
              <w:rPr>
                <w:rFonts w:eastAsia="Times New Roman" w:cs="Times New Roman"/>
                <w:color w:val="000000" w:themeColor="text1"/>
                <w:sz w:val="20"/>
                <w:szCs w:val="20"/>
                <w:lang w:eastAsia="es-CR"/>
              </w:rPr>
              <w:t xml:space="preserve"> de forma cilíndrica con un tamaño aproximado de 1.2 µm. (Figura 5.</w:t>
            </w:r>
            <w:r w:rsidR="000C557F">
              <w:rPr>
                <w:rFonts w:eastAsia="Times New Roman" w:cs="Times New Roman"/>
                <w:color w:val="000000" w:themeColor="text1"/>
                <w:sz w:val="20"/>
                <w:szCs w:val="20"/>
                <w:lang w:eastAsia="es-CR"/>
              </w:rPr>
              <w:t>E-F</w:t>
            </w:r>
            <w:r w:rsidRPr="4447C96C">
              <w:rPr>
                <w:rFonts w:eastAsia="Times New Roman" w:cs="Times New Roman"/>
                <w:color w:val="000000" w:themeColor="text1"/>
                <w:sz w:val="20"/>
                <w:szCs w:val="20"/>
                <w:lang w:eastAsia="es-CR"/>
              </w:rPr>
              <w:t>).</w:t>
            </w:r>
          </w:p>
        </w:tc>
      </w:tr>
      <w:tr w:rsidR="00F83F24" w:rsidRPr="003E57F1" w14:paraId="60FA0620" w14:textId="3DF8533E" w:rsidTr="00B57F5A">
        <w:trPr>
          <w:cantSplit/>
          <w:trHeight w:val="79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6D2C8E04"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1.5</w:t>
            </w:r>
          </w:p>
        </w:tc>
        <w:tc>
          <w:tcPr>
            <w:tcW w:w="1072" w:type="dxa"/>
            <w:tcBorders>
              <w:top w:val="nil"/>
              <w:bottom w:val="nil"/>
            </w:tcBorders>
            <w:vAlign w:val="center"/>
            <w:hideMark/>
          </w:tcPr>
          <w:p w14:paraId="61513413"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6F5A2711" w14:textId="7382E5F5"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Crecimiento rizoide de elevación plana, bordes filiformes y textura aterciopelada. Tiene una consistencia algodonosa. Las colonias son de color verde-musgo con borde blanco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verde, con el centro amarillo y orillas blancas. Hifas </w:t>
            </w:r>
            <w:r w:rsidR="0050641C">
              <w:rPr>
                <w:rFonts w:eastAsia="Times New Roman" w:cs="Times New Roman"/>
                <w:color w:val="000000" w:themeColor="text1"/>
                <w:sz w:val="20"/>
                <w:szCs w:val="20"/>
                <w:lang w:eastAsia="es-CR"/>
              </w:rPr>
              <w:t xml:space="preserve">septadas </w:t>
            </w:r>
            <w:r w:rsidRPr="4447C96C">
              <w:rPr>
                <w:rFonts w:eastAsia="Times New Roman" w:cs="Times New Roman"/>
                <w:color w:val="000000" w:themeColor="text1"/>
                <w:sz w:val="20"/>
                <w:szCs w:val="20"/>
                <w:lang w:eastAsia="es-CR"/>
              </w:rPr>
              <w:t xml:space="preserve">hialinas y esporas elipsoides con un tamaño aproximado de 1 </w:t>
            </w:r>
            <w:r w:rsidRPr="4447C96C">
              <w:rPr>
                <w:rFonts w:eastAsia="Times New Roman" w:cs="Times New Roman"/>
                <w:sz w:val="20"/>
                <w:szCs w:val="20"/>
                <w:lang w:eastAsia="es-CR"/>
              </w:rPr>
              <w:t>µm</w:t>
            </w:r>
            <w:r w:rsidRPr="4447C96C">
              <w:rPr>
                <w:rFonts w:eastAsia="Times New Roman" w:cs="Times New Roman"/>
                <w:color w:val="000000" w:themeColor="text1"/>
                <w:sz w:val="20"/>
                <w:szCs w:val="20"/>
                <w:lang w:eastAsia="es-CR"/>
              </w:rPr>
              <w:t xml:space="preserve"> de ancho y 4 </w:t>
            </w:r>
            <w:r w:rsidRPr="4447C96C">
              <w:rPr>
                <w:rFonts w:eastAsia="Times New Roman" w:cs="Times New Roman"/>
                <w:sz w:val="20"/>
                <w:szCs w:val="20"/>
                <w:lang w:eastAsia="es-CR"/>
              </w:rPr>
              <w:t>µm</w:t>
            </w:r>
            <w:r w:rsidRPr="4447C96C">
              <w:rPr>
                <w:rFonts w:eastAsia="Times New Roman" w:cs="Times New Roman"/>
                <w:color w:val="000000" w:themeColor="text1"/>
                <w:sz w:val="20"/>
                <w:szCs w:val="20"/>
                <w:lang w:eastAsia="es-CR"/>
              </w:rPr>
              <w:t xml:space="preserve"> de largo (Figura</w:t>
            </w:r>
            <w:r w:rsidR="001F6F60">
              <w:rPr>
                <w:rFonts w:eastAsia="Times New Roman" w:cs="Times New Roman"/>
                <w:color w:val="000000" w:themeColor="text1"/>
                <w:sz w:val="20"/>
                <w:szCs w:val="20"/>
                <w:lang w:eastAsia="es-CR"/>
              </w:rPr>
              <w:t xml:space="preserve"> </w:t>
            </w:r>
            <w:r w:rsidRPr="4447C96C">
              <w:rPr>
                <w:rFonts w:eastAsia="Times New Roman" w:cs="Times New Roman"/>
                <w:color w:val="000000" w:themeColor="text1"/>
                <w:sz w:val="20"/>
                <w:szCs w:val="20"/>
                <w:lang w:eastAsia="es-CR"/>
              </w:rPr>
              <w:t>5.</w:t>
            </w:r>
            <w:r w:rsidR="000C557F">
              <w:rPr>
                <w:rFonts w:eastAsia="Times New Roman" w:cs="Times New Roman"/>
                <w:color w:val="000000" w:themeColor="text1"/>
                <w:sz w:val="20"/>
                <w:szCs w:val="20"/>
                <w:lang w:eastAsia="es-CR"/>
              </w:rPr>
              <w:t>G</w:t>
            </w:r>
            <w:r w:rsidRPr="4447C96C">
              <w:rPr>
                <w:rFonts w:eastAsia="Times New Roman" w:cs="Times New Roman"/>
                <w:color w:val="000000" w:themeColor="text1"/>
                <w:sz w:val="20"/>
                <w:szCs w:val="20"/>
                <w:lang w:eastAsia="es-CR"/>
              </w:rPr>
              <w:t xml:space="preserve">). Su desarrollo colonial es rápido y presenta una esporulación moderada. No hay producción de exudados ni pigmentos. </w:t>
            </w:r>
          </w:p>
        </w:tc>
      </w:tr>
      <w:tr w:rsidR="00F83F24" w:rsidRPr="003E57F1" w14:paraId="2DD38587" w14:textId="27A98A58" w:rsidTr="00B276D5">
        <w:trPr>
          <w:cantSplit/>
          <w:trHeight w:val="1020"/>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72C9DAE1"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1.6</w:t>
            </w:r>
          </w:p>
        </w:tc>
        <w:tc>
          <w:tcPr>
            <w:tcW w:w="1072" w:type="dxa"/>
            <w:tcBorders>
              <w:top w:val="nil"/>
              <w:bottom w:val="nil"/>
            </w:tcBorders>
            <w:vAlign w:val="center"/>
            <w:hideMark/>
          </w:tcPr>
          <w:p w14:paraId="44DEE119"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66EE38DE" w14:textId="2D76B23D"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Presenta forma irregular elevada, con márgenes completos y textura aterciopelada. </w:t>
            </w:r>
            <w:r w:rsidR="0050641C">
              <w:rPr>
                <w:rFonts w:eastAsia="Times New Roman" w:cs="Times New Roman"/>
                <w:color w:val="000000" w:themeColor="text1"/>
                <w:sz w:val="20"/>
                <w:szCs w:val="20"/>
                <w:lang w:eastAsia="es-CR"/>
              </w:rPr>
              <w:t>Anverso de</w:t>
            </w:r>
            <w:r w:rsidRPr="4447C96C">
              <w:rPr>
                <w:rFonts w:eastAsia="Times New Roman" w:cs="Times New Roman"/>
                <w:color w:val="000000" w:themeColor="text1"/>
                <w:sz w:val="20"/>
                <w:szCs w:val="20"/>
                <w:lang w:eastAsia="es-CR"/>
              </w:rPr>
              <w:t xml:space="preserve"> color café </w:t>
            </w:r>
            <w:r w:rsidR="0050641C">
              <w:rPr>
                <w:rFonts w:eastAsia="Times New Roman" w:cs="Times New Roman"/>
                <w:color w:val="000000" w:themeColor="text1"/>
                <w:sz w:val="20"/>
                <w:szCs w:val="20"/>
                <w:lang w:eastAsia="es-CR"/>
              </w:rPr>
              <w:t>verduzco</w:t>
            </w:r>
            <w:r w:rsidRPr="4447C96C">
              <w:rPr>
                <w:rFonts w:eastAsia="Times New Roman" w:cs="Times New Roman"/>
                <w:color w:val="000000" w:themeColor="text1"/>
                <w:sz w:val="20"/>
                <w:szCs w:val="20"/>
                <w:lang w:eastAsia="es-CR"/>
              </w:rPr>
              <w:t xml:space="preserve"> con bordes blancos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negro. Su crecimiento es moderado con esporulación regular. No produce pigmentos ni exudados. (Anexo 3</w:t>
            </w:r>
            <w:r w:rsidR="001F6F60">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B</w:t>
            </w:r>
            <w:r w:rsidRPr="4447C96C">
              <w:rPr>
                <w:rFonts w:eastAsia="Times New Roman" w:cs="Times New Roman"/>
                <w:color w:val="000000" w:themeColor="text1"/>
                <w:sz w:val="20"/>
                <w:szCs w:val="20"/>
                <w:lang w:eastAsia="es-CR"/>
              </w:rPr>
              <w:t>). Presenta hifas</w:t>
            </w:r>
            <w:r w:rsidR="0050641C">
              <w:rPr>
                <w:rFonts w:eastAsia="Times New Roman" w:cs="Times New Roman"/>
                <w:color w:val="000000" w:themeColor="text1"/>
                <w:sz w:val="20"/>
                <w:szCs w:val="20"/>
                <w:lang w:eastAsia="es-CR"/>
              </w:rPr>
              <w:t xml:space="preserve"> septadas</w:t>
            </w:r>
            <w:r w:rsidRPr="4447C96C">
              <w:rPr>
                <w:rFonts w:eastAsia="Times New Roman" w:cs="Times New Roman"/>
                <w:color w:val="000000" w:themeColor="text1"/>
                <w:sz w:val="20"/>
                <w:szCs w:val="20"/>
                <w:lang w:eastAsia="es-CR"/>
              </w:rPr>
              <w:t xml:space="preserve"> </w:t>
            </w:r>
            <w:r w:rsidR="0050641C">
              <w:rPr>
                <w:rFonts w:eastAsia="Times New Roman" w:cs="Times New Roman"/>
                <w:color w:val="000000" w:themeColor="text1"/>
                <w:sz w:val="20"/>
                <w:szCs w:val="20"/>
                <w:lang w:eastAsia="es-CR"/>
              </w:rPr>
              <w:t>fuliginosas</w:t>
            </w:r>
            <w:r w:rsidRPr="4447C96C">
              <w:rPr>
                <w:rFonts w:eastAsia="Times New Roman" w:cs="Times New Roman"/>
                <w:color w:val="000000" w:themeColor="text1"/>
                <w:sz w:val="20"/>
                <w:szCs w:val="20"/>
                <w:lang w:eastAsia="es-CR"/>
              </w:rPr>
              <w:t xml:space="preserve">, conidióforos </w:t>
            </w:r>
            <w:r w:rsidR="0050641C">
              <w:rPr>
                <w:rFonts w:eastAsia="Times New Roman" w:cs="Times New Roman"/>
                <w:color w:val="000000" w:themeColor="text1"/>
                <w:sz w:val="20"/>
                <w:szCs w:val="20"/>
                <w:lang w:eastAsia="es-CR"/>
              </w:rPr>
              <w:t>ramificados de longitud variable. Esporas</w:t>
            </w:r>
            <w:r w:rsidRPr="4447C96C">
              <w:rPr>
                <w:rFonts w:eastAsia="Times New Roman" w:cs="Times New Roman"/>
                <w:color w:val="000000" w:themeColor="text1"/>
                <w:sz w:val="20"/>
                <w:szCs w:val="20"/>
                <w:lang w:eastAsia="es-CR"/>
              </w:rPr>
              <w:t xml:space="preserve"> </w:t>
            </w:r>
            <w:r w:rsidR="0050641C">
              <w:rPr>
                <w:rFonts w:eastAsia="Times New Roman" w:cs="Times New Roman"/>
                <w:color w:val="000000" w:themeColor="text1"/>
                <w:sz w:val="20"/>
                <w:szCs w:val="20"/>
                <w:lang w:eastAsia="es-CR"/>
              </w:rPr>
              <w:t>fuliginosas, con escaras en puntos de unión y</w:t>
            </w:r>
            <w:r w:rsidRPr="4447C96C">
              <w:rPr>
                <w:rFonts w:eastAsia="Times New Roman" w:cs="Times New Roman"/>
                <w:color w:val="000000" w:themeColor="text1"/>
                <w:sz w:val="20"/>
                <w:szCs w:val="20"/>
                <w:lang w:eastAsia="es-CR"/>
              </w:rPr>
              <w:t xml:space="preserve"> con diámetros entre los 3 y 4 µm</w:t>
            </w:r>
            <w:r w:rsidR="0050641C">
              <w:rPr>
                <w:rFonts w:eastAsia="Times New Roman" w:cs="Times New Roman"/>
                <w:color w:val="000000" w:themeColor="text1"/>
                <w:sz w:val="20"/>
                <w:szCs w:val="20"/>
                <w:lang w:eastAsia="es-CR"/>
              </w:rPr>
              <w:t xml:space="preserve">. </w:t>
            </w:r>
            <w:r w:rsidRPr="4447C96C">
              <w:rPr>
                <w:rFonts w:eastAsia="Times New Roman" w:cs="Times New Roman"/>
                <w:sz w:val="20"/>
                <w:szCs w:val="20"/>
                <w:lang w:eastAsia="es-CR"/>
              </w:rPr>
              <w:t>(Figura 5.</w:t>
            </w:r>
            <w:r w:rsidR="000C557F">
              <w:rPr>
                <w:rFonts w:eastAsia="Times New Roman" w:cs="Times New Roman"/>
                <w:sz w:val="20"/>
                <w:szCs w:val="20"/>
                <w:lang w:eastAsia="es-CR"/>
              </w:rPr>
              <w:t>H-I</w:t>
            </w:r>
            <w:r w:rsidRPr="4447C96C">
              <w:rPr>
                <w:rFonts w:eastAsia="Times New Roman" w:cs="Times New Roman"/>
                <w:sz w:val="20"/>
                <w:szCs w:val="20"/>
                <w:lang w:eastAsia="es-CR"/>
              </w:rPr>
              <w:t>)</w:t>
            </w:r>
            <w:r w:rsidRPr="4447C96C">
              <w:rPr>
                <w:rFonts w:eastAsia="Times New Roman" w:cs="Times New Roman"/>
                <w:i/>
                <w:iCs/>
                <w:sz w:val="20"/>
                <w:szCs w:val="20"/>
                <w:lang w:eastAsia="es-CR"/>
              </w:rPr>
              <w:t xml:space="preserve">. </w:t>
            </w:r>
            <w:r w:rsidRPr="4447C96C">
              <w:rPr>
                <w:rFonts w:eastAsia="Times New Roman" w:cs="Times New Roman"/>
                <w:sz w:val="20"/>
                <w:szCs w:val="20"/>
                <w:lang w:eastAsia="es-CR"/>
              </w:rPr>
              <w:t xml:space="preserve">Sus </w:t>
            </w:r>
            <w:r w:rsidRPr="4447C96C">
              <w:rPr>
                <w:sz w:val="20"/>
                <w:szCs w:val="20"/>
                <w:lang w:eastAsia="es-CR"/>
              </w:rPr>
              <w:t xml:space="preserve">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Dothideomycetes y género </w:t>
            </w:r>
            <w:r w:rsidRPr="4447C96C">
              <w:rPr>
                <w:rFonts w:eastAsia="Times New Roman" w:cs="Times New Roman"/>
                <w:i/>
                <w:iCs/>
                <w:sz w:val="20"/>
                <w:szCs w:val="20"/>
                <w:lang w:eastAsia="es-CR"/>
              </w:rPr>
              <w:t>Cladosporium sp.</w:t>
            </w:r>
          </w:p>
        </w:tc>
      </w:tr>
      <w:tr w:rsidR="00F83F24" w:rsidRPr="003E57F1" w14:paraId="4F0C5247" w14:textId="13C8CEF7" w:rsidTr="4447C96C">
        <w:trPr>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26B66177"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1.7</w:t>
            </w:r>
          </w:p>
        </w:tc>
        <w:tc>
          <w:tcPr>
            <w:tcW w:w="1072" w:type="dxa"/>
            <w:tcBorders>
              <w:top w:val="nil"/>
              <w:bottom w:val="nil"/>
            </w:tcBorders>
            <w:vAlign w:val="center"/>
            <w:hideMark/>
          </w:tcPr>
          <w:p w14:paraId="3DC5C867"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66054D0D" w14:textId="0CC42B69"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4447C96C">
              <w:rPr>
                <w:rFonts w:eastAsia="Times New Roman" w:cs="Times New Roman"/>
                <w:color w:val="000000" w:themeColor="text1"/>
                <w:sz w:val="20"/>
                <w:szCs w:val="20"/>
                <w:lang w:eastAsia="es-CR"/>
              </w:rPr>
              <w:t xml:space="preserve">Forma irregular, con elevación plana y con bordes lobulados Su textura es afelpada, su micelio es de color blanco y cambia a naranja. su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es blanco con partes más maduras amarillas. Producción de conidiomas (Anexo 3</w:t>
            </w:r>
            <w:r w:rsidR="001F6F60">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C</w:t>
            </w:r>
            <w:r w:rsidR="0050641C">
              <w:rPr>
                <w:rFonts w:eastAsia="Times New Roman" w:cs="Times New Roman"/>
                <w:color w:val="000000" w:themeColor="text1"/>
                <w:sz w:val="20"/>
                <w:szCs w:val="20"/>
                <w:lang w:eastAsia="es-CR"/>
              </w:rPr>
              <w:t>)</w:t>
            </w:r>
            <w:r w:rsidRPr="4447C96C">
              <w:rPr>
                <w:rFonts w:eastAsia="Times New Roman" w:cs="Times New Roman"/>
                <w:color w:val="000000" w:themeColor="text1"/>
                <w:sz w:val="20"/>
                <w:szCs w:val="20"/>
                <w:lang w:eastAsia="es-CR"/>
              </w:rPr>
              <w:t>. Su desarrollo colonial es moderado y no produce pigmentos solubles ni exudados.</w:t>
            </w:r>
          </w:p>
        </w:tc>
      </w:tr>
      <w:tr w:rsidR="00F83F24" w:rsidRPr="003E57F1" w14:paraId="57C7F0DF" w14:textId="5711074E" w:rsidTr="4447C96C">
        <w:trPr>
          <w:trHeight w:val="124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26BD4C5B"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2.2</w:t>
            </w:r>
          </w:p>
        </w:tc>
        <w:tc>
          <w:tcPr>
            <w:tcW w:w="1072" w:type="dxa"/>
            <w:tcBorders>
              <w:top w:val="nil"/>
              <w:bottom w:val="nil"/>
            </w:tcBorders>
            <w:vAlign w:val="center"/>
            <w:hideMark/>
          </w:tcPr>
          <w:p w14:paraId="4726FB60"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6A23EE89" w14:textId="0B6C5A7F"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Crecimiento irregular elevado, de bordes ondulados y textura aterciopelada. Su color es verde musgo con producción de anillos color amarillo y blanco.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amarillo con bordes blancos. Presenta un crecimiento abundante con abundante generación de esporas, las cuales son altamente hidrofóbicas, Liberación al medio de un pigmento de color rojo (Anexo 3</w:t>
            </w:r>
            <w:r w:rsidR="006D454E">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D</w:t>
            </w:r>
            <w:r w:rsidRPr="4447C96C">
              <w:rPr>
                <w:rFonts w:eastAsia="Times New Roman" w:cs="Times New Roman"/>
                <w:color w:val="000000" w:themeColor="text1"/>
                <w:sz w:val="20"/>
                <w:szCs w:val="20"/>
                <w:lang w:eastAsia="es-CR"/>
              </w:rPr>
              <w:t xml:space="preserve">). Sus conidióforos son </w:t>
            </w:r>
            <w:r w:rsidRPr="4447C96C">
              <w:rPr>
                <w:sz w:val="20"/>
                <w:szCs w:val="20"/>
                <w:lang w:eastAsia="es-CR"/>
              </w:rPr>
              <w:t xml:space="preserve">simétricamente </w:t>
            </w:r>
            <w:proofErr w:type="spellStart"/>
            <w:r w:rsidRPr="4447C96C">
              <w:rPr>
                <w:sz w:val="20"/>
                <w:szCs w:val="20"/>
                <w:lang w:eastAsia="es-CR"/>
              </w:rPr>
              <w:t>biverticiliados</w:t>
            </w:r>
            <w:proofErr w:type="spellEnd"/>
            <w:r w:rsidRPr="4447C96C">
              <w:rPr>
                <w:sz w:val="20"/>
                <w:szCs w:val="20"/>
                <w:lang w:eastAsia="es-CR"/>
              </w:rPr>
              <w:t xml:space="preserve">, con fiálides ampuliformes y </w:t>
            </w:r>
            <w:r w:rsidR="0050641C">
              <w:rPr>
                <w:sz w:val="20"/>
                <w:szCs w:val="20"/>
                <w:lang w:eastAsia="es-CR"/>
              </w:rPr>
              <w:t>esporas</w:t>
            </w:r>
            <w:r w:rsidRPr="4447C96C">
              <w:rPr>
                <w:sz w:val="20"/>
                <w:szCs w:val="20"/>
                <w:lang w:eastAsia="es-CR"/>
              </w:rPr>
              <w:t xml:space="preserve"> globosos aproximadamente con tamaños promedio de (Figura 5.</w:t>
            </w:r>
            <w:r w:rsidR="000C557F">
              <w:rPr>
                <w:sz w:val="20"/>
                <w:szCs w:val="20"/>
                <w:lang w:eastAsia="es-CR"/>
              </w:rPr>
              <w:t>J</w:t>
            </w:r>
            <w:r w:rsidRPr="4447C96C">
              <w:rPr>
                <w:sz w:val="20"/>
                <w:szCs w:val="20"/>
                <w:lang w:eastAsia="es-CR"/>
              </w:rPr>
              <w:t xml:space="preserve">). </w:t>
            </w:r>
            <w:r w:rsidRPr="4447C96C">
              <w:rPr>
                <w:rFonts w:eastAsia="Times New Roman" w:cs="Times New Roman"/>
                <w:color w:val="000000" w:themeColor="text1"/>
                <w:sz w:val="20"/>
                <w:szCs w:val="20"/>
                <w:lang w:eastAsia="es-CR"/>
              </w:rPr>
              <w:t xml:space="preserve">Las </w:t>
            </w:r>
            <w:r w:rsidRPr="4447C96C">
              <w:rPr>
                <w:sz w:val="20"/>
                <w:szCs w:val="20"/>
                <w:lang w:eastAsia="es-CR"/>
              </w:rPr>
              <w:t xml:space="preserve">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Dothideomycetes y género </w:t>
            </w:r>
            <w:r w:rsidRPr="4447C96C">
              <w:rPr>
                <w:rFonts w:eastAsia="Times New Roman" w:cs="Times New Roman"/>
                <w:i/>
                <w:iCs/>
                <w:sz w:val="20"/>
                <w:szCs w:val="20"/>
                <w:lang w:eastAsia="es-CR"/>
              </w:rPr>
              <w:t>Cladosporium sp.</w:t>
            </w:r>
          </w:p>
        </w:tc>
      </w:tr>
      <w:tr w:rsidR="00F83F24" w:rsidRPr="003E57F1" w14:paraId="15E4BBB9" w14:textId="418CD3CB" w:rsidTr="4447C96C">
        <w:trPr>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2C7079B9"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3.1</w:t>
            </w:r>
          </w:p>
        </w:tc>
        <w:tc>
          <w:tcPr>
            <w:tcW w:w="1072" w:type="dxa"/>
            <w:tcBorders>
              <w:top w:val="nil"/>
              <w:bottom w:val="nil"/>
            </w:tcBorders>
            <w:vAlign w:val="center"/>
            <w:hideMark/>
          </w:tcPr>
          <w:p w14:paraId="71FA7875"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7199C665" w14:textId="68671FEE"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r w:rsidRPr="4447C96C">
              <w:rPr>
                <w:rFonts w:eastAsia="Times New Roman" w:cs="Times New Roman"/>
                <w:color w:val="000000" w:themeColor="text1"/>
                <w:sz w:val="20"/>
                <w:szCs w:val="20"/>
                <w:lang w:eastAsia="es-CR"/>
              </w:rPr>
              <w:t xml:space="preserve">Colonias de crecimiento irregular, con elevación verrugosa y márgenes ondulados. Posee una consistencia costrosa con surcos. EL color del anverso es crema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amarillo. Su desarrollo colonial lento, sin esporulación. Carece de producción de exudados y pigmentos difusibles en el medio. </w:t>
            </w:r>
          </w:p>
          <w:p w14:paraId="6DB8312F" w14:textId="7919E602" w:rsidR="00F83F24" w:rsidRPr="00EE0C91" w:rsidRDefault="00F83F24"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CR"/>
              </w:rPr>
            </w:pPr>
          </w:p>
        </w:tc>
      </w:tr>
      <w:tr w:rsidR="00F83F24" w:rsidRPr="003E57F1" w14:paraId="2A5B7636" w14:textId="40C89B4E" w:rsidTr="00B276D5">
        <w:trPr>
          <w:trHeight w:val="124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vAlign w:val="center"/>
            <w:hideMark/>
          </w:tcPr>
          <w:p w14:paraId="030273D0" w14:textId="77777777" w:rsidR="00F83F24" w:rsidRPr="00EE0C91" w:rsidRDefault="00F83F24" w:rsidP="00B57A76">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3.2</w:t>
            </w:r>
          </w:p>
        </w:tc>
        <w:tc>
          <w:tcPr>
            <w:tcW w:w="1072" w:type="dxa"/>
            <w:tcBorders>
              <w:top w:val="nil"/>
              <w:bottom w:val="nil"/>
            </w:tcBorders>
            <w:vAlign w:val="center"/>
            <w:hideMark/>
          </w:tcPr>
          <w:p w14:paraId="1021B09B" w14:textId="77777777" w:rsidR="00F83F24" w:rsidRPr="00EE0C91" w:rsidRDefault="00F83F24" w:rsidP="00B57A76">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2813B650" w14:textId="5EBCB6D6"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De forma filamentosa convexa y márgenes enteros. </w:t>
            </w:r>
            <w:r w:rsidR="00117563">
              <w:rPr>
                <w:rFonts w:eastAsia="Times New Roman" w:cs="Times New Roman"/>
                <w:color w:val="000000" w:themeColor="text1"/>
                <w:sz w:val="20"/>
                <w:szCs w:val="20"/>
                <w:lang w:eastAsia="es-CR"/>
              </w:rPr>
              <w:t>T</w:t>
            </w:r>
            <w:r w:rsidRPr="4447C96C">
              <w:rPr>
                <w:rFonts w:eastAsia="Times New Roman" w:cs="Times New Roman"/>
                <w:color w:val="000000" w:themeColor="text1"/>
                <w:sz w:val="20"/>
                <w:szCs w:val="20"/>
                <w:lang w:eastAsia="es-CR"/>
              </w:rPr>
              <w:t xml:space="preserve">extura es </w:t>
            </w:r>
            <w:proofErr w:type="spellStart"/>
            <w:r w:rsidRPr="4447C96C">
              <w:rPr>
                <w:rFonts w:eastAsia="Times New Roman" w:cs="Times New Roman"/>
                <w:color w:val="000000" w:themeColor="text1"/>
                <w:sz w:val="20"/>
                <w:szCs w:val="20"/>
                <w:lang w:eastAsia="es-CR"/>
              </w:rPr>
              <w:t>flocosa</w:t>
            </w:r>
            <w:proofErr w:type="spellEnd"/>
            <w:r w:rsidRPr="4447C96C">
              <w:rPr>
                <w:rFonts w:eastAsia="Times New Roman" w:cs="Times New Roman"/>
                <w:color w:val="000000" w:themeColor="text1"/>
                <w:sz w:val="20"/>
                <w:szCs w:val="20"/>
                <w:lang w:eastAsia="es-CR"/>
              </w:rPr>
              <w:t xml:space="preserve"> con consistencia algodonosa. Colonias de color amarillo que se torna cafés al madurar (Anexo 3</w:t>
            </w:r>
            <w:r w:rsidR="006D454E">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A</w:t>
            </w:r>
            <w:r w:rsidRPr="4447C96C">
              <w:rPr>
                <w:rFonts w:eastAsia="Times New Roman" w:cs="Times New Roman"/>
                <w:color w:val="000000" w:themeColor="text1"/>
                <w:sz w:val="20"/>
                <w:szCs w:val="20"/>
                <w:lang w:eastAsia="es-CR"/>
              </w:rPr>
              <w:t xml:space="preserve">). Su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es blanco. Hay presencia de pigmentos solubles y ausencia de exudados. Su desarrollo colonial y esporulación son abundantes. </w:t>
            </w:r>
            <w:r w:rsidR="00117563">
              <w:rPr>
                <w:rFonts w:eastAsia="Times New Roman" w:cs="Times New Roman"/>
                <w:color w:val="000000" w:themeColor="text1"/>
                <w:sz w:val="20"/>
                <w:szCs w:val="20"/>
                <w:lang w:eastAsia="es-CR"/>
              </w:rPr>
              <w:t>C</w:t>
            </w:r>
            <w:r w:rsidRPr="4447C96C">
              <w:rPr>
                <w:rFonts w:eastAsia="Times New Roman" w:cs="Times New Roman"/>
                <w:color w:val="000000" w:themeColor="text1"/>
                <w:sz w:val="20"/>
                <w:szCs w:val="20"/>
                <w:lang w:eastAsia="es-CR"/>
              </w:rPr>
              <w:t xml:space="preserve">uenta con un cabeza conidial </w:t>
            </w:r>
            <w:proofErr w:type="spellStart"/>
            <w:r w:rsidR="00CB2A34">
              <w:rPr>
                <w:rFonts w:eastAsia="Times New Roman" w:cs="Times New Roman"/>
                <w:color w:val="000000" w:themeColor="text1"/>
                <w:sz w:val="20"/>
                <w:szCs w:val="20"/>
                <w:lang w:eastAsia="es-CR"/>
              </w:rPr>
              <w:t>biseriado</w:t>
            </w:r>
            <w:proofErr w:type="spellEnd"/>
            <w:r w:rsidRPr="4447C96C">
              <w:rPr>
                <w:rFonts w:eastAsia="Times New Roman" w:cs="Times New Roman"/>
                <w:color w:val="000000" w:themeColor="text1"/>
                <w:sz w:val="20"/>
                <w:szCs w:val="20"/>
                <w:lang w:eastAsia="es-CR"/>
              </w:rPr>
              <w:t xml:space="preserve"> radial, vesícula globosa-</w:t>
            </w:r>
            <w:proofErr w:type="spellStart"/>
            <w:r w:rsidRPr="4447C96C">
              <w:rPr>
                <w:rFonts w:eastAsia="Times New Roman" w:cs="Times New Roman"/>
                <w:color w:val="000000" w:themeColor="text1"/>
                <w:sz w:val="20"/>
                <w:szCs w:val="20"/>
                <w:lang w:eastAsia="es-CR"/>
              </w:rPr>
              <w:t>semiglobosa</w:t>
            </w:r>
            <w:proofErr w:type="spellEnd"/>
            <w:r w:rsidRPr="4447C96C">
              <w:rPr>
                <w:rFonts w:eastAsia="Times New Roman" w:cs="Times New Roman"/>
                <w:color w:val="000000" w:themeColor="text1"/>
                <w:sz w:val="20"/>
                <w:szCs w:val="20"/>
                <w:lang w:eastAsia="es-CR"/>
              </w:rPr>
              <w:t>, estípite y fiálides hialinos (Figura 5.</w:t>
            </w:r>
            <w:r w:rsidR="000C557F">
              <w:rPr>
                <w:rFonts w:eastAsia="Times New Roman" w:cs="Times New Roman"/>
                <w:color w:val="000000" w:themeColor="text1"/>
                <w:sz w:val="20"/>
                <w:szCs w:val="20"/>
                <w:lang w:eastAsia="es-CR"/>
              </w:rPr>
              <w:t>K</w:t>
            </w:r>
            <w:r w:rsidRPr="4447C96C">
              <w:rPr>
                <w:rFonts w:eastAsia="Times New Roman" w:cs="Times New Roman"/>
                <w:color w:val="000000" w:themeColor="text1"/>
                <w:sz w:val="20"/>
                <w:szCs w:val="20"/>
                <w:lang w:eastAsia="es-CR"/>
              </w:rPr>
              <w:t xml:space="preserve">). Sus </w:t>
            </w:r>
            <w:r w:rsidR="0050641C">
              <w:rPr>
                <w:rFonts w:eastAsia="Times New Roman" w:cs="Times New Roman"/>
                <w:color w:val="000000" w:themeColor="text1"/>
                <w:sz w:val="20"/>
                <w:szCs w:val="20"/>
                <w:lang w:eastAsia="es-CR"/>
              </w:rPr>
              <w:t>esporas</w:t>
            </w:r>
            <w:r w:rsidRPr="4447C96C">
              <w:rPr>
                <w:rFonts w:eastAsia="Times New Roman" w:cs="Times New Roman"/>
                <w:color w:val="000000" w:themeColor="text1"/>
                <w:sz w:val="20"/>
                <w:szCs w:val="20"/>
                <w:lang w:eastAsia="es-CR"/>
              </w:rPr>
              <w:t xml:space="preserve"> cuentan con un tamaño aproximado de 5 µm, de color amarillo-café con ornamentación equinada</w:t>
            </w:r>
            <w:r w:rsidR="00580862">
              <w:rPr>
                <w:rFonts w:eastAsia="Times New Roman" w:cs="Times New Roman"/>
                <w:color w:val="000000" w:themeColor="text1"/>
                <w:sz w:val="20"/>
                <w:szCs w:val="20"/>
                <w:lang w:eastAsia="es-CR"/>
              </w:rPr>
              <w:t>.</w:t>
            </w:r>
            <w:r w:rsidRPr="4447C96C">
              <w:rPr>
                <w:rFonts w:eastAsia="Times New Roman" w:cs="Times New Roman"/>
                <w:color w:val="000000" w:themeColor="text1"/>
                <w:sz w:val="20"/>
                <w:szCs w:val="20"/>
                <w:lang w:eastAsia="es-CR"/>
              </w:rPr>
              <w:t xml:space="preserve"> </w:t>
            </w:r>
            <w:r w:rsidR="00580862">
              <w:rPr>
                <w:rFonts w:eastAsia="Times New Roman" w:cs="Times New Roman"/>
                <w:color w:val="000000" w:themeColor="text1"/>
                <w:sz w:val="20"/>
                <w:szCs w:val="20"/>
                <w:lang w:eastAsia="es-CR"/>
              </w:rPr>
              <w:t xml:space="preserve">La textura de su estípite permite clasificarlo dentro de la sección de </w:t>
            </w:r>
            <w:r w:rsidR="00580862" w:rsidRPr="00580862">
              <w:rPr>
                <w:rFonts w:eastAsia="Times New Roman" w:cs="Times New Roman"/>
                <w:i/>
                <w:iCs/>
                <w:color w:val="000000" w:themeColor="text1"/>
                <w:sz w:val="20"/>
                <w:szCs w:val="20"/>
                <w:lang w:eastAsia="es-CR"/>
              </w:rPr>
              <w:t xml:space="preserve">Aspergillus </w:t>
            </w:r>
            <w:proofErr w:type="spellStart"/>
            <w:r w:rsidR="00580862" w:rsidRPr="00580862">
              <w:rPr>
                <w:rFonts w:eastAsia="Times New Roman" w:cs="Times New Roman"/>
                <w:i/>
                <w:iCs/>
                <w:color w:val="000000" w:themeColor="text1"/>
                <w:sz w:val="20"/>
                <w:szCs w:val="20"/>
                <w:lang w:eastAsia="es-CR"/>
              </w:rPr>
              <w:t>flavi</w:t>
            </w:r>
            <w:proofErr w:type="spellEnd"/>
            <w:r w:rsidR="00580862" w:rsidRPr="00580862">
              <w:rPr>
                <w:rFonts w:eastAsia="Times New Roman" w:cs="Times New Roman"/>
                <w:i/>
                <w:iCs/>
                <w:color w:val="000000" w:themeColor="text1"/>
                <w:sz w:val="20"/>
                <w:szCs w:val="20"/>
                <w:lang w:eastAsia="es-CR"/>
              </w:rPr>
              <w:t>.</w:t>
            </w:r>
            <w:r w:rsidRPr="00580862">
              <w:rPr>
                <w:rFonts w:eastAsia="Times New Roman" w:cs="Times New Roman"/>
                <w:i/>
                <w:iCs/>
                <w:color w:val="000000" w:themeColor="text1"/>
                <w:sz w:val="20"/>
                <w:szCs w:val="20"/>
                <w:lang w:eastAsia="es-CR"/>
              </w:rPr>
              <w:t xml:space="preserve"> </w:t>
            </w:r>
            <w:r w:rsidRPr="4447C96C">
              <w:rPr>
                <w:rFonts w:eastAsia="Times New Roman" w:cs="Times New Roman"/>
                <w:color w:val="000000" w:themeColor="text1"/>
                <w:sz w:val="20"/>
                <w:szCs w:val="20"/>
                <w:lang w:eastAsia="es-CR"/>
              </w:rPr>
              <w:t xml:space="preserve">(Anexo </w:t>
            </w:r>
            <w:r w:rsidR="006D454E">
              <w:rPr>
                <w:rFonts w:eastAsia="Times New Roman" w:cs="Times New Roman"/>
                <w:color w:val="000000" w:themeColor="text1"/>
                <w:sz w:val="20"/>
                <w:szCs w:val="20"/>
                <w:lang w:eastAsia="es-CR"/>
              </w:rPr>
              <w:t>4.</w:t>
            </w:r>
            <w:r w:rsidR="000C557F">
              <w:rPr>
                <w:rFonts w:eastAsia="Times New Roman" w:cs="Times New Roman"/>
                <w:color w:val="000000" w:themeColor="text1"/>
                <w:sz w:val="20"/>
                <w:szCs w:val="20"/>
                <w:lang w:eastAsia="es-CR"/>
              </w:rPr>
              <w:t>A</w:t>
            </w:r>
            <w:r w:rsidRPr="4447C96C">
              <w:rPr>
                <w:rFonts w:eastAsia="Times New Roman" w:cs="Times New Roman"/>
                <w:color w:val="000000" w:themeColor="text1"/>
                <w:sz w:val="20"/>
                <w:szCs w:val="20"/>
                <w:lang w:eastAsia="es-CR"/>
              </w:rPr>
              <w:t xml:space="preserve">). </w:t>
            </w:r>
          </w:p>
        </w:tc>
      </w:tr>
      <w:tr w:rsidR="00F83F24" w:rsidRPr="003E57F1" w14:paraId="358A52A4" w14:textId="33C3AC85" w:rsidTr="4447C96C">
        <w:trPr>
          <w:trHeight w:val="79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hideMark/>
          </w:tcPr>
          <w:p w14:paraId="11D2CB90"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5.1</w:t>
            </w:r>
          </w:p>
        </w:tc>
        <w:tc>
          <w:tcPr>
            <w:tcW w:w="1072" w:type="dxa"/>
            <w:tcBorders>
              <w:top w:val="nil"/>
              <w:bottom w:val="nil"/>
            </w:tcBorders>
            <w:hideMark/>
          </w:tcPr>
          <w:p w14:paraId="5ED813E6"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2F4D6658" w14:textId="6A1C7537"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Presenta colonias de forma irregular </w:t>
            </w:r>
            <w:proofErr w:type="spellStart"/>
            <w:r w:rsidRPr="4447C96C">
              <w:rPr>
                <w:rFonts w:eastAsia="Times New Roman" w:cs="Times New Roman"/>
                <w:color w:val="000000" w:themeColor="text1"/>
                <w:sz w:val="20"/>
                <w:szCs w:val="20"/>
                <w:lang w:eastAsia="es-CR"/>
              </w:rPr>
              <w:t>umbonada</w:t>
            </w:r>
            <w:proofErr w:type="spellEnd"/>
            <w:r w:rsidRPr="4447C96C">
              <w:rPr>
                <w:rFonts w:eastAsia="Times New Roman" w:cs="Times New Roman"/>
                <w:color w:val="000000" w:themeColor="text1"/>
                <w:sz w:val="20"/>
                <w:szCs w:val="20"/>
                <w:lang w:eastAsia="es-CR"/>
              </w:rPr>
              <w:t xml:space="preserve"> y con los bordes ondulados. Su textura es aterciopelada. Su micelio es de color gris con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café y bordes grises. Su desarrollo colonial es lento y presenta una esporulación muy escasa. No produce exudados, pero sí pigmentos solubles en el medio de color café. Presenta hifas </w:t>
            </w:r>
            <w:r w:rsidR="0050641C">
              <w:rPr>
                <w:rFonts w:eastAsia="Times New Roman" w:cs="Times New Roman"/>
                <w:color w:val="000000" w:themeColor="text1"/>
                <w:sz w:val="20"/>
                <w:szCs w:val="20"/>
                <w:lang w:eastAsia="es-CR"/>
              </w:rPr>
              <w:t>fuliginosas</w:t>
            </w:r>
            <w:r w:rsidRPr="4447C96C">
              <w:rPr>
                <w:rFonts w:eastAsia="Times New Roman" w:cs="Times New Roman"/>
                <w:color w:val="000000" w:themeColor="text1"/>
                <w:sz w:val="20"/>
                <w:szCs w:val="20"/>
                <w:lang w:eastAsia="es-CR"/>
              </w:rPr>
              <w:t xml:space="preserve"> y septadas, con conidias ovoides de tamaño aproximado de 5 µm de largo y 3µm de ancho.</w:t>
            </w:r>
          </w:p>
        </w:tc>
      </w:tr>
      <w:tr w:rsidR="00F83F24" w:rsidRPr="003E57F1" w14:paraId="175B0C3A" w14:textId="438B75B8" w:rsidTr="4447C96C">
        <w:trPr>
          <w:trHeight w:val="1247"/>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hideMark/>
          </w:tcPr>
          <w:p w14:paraId="16912D01" w14:textId="77777777" w:rsidR="00F83F24" w:rsidRPr="00EE0C91" w:rsidRDefault="00F83F24" w:rsidP="00621F48">
            <w:pPr>
              <w:spacing w:line="240" w:lineRule="auto"/>
              <w:ind w:right="25"/>
              <w:jc w:val="center"/>
              <w:rPr>
                <w:rFonts w:eastAsia="Times New Roman" w:cs="Times New Roman"/>
                <w:sz w:val="20"/>
                <w:szCs w:val="20"/>
                <w:lang w:eastAsia="es-CR"/>
              </w:rPr>
            </w:pPr>
            <w:r w:rsidRPr="00EE0C91">
              <w:rPr>
                <w:rFonts w:eastAsia="Times New Roman" w:cs="Times New Roman"/>
                <w:color w:val="000000"/>
                <w:sz w:val="20"/>
                <w:szCs w:val="20"/>
                <w:lang w:eastAsia="es-CR"/>
              </w:rPr>
              <w:t>B 6.1</w:t>
            </w:r>
          </w:p>
        </w:tc>
        <w:tc>
          <w:tcPr>
            <w:tcW w:w="1072" w:type="dxa"/>
            <w:tcBorders>
              <w:top w:val="nil"/>
              <w:bottom w:val="nil"/>
            </w:tcBorders>
            <w:hideMark/>
          </w:tcPr>
          <w:p w14:paraId="5A784785"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21105C82" w14:textId="10081A67"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Crecimiento circular elevada con bordes enteros y textura es aterciopelada. Las colonias son de color verde claro con bordes blancos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color crema (Anexo 4</w:t>
            </w:r>
            <w:r w:rsidR="001318D7">
              <w:rPr>
                <w:rFonts w:eastAsia="Times New Roman" w:cs="Times New Roman"/>
                <w:color w:val="000000" w:themeColor="text1"/>
                <w:sz w:val="20"/>
                <w:szCs w:val="20"/>
                <w:lang w:eastAsia="es-CR"/>
              </w:rPr>
              <w:t>.</w:t>
            </w:r>
            <w:r w:rsidR="000C557F">
              <w:rPr>
                <w:rFonts w:eastAsia="Times New Roman" w:cs="Times New Roman"/>
                <w:color w:val="000000" w:themeColor="text1"/>
                <w:sz w:val="20"/>
                <w:szCs w:val="20"/>
                <w:lang w:eastAsia="es-CR"/>
              </w:rPr>
              <w:t>B</w:t>
            </w:r>
            <w:r w:rsidRPr="4447C96C">
              <w:rPr>
                <w:rFonts w:eastAsia="Times New Roman" w:cs="Times New Roman"/>
                <w:color w:val="000000" w:themeColor="text1"/>
                <w:sz w:val="20"/>
                <w:szCs w:val="20"/>
                <w:lang w:eastAsia="es-CR"/>
              </w:rPr>
              <w:t xml:space="preserve">). Ausencia de liberación de pigmentos solubles al medio. Producción de exudados en medio MEA. Su desarrollo colonial y esporulación son abundantes. Microscópicamente cuenta con conidióforos </w:t>
            </w:r>
            <w:proofErr w:type="spellStart"/>
            <w:r w:rsidRPr="4447C96C">
              <w:rPr>
                <w:rFonts w:eastAsia="Times New Roman" w:cs="Times New Roman"/>
                <w:color w:val="000000" w:themeColor="text1"/>
                <w:sz w:val="20"/>
                <w:szCs w:val="20"/>
                <w:lang w:eastAsia="es-CR"/>
              </w:rPr>
              <w:t>monoverticiliados</w:t>
            </w:r>
            <w:proofErr w:type="spellEnd"/>
            <w:r w:rsidRPr="4447C96C">
              <w:rPr>
                <w:rFonts w:eastAsia="Times New Roman" w:cs="Times New Roman"/>
                <w:color w:val="000000" w:themeColor="text1"/>
                <w:sz w:val="20"/>
                <w:szCs w:val="20"/>
                <w:lang w:eastAsia="es-CR"/>
              </w:rPr>
              <w:t xml:space="preserve"> y </w:t>
            </w:r>
            <w:proofErr w:type="spellStart"/>
            <w:r w:rsidRPr="4447C96C">
              <w:rPr>
                <w:rFonts w:eastAsia="Times New Roman" w:cs="Times New Roman"/>
                <w:color w:val="000000" w:themeColor="text1"/>
                <w:sz w:val="20"/>
                <w:szCs w:val="20"/>
                <w:lang w:eastAsia="es-CR"/>
              </w:rPr>
              <w:t>biverticileados</w:t>
            </w:r>
            <w:proofErr w:type="spellEnd"/>
            <w:r w:rsidRPr="4447C96C">
              <w:rPr>
                <w:rFonts w:eastAsia="Times New Roman" w:cs="Times New Roman"/>
                <w:color w:val="000000" w:themeColor="text1"/>
                <w:sz w:val="20"/>
                <w:szCs w:val="20"/>
                <w:lang w:eastAsia="es-CR"/>
              </w:rPr>
              <w:t xml:space="preserve">, con ramificaciones que difieren de tamaño en relación con el eje principal. Presenta </w:t>
            </w:r>
            <w:r w:rsidRPr="4447C96C">
              <w:rPr>
                <w:sz w:val="20"/>
                <w:szCs w:val="20"/>
                <w:lang w:eastAsia="es-CR"/>
              </w:rPr>
              <w:t>fiálides ampuliformes y conidias globosas de tamaño de 3</w:t>
            </w:r>
            <w:r w:rsidRPr="4447C96C">
              <w:rPr>
                <w:rFonts w:cs="Times New Roman"/>
                <w:sz w:val="20"/>
                <w:szCs w:val="20"/>
                <w:lang w:eastAsia="es-CR"/>
              </w:rPr>
              <w:t xml:space="preserve"> µ</w:t>
            </w:r>
            <w:r w:rsidRPr="4447C96C">
              <w:rPr>
                <w:sz w:val="20"/>
                <w:szCs w:val="20"/>
                <w:lang w:eastAsia="es-CR"/>
              </w:rPr>
              <w:t xml:space="preserve">m de diámetro, similar a conidióforos del género </w:t>
            </w:r>
            <w:r w:rsidRPr="4447C96C">
              <w:rPr>
                <w:rFonts w:eastAsia="Times New Roman" w:cs="Times New Roman"/>
                <w:i/>
                <w:iCs/>
                <w:sz w:val="20"/>
                <w:szCs w:val="20"/>
                <w:lang w:eastAsia="es-CR"/>
              </w:rPr>
              <w:t xml:space="preserve">Penicillium </w:t>
            </w:r>
            <w:r w:rsidRPr="4447C96C">
              <w:rPr>
                <w:sz w:val="20"/>
                <w:szCs w:val="20"/>
                <w:lang w:eastAsia="es-CR"/>
              </w:rPr>
              <w:t>(Figura 5.</w:t>
            </w:r>
            <w:r w:rsidR="001318D7">
              <w:rPr>
                <w:sz w:val="20"/>
                <w:szCs w:val="20"/>
                <w:lang w:eastAsia="es-CR"/>
              </w:rPr>
              <w:t>l</w:t>
            </w:r>
            <w:r w:rsidRPr="4447C96C">
              <w:rPr>
                <w:sz w:val="20"/>
                <w:szCs w:val="20"/>
                <w:lang w:eastAsia="es-CR"/>
              </w:rPr>
              <w:t>).</w:t>
            </w:r>
            <w:r w:rsidRPr="4447C96C">
              <w:rPr>
                <w:rFonts w:eastAsia="Times New Roman" w:cs="Times New Roman"/>
                <w:color w:val="000000" w:themeColor="text1"/>
                <w:sz w:val="20"/>
                <w:szCs w:val="20"/>
                <w:lang w:eastAsia="es-CR"/>
              </w:rPr>
              <w:t xml:space="preserve"> </w:t>
            </w:r>
            <w:r w:rsidRPr="4447C96C">
              <w:rPr>
                <w:sz w:val="20"/>
                <w:szCs w:val="20"/>
                <w:lang w:eastAsia="es-CR"/>
              </w:rPr>
              <w:t xml:space="preserve">Las 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Eurotiomycetes y género </w:t>
            </w:r>
            <w:r w:rsidRPr="4447C96C">
              <w:rPr>
                <w:rFonts w:eastAsia="Times New Roman" w:cs="Times New Roman"/>
                <w:i/>
                <w:iCs/>
                <w:sz w:val="20"/>
                <w:szCs w:val="20"/>
                <w:lang w:eastAsia="es-CR"/>
              </w:rPr>
              <w:t>Penicillium sp.</w:t>
            </w:r>
          </w:p>
        </w:tc>
      </w:tr>
      <w:tr w:rsidR="00F83F24" w:rsidRPr="003E57F1" w14:paraId="7A12CA6E" w14:textId="4184A6D5" w:rsidTr="4447C96C">
        <w:trPr>
          <w:trHeight w:val="1134"/>
        </w:trPr>
        <w:tc>
          <w:tcPr>
            <w:cnfStyle w:val="001000000000" w:firstRow="0" w:lastRow="0" w:firstColumn="1" w:lastColumn="0" w:oddVBand="0" w:evenVBand="0" w:oddHBand="0" w:evenHBand="0" w:firstRowFirstColumn="0" w:firstRowLastColumn="0" w:lastRowFirstColumn="0" w:lastRowLastColumn="0"/>
            <w:tcW w:w="748" w:type="dxa"/>
            <w:tcBorders>
              <w:top w:val="nil"/>
              <w:bottom w:val="nil"/>
            </w:tcBorders>
            <w:hideMark/>
          </w:tcPr>
          <w:p w14:paraId="1AF0DA06"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B 6.2</w:t>
            </w:r>
          </w:p>
        </w:tc>
        <w:tc>
          <w:tcPr>
            <w:tcW w:w="1072" w:type="dxa"/>
            <w:tcBorders>
              <w:top w:val="nil"/>
              <w:bottom w:val="nil"/>
            </w:tcBorders>
            <w:hideMark/>
          </w:tcPr>
          <w:p w14:paraId="24E8E090"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nil"/>
            </w:tcBorders>
            <w:hideMark/>
          </w:tcPr>
          <w:p w14:paraId="180CE347" w14:textId="1C7FDEA5" w:rsidR="00F83F24" w:rsidRPr="00EE0C91" w:rsidRDefault="4447C96C"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4447C96C">
              <w:rPr>
                <w:rFonts w:eastAsia="Times New Roman" w:cs="Times New Roman"/>
                <w:color w:val="000000" w:themeColor="text1"/>
                <w:sz w:val="20"/>
                <w:szCs w:val="20"/>
                <w:lang w:eastAsia="es-CR"/>
              </w:rPr>
              <w:t xml:space="preserve">El crecimiento de las colonias es circular elevada, con bordes enteros y textura aterciopelada. Presenta color verde musgo con bordes verde claro y </w:t>
            </w:r>
            <w:r w:rsidR="0050641C">
              <w:rPr>
                <w:rFonts w:eastAsia="Times New Roman" w:cs="Times New Roman"/>
                <w:color w:val="000000" w:themeColor="text1"/>
                <w:sz w:val="20"/>
                <w:szCs w:val="20"/>
                <w:lang w:eastAsia="es-CR"/>
              </w:rPr>
              <w:t>reverso</w:t>
            </w:r>
            <w:r w:rsidRPr="4447C96C">
              <w:rPr>
                <w:rFonts w:eastAsia="Times New Roman" w:cs="Times New Roman"/>
                <w:color w:val="000000" w:themeColor="text1"/>
                <w:sz w:val="20"/>
                <w:szCs w:val="20"/>
                <w:lang w:eastAsia="es-CR"/>
              </w:rPr>
              <w:t xml:space="preserve"> amarillo. No hay presencia de pigmentos solubles en el medio de cultivo, ni exudados. Su desarrollo colonial y esporulación son abundantes. Presenta conidióforos </w:t>
            </w:r>
            <w:proofErr w:type="spellStart"/>
            <w:r w:rsidRPr="4447C96C">
              <w:rPr>
                <w:rFonts w:eastAsia="Times New Roman" w:cs="Times New Roman"/>
                <w:color w:val="000000" w:themeColor="text1"/>
                <w:sz w:val="20"/>
                <w:szCs w:val="20"/>
                <w:lang w:eastAsia="es-CR"/>
              </w:rPr>
              <w:t>biverticileados</w:t>
            </w:r>
            <w:proofErr w:type="spellEnd"/>
            <w:r w:rsidRPr="4447C96C">
              <w:rPr>
                <w:rFonts w:eastAsia="Times New Roman" w:cs="Times New Roman"/>
                <w:color w:val="000000" w:themeColor="text1"/>
                <w:sz w:val="20"/>
                <w:szCs w:val="20"/>
                <w:lang w:eastAsia="es-CR"/>
              </w:rPr>
              <w:t xml:space="preserve"> con conidias globosas de diámetro entre 2 y 3 </w:t>
            </w:r>
            <w:r w:rsidRPr="4447C96C">
              <w:rPr>
                <w:rFonts w:cs="Times New Roman"/>
                <w:sz w:val="20"/>
                <w:szCs w:val="20"/>
                <w:lang w:eastAsia="es-CR"/>
              </w:rPr>
              <w:t>µ</w:t>
            </w:r>
            <w:r w:rsidRPr="4447C96C">
              <w:rPr>
                <w:sz w:val="20"/>
                <w:szCs w:val="20"/>
                <w:lang w:eastAsia="es-CR"/>
              </w:rPr>
              <w:t>m</w:t>
            </w:r>
            <w:r w:rsidRPr="4447C96C">
              <w:rPr>
                <w:rFonts w:eastAsia="Times New Roman" w:cs="Times New Roman"/>
                <w:color w:val="000000" w:themeColor="text1"/>
                <w:sz w:val="20"/>
                <w:szCs w:val="20"/>
                <w:lang w:eastAsia="es-CR"/>
              </w:rPr>
              <w:t xml:space="preserve">: </w:t>
            </w:r>
            <w:r w:rsidRPr="4447C96C">
              <w:rPr>
                <w:sz w:val="20"/>
                <w:szCs w:val="20"/>
                <w:lang w:eastAsia="es-CR"/>
              </w:rPr>
              <w:t xml:space="preserve">similar a conidióforos del género </w:t>
            </w:r>
            <w:r w:rsidRPr="4447C96C">
              <w:rPr>
                <w:rFonts w:eastAsia="Times New Roman" w:cs="Times New Roman"/>
                <w:i/>
                <w:iCs/>
                <w:sz w:val="20"/>
                <w:szCs w:val="20"/>
                <w:lang w:eastAsia="es-CR"/>
              </w:rPr>
              <w:t xml:space="preserve">Penicillium </w:t>
            </w:r>
            <w:r w:rsidRPr="4447C96C">
              <w:rPr>
                <w:sz w:val="20"/>
                <w:szCs w:val="20"/>
                <w:lang w:eastAsia="es-CR"/>
              </w:rPr>
              <w:t xml:space="preserve">(Figura 5.M). Sus características </w:t>
            </w:r>
            <w:proofErr w:type="spellStart"/>
            <w:r w:rsidRPr="4447C96C">
              <w:rPr>
                <w:sz w:val="20"/>
                <w:szCs w:val="20"/>
                <w:lang w:eastAsia="es-CR"/>
              </w:rPr>
              <w:t>micromorfológicas</w:t>
            </w:r>
            <w:proofErr w:type="spellEnd"/>
            <w:r w:rsidRPr="4447C96C">
              <w:rPr>
                <w:sz w:val="20"/>
                <w:szCs w:val="20"/>
                <w:lang w:eastAsia="es-CR"/>
              </w:rPr>
              <w:t xml:space="preserve"> permiten clasificarlo dentro la división </w:t>
            </w:r>
            <w:r w:rsidRPr="4447C96C">
              <w:rPr>
                <w:rFonts w:eastAsia="Times New Roman" w:cs="Times New Roman"/>
                <w:sz w:val="20"/>
                <w:szCs w:val="20"/>
                <w:lang w:eastAsia="es-CR"/>
              </w:rPr>
              <w:t xml:space="preserve">Ascomycota, clase Eurotiomycetes y género </w:t>
            </w:r>
            <w:r w:rsidRPr="4447C96C">
              <w:rPr>
                <w:rFonts w:eastAsia="Times New Roman" w:cs="Times New Roman"/>
                <w:i/>
                <w:iCs/>
                <w:sz w:val="20"/>
                <w:szCs w:val="20"/>
                <w:lang w:eastAsia="es-CR"/>
              </w:rPr>
              <w:t xml:space="preserve">Penicillium sp. </w:t>
            </w:r>
          </w:p>
        </w:tc>
      </w:tr>
      <w:tr w:rsidR="00F83F24" w:rsidRPr="003E57F1" w14:paraId="77428B0E" w14:textId="5A1453F6" w:rsidTr="4447C96C">
        <w:trPr>
          <w:cantSplit/>
          <w:trHeight w:val="567"/>
        </w:trPr>
        <w:tc>
          <w:tcPr>
            <w:cnfStyle w:val="001000000000" w:firstRow="0" w:lastRow="0" w:firstColumn="1" w:lastColumn="0" w:oddVBand="0" w:evenVBand="0" w:oddHBand="0" w:evenHBand="0" w:firstRowFirstColumn="0" w:firstRowLastColumn="0" w:lastRowFirstColumn="0" w:lastRowLastColumn="0"/>
            <w:tcW w:w="748" w:type="dxa"/>
            <w:tcBorders>
              <w:top w:val="nil"/>
              <w:bottom w:val="single" w:sz="12" w:space="0" w:color="000000" w:themeColor="text1"/>
            </w:tcBorders>
            <w:hideMark/>
          </w:tcPr>
          <w:p w14:paraId="3DECD6BF" w14:textId="77777777" w:rsidR="00F83F24" w:rsidRPr="00EE0C91" w:rsidRDefault="00F83F24" w:rsidP="000C449A">
            <w:pPr>
              <w:spacing w:line="240" w:lineRule="auto"/>
              <w:jc w:val="center"/>
              <w:rPr>
                <w:rFonts w:eastAsia="Times New Roman" w:cs="Times New Roman"/>
                <w:sz w:val="20"/>
                <w:szCs w:val="20"/>
                <w:lang w:eastAsia="es-CR"/>
              </w:rPr>
            </w:pPr>
            <w:r w:rsidRPr="00EE0C91">
              <w:rPr>
                <w:rFonts w:eastAsia="Times New Roman" w:cs="Times New Roman"/>
                <w:color w:val="000000"/>
                <w:sz w:val="20"/>
                <w:szCs w:val="20"/>
                <w:lang w:eastAsia="es-CR"/>
              </w:rPr>
              <w:t>C 1.1</w:t>
            </w:r>
          </w:p>
        </w:tc>
        <w:tc>
          <w:tcPr>
            <w:tcW w:w="1072" w:type="dxa"/>
            <w:tcBorders>
              <w:top w:val="nil"/>
              <w:bottom w:val="single" w:sz="12" w:space="0" w:color="000000" w:themeColor="text1"/>
            </w:tcBorders>
            <w:hideMark/>
          </w:tcPr>
          <w:p w14:paraId="41F72FBC" w14:textId="77777777" w:rsidR="00F83F24" w:rsidRPr="00EE0C91" w:rsidRDefault="00F83F24" w:rsidP="000C449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Sedimento fangoso</w:t>
            </w:r>
          </w:p>
        </w:tc>
        <w:tc>
          <w:tcPr>
            <w:tcW w:w="12781" w:type="dxa"/>
            <w:tcBorders>
              <w:top w:val="nil"/>
              <w:bottom w:val="single" w:sz="12" w:space="0" w:color="000000" w:themeColor="text1"/>
            </w:tcBorders>
            <w:hideMark/>
          </w:tcPr>
          <w:p w14:paraId="67795E58" w14:textId="52E09515" w:rsidR="00F83F24" w:rsidRPr="00EE0C91" w:rsidRDefault="00F83F24" w:rsidP="000C449A">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CR"/>
              </w:rPr>
            </w:pPr>
            <w:r w:rsidRPr="00EE0C91">
              <w:rPr>
                <w:rFonts w:eastAsia="Times New Roman" w:cs="Times New Roman"/>
                <w:color w:val="000000"/>
                <w:sz w:val="20"/>
                <w:szCs w:val="20"/>
                <w:lang w:eastAsia="es-CR"/>
              </w:rPr>
              <w:t xml:space="preserve">Colonias con forma rizoide elevadas con márgenes lobulados y textura afelpada. Presenta micelio de color blanco y </w:t>
            </w:r>
            <w:r w:rsidR="0050641C">
              <w:rPr>
                <w:rFonts w:eastAsia="Times New Roman" w:cs="Times New Roman"/>
                <w:color w:val="000000"/>
                <w:sz w:val="20"/>
                <w:szCs w:val="20"/>
                <w:lang w:eastAsia="es-CR"/>
              </w:rPr>
              <w:t>reverso</w:t>
            </w:r>
            <w:r w:rsidRPr="00EE0C91">
              <w:rPr>
                <w:rFonts w:eastAsia="Times New Roman" w:cs="Times New Roman"/>
                <w:color w:val="000000"/>
                <w:sz w:val="20"/>
                <w:szCs w:val="20"/>
                <w:lang w:eastAsia="es-CR"/>
              </w:rPr>
              <w:t xml:space="preserve"> amarillo. Su desarrollo colonial es moderado y no hay producción de esporas. Sin producción de pigmentos solubles en el medio y no hay presencia de exudados. Sus hifas son septadas </w:t>
            </w:r>
            <w:r w:rsidR="0050641C">
              <w:rPr>
                <w:rFonts w:eastAsia="Times New Roman" w:cs="Times New Roman"/>
                <w:color w:val="000000"/>
                <w:sz w:val="20"/>
                <w:szCs w:val="20"/>
                <w:lang w:eastAsia="es-CR"/>
              </w:rPr>
              <w:t>fuliginosas</w:t>
            </w:r>
            <w:r w:rsidRPr="00EE0C91">
              <w:rPr>
                <w:rFonts w:eastAsia="Times New Roman" w:cs="Times New Roman"/>
                <w:color w:val="000000"/>
                <w:sz w:val="20"/>
                <w:szCs w:val="20"/>
                <w:lang w:eastAsia="es-CR"/>
              </w:rPr>
              <w:t xml:space="preserve"> (Anexo 4</w:t>
            </w:r>
            <w:r w:rsidR="001318D7">
              <w:rPr>
                <w:rFonts w:eastAsia="Times New Roman" w:cs="Times New Roman"/>
                <w:color w:val="000000"/>
                <w:sz w:val="20"/>
                <w:szCs w:val="20"/>
                <w:lang w:eastAsia="es-CR"/>
              </w:rPr>
              <w:t>.</w:t>
            </w:r>
            <w:r w:rsidR="000C557F">
              <w:rPr>
                <w:rFonts w:eastAsia="Times New Roman" w:cs="Times New Roman"/>
                <w:color w:val="000000"/>
                <w:sz w:val="20"/>
                <w:szCs w:val="20"/>
                <w:lang w:eastAsia="es-CR"/>
              </w:rPr>
              <w:t>C</w:t>
            </w:r>
            <w:r w:rsidRPr="00EE0C91">
              <w:rPr>
                <w:rFonts w:eastAsia="Times New Roman" w:cs="Times New Roman"/>
                <w:color w:val="000000"/>
                <w:sz w:val="20"/>
                <w:szCs w:val="20"/>
                <w:lang w:eastAsia="es-CR"/>
              </w:rPr>
              <w:t>).</w:t>
            </w:r>
          </w:p>
        </w:tc>
      </w:tr>
    </w:tbl>
    <w:p w14:paraId="1A8C9CCA" w14:textId="77777777" w:rsidR="00C05C3A" w:rsidRDefault="00C05C3A" w:rsidP="00C05C3A">
      <w:pPr>
        <w:rPr>
          <w:rFonts w:eastAsia="Times New Roman" w:cs="Times New Roman"/>
          <w:bCs/>
          <w:color w:val="000000"/>
          <w:szCs w:val="24"/>
          <w:lang w:eastAsia="es-CR"/>
        </w:rPr>
        <w:sectPr w:rsidR="00C05C3A" w:rsidSect="00B3039E">
          <w:footerReference w:type="default" r:id="rId14"/>
          <w:pgSz w:w="15840" w:h="12240" w:orient="landscape"/>
          <w:pgMar w:top="567" w:right="672" w:bottom="284" w:left="1276" w:header="709" w:footer="709" w:gutter="0"/>
          <w:cols w:space="708"/>
          <w:docGrid w:linePitch="360"/>
        </w:sectPr>
      </w:pPr>
    </w:p>
    <w:p w14:paraId="58BBF1BC" w14:textId="77777777" w:rsidR="00526922" w:rsidRDefault="00867724" w:rsidP="00E34054">
      <w:pPr>
        <w:keepNext/>
        <w:spacing w:after="0"/>
      </w:pPr>
      <w:r>
        <w:rPr>
          <w:noProof/>
          <w:lang w:eastAsia="es-CR"/>
        </w:rPr>
        <w:lastRenderedPageBreak/>
        <w:drawing>
          <wp:inline distT="0" distB="0" distL="0" distR="0" wp14:anchorId="6CBF060E" wp14:editId="3AA473D3">
            <wp:extent cx="6195875" cy="756536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rotWithShape="1">
                    <a:blip r:embed="rId15" cstate="print">
                      <a:extLst>
                        <a:ext uri="{28A0092B-C50C-407E-A947-70E740481C1C}">
                          <a14:useLocalDpi xmlns:a14="http://schemas.microsoft.com/office/drawing/2010/main" val="0"/>
                        </a:ext>
                      </a:extLst>
                    </a:blip>
                    <a:srcRect t="373" b="2977"/>
                    <a:stretch/>
                  </pic:blipFill>
                  <pic:spPr bwMode="auto">
                    <a:xfrm>
                      <a:off x="0" y="0"/>
                      <a:ext cx="6203412" cy="7574569"/>
                    </a:xfrm>
                    <a:prstGeom prst="rect">
                      <a:avLst/>
                    </a:prstGeom>
                    <a:ln>
                      <a:noFill/>
                    </a:ln>
                    <a:extLst>
                      <a:ext uri="{53640926-AAD7-44D8-BBD7-CCE9431645EC}">
                        <a14:shadowObscured xmlns:a14="http://schemas.microsoft.com/office/drawing/2010/main"/>
                      </a:ext>
                    </a:extLst>
                  </pic:spPr>
                </pic:pic>
              </a:graphicData>
            </a:graphic>
          </wp:inline>
        </w:drawing>
      </w:r>
    </w:p>
    <w:p w14:paraId="16DAA533" w14:textId="28BD7D83" w:rsidR="00583CD6" w:rsidRPr="008F68D0" w:rsidRDefault="00526922" w:rsidP="00526922">
      <w:pPr>
        <w:pStyle w:val="Descripcin"/>
        <w:rPr>
          <w:b/>
          <w:bCs/>
          <w:i w:val="0"/>
          <w:iCs w:val="0"/>
          <w:color w:val="auto"/>
          <w:sz w:val="20"/>
          <w:szCs w:val="20"/>
          <w:lang w:eastAsia="es-CR"/>
        </w:rPr>
      </w:pPr>
      <w:bookmarkStart w:id="104" w:name="_Toc138574966"/>
      <w:bookmarkStart w:id="105" w:name="_Toc142272973"/>
      <w:r w:rsidRPr="00526922">
        <w:rPr>
          <w:b/>
          <w:bCs/>
          <w:i w:val="0"/>
          <w:iCs w:val="0"/>
          <w:color w:val="auto"/>
          <w:sz w:val="20"/>
          <w:szCs w:val="20"/>
        </w:rPr>
        <w:t xml:space="preserve">Figura  </w:t>
      </w:r>
      <w:r w:rsidRPr="00526922">
        <w:rPr>
          <w:b/>
          <w:bCs/>
          <w:i w:val="0"/>
          <w:iCs w:val="0"/>
          <w:color w:val="auto"/>
          <w:sz w:val="20"/>
          <w:szCs w:val="20"/>
        </w:rPr>
        <w:fldChar w:fldCharType="begin"/>
      </w:r>
      <w:r w:rsidRPr="00526922">
        <w:rPr>
          <w:b/>
          <w:bCs/>
          <w:i w:val="0"/>
          <w:iCs w:val="0"/>
          <w:color w:val="auto"/>
          <w:sz w:val="20"/>
          <w:szCs w:val="20"/>
        </w:rPr>
        <w:instrText xml:space="preserve"> SEQ Figura_ \* ARABIC </w:instrText>
      </w:r>
      <w:r w:rsidRPr="00526922">
        <w:rPr>
          <w:b/>
          <w:bCs/>
          <w:i w:val="0"/>
          <w:iCs w:val="0"/>
          <w:color w:val="auto"/>
          <w:sz w:val="20"/>
          <w:szCs w:val="20"/>
        </w:rPr>
        <w:fldChar w:fldCharType="separate"/>
      </w:r>
      <w:r w:rsidR="00915F20">
        <w:rPr>
          <w:b/>
          <w:bCs/>
          <w:i w:val="0"/>
          <w:iCs w:val="0"/>
          <w:noProof/>
          <w:color w:val="auto"/>
          <w:sz w:val="20"/>
          <w:szCs w:val="20"/>
        </w:rPr>
        <w:t>4</w:t>
      </w:r>
      <w:r w:rsidRPr="00526922">
        <w:rPr>
          <w:b/>
          <w:bCs/>
          <w:i w:val="0"/>
          <w:iCs w:val="0"/>
          <w:color w:val="auto"/>
          <w:sz w:val="20"/>
          <w:szCs w:val="20"/>
        </w:rPr>
        <w:fldChar w:fldCharType="end"/>
      </w:r>
      <w:r>
        <w:rPr>
          <w:b/>
          <w:bCs/>
          <w:i w:val="0"/>
          <w:iCs w:val="0"/>
          <w:color w:val="auto"/>
          <w:sz w:val="20"/>
          <w:szCs w:val="20"/>
        </w:rPr>
        <w:t>.</w:t>
      </w:r>
      <w:r w:rsidR="008F68D0">
        <w:rPr>
          <w:b/>
          <w:bCs/>
          <w:i w:val="0"/>
          <w:iCs w:val="0"/>
          <w:color w:val="auto"/>
          <w:sz w:val="20"/>
          <w:szCs w:val="20"/>
        </w:rPr>
        <w:t xml:space="preserve"> </w:t>
      </w:r>
      <w:r w:rsidR="008F68D0" w:rsidRPr="00367F1D">
        <w:rPr>
          <w:rFonts w:eastAsia="Times New Roman" w:cs="Times New Roman"/>
          <w:bCs/>
          <w:i w:val="0"/>
          <w:iCs w:val="0"/>
          <w:color w:val="auto"/>
          <w:sz w:val="20"/>
          <w:szCs w:val="20"/>
          <w:lang w:eastAsia="es-CR"/>
        </w:rPr>
        <w:t>Cepas de hongos marinos aislados de sedimentos</w:t>
      </w:r>
      <w:r w:rsidR="008F68D0">
        <w:rPr>
          <w:rFonts w:eastAsia="Times New Roman" w:cs="Times New Roman"/>
          <w:bCs/>
          <w:i w:val="0"/>
          <w:iCs w:val="0"/>
          <w:color w:val="auto"/>
          <w:sz w:val="20"/>
          <w:szCs w:val="20"/>
          <w:lang w:eastAsia="es-CR"/>
        </w:rPr>
        <w:t xml:space="preserve"> arenosos (A) y fangosos (B),</w:t>
      </w:r>
      <w:r w:rsidR="008F68D0" w:rsidRPr="00367F1D">
        <w:rPr>
          <w:rFonts w:eastAsia="Times New Roman" w:cs="Times New Roman"/>
          <w:bCs/>
          <w:i w:val="0"/>
          <w:iCs w:val="0"/>
          <w:color w:val="auto"/>
          <w:sz w:val="20"/>
          <w:szCs w:val="20"/>
          <w:lang w:eastAsia="es-CR"/>
        </w:rPr>
        <w:t xml:space="preserve"> del manglar de Puntarenas, Costa Rica en medio </w:t>
      </w:r>
      <w:r w:rsidR="008F68D0">
        <w:rPr>
          <w:rFonts w:eastAsia="Times New Roman" w:cs="Times New Roman"/>
          <w:bCs/>
          <w:i w:val="0"/>
          <w:iCs w:val="0"/>
          <w:color w:val="auto"/>
          <w:sz w:val="20"/>
          <w:szCs w:val="20"/>
          <w:lang w:eastAsia="es-CR"/>
        </w:rPr>
        <w:t xml:space="preserve">de cultivo </w:t>
      </w:r>
      <w:r w:rsidR="008F68D0" w:rsidRPr="00367F1D">
        <w:rPr>
          <w:rFonts w:eastAsia="Times New Roman" w:cs="Times New Roman"/>
          <w:bCs/>
          <w:i w:val="0"/>
          <w:iCs w:val="0"/>
          <w:color w:val="auto"/>
          <w:sz w:val="20"/>
          <w:szCs w:val="20"/>
          <w:lang w:eastAsia="es-CR"/>
        </w:rPr>
        <w:t>PDA</w:t>
      </w:r>
      <w:r w:rsidR="009668A2">
        <w:rPr>
          <w:rFonts w:eastAsia="Times New Roman" w:cs="Times New Roman"/>
          <w:bCs/>
          <w:i w:val="0"/>
          <w:iCs w:val="0"/>
          <w:color w:val="auto"/>
          <w:sz w:val="20"/>
          <w:szCs w:val="20"/>
          <w:lang w:eastAsia="es-CR"/>
        </w:rPr>
        <w:t xml:space="preserve"> (anverso y reverso)</w:t>
      </w:r>
      <w:r w:rsidR="008F68D0" w:rsidRPr="00367F1D">
        <w:rPr>
          <w:rFonts w:eastAsia="Times New Roman" w:cs="Times New Roman"/>
          <w:bCs/>
          <w:i w:val="0"/>
          <w:iCs w:val="0"/>
          <w:color w:val="auto"/>
          <w:sz w:val="20"/>
          <w:szCs w:val="20"/>
          <w:lang w:eastAsia="es-CR"/>
        </w:rPr>
        <w:t>.</w:t>
      </w:r>
      <w:bookmarkEnd w:id="104"/>
      <w:bookmarkEnd w:id="105"/>
    </w:p>
    <w:p w14:paraId="02D22B03" w14:textId="72045133" w:rsidR="00B94BFE" w:rsidRPr="005C19B1" w:rsidRDefault="00B94BFE" w:rsidP="00367F1D">
      <w:pPr>
        <w:pStyle w:val="Descripcin"/>
        <w:rPr>
          <w:rFonts w:eastAsia="Times New Roman" w:cs="Times New Roman"/>
          <w:bCs/>
          <w:i w:val="0"/>
          <w:iCs w:val="0"/>
          <w:color w:val="auto"/>
          <w:sz w:val="20"/>
          <w:szCs w:val="20"/>
          <w:lang w:eastAsia="es-CR"/>
        </w:rPr>
      </w:pPr>
      <w:r w:rsidRPr="00367F1D">
        <w:rPr>
          <w:rFonts w:eastAsia="Times New Roman" w:cs="Times New Roman"/>
          <w:bCs/>
          <w:color w:val="auto"/>
          <w:sz w:val="20"/>
          <w:szCs w:val="20"/>
          <w:lang w:eastAsia="es-CR"/>
        </w:rPr>
        <w:br w:type="page"/>
      </w:r>
    </w:p>
    <w:p w14:paraId="13D47D0B" w14:textId="53B5E199" w:rsidR="003A2C08" w:rsidRPr="00D562A0" w:rsidRDefault="00634D0E" w:rsidP="00E34054">
      <w:pPr>
        <w:keepNext/>
        <w:spacing w:after="0"/>
        <w:rPr>
          <w:lang w:val="en-US"/>
        </w:rPr>
      </w:pPr>
      <w:r>
        <w:rPr>
          <w:noProof/>
          <w:lang w:val="en-US"/>
        </w:rPr>
        <w:lastRenderedPageBreak/>
        <w:drawing>
          <wp:inline distT="0" distB="0" distL="0" distR="0" wp14:anchorId="039C9D3A" wp14:editId="285FE4D4">
            <wp:extent cx="5943600" cy="6959600"/>
            <wp:effectExtent l="0" t="0" r="0" b="0"/>
            <wp:docPr id="81627306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73066" name="Imagen 81627306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6959600"/>
                    </a:xfrm>
                    <a:prstGeom prst="rect">
                      <a:avLst/>
                    </a:prstGeom>
                  </pic:spPr>
                </pic:pic>
              </a:graphicData>
            </a:graphic>
          </wp:inline>
        </w:drawing>
      </w:r>
    </w:p>
    <w:p w14:paraId="768E662F" w14:textId="670DBEA4" w:rsidR="00094260" w:rsidRPr="008F68D0" w:rsidRDefault="4447C96C" w:rsidP="4447C96C">
      <w:pPr>
        <w:pStyle w:val="Descripcin"/>
        <w:rPr>
          <w:b/>
          <w:bCs/>
          <w:i w:val="0"/>
          <w:iCs w:val="0"/>
          <w:color w:val="auto"/>
          <w:sz w:val="20"/>
          <w:szCs w:val="20"/>
          <w:lang w:eastAsia="es-CR"/>
        </w:rPr>
      </w:pPr>
      <w:bookmarkStart w:id="106" w:name="_Toc138574967"/>
      <w:bookmarkStart w:id="107" w:name="_Toc142272974"/>
      <w:r w:rsidRPr="4447C96C">
        <w:rPr>
          <w:b/>
          <w:bCs/>
          <w:i w:val="0"/>
          <w:iCs w:val="0"/>
          <w:color w:val="auto"/>
          <w:sz w:val="20"/>
          <w:szCs w:val="20"/>
        </w:rPr>
        <w:t xml:space="preserve">Figura  </w:t>
      </w:r>
      <w:r w:rsidR="003A2C08" w:rsidRPr="4447C96C">
        <w:rPr>
          <w:b/>
          <w:bCs/>
          <w:i w:val="0"/>
          <w:iCs w:val="0"/>
          <w:color w:val="auto"/>
          <w:sz w:val="20"/>
          <w:szCs w:val="20"/>
        </w:rPr>
        <w:fldChar w:fldCharType="begin"/>
      </w:r>
      <w:r w:rsidR="003A2C08" w:rsidRPr="4447C96C">
        <w:rPr>
          <w:b/>
          <w:bCs/>
          <w:i w:val="0"/>
          <w:iCs w:val="0"/>
          <w:color w:val="auto"/>
          <w:sz w:val="20"/>
          <w:szCs w:val="20"/>
        </w:rPr>
        <w:instrText xml:space="preserve"> SEQ Figura_ \* ARABIC </w:instrText>
      </w:r>
      <w:r w:rsidR="003A2C08" w:rsidRPr="4447C96C">
        <w:rPr>
          <w:b/>
          <w:bCs/>
          <w:i w:val="0"/>
          <w:iCs w:val="0"/>
          <w:color w:val="auto"/>
          <w:sz w:val="20"/>
          <w:szCs w:val="20"/>
        </w:rPr>
        <w:fldChar w:fldCharType="separate"/>
      </w:r>
      <w:r w:rsidRPr="4447C96C">
        <w:rPr>
          <w:b/>
          <w:bCs/>
          <w:i w:val="0"/>
          <w:iCs w:val="0"/>
          <w:noProof/>
          <w:color w:val="auto"/>
          <w:sz w:val="20"/>
          <w:szCs w:val="20"/>
        </w:rPr>
        <w:t>5</w:t>
      </w:r>
      <w:r w:rsidR="003A2C08" w:rsidRPr="4447C96C">
        <w:rPr>
          <w:b/>
          <w:bCs/>
          <w:i w:val="0"/>
          <w:iCs w:val="0"/>
          <w:color w:val="auto"/>
          <w:sz w:val="20"/>
          <w:szCs w:val="20"/>
        </w:rPr>
        <w:fldChar w:fldCharType="end"/>
      </w:r>
      <w:r w:rsidRPr="4447C96C">
        <w:rPr>
          <w:b/>
          <w:bCs/>
          <w:i w:val="0"/>
          <w:iCs w:val="0"/>
          <w:color w:val="auto"/>
          <w:sz w:val="20"/>
          <w:szCs w:val="20"/>
        </w:rPr>
        <w:t xml:space="preserve">.  </w:t>
      </w:r>
      <w:r w:rsidRPr="4447C96C">
        <w:rPr>
          <w:rFonts w:eastAsia="Times New Roman" w:cs="Times New Roman"/>
          <w:i w:val="0"/>
          <w:iCs w:val="0"/>
          <w:color w:val="auto"/>
          <w:sz w:val="20"/>
          <w:szCs w:val="20"/>
          <w:lang w:eastAsia="es-CR"/>
        </w:rPr>
        <w:t xml:space="preserve">Morfología microscópica de las cepas de hongos marinos crecidos en medio de cultivo PDA. </w:t>
      </w:r>
      <w:r w:rsidRPr="4447C96C">
        <w:rPr>
          <w:i w:val="0"/>
          <w:iCs w:val="0"/>
          <w:color w:val="auto"/>
          <w:sz w:val="20"/>
          <w:szCs w:val="20"/>
        </w:rPr>
        <w:t xml:space="preserve">A) </w:t>
      </w:r>
      <w:r w:rsidR="0018061A">
        <w:rPr>
          <w:i w:val="0"/>
          <w:iCs w:val="0"/>
          <w:color w:val="auto"/>
          <w:sz w:val="20"/>
          <w:szCs w:val="20"/>
        </w:rPr>
        <w:t>Esporas</w:t>
      </w:r>
      <w:r w:rsidRPr="4447C96C">
        <w:rPr>
          <w:i w:val="0"/>
          <w:iCs w:val="0"/>
          <w:color w:val="auto"/>
          <w:sz w:val="20"/>
          <w:szCs w:val="20"/>
        </w:rPr>
        <w:t xml:space="preserve"> de la cepa A 1.1. </w:t>
      </w:r>
      <w:r w:rsidR="00971EDD">
        <w:rPr>
          <w:i w:val="0"/>
          <w:iCs w:val="0"/>
          <w:color w:val="auto"/>
          <w:sz w:val="20"/>
          <w:szCs w:val="20"/>
        </w:rPr>
        <w:t>(100x).</w:t>
      </w:r>
      <w:r w:rsidR="00971EDD" w:rsidRPr="4447C96C">
        <w:rPr>
          <w:i w:val="0"/>
          <w:iCs w:val="0"/>
          <w:color w:val="auto"/>
          <w:sz w:val="20"/>
          <w:szCs w:val="20"/>
        </w:rPr>
        <w:t xml:space="preserve"> </w:t>
      </w:r>
      <w:r w:rsidRPr="4447C96C">
        <w:rPr>
          <w:i w:val="0"/>
          <w:iCs w:val="0"/>
          <w:color w:val="auto"/>
          <w:sz w:val="20"/>
          <w:szCs w:val="20"/>
        </w:rPr>
        <w:t>B) Conidióforo de la cepa A 1.2</w:t>
      </w:r>
      <w:r w:rsidR="00971EDD">
        <w:rPr>
          <w:i w:val="0"/>
          <w:iCs w:val="0"/>
          <w:color w:val="auto"/>
          <w:sz w:val="20"/>
          <w:szCs w:val="20"/>
        </w:rPr>
        <w:t>. (100x).</w:t>
      </w:r>
      <w:r w:rsidRPr="4447C96C">
        <w:rPr>
          <w:i w:val="0"/>
          <w:iCs w:val="0"/>
          <w:color w:val="auto"/>
          <w:sz w:val="20"/>
          <w:szCs w:val="20"/>
        </w:rPr>
        <w:t xml:space="preserve"> C) Cleistotecio de la cepa A 2.1</w:t>
      </w:r>
      <w:r w:rsidR="00755156">
        <w:rPr>
          <w:i w:val="0"/>
          <w:iCs w:val="0"/>
          <w:color w:val="auto"/>
          <w:sz w:val="20"/>
          <w:szCs w:val="20"/>
        </w:rPr>
        <w:t xml:space="preserve"> (</w:t>
      </w:r>
      <w:r w:rsidR="00971EDD">
        <w:rPr>
          <w:i w:val="0"/>
          <w:iCs w:val="0"/>
          <w:color w:val="auto"/>
          <w:sz w:val="20"/>
          <w:szCs w:val="20"/>
        </w:rPr>
        <w:t>40x</w:t>
      </w:r>
      <w:r w:rsidR="00755156">
        <w:rPr>
          <w:i w:val="0"/>
          <w:iCs w:val="0"/>
          <w:color w:val="auto"/>
          <w:sz w:val="20"/>
          <w:szCs w:val="20"/>
        </w:rPr>
        <w:t>)</w:t>
      </w:r>
      <w:r w:rsidR="00971EDD">
        <w:rPr>
          <w:i w:val="0"/>
          <w:iCs w:val="0"/>
          <w:color w:val="auto"/>
          <w:sz w:val="20"/>
          <w:szCs w:val="20"/>
        </w:rPr>
        <w:t>.</w:t>
      </w:r>
      <w:r w:rsidRPr="4447C96C">
        <w:rPr>
          <w:i w:val="0"/>
          <w:iCs w:val="0"/>
          <w:color w:val="auto"/>
          <w:sz w:val="20"/>
          <w:szCs w:val="20"/>
        </w:rPr>
        <w:t xml:space="preserve"> D) Conidióforo de la cepa A 3.1. </w:t>
      </w:r>
      <w:r w:rsidR="00971EDD">
        <w:rPr>
          <w:i w:val="0"/>
          <w:iCs w:val="0"/>
          <w:color w:val="auto"/>
          <w:sz w:val="20"/>
          <w:szCs w:val="20"/>
        </w:rPr>
        <w:t>(100x).</w:t>
      </w:r>
      <w:r w:rsidR="00971EDD" w:rsidRPr="4447C96C">
        <w:rPr>
          <w:i w:val="0"/>
          <w:iCs w:val="0"/>
          <w:color w:val="auto"/>
          <w:sz w:val="20"/>
          <w:szCs w:val="20"/>
        </w:rPr>
        <w:t xml:space="preserve"> </w:t>
      </w:r>
      <w:r w:rsidRPr="4447C96C">
        <w:rPr>
          <w:i w:val="0"/>
          <w:iCs w:val="0"/>
          <w:color w:val="auto"/>
          <w:sz w:val="20"/>
          <w:szCs w:val="20"/>
        </w:rPr>
        <w:t xml:space="preserve">E) y F) </w:t>
      </w:r>
      <w:r w:rsidR="0018061A">
        <w:rPr>
          <w:i w:val="0"/>
          <w:iCs w:val="0"/>
          <w:color w:val="auto"/>
          <w:sz w:val="20"/>
          <w:szCs w:val="20"/>
        </w:rPr>
        <w:t>Esporas</w:t>
      </w:r>
      <w:r w:rsidRPr="4447C96C">
        <w:rPr>
          <w:i w:val="0"/>
          <w:iCs w:val="0"/>
          <w:color w:val="auto"/>
          <w:sz w:val="20"/>
          <w:szCs w:val="20"/>
        </w:rPr>
        <w:t xml:space="preserve"> de la cepa B 1.4 en medio MEA.</w:t>
      </w:r>
      <w:r w:rsidR="00971EDD">
        <w:rPr>
          <w:i w:val="0"/>
          <w:iCs w:val="0"/>
          <w:color w:val="auto"/>
          <w:sz w:val="20"/>
          <w:szCs w:val="20"/>
        </w:rPr>
        <w:t xml:space="preserve"> (100x).</w:t>
      </w:r>
      <w:r w:rsidR="00971EDD" w:rsidRPr="4447C96C">
        <w:rPr>
          <w:i w:val="0"/>
          <w:iCs w:val="0"/>
          <w:color w:val="auto"/>
          <w:sz w:val="20"/>
          <w:szCs w:val="20"/>
        </w:rPr>
        <w:t xml:space="preserve"> </w:t>
      </w:r>
      <w:r w:rsidRPr="4447C96C">
        <w:rPr>
          <w:i w:val="0"/>
          <w:iCs w:val="0"/>
          <w:color w:val="auto"/>
          <w:sz w:val="20"/>
          <w:szCs w:val="20"/>
        </w:rPr>
        <w:t xml:space="preserve"> G)</w:t>
      </w:r>
      <w:r w:rsidR="005204D3">
        <w:rPr>
          <w:i w:val="0"/>
          <w:iCs w:val="0"/>
          <w:color w:val="auto"/>
          <w:sz w:val="20"/>
          <w:szCs w:val="20"/>
        </w:rPr>
        <w:t xml:space="preserve"> Esporas de la cepa </w:t>
      </w:r>
      <w:r w:rsidR="009751AA">
        <w:rPr>
          <w:i w:val="0"/>
          <w:iCs w:val="0"/>
          <w:color w:val="auto"/>
          <w:sz w:val="20"/>
          <w:szCs w:val="20"/>
        </w:rPr>
        <w:t>B 1.5. (100x).</w:t>
      </w:r>
      <w:r w:rsidR="009751AA" w:rsidRPr="4447C96C">
        <w:rPr>
          <w:i w:val="0"/>
          <w:iCs w:val="0"/>
          <w:color w:val="auto"/>
          <w:sz w:val="20"/>
          <w:szCs w:val="20"/>
        </w:rPr>
        <w:t xml:space="preserve"> </w:t>
      </w:r>
      <w:r w:rsidRPr="4447C96C">
        <w:rPr>
          <w:i w:val="0"/>
          <w:iCs w:val="0"/>
          <w:color w:val="auto"/>
          <w:sz w:val="20"/>
          <w:szCs w:val="20"/>
        </w:rPr>
        <w:t xml:space="preserve"> </w:t>
      </w:r>
      <w:r w:rsidR="009751AA" w:rsidRPr="4447C96C">
        <w:rPr>
          <w:i w:val="0"/>
          <w:iCs w:val="0"/>
          <w:color w:val="auto"/>
          <w:sz w:val="20"/>
          <w:szCs w:val="20"/>
        </w:rPr>
        <w:t>H) Conidióforo de la cepa B 1.6.</w:t>
      </w:r>
      <w:r w:rsidR="009751AA">
        <w:rPr>
          <w:i w:val="0"/>
          <w:iCs w:val="0"/>
          <w:color w:val="auto"/>
          <w:sz w:val="20"/>
          <w:szCs w:val="20"/>
        </w:rPr>
        <w:t xml:space="preserve"> (100x).</w:t>
      </w:r>
      <w:r w:rsidR="009751AA" w:rsidRPr="4447C96C">
        <w:rPr>
          <w:i w:val="0"/>
          <w:iCs w:val="0"/>
          <w:color w:val="auto"/>
          <w:sz w:val="20"/>
          <w:szCs w:val="20"/>
        </w:rPr>
        <w:t xml:space="preserve">  </w:t>
      </w:r>
      <w:r w:rsidR="005204D3" w:rsidRPr="4447C96C">
        <w:rPr>
          <w:i w:val="0"/>
          <w:iCs w:val="0"/>
          <w:color w:val="auto"/>
          <w:sz w:val="20"/>
          <w:szCs w:val="20"/>
        </w:rPr>
        <w:t xml:space="preserve">I) </w:t>
      </w:r>
      <w:r w:rsidR="00995F5A">
        <w:rPr>
          <w:i w:val="0"/>
          <w:iCs w:val="0"/>
          <w:color w:val="auto"/>
          <w:sz w:val="20"/>
          <w:szCs w:val="20"/>
        </w:rPr>
        <w:t>Cél</w:t>
      </w:r>
      <w:r w:rsidR="00163A4F">
        <w:rPr>
          <w:i w:val="0"/>
          <w:iCs w:val="0"/>
          <w:color w:val="auto"/>
          <w:sz w:val="20"/>
          <w:szCs w:val="20"/>
        </w:rPr>
        <w:t xml:space="preserve">ula escudo </w:t>
      </w:r>
      <w:r w:rsidR="005204D3">
        <w:rPr>
          <w:i w:val="0"/>
          <w:iCs w:val="0"/>
          <w:color w:val="auto"/>
          <w:sz w:val="20"/>
          <w:szCs w:val="20"/>
        </w:rPr>
        <w:t xml:space="preserve">característica </w:t>
      </w:r>
      <w:r w:rsidR="00163A4F">
        <w:rPr>
          <w:i w:val="0"/>
          <w:iCs w:val="0"/>
          <w:color w:val="auto"/>
          <w:sz w:val="20"/>
          <w:szCs w:val="20"/>
        </w:rPr>
        <w:t xml:space="preserve">del género </w:t>
      </w:r>
      <w:r w:rsidR="00163A4F" w:rsidRPr="00163A4F">
        <w:rPr>
          <w:color w:val="auto"/>
          <w:sz w:val="20"/>
          <w:szCs w:val="20"/>
        </w:rPr>
        <w:t>Cladosporium sp.</w:t>
      </w:r>
      <w:r w:rsidRPr="4447C96C">
        <w:rPr>
          <w:i w:val="0"/>
          <w:iCs w:val="0"/>
          <w:color w:val="auto"/>
          <w:sz w:val="20"/>
          <w:szCs w:val="20"/>
        </w:rPr>
        <w:t xml:space="preserve"> </w:t>
      </w:r>
      <w:r w:rsidR="005204D3">
        <w:rPr>
          <w:i w:val="0"/>
          <w:iCs w:val="0"/>
          <w:color w:val="auto"/>
          <w:sz w:val="20"/>
          <w:szCs w:val="20"/>
        </w:rPr>
        <w:t xml:space="preserve">de la cepa B 1.6 </w:t>
      </w:r>
      <w:r w:rsidR="00971EDD">
        <w:rPr>
          <w:i w:val="0"/>
          <w:iCs w:val="0"/>
          <w:color w:val="auto"/>
          <w:sz w:val="20"/>
          <w:szCs w:val="20"/>
        </w:rPr>
        <w:t>(100x).</w:t>
      </w:r>
      <w:r w:rsidR="00971EDD" w:rsidRPr="4447C96C">
        <w:rPr>
          <w:i w:val="0"/>
          <w:iCs w:val="0"/>
          <w:color w:val="auto"/>
          <w:sz w:val="20"/>
          <w:szCs w:val="20"/>
        </w:rPr>
        <w:t xml:space="preserve"> </w:t>
      </w:r>
      <w:r w:rsidRPr="4447C96C">
        <w:rPr>
          <w:i w:val="0"/>
          <w:iCs w:val="0"/>
          <w:color w:val="auto"/>
          <w:sz w:val="20"/>
          <w:szCs w:val="20"/>
        </w:rPr>
        <w:t xml:space="preserve">J) Conidióforo de la cepa B 2.2. </w:t>
      </w:r>
      <w:r w:rsidR="00163A4F">
        <w:rPr>
          <w:i w:val="0"/>
          <w:iCs w:val="0"/>
          <w:color w:val="auto"/>
          <w:sz w:val="20"/>
          <w:szCs w:val="20"/>
        </w:rPr>
        <w:t>(100x).</w:t>
      </w:r>
      <w:r w:rsidR="00163A4F" w:rsidRPr="4447C96C">
        <w:rPr>
          <w:i w:val="0"/>
          <w:iCs w:val="0"/>
          <w:color w:val="auto"/>
          <w:sz w:val="20"/>
          <w:szCs w:val="20"/>
        </w:rPr>
        <w:t xml:space="preserve"> </w:t>
      </w:r>
      <w:r w:rsidRPr="4447C96C">
        <w:rPr>
          <w:i w:val="0"/>
          <w:iCs w:val="0"/>
          <w:color w:val="auto"/>
          <w:sz w:val="20"/>
          <w:szCs w:val="20"/>
        </w:rPr>
        <w:t>K) Conidióforo de la cepa B 3.2</w:t>
      </w:r>
      <w:r w:rsidR="0018061A">
        <w:rPr>
          <w:i w:val="0"/>
          <w:iCs w:val="0"/>
          <w:color w:val="auto"/>
          <w:sz w:val="20"/>
          <w:szCs w:val="20"/>
        </w:rPr>
        <w:t>. (100x).</w:t>
      </w:r>
      <w:r w:rsidR="0018061A" w:rsidRPr="4447C96C">
        <w:rPr>
          <w:i w:val="0"/>
          <w:iCs w:val="0"/>
          <w:color w:val="auto"/>
          <w:sz w:val="20"/>
          <w:szCs w:val="20"/>
        </w:rPr>
        <w:t xml:space="preserve"> </w:t>
      </w:r>
      <w:r w:rsidRPr="4447C96C">
        <w:rPr>
          <w:i w:val="0"/>
          <w:iCs w:val="0"/>
          <w:color w:val="auto"/>
          <w:sz w:val="20"/>
          <w:szCs w:val="20"/>
        </w:rPr>
        <w:t xml:space="preserve"> L) Conidióforo de la cepa B 6.1. </w:t>
      </w:r>
      <w:r w:rsidR="0018061A">
        <w:rPr>
          <w:i w:val="0"/>
          <w:iCs w:val="0"/>
          <w:color w:val="auto"/>
          <w:sz w:val="20"/>
          <w:szCs w:val="20"/>
        </w:rPr>
        <w:t>(100x).</w:t>
      </w:r>
      <w:r w:rsidR="0018061A" w:rsidRPr="4447C96C">
        <w:rPr>
          <w:i w:val="0"/>
          <w:iCs w:val="0"/>
          <w:color w:val="auto"/>
          <w:sz w:val="20"/>
          <w:szCs w:val="20"/>
        </w:rPr>
        <w:t xml:space="preserve"> </w:t>
      </w:r>
      <w:r w:rsidRPr="4447C96C">
        <w:rPr>
          <w:i w:val="0"/>
          <w:iCs w:val="0"/>
          <w:color w:val="auto"/>
          <w:sz w:val="20"/>
          <w:szCs w:val="20"/>
        </w:rPr>
        <w:t>M) Conidióforo de la cepa B 6.2.</w:t>
      </w:r>
      <w:bookmarkEnd w:id="106"/>
      <w:r w:rsidR="0018061A">
        <w:rPr>
          <w:i w:val="0"/>
          <w:iCs w:val="0"/>
          <w:color w:val="auto"/>
          <w:sz w:val="20"/>
          <w:szCs w:val="20"/>
        </w:rPr>
        <w:t xml:space="preserve"> (100x).</w:t>
      </w:r>
      <w:bookmarkEnd w:id="107"/>
    </w:p>
    <w:p w14:paraId="72E61074" w14:textId="5735023D" w:rsidR="008C4BAF" w:rsidRPr="005C5965" w:rsidRDefault="4447C96C" w:rsidP="00367F1D">
      <w:pPr>
        <w:pStyle w:val="Descripcin"/>
        <w:rPr>
          <w:i w:val="0"/>
          <w:iCs w:val="0"/>
          <w:color w:val="auto"/>
          <w:sz w:val="20"/>
          <w:szCs w:val="20"/>
        </w:rPr>
      </w:pPr>
      <w:r w:rsidRPr="4447C96C">
        <w:rPr>
          <w:b/>
          <w:bCs/>
          <w:i w:val="0"/>
          <w:iCs w:val="0"/>
          <w:color w:val="auto"/>
          <w:sz w:val="20"/>
          <w:szCs w:val="20"/>
        </w:rPr>
        <w:t xml:space="preserve">  </w:t>
      </w:r>
    </w:p>
    <w:p w14:paraId="76B2E9EE" w14:textId="00D6CA29" w:rsidR="00C92B87" w:rsidRDefault="4447C96C" w:rsidP="4447C96C">
      <w:pPr>
        <w:ind w:firstLine="708"/>
        <w:rPr>
          <w:rFonts w:eastAsia="Times New Roman" w:cs="Times New Roman"/>
          <w:color w:val="000000"/>
          <w:lang w:eastAsia="es-CR"/>
        </w:rPr>
      </w:pPr>
      <w:r w:rsidRPr="4447C96C">
        <w:rPr>
          <w:rFonts w:eastAsia="Times New Roman" w:cs="Times New Roman"/>
          <w:color w:val="000000" w:themeColor="text1"/>
          <w:lang w:eastAsia="es-CR"/>
        </w:rPr>
        <w:lastRenderedPageBreak/>
        <w:t xml:space="preserve">La presencia o ausencia de NaCl en el medio de cultivo Mueller Hinton fue un factor que influyó en la actividad antibacteriana de los hongos contra algunas de las bacterias ESKAPE utilizadas. En la mayoría de los casos la actividad antibacteriana fue mayor o se presentó únicamente cuando el medio de cultivo no contenía NaCl (Figura 6).  También se determinó que la inhibición del crecimiento bacteriano por efecto de los hongos marinos disminuyó a las 48 h de incubación, en el medio de cultivo sin NaCl para la A 1.2 contra </w:t>
      </w:r>
      <w:r w:rsidRPr="4447C96C">
        <w:rPr>
          <w:rFonts w:eastAsia="Times New Roman" w:cs="Times New Roman"/>
          <w:i/>
          <w:iCs/>
          <w:color w:val="000000" w:themeColor="text1"/>
          <w:lang w:eastAsia="es-CR"/>
        </w:rPr>
        <w:t>E. faecium</w:t>
      </w:r>
      <w:r w:rsidRPr="4447C96C">
        <w:rPr>
          <w:rFonts w:eastAsia="Times New Roman" w:cs="Times New Roman"/>
          <w:color w:val="000000" w:themeColor="text1"/>
          <w:lang w:eastAsia="es-CR"/>
        </w:rPr>
        <w:t xml:space="preserve"> y </w:t>
      </w:r>
      <w:r w:rsidRPr="4447C96C">
        <w:rPr>
          <w:rFonts w:eastAsia="Times New Roman" w:cs="Times New Roman"/>
          <w:i/>
          <w:iCs/>
          <w:color w:val="000000" w:themeColor="text1"/>
          <w:lang w:eastAsia="es-CR"/>
        </w:rPr>
        <w:t>P. aeruginosa</w:t>
      </w:r>
      <w:r w:rsidRPr="4447C96C">
        <w:rPr>
          <w:rFonts w:eastAsia="Times New Roman" w:cs="Times New Roman"/>
          <w:color w:val="000000" w:themeColor="text1"/>
          <w:lang w:eastAsia="es-CR"/>
        </w:rPr>
        <w:t xml:space="preserve">, B 3.2 contra </w:t>
      </w:r>
      <w:r w:rsidRPr="4447C96C">
        <w:rPr>
          <w:rFonts w:eastAsia="Times New Roman" w:cs="Times New Roman"/>
          <w:i/>
          <w:iCs/>
          <w:color w:val="000000" w:themeColor="text1"/>
          <w:lang w:eastAsia="es-CR"/>
        </w:rPr>
        <w:t>S. aureus</w:t>
      </w:r>
      <w:r w:rsidRPr="4447C96C">
        <w:rPr>
          <w:rFonts w:eastAsia="Times New Roman" w:cs="Times New Roman"/>
          <w:color w:val="000000" w:themeColor="text1"/>
          <w:lang w:eastAsia="es-CR"/>
        </w:rPr>
        <w:t xml:space="preserve"> y </w:t>
      </w:r>
      <w:r w:rsidRPr="4447C96C">
        <w:rPr>
          <w:rFonts w:eastAsia="Times New Roman" w:cs="Times New Roman"/>
          <w:i/>
          <w:iCs/>
          <w:color w:val="000000" w:themeColor="text1"/>
          <w:lang w:eastAsia="es-CR"/>
        </w:rPr>
        <w:t>A. baumannii</w:t>
      </w:r>
      <w:r w:rsidRPr="4447C96C">
        <w:rPr>
          <w:rFonts w:eastAsia="Times New Roman" w:cs="Times New Roman"/>
          <w:color w:val="000000" w:themeColor="text1"/>
          <w:lang w:eastAsia="es-CR"/>
        </w:rPr>
        <w:t xml:space="preserve">, A 4.1 contra </w:t>
      </w:r>
      <w:r w:rsidRPr="4447C96C">
        <w:rPr>
          <w:rFonts w:eastAsia="Times New Roman" w:cs="Times New Roman"/>
          <w:i/>
          <w:iCs/>
          <w:color w:val="000000" w:themeColor="text1"/>
          <w:lang w:eastAsia="es-CR"/>
        </w:rPr>
        <w:t>E. faecium</w:t>
      </w:r>
      <w:r w:rsidRPr="4447C96C">
        <w:rPr>
          <w:rFonts w:eastAsia="Times New Roman" w:cs="Times New Roman"/>
          <w:color w:val="000000" w:themeColor="text1"/>
          <w:lang w:eastAsia="es-CR"/>
        </w:rPr>
        <w:t xml:space="preserve"> y </w:t>
      </w:r>
      <w:r w:rsidRPr="4447C96C">
        <w:rPr>
          <w:rFonts w:eastAsia="Times New Roman" w:cs="Times New Roman"/>
          <w:i/>
          <w:iCs/>
          <w:color w:val="000000" w:themeColor="text1"/>
          <w:lang w:eastAsia="es-CR"/>
        </w:rPr>
        <w:t>A. baumannii</w:t>
      </w:r>
      <w:r w:rsidRPr="4447C96C">
        <w:rPr>
          <w:rFonts w:eastAsia="Times New Roman" w:cs="Times New Roman"/>
          <w:color w:val="000000" w:themeColor="text1"/>
          <w:lang w:eastAsia="es-CR"/>
        </w:rPr>
        <w:t xml:space="preserve"> y la cepa B 6.1 contra </w:t>
      </w:r>
      <w:r w:rsidRPr="4447C96C">
        <w:rPr>
          <w:rFonts w:eastAsia="Times New Roman" w:cs="Times New Roman"/>
          <w:i/>
          <w:iCs/>
          <w:color w:val="000000" w:themeColor="text1"/>
          <w:lang w:eastAsia="es-CR"/>
        </w:rPr>
        <w:t xml:space="preserve">P. aeruginosa </w:t>
      </w:r>
      <w:r w:rsidRPr="4447C96C">
        <w:rPr>
          <w:rFonts w:eastAsia="Times New Roman" w:cs="Times New Roman"/>
          <w:color w:val="000000" w:themeColor="text1"/>
          <w:lang w:eastAsia="es-CR"/>
        </w:rPr>
        <w:t xml:space="preserve">como en el medio d cultivo sin NaCl para las cepas y E. hormaechei. </w:t>
      </w:r>
    </w:p>
    <w:p w14:paraId="1E4DF2D4" w14:textId="116E4E58" w:rsidR="4447C96C" w:rsidRDefault="00A31B4C" w:rsidP="4447C96C">
      <w:pPr>
        <w:keepNext/>
        <w:spacing w:after="0" w:line="240" w:lineRule="auto"/>
        <w:jc w:val="center"/>
      </w:pPr>
      <w:r>
        <w:rPr>
          <w:noProof/>
        </w:rPr>
        <mc:AlternateContent>
          <mc:Choice Requires="wps">
            <w:drawing>
              <wp:anchor distT="0" distB="0" distL="114300" distR="114300" simplePos="0" relativeHeight="251658240" behindDoc="0" locked="0" layoutInCell="1" allowOverlap="1" wp14:anchorId="4FC04462" wp14:editId="6F773272">
                <wp:simplePos x="0" y="0"/>
                <wp:positionH relativeFrom="column">
                  <wp:posOffset>3258646</wp:posOffset>
                </wp:positionH>
                <wp:positionV relativeFrom="paragraph">
                  <wp:posOffset>1100455</wp:posOffset>
                </wp:positionV>
                <wp:extent cx="70338" cy="0"/>
                <wp:effectExtent l="0" t="0" r="0" b="0"/>
                <wp:wrapNone/>
                <wp:docPr id="717366526" name="Conector recto 3"/>
                <wp:cNvGraphicFramePr/>
                <a:graphic xmlns:a="http://schemas.openxmlformats.org/drawingml/2006/main">
                  <a:graphicData uri="http://schemas.microsoft.com/office/word/2010/wordprocessingShape">
                    <wps:wsp>
                      <wps:cNvCnPr/>
                      <wps:spPr>
                        <a:xfrm>
                          <a:off x="0" y="0"/>
                          <a:ext cx="70338" cy="0"/>
                        </a:xfrm>
                        <a:prstGeom prst="line">
                          <a:avLst/>
                        </a:prstGeom>
                        <a:ln w="12700">
                          <a:solidFill>
                            <a:srgbClr val="3E77CA"/>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59B7AA" id="Conector recto 3"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256.6pt,86.65pt" to="262.15pt,8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" strokecolor="#3e77ca" strokeweight="1pt">
                <v:stroke joinstyle="miter"/>
              </v:line>
            </w:pict>
          </mc:Fallback>
        </mc:AlternateContent>
      </w:r>
      <w:r w:rsidR="00BF4ADC">
        <w:rPr>
          <w:noProof/>
        </w:rPr>
        <w:drawing>
          <wp:inline distT="0" distB="0" distL="0" distR="0" wp14:anchorId="61282E70" wp14:editId="3E297944">
            <wp:extent cx="5943600" cy="4457700"/>
            <wp:effectExtent l="0" t="0" r="0" b="0"/>
            <wp:docPr id="1557038151" name="Imagen 1" descr="Escala de tie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038151" name="Imagen 1" descr="Escala de tiempo&#10;&#10;Descripción generada automáticamente con confianza media"/>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5D042A78" w14:textId="53EB4D9A" w:rsidR="4447C96C" w:rsidRDefault="4447C96C" w:rsidP="4447C96C">
      <w:pPr>
        <w:pStyle w:val="Descripcin"/>
        <w:rPr>
          <w:rFonts w:eastAsia="Times New Roman"/>
          <w:i w:val="0"/>
          <w:iCs w:val="0"/>
          <w:color w:val="auto"/>
          <w:sz w:val="20"/>
          <w:szCs w:val="20"/>
          <w:lang w:eastAsia="es-CR"/>
        </w:rPr>
      </w:pPr>
      <w:bookmarkStart w:id="108" w:name="_Toc138574968"/>
      <w:bookmarkStart w:id="109" w:name="_Toc142272975"/>
      <w:r w:rsidRPr="4447C96C">
        <w:rPr>
          <w:b/>
          <w:bCs/>
          <w:i w:val="0"/>
          <w:iCs w:val="0"/>
          <w:color w:val="auto"/>
        </w:rPr>
        <w:t xml:space="preserve">Figura  </w:t>
      </w:r>
      <w:r w:rsidRPr="4447C96C">
        <w:rPr>
          <w:b/>
          <w:bCs/>
          <w:i w:val="0"/>
          <w:iCs w:val="0"/>
          <w:color w:val="auto"/>
        </w:rPr>
        <w:fldChar w:fldCharType="begin"/>
      </w:r>
      <w:r w:rsidRPr="4447C96C">
        <w:rPr>
          <w:b/>
          <w:bCs/>
          <w:i w:val="0"/>
          <w:iCs w:val="0"/>
          <w:color w:val="auto"/>
        </w:rPr>
        <w:instrText xml:space="preserve"> SEQ Figura_ \* ARABIC </w:instrText>
      </w:r>
      <w:r w:rsidRPr="4447C96C">
        <w:rPr>
          <w:b/>
          <w:bCs/>
          <w:i w:val="0"/>
          <w:iCs w:val="0"/>
          <w:color w:val="auto"/>
        </w:rPr>
        <w:fldChar w:fldCharType="separate"/>
      </w:r>
      <w:r w:rsidRPr="4447C96C">
        <w:rPr>
          <w:b/>
          <w:bCs/>
          <w:i w:val="0"/>
          <w:iCs w:val="0"/>
          <w:noProof/>
          <w:color w:val="auto"/>
        </w:rPr>
        <w:t>6</w:t>
      </w:r>
      <w:r w:rsidRPr="4447C96C">
        <w:rPr>
          <w:b/>
          <w:bCs/>
          <w:i w:val="0"/>
          <w:iCs w:val="0"/>
          <w:color w:val="auto"/>
        </w:rPr>
        <w:fldChar w:fldCharType="end"/>
      </w:r>
      <w:r w:rsidRPr="4447C96C">
        <w:rPr>
          <w:b/>
          <w:bCs/>
          <w:i w:val="0"/>
          <w:iCs w:val="0"/>
          <w:color w:val="auto"/>
        </w:rPr>
        <w:t>.</w:t>
      </w:r>
      <w:r w:rsidRPr="4447C96C">
        <w:rPr>
          <w:rFonts w:eastAsia="Times New Roman"/>
          <w:b/>
          <w:bCs/>
          <w:lang w:eastAsia="es-CR"/>
        </w:rPr>
        <w:t>.</w:t>
      </w:r>
      <w:r w:rsidRPr="4447C96C">
        <w:rPr>
          <w:rFonts w:eastAsia="Times New Roman"/>
          <w:sz w:val="22"/>
          <w:szCs w:val="22"/>
          <w:lang w:eastAsia="es-CR"/>
        </w:rPr>
        <w:t xml:space="preserve"> </w:t>
      </w:r>
      <w:r w:rsidRPr="4447C96C">
        <w:rPr>
          <w:rFonts w:eastAsia="Times New Roman"/>
          <w:i w:val="0"/>
          <w:iCs w:val="0"/>
          <w:color w:val="auto"/>
          <w:sz w:val="20"/>
          <w:szCs w:val="20"/>
          <w:lang w:eastAsia="es-CR"/>
        </w:rPr>
        <w:t>Actividad antibacteriana de las cepas de hongos marinos aisladas de sedimentos del manglar de Puntarenas, Costa Rica, contra bacterianas ESKAPE, en Mueller Hinton con y sin 2% NaCl e incubando por 24 y 48 h.</w:t>
      </w:r>
      <w:bookmarkEnd w:id="108"/>
      <w:bookmarkEnd w:id="109"/>
    </w:p>
    <w:p w14:paraId="0B923FB8" w14:textId="5BF91F2A" w:rsidR="4447C96C" w:rsidRDefault="4447C96C" w:rsidP="4447C96C">
      <w:pPr>
        <w:ind w:firstLine="708"/>
        <w:rPr>
          <w:rFonts w:eastAsia="Times New Roman" w:cs="Times New Roman"/>
          <w:color w:val="000000" w:themeColor="text1"/>
          <w:lang w:eastAsia="es-CR"/>
        </w:rPr>
      </w:pPr>
    </w:p>
    <w:p w14:paraId="04FB0FC6" w14:textId="3B819904" w:rsidR="00974476" w:rsidRDefault="00F91B69" w:rsidP="00974476">
      <w:pPr>
        <w:ind w:firstLine="708"/>
        <w:rPr>
          <w:rFonts w:eastAsia="Times New Roman" w:cs="Times New Roman"/>
          <w:bCs/>
          <w:color w:val="000000"/>
          <w:szCs w:val="24"/>
          <w:lang w:eastAsia="es-CR"/>
        </w:rPr>
      </w:pPr>
      <w:r>
        <w:rPr>
          <w:rFonts w:eastAsia="Times New Roman" w:cs="Times New Roman"/>
          <w:bCs/>
          <w:color w:val="000000"/>
          <w:szCs w:val="24"/>
          <w:lang w:eastAsia="es-CR"/>
        </w:rPr>
        <w:t>La</w:t>
      </w:r>
      <w:r w:rsidR="00974476">
        <w:rPr>
          <w:rFonts w:eastAsia="Times New Roman" w:cs="Times New Roman"/>
          <w:bCs/>
          <w:color w:val="000000"/>
          <w:szCs w:val="24"/>
          <w:lang w:eastAsia="es-CR"/>
        </w:rPr>
        <w:t xml:space="preserve"> cepa A 1.2 mostró actividad</w:t>
      </w:r>
      <w:r>
        <w:rPr>
          <w:rFonts w:eastAsia="Times New Roman" w:cs="Times New Roman"/>
          <w:bCs/>
          <w:color w:val="000000"/>
          <w:szCs w:val="24"/>
          <w:lang w:eastAsia="es-CR"/>
        </w:rPr>
        <w:t xml:space="preserve"> antibacteriana completa</w:t>
      </w:r>
      <w:r w:rsidR="005439FB">
        <w:rPr>
          <w:rFonts w:eastAsia="Times New Roman" w:cs="Times New Roman"/>
          <w:bCs/>
          <w:color w:val="000000"/>
          <w:szCs w:val="24"/>
          <w:lang w:eastAsia="es-CR"/>
        </w:rPr>
        <w:t xml:space="preserve"> para </w:t>
      </w:r>
      <w:r w:rsidR="007039A2">
        <w:rPr>
          <w:rFonts w:eastAsia="Times New Roman" w:cs="Times New Roman"/>
          <w:bCs/>
          <w:i/>
          <w:iCs/>
          <w:color w:val="000000"/>
          <w:szCs w:val="24"/>
          <w:lang w:eastAsia="es-CR"/>
        </w:rPr>
        <w:t xml:space="preserve">E. faecium, </w:t>
      </w:r>
      <w:r w:rsidR="005439FB">
        <w:rPr>
          <w:rFonts w:eastAsia="Times New Roman" w:cs="Times New Roman"/>
          <w:bCs/>
          <w:i/>
          <w:iCs/>
          <w:color w:val="000000"/>
          <w:szCs w:val="24"/>
          <w:lang w:eastAsia="es-CR"/>
        </w:rPr>
        <w:t xml:space="preserve">P. aeruginosa </w:t>
      </w:r>
      <w:r w:rsidR="005439FB">
        <w:rPr>
          <w:rFonts w:eastAsia="Times New Roman" w:cs="Times New Roman"/>
          <w:bCs/>
          <w:color w:val="000000"/>
          <w:szCs w:val="24"/>
          <w:lang w:eastAsia="es-CR"/>
        </w:rPr>
        <w:t xml:space="preserve">y </w:t>
      </w:r>
      <w:r w:rsidR="005439FB">
        <w:rPr>
          <w:rFonts w:eastAsia="Times New Roman" w:cs="Times New Roman"/>
          <w:bCs/>
          <w:i/>
          <w:iCs/>
          <w:color w:val="000000"/>
          <w:szCs w:val="24"/>
          <w:lang w:eastAsia="es-CR"/>
        </w:rPr>
        <w:t>S. aureus</w:t>
      </w:r>
      <w:r>
        <w:rPr>
          <w:rFonts w:eastAsia="Times New Roman" w:cs="Times New Roman"/>
          <w:bCs/>
          <w:color w:val="000000"/>
          <w:szCs w:val="24"/>
          <w:lang w:eastAsia="es-CR"/>
        </w:rPr>
        <w:t xml:space="preserve">, </w:t>
      </w:r>
      <w:r w:rsidR="00C63760">
        <w:rPr>
          <w:rFonts w:eastAsia="Times New Roman" w:cs="Times New Roman"/>
          <w:bCs/>
          <w:color w:val="000000"/>
          <w:szCs w:val="24"/>
          <w:lang w:eastAsia="es-CR"/>
        </w:rPr>
        <w:t>y disminuyó</w:t>
      </w:r>
      <w:r w:rsidR="005569CE">
        <w:rPr>
          <w:rFonts w:eastAsia="Times New Roman" w:cs="Times New Roman"/>
          <w:bCs/>
          <w:color w:val="000000"/>
          <w:szCs w:val="24"/>
          <w:lang w:eastAsia="es-CR"/>
        </w:rPr>
        <w:t xml:space="preserve"> el</w:t>
      </w:r>
      <w:r w:rsidR="00974476">
        <w:rPr>
          <w:rFonts w:eastAsia="Times New Roman" w:cs="Times New Roman"/>
          <w:bCs/>
          <w:color w:val="000000"/>
          <w:szCs w:val="24"/>
          <w:lang w:eastAsia="es-CR"/>
        </w:rPr>
        <w:t xml:space="preserve"> crecimiento de</w:t>
      </w:r>
      <w:r w:rsidR="00974476">
        <w:rPr>
          <w:rFonts w:eastAsia="Times New Roman" w:cs="Times New Roman"/>
          <w:bCs/>
          <w:i/>
          <w:iCs/>
          <w:color w:val="000000"/>
          <w:szCs w:val="24"/>
          <w:lang w:eastAsia="es-CR"/>
        </w:rPr>
        <w:t xml:space="preserve"> </w:t>
      </w:r>
      <w:r w:rsidR="00974476">
        <w:rPr>
          <w:rFonts w:eastAsia="Times New Roman" w:cs="Times New Roman"/>
          <w:bCs/>
          <w:color w:val="000000"/>
          <w:szCs w:val="24"/>
          <w:lang w:eastAsia="es-CR"/>
        </w:rPr>
        <w:t>y</w:t>
      </w:r>
      <w:r w:rsidR="00974476">
        <w:rPr>
          <w:rFonts w:eastAsia="Times New Roman" w:cs="Times New Roman"/>
          <w:bCs/>
          <w:i/>
          <w:iCs/>
          <w:color w:val="000000"/>
          <w:szCs w:val="24"/>
          <w:lang w:eastAsia="es-CR"/>
        </w:rPr>
        <w:t xml:space="preserve"> K. pneumoniae</w:t>
      </w:r>
      <w:r w:rsidR="005439FB">
        <w:rPr>
          <w:rFonts w:eastAsia="Times New Roman" w:cs="Times New Roman"/>
          <w:bCs/>
          <w:i/>
          <w:iCs/>
          <w:color w:val="000000"/>
          <w:szCs w:val="24"/>
          <w:lang w:eastAsia="es-CR"/>
        </w:rPr>
        <w:t xml:space="preserve">, </w:t>
      </w:r>
      <w:r w:rsidR="00314DEC">
        <w:rPr>
          <w:rFonts w:eastAsia="Times New Roman" w:cs="Times New Roman"/>
          <w:bCs/>
          <w:color w:val="000000"/>
          <w:szCs w:val="24"/>
          <w:lang w:eastAsia="es-CR"/>
        </w:rPr>
        <w:t>únicamente, en el medio de cultivo sin NaCl</w:t>
      </w:r>
      <w:r w:rsidR="00974476">
        <w:rPr>
          <w:rFonts w:eastAsia="Times New Roman" w:cs="Times New Roman"/>
          <w:bCs/>
          <w:i/>
          <w:iCs/>
          <w:color w:val="000000"/>
          <w:szCs w:val="24"/>
          <w:lang w:eastAsia="es-CR"/>
        </w:rPr>
        <w:t>.</w:t>
      </w:r>
      <w:r w:rsidR="00974476">
        <w:rPr>
          <w:rFonts w:eastAsia="Times New Roman" w:cs="Times New Roman"/>
          <w:bCs/>
          <w:color w:val="000000"/>
          <w:szCs w:val="24"/>
          <w:lang w:eastAsia="es-CR"/>
        </w:rPr>
        <w:t xml:space="preserve"> </w:t>
      </w:r>
      <w:r w:rsidR="005569CE">
        <w:rPr>
          <w:rFonts w:eastAsia="Times New Roman" w:cs="Times New Roman"/>
          <w:bCs/>
          <w:color w:val="000000"/>
          <w:szCs w:val="24"/>
          <w:lang w:eastAsia="es-CR"/>
        </w:rPr>
        <w:t>La</w:t>
      </w:r>
      <w:r w:rsidR="00974476">
        <w:rPr>
          <w:rFonts w:eastAsia="Times New Roman" w:cs="Times New Roman"/>
          <w:bCs/>
          <w:color w:val="000000"/>
          <w:szCs w:val="24"/>
          <w:lang w:eastAsia="es-CR"/>
        </w:rPr>
        <w:t xml:space="preserve"> cepa A 4.1 </w:t>
      </w:r>
      <w:r w:rsidR="005569CE">
        <w:rPr>
          <w:rFonts w:eastAsia="Times New Roman" w:cs="Times New Roman"/>
          <w:bCs/>
          <w:color w:val="000000"/>
          <w:szCs w:val="24"/>
          <w:lang w:eastAsia="es-CR"/>
        </w:rPr>
        <w:t>inhibió el</w:t>
      </w:r>
      <w:r w:rsidR="00974476">
        <w:rPr>
          <w:rFonts w:eastAsia="Times New Roman" w:cs="Times New Roman"/>
          <w:bCs/>
          <w:color w:val="000000"/>
          <w:szCs w:val="24"/>
          <w:lang w:eastAsia="es-CR"/>
        </w:rPr>
        <w:t xml:space="preserve"> crecimiento de </w:t>
      </w:r>
      <w:r w:rsidR="00974476">
        <w:rPr>
          <w:rFonts w:eastAsia="Times New Roman" w:cs="Times New Roman"/>
          <w:bCs/>
          <w:i/>
          <w:iCs/>
          <w:color w:val="000000"/>
          <w:szCs w:val="24"/>
          <w:lang w:eastAsia="es-CR"/>
        </w:rPr>
        <w:t xml:space="preserve">S. </w:t>
      </w:r>
      <w:r w:rsidR="008B0E93">
        <w:rPr>
          <w:rFonts w:eastAsia="Times New Roman" w:cs="Times New Roman"/>
          <w:bCs/>
          <w:i/>
          <w:iCs/>
          <w:color w:val="000000"/>
          <w:szCs w:val="24"/>
          <w:lang w:eastAsia="es-CR"/>
        </w:rPr>
        <w:t>aureus</w:t>
      </w:r>
      <w:r w:rsidR="008B0E93" w:rsidRPr="00702AD5">
        <w:rPr>
          <w:rFonts w:eastAsia="Times New Roman" w:cs="Times New Roman"/>
          <w:bCs/>
          <w:i/>
          <w:iCs/>
          <w:color w:val="000000"/>
          <w:szCs w:val="24"/>
          <w:lang w:eastAsia="es-CR"/>
        </w:rPr>
        <w:t xml:space="preserve"> </w:t>
      </w:r>
      <w:r w:rsidR="008B0E93">
        <w:rPr>
          <w:rFonts w:eastAsia="Times New Roman" w:cs="Times New Roman"/>
          <w:bCs/>
          <w:color w:val="000000"/>
          <w:szCs w:val="24"/>
          <w:lang w:eastAsia="es-CR"/>
        </w:rPr>
        <w:t>solo</w:t>
      </w:r>
      <w:r w:rsidR="00526869">
        <w:rPr>
          <w:rFonts w:eastAsia="Times New Roman" w:cs="Times New Roman"/>
          <w:bCs/>
          <w:color w:val="000000"/>
          <w:szCs w:val="24"/>
          <w:lang w:eastAsia="es-CR"/>
        </w:rPr>
        <w:t xml:space="preserve"> </w:t>
      </w:r>
      <w:r w:rsidR="005569CE">
        <w:rPr>
          <w:rFonts w:eastAsia="Times New Roman" w:cs="Times New Roman"/>
          <w:bCs/>
          <w:color w:val="000000"/>
          <w:szCs w:val="24"/>
          <w:lang w:eastAsia="es-CR"/>
        </w:rPr>
        <w:t>en el</w:t>
      </w:r>
      <w:r w:rsidR="00974476">
        <w:rPr>
          <w:rFonts w:eastAsia="Times New Roman" w:cs="Times New Roman"/>
          <w:bCs/>
          <w:color w:val="000000"/>
          <w:szCs w:val="24"/>
          <w:lang w:eastAsia="es-CR"/>
        </w:rPr>
        <w:t xml:space="preserve"> medio</w:t>
      </w:r>
      <w:r w:rsidR="005569CE">
        <w:rPr>
          <w:rFonts w:eastAsia="Times New Roman" w:cs="Times New Roman"/>
          <w:bCs/>
          <w:color w:val="000000"/>
          <w:szCs w:val="24"/>
          <w:lang w:eastAsia="es-CR"/>
        </w:rPr>
        <w:t xml:space="preserve"> de cultivo</w:t>
      </w:r>
      <w:r w:rsidR="00974476">
        <w:rPr>
          <w:rFonts w:eastAsia="Times New Roman" w:cs="Times New Roman"/>
          <w:bCs/>
          <w:color w:val="000000"/>
          <w:szCs w:val="24"/>
          <w:lang w:eastAsia="es-CR"/>
        </w:rPr>
        <w:t xml:space="preserve"> sin </w:t>
      </w:r>
      <w:r w:rsidR="005569CE">
        <w:rPr>
          <w:rFonts w:eastAsia="Times New Roman" w:cs="Times New Roman"/>
          <w:bCs/>
          <w:color w:val="000000"/>
          <w:szCs w:val="24"/>
          <w:lang w:eastAsia="es-CR"/>
        </w:rPr>
        <w:t>NaCl</w:t>
      </w:r>
      <w:r w:rsidR="005439FB">
        <w:rPr>
          <w:rFonts w:eastAsia="Times New Roman" w:cs="Times New Roman"/>
          <w:bCs/>
          <w:color w:val="000000"/>
          <w:szCs w:val="24"/>
          <w:lang w:eastAsia="es-CR"/>
        </w:rPr>
        <w:t xml:space="preserve">. Para </w:t>
      </w:r>
      <w:r w:rsidR="00974476" w:rsidRPr="00160E1B">
        <w:rPr>
          <w:rFonts w:eastAsia="Times New Roman" w:cs="Times New Roman"/>
          <w:bCs/>
          <w:i/>
          <w:iCs/>
          <w:color w:val="000000"/>
          <w:szCs w:val="24"/>
          <w:lang w:eastAsia="es-CR"/>
        </w:rPr>
        <w:t>E. faecium,</w:t>
      </w:r>
      <w:r w:rsidR="005439FB">
        <w:rPr>
          <w:rFonts w:eastAsia="Times New Roman" w:cs="Times New Roman"/>
          <w:bCs/>
          <w:i/>
          <w:iCs/>
          <w:color w:val="000000"/>
          <w:szCs w:val="24"/>
          <w:lang w:eastAsia="es-CR"/>
        </w:rPr>
        <w:t xml:space="preserve"> </w:t>
      </w:r>
      <w:r w:rsidR="005439FB">
        <w:rPr>
          <w:rFonts w:eastAsia="Times New Roman" w:cs="Times New Roman"/>
          <w:bCs/>
          <w:color w:val="000000"/>
          <w:szCs w:val="24"/>
          <w:lang w:eastAsia="es-CR"/>
        </w:rPr>
        <w:t>la actividad antibacteriana fue mayor en el medio de cultivo sin NaCl</w:t>
      </w:r>
      <w:r w:rsidR="00314DEC">
        <w:rPr>
          <w:rFonts w:eastAsia="Times New Roman" w:cs="Times New Roman"/>
          <w:bCs/>
          <w:color w:val="000000"/>
          <w:szCs w:val="24"/>
          <w:lang w:eastAsia="es-CR"/>
        </w:rPr>
        <w:t xml:space="preserve">. </w:t>
      </w:r>
      <w:r w:rsidR="00CA49F4">
        <w:rPr>
          <w:rFonts w:eastAsia="Times New Roman" w:cs="Times New Roman"/>
          <w:bCs/>
          <w:color w:val="000000"/>
          <w:szCs w:val="24"/>
          <w:lang w:eastAsia="es-CR"/>
        </w:rPr>
        <w:t xml:space="preserve">Esta </w:t>
      </w:r>
      <w:r w:rsidR="00526869">
        <w:rPr>
          <w:rFonts w:eastAsia="Times New Roman" w:cs="Times New Roman"/>
          <w:bCs/>
          <w:color w:val="000000"/>
          <w:szCs w:val="24"/>
          <w:lang w:eastAsia="es-CR"/>
        </w:rPr>
        <w:t>cepa</w:t>
      </w:r>
      <w:r w:rsidR="00CA49F4">
        <w:rPr>
          <w:rFonts w:eastAsia="Times New Roman" w:cs="Times New Roman"/>
          <w:bCs/>
          <w:color w:val="000000"/>
          <w:szCs w:val="24"/>
          <w:lang w:eastAsia="es-CR"/>
        </w:rPr>
        <w:t xml:space="preserve"> </w:t>
      </w:r>
      <w:r w:rsidR="00CA49F4">
        <w:rPr>
          <w:rFonts w:eastAsia="Times New Roman" w:cs="Times New Roman"/>
          <w:bCs/>
          <w:color w:val="000000"/>
          <w:szCs w:val="24"/>
          <w:lang w:eastAsia="es-CR"/>
        </w:rPr>
        <w:lastRenderedPageBreak/>
        <w:t>fúngica fue la</w:t>
      </w:r>
      <w:r w:rsidR="00526869">
        <w:rPr>
          <w:rFonts w:eastAsia="Times New Roman" w:cs="Times New Roman"/>
          <w:bCs/>
          <w:color w:val="000000"/>
          <w:szCs w:val="24"/>
          <w:lang w:eastAsia="es-CR"/>
        </w:rPr>
        <w:t xml:space="preserve"> únic</w:t>
      </w:r>
      <w:r w:rsidR="00CA49F4">
        <w:rPr>
          <w:rFonts w:eastAsia="Times New Roman" w:cs="Times New Roman"/>
          <w:bCs/>
          <w:color w:val="000000"/>
          <w:szCs w:val="24"/>
          <w:lang w:eastAsia="es-CR"/>
        </w:rPr>
        <w:t>a</w:t>
      </w:r>
      <w:r w:rsidR="00526869">
        <w:rPr>
          <w:rFonts w:eastAsia="Times New Roman" w:cs="Times New Roman"/>
          <w:bCs/>
          <w:color w:val="000000"/>
          <w:szCs w:val="24"/>
          <w:lang w:eastAsia="es-CR"/>
        </w:rPr>
        <w:t xml:space="preserve"> </w:t>
      </w:r>
      <w:r w:rsidR="00314DEC">
        <w:rPr>
          <w:rFonts w:eastAsia="Times New Roman" w:cs="Times New Roman"/>
          <w:bCs/>
          <w:color w:val="000000"/>
          <w:szCs w:val="24"/>
          <w:lang w:eastAsia="es-CR"/>
        </w:rPr>
        <w:t>que mostró mayor actividad antibacteriana</w:t>
      </w:r>
      <w:r w:rsidR="00CA49F4">
        <w:rPr>
          <w:rFonts w:eastAsia="Times New Roman" w:cs="Times New Roman"/>
          <w:bCs/>
          <w:color w:val="000000"/>
          <w:szCs w:val="24"/>
          <w:lang w:eastAsia="es-CR"/>
        </w:rPr>
        <w:t xml:space="preserve"> en el medio de cultivo con NaCl, específicamente,</w:t>
      </w:r>
      <w:r w:rsidR="00314DEC">
        <w:rPr>
          <w:rFonts w:eastAsia="Times New Roman" w:cs="Times New Roman"/>
          <w:bCs/>
          <w:color w:val="000000"/>
          <w:szCs w:val="24"/>
          <w:lang w:eastAsia="es-CR"/>
        </w:rPr>
        <w:t xml:space="preserve"> </w:t>
      </w:r>
      <w:r w:rsidR="005439FB">
        <w:rPr>
          <w:rFonts w:eastAsia="Times New Roman" w:cs="Times New Roman"/>
          <w:bCs/>
          <w:color w:val="000000"/>
          <w:szCs w:val="24"/>
          <w:lang w:eastAsia="es-CR"/>
        </w:rPr>
        <w:t>para</w:t>
      </w:r>
      <w:r w:rsidR="00974476">
        <w:rPr>
          <w:rFonts w:eastAsia="Times New Roman" w:cs="Times New Roman"/>
          <w:bCs/>
          <w:color w:val="000000"/>
          <w:szCs w:val="24"/>
          <w:lang w:eastAsia="es-CR"/>
        </w:rPr>
        <w:t xml:space="preserve"> </w:t>
      </w:r>
      <w:r w:rsidR="00974476">
        <w:rPr>
          <w:rFonts w:eastAsia="Times New Roman" w:cs="Times New Roman"/>
          <w:bCs/>
          <w:i/>
          <w:iCs/>
          <w:color w:val="000000"/>
          <w:szCs w:val="24"/>
          <w:lang w:eastAsia="es-CR"/>
        </w:rPr>
        <w:t xml:space="preserve">E. hormaechei </w:t>
      </w:r>
      <w:r w:rsidR="00974476">
        <w:rPr>
          <w:rFonts w:eastAsia="Times New Roman" w:cs="Times New Roman"/>
          <w:bCs/>
          <w:color w:val="000000"/>
          <w:szCs w:val="24"/>
          <w:lang w:eastAsia="es-CR"/>
        </w:rPr>
        <w:t xml:space="preserve">y </w:t>
      </w:r>
      <w:r w:rsidR="00974476">
        <w:rPr>
          <w:rFonts w:eastAsia="Times New Roman" w:cs="Times New Roman"/>
          <w:bCs/>
          <w:i/>
          <w:iCs/>
          <w:color w:val="000000"/>
          <w:szCs w:val="24"/>
          <w:lang w:eastAsia="es-CR"/>
        </w:rPr>
        <w:t xml:space="preserve">A. </w:t>
      </w:r>
      <w:r w:rsidR="008B0E93">
        <w:rPr>
          <w:rFonts w:eastAsia="Times New Roman" w:cs="Times New Roman"/>
          <w:bCs/>
          <w:i/>
          <w:iCs/>
          <w:color w:val="000000"/>
          <w:szCs w:val="24"/>
          <w:lang w:eastAsia="es-CR"/>
        </w:rPr>
        <w:t>baumannii</w:t>
      </w:r>
      <w:r w:rsidR="008B0E93">
        <w:rPr>
          <w:rFonts w:eastAsia="Times New Roman" w:cs="Times New Roman"/>
          <w:bCs/>
          <w:color w:val="000000"/>
          <w:szCs w:val="24"/>
          <w:lang w:eastAsia="es-CR"/>
        </w:rPr>
        <w:t>.</w:t>
      </w:r>
    </w:p>
    <w:p w14:paraId="2E98C5D2" w14:textId="64D15B3F" w:rsidR="00974476" w:rsidRPr="007C3B1A" w:rsidRDefault="00CA49F4" w:rsidP="00974476">
      <w:pPr>
        <w:ind w:firstLine="708"/>
        <w:rPr>
          <w:rFonts w:eastAsia="Times New Roman" w:cs="Times New Roman"/>
          <w:bCs/>
          <w:color w:val="000000"/>
          <w:szCs w:val="24"/>
          <w:lang w:eastAsia="es-CR"/>
        </w:rPr>
      </w:pPr>
      <w:r>
        <w:rPr>
          <w:rFonts w:eastAsia="Times New Roman" w:cs="Times New Roman"/>
          <w:bCs/>
          <w:color w:val="000000"/>
          <w:szCs w:val="24"/>
          <w:lang w:eastAsia="es-CR"/>
        </w:rPr>
        <w:t>La</w:t>
      </w:r>
      <w:r w:rsidR="00974476">
        <w:rPr>
          <w:rFonts w:eastAsia="Times New Roman" w:cs="Times New Roman"/>
          <w:bCs/>
          <w:color w:val="000000"/>
          <w:szCs w:val="24"/>
          <w:lang w:eastAsia="es-CR"/>
        </w:rPr>
        <w:t xml:space="preserve"> cepa B 3.2 mostró actividad </w:t>
      </w:r>
      <w:r>
        <w:rPr>
          <w:rFonts w:eastAsia="Times New Roman" w:cs="Times New Roman"/>
          <w:bCs/>
          <w:color w:val="000000"/>
          <w:szCs w:val="24"/>
          <w:lang w:eastAsia="es-CR"/>
        </w:rPr>
        <w:t xml:space="preserve">antibacteriana </w:t>
      </w:r>
      <w:r w:rsidR="00974476">
        <w:rPr>
          <w:rFonts w:eastAsia="Times New Roman" w:cs="Times New Roman"/>
          <w:bCs/>
          <w:color w:val="000000"/>
          <w:szCs w:val="24"/>
          <w:lang w:eastAsia="es-CR"/>
        </w:rPr>
        <w:t>mayor en el medio</w:t>
      </w:r>
      <w:r>
        <w:rPr>
          <w:rFonts w:eastAsia="Times New Roman" w:cs="Times New Roman"/>
          <w:bCs/>
          <w:color w:val="000000"/>
          <w:szCs w:val="24"/>
          <w:lang w:eastAsia="es-CR"/>
        </w:rPr>
        <w:t xml:space="preserve"> de cultivo </w:t>
      </w:r>
      <w:r w:rsidR="00974476">
        <w:rPr>
          <w:rFonts w:eastAsia="Times New Roman" w:cs="Times New Roman"/>
          <w:bCs/>
          <w:color w:val="000000"/>
          <w:szCs w:val="24"/>
          <w:lang w:eastAsia="es-CR"/>
        </w:rPr>
        <w:t xml:space="preserve">sin </w:t>
      </w:r>
      <w:r>
        <w:rPr>
          <w:rFonts w:eastAsia="Times New Roman" w:cs="Times New Roman"/>
          <w:bCs/>
          <w:color w:val="000000"/>
          <w:szCs w:val="24"/>
          <w:lang w:eastAsia="es-CR"/>
        </w:rPr>
        <w:t xml:space="preserve">NaCl </w:t>
      </w:r>
      <w:r w:rsidR="00974476">
        <w:rPr>
          <w:rFonts w:eastAsia="Times New Roman" w:cs="Times New Roman"/>
          <w:bCs/>
          <w:color w:val="000000"/>
          <w:szCs w:val="24"/>
          <w:lang w:eastAsia="es-CR"/>
        </w:rPr>
        <w:t xml:space="preserve">contra </w:t>
      </w:r>
      <w:r w:rsidR="00974476">
        <w:rPr>
          <w:rFonts w:eastAsia="Times New Roman" w:cs="Times New Roman"/>
          <w:bCs/>
          <w:i/>
          <w:iCs/>
          <w:color w:val="000000"/>
          <w:szCs w:val="24"/>
          <w:lang w:eastAsia="es-CR"/>
        </w:rPr>
        <w:t>S. aureus</w:t>
      </w:r>
      <w:r>
        <w:rPr>
          <w:rFonts w:eastAsia="Times New Roman" w:cs="Times New Roman"/>
          <w:bCs/>
          <w:i/>
          <w:iCs/>
          <w:color w:val="000000"/>
          <w:szCs w:val="24"/>
          <w:lang w:eastAsia="es-CR"/>
        </w:rPr>
        <w:t>,</w:t>
      </w:r>
      <w:r w:rsidR="00974476">
        <w:rPr>
          <w:rFonts w:eastAsia="Times New Roman" w:cs="Times New Roman"/>
          <w:bCs/>
          <w:color w:val="000000"/>
          <w:szCs w:val="24"/>
          <w:lang w:eastAsia="es-CR"/>
        </w:rPr>
        <w:t xml:space="preserve"> </w:t>
      </w:r>
      <w:r>
        <w:rPr>
          <w:rFonts w:eastAsia="Times New Roman" w:cs="Times New Roman"/>
          <w:bCs/>
          <w:i/>
          <w:iCs/>
          <w:color w:val="000000"/>
          <w:szCs w:val="24"/>
          <w:lang w:eastAsia="es-CR"/>
        </w:rPr>
        <w:t>E. faecium</w:t>
      </w:r>
      <w:r>
        <w:rPr>
          <w:rFonts w:eastAsia="Times New Roman" w:cs="Times New Roman"/>
          <w:bCs/>
          <w:color w:val="000000"/>
          <w:szCs w:val="24"/>
          <w:lang w:eastAsia="es-CR"/>
        </w:rPr>
        <w:t xml:space="preserve"> </w:t>
      </w:r>
      <w:r w:rsidR="00974476">
        <w:rPr>
          <w:rFonts w:eastAsia="Times New Roman" w:cs="Times New Roman"/>
          <w:bCs/>
          <w:color w:val="000000"/>
          <w:szCs w:val="24"/>
          <w:lang w:eastAsia="es-CR"/>
        </w:rPr>
        <w:t xml:space="preserve">y </w:t>
      </w:r>
      <w:r w:rsidR="00974476">
        <w:rPr>
          <w:rFonts w:eastAsia="Times New Roman" w:cs="Times New Roman"/>
          <w:bCs/>
          <w:i/>
          <w:iCs/>
          <w:color w:val="000000"/>
          <w:szCs w:val="24"/>
          <w:lang w:eastAsia="es-CR"/>
        </w:rPr>
        <w:t xml:space="preserve">A. baumannii, </w:t>
      </w:r>
      <w:r w:rsidR="00974476">
        <w:rPr>
          <w:rFonts w:eastAsia="Times New Roman" w:cs="Times New Roman"/>
          <w:bCs/>
          <w:color w:val="000000"/>
          <w:szCs w:val="24"/>
          <w:lang w:eastAsia="es-CR"/>
        </w:rPr>
        <w:t xml:space="preserve">sin embargo, para </w:t>
      </w:r>
      <w:r w:rsidR="0001092B">
        <w:rPr>
          <w:rFonts w:eastAsia="Times New Roman" w:cs="Times New Roman"/>
          <w:bCs/>
          <w:color w:val="000000"/>
          <w:szCs w:val="24"/>
          <w:lang w:eastAsia="es-CR"/>
        </w:rPr>
        <w:t>ésta</w:t>
      </w:r>
      <w:r w:rsidR="00974476">
        <w:rPr>
          <w:rFonts w:eastAsia="Times New Roman" w:cs="Times New Roman"/>
          <w:bCs/>
          <w:color w:val="000000"/>
          <w:szCs w:val="24"/>
          <w:lang w:eastAsia="es-CR"/>
        </w:rPr>
        <w:t xml:space="preserve"> </w:t>
      </w:r>
      <w:r w:rsidR="0001092B">
        <w:rPr>
          <w:rFonts w:eastAsia="Times New Roman" w:cs="Times New Roman"/>
          <w:bCs/>
          <w:color w:val="000000"/>
          <w:szCs w:val="24"/>
          <w:lang w:eastAsia="es-CR"/>
        </w:rPr>
        <w:t xml:space="preserve">última bacteria, </w:t>
      </w:r>
      <w:r w:rsidR="00974476">
        <w:rPr>
          <w:rFonts w:eastAsia="Times New Roman" w:cs="Times New Roman"/>
          <w:bCs/>
          <w:color w:val="000000"/>
          <w:szCs w:val="24"/>
          <w:lang w:eastAsia="es-CR"/>
        </w:rPr>
        <w:t xml:space="preserve">la actividad disminuyó completamente </w:t>
      </w:r>
      <w:r w:rsidR="0001092B">
        <w:rPr>
          <w:rFonts w:eastAsia="Times New Roman" w:cs="Times New Roman"/>
          <w:bCs/>
          <w:color w:val="000000"/>
          <w:szCs w:val="24"/>
          <w:lang w:eastAsia="es-CR"/>
        </w:rPr>
        <w:t xml:space="preserve">a </w:t>
      </w:r>
      <w:r w:rsidR="00974476">
        <w:rPr>
          <w:rFonts w:eastAsia="Times New Roman" w:cs="Times New Roman"/>
          <w:bCs/>
          <w:color w:val="000000"/>
          <w:szCs w:val="24"/>
          <w:lang w:eastAsia="es-CR"/>
        </w:rPr>
        <w:t xml:space="preserve">las 48 h. </w:t>
      </w:r>
      <w:r w:rsidR="0001092B">
        <w:rPr>
          <w:rFonts w:eastAsia="Times New Roman" w:cs="Times New Roman"/>
          <w:bCs/>
          <w:color w:val="000000"/>
          <w:szCs w:val="24"/>
          <w:lang w:eastAsia="es-CR"/>
        </w:rPr>
        <w:t>Para</w:t>
      </w:r>
      <w:r w:rsidR="00974476">
        <w:rPr>
          <w:rFonts w:eastAsia="Times New Roman" w:cs="Times New Roman"/>
          <w:bCs/>
          <w:color w:val="000000"/>
          <w:szCs w:val="24"/>
          <w:lang w:eastAsia="es-CR"/>
        </w:rPr>
        <w:t xml:space="preserve"> </w:t>
      </w:r>
      <w:r w:rsidR="00974476">
        <w:rPr>
          <w:rFonts w:eastAsia="Times New Roman" w:cs="Times New Roman"/>
          <w:bCs/>
          <w:i/>
          <w:iCs/>
          <w:color w:val="000000"/>
          <w:szCs w:val="24"/>
          <w:lang w:eastAsia="es-CR"/>
        </w:rPr>
        <w:t>E. hormaechei</w:t>
      </w:r>
      <w:r w:rsidR="00974476">
        <w:rPr>
          <w:rFonts w:eastAsia="Times New Roman" w:cs="Times New Roman"/>
          <w:bCs/>
          <w:color w:val="000000"/>
          <w:szCs w:val="24"/>
          <w:lang w:eastAsia="es-CR"/>
        </w:rPr>
        <w:t xml:space="preserve"> </w:t>
      </w:r>
      <w:r w:rsidR="0001092B">
        <w:rPr>
          <w:rFonts w:eastAsia="Times New Roman" w:cs="Times New Roman"/>
          <w:bCs/>
          <w:color w:val="000000"/>
          <w:szCs w:val="24"/>
          <w:lang w:eastAsia="es-CR"/>
        </w:rPr>
        <w:t xml:space="preserve">se registró </w:t>
      </w:r>
      <w:r w:rsidR="00974476">
        <w:rPr>
          <w:rFonts w:eastAsia="Times New Roman" w:cs="Times New Roman"/>
          <w:bCs/>
          <w:color w:val="000000"/>
          <w:szCs w:val="24"/>
          <w:lang w:eastAsia="es-CR"/>
        </w:rPr>
        <w:t xml:space="preserve">una inhibición similar en ambos medios de cultivo, pero mostrando cambios en el comportamiento de la inhibición </w:t>
      </w:r>
      <w:r w:rsidR="0001092B">
        <w:rPr>
          <w:rFonts w:eastAsia="Times New Roman" w:cs="Times New Roman"/>
          <w:bCs/>
          <w:color w:val="000000"/>
          <w:szCs w:val="24"/>
          <w:lang w:eastAsia="es-CR"/>
        </w:rPr>
        <w:t>según el tiempo de incubación</w:t>
      </w:r>
      <w:r w:rsidR="00974476">
        <w:rPr>
          <w:rFonts w:eastAsia="Times New Roman" w:cs="Times New Roman"/>
          <w:bCs/>
          <w:color w:val="000000"/>
          <w:szCs w:val="24"/>
          <w:lang w:eastAsia="es-CR"/>
        </w:rPr>
        <w:t>.</w:t>
      </w:r>
      <w:r w:rsidR="003428FB">
        <w:rPr>
          <w:rFonts w:eastAsia="Times New Roman" w:cs="Times New Roman"/>
          <w:bCs/>
          <w:color w:val="000000"/>
          <w:szCs w:val="24"/>
          <w:lang w:eastAsia="es-CR"/>
        </w:rPr>
        <w:t xml:space="preserve"> </w:t>
      </w:r>
      <w:r w:rsidR="00974476">
        <w:rPr>
          <w:rFonts w:eastAsia="Times New Roman" w:cs="Times New Roman"/>
          <w:bCs/>
          <w:color w:val="000000"/>
          <w:szCs w:val="24"/>
          <w:lang w:eastAsia="es-CR"/>
        </w:rPr>
        <w:t xml:space="preserve">Finalmente, las cepas B 6.1 y B 6.2 inhibieron la menor cantidad de bacterias, únicamente mostraron actividad </w:t>
      </w:r>
      <w:r w:rsidR="00717717">
        <w:rPr>
          <w:rFonts w:eastAsia="Times New Roman" w:cs="Times New Roman"/>
          <w:bCs/>
          <w:color w:val="000000"/>
          <w:szCs w:val="24"/>
          <w:lang w:eastAsia="es-CR"/>
        </w:rPr>
        <w:t xml:space="preserve">antibacteriana </w:t>
      </w:r>
      <w:r w:rsidR="00974476">
        <w:rPr>
          <w:rFonts w:eastAsia="Times New Roman" w:cs="Times New Roman"/>
          <w:bCs/>
          <w:color w:val="000000"/>
          <w:szCs w:val="24"/>
          <w:lang w:eastAsia="es-CR"/>
        </w:rPr>
        <w:t xml:space="preserve">en el medio </w:t>
      </w:r>
      <w:r w:rsidR="0001092B">
        <w:rPr>
          <w:rFonts w:eastAsia="Times New Roman" w:cs="Times New Roman"/>
          <w:bCs/>
          <w:color w:val="000000"/>
          <w:szCs w:val="24"/>
          <w:lang w:eastAsia="es-CR"/>
        </w:rPr>
        <w:t xml:space="preserve">de cultivo </w:t>
      </w:r>
      <w:r w:rsidR="00974476">
        <w:rPr>
          <w:rFonts w:eastAsia="Times New Roman" w:cs="Times New Roman"/>
          <w:bCs/>
          <w:color w:val="000000"/>
          <w:szCs w:val="24"/>
          <w:lang w:eastAsia="es-CR"/>
        </w:rPr>
        <w:t xml:space="preserve">sin </w:t>
      </w:r>
      <w:r w:rsidR="0001092B">
        <w:rPr>
          <w:rFonts w:eastAsia="Times New Roman" w:cs="Times New Roman"/>
          <w:bCs/>
          <w:color w:val="000000"/>
          <w:szCs w:val="24"/>
          <w:lang w:eastAsia="es-CR"/>
        </w:rPr>
        <w:t xml:space="preserve">NaCl </w:t>
      </w:r>
      <w:r w:rsidR="00974476">
        <w:rPr>
          <w:rFonts w:eastAsia="Times New Roman" w:cs="Times New Roman"/>
          <w:bCs/>
          <w:color w:val="000000"/>
          <w:szCs w:val="24"/>
          <w:lang w:eastAsia="es-CR"/>
        </w:rPr>
        <w:t xml:space="preserve">contra </w:t>
      </w:r>
      <w:r w:rsidR="00974476">
        <w:rPr>
          <w:rFonts w:eastAsia="Times New Roman" w:cs="Times New Roman"/>
          <w:bCs/>
          <w:i/>
          <w:iCs/>
          <w:color w:val="000000"/>
          <w:szCs w:val="24"/>
          <w:lang w:eastAsia="es-CR"/>
        </w:rPr>
        <w:t xml:space="preserve">P. aeruginosa </w:t>
      </w:r>
      <w:r w:rsidR="00974476">
        <w:rPr>
          <w:rFonts w:eastAsia="Times New Roman" w:cs="Times New Roman"/>
          <w:bCs/>
          <w:color w:val="000000"/>
          <w:szCs w:val="24"/>
          <w:lang w:eastAsia="es-CR"/>
        </w:rPr>
        <w:t xml:space="preserve">y </w:t>
      </w:r>
      <w:r w:rsidR="00974476">
        <w:rPr>
          <w:rFonts w:eastAsia="Times New Roman" w:cs="Times New Roman"/>
          <w:bCs/>
          <w:i/>
          <w:iCs/>
          <w:color w:val="000000"/>
          <w:szCs w:val="24"/>
          <w:lang w:eastAsia="es-CR"/>
        </w:rPr>
        <w:t xml:space="preserve">K. pneumoniae, </w:t>
      </w:r>
      <w:r w:rsidR="00974476">
        <w:rPr>
          <w:rFonts w:eastAsia="Times New Roman" w:cs="Times New Roman"/>
          <w:bCs/>
          <w:color w:val="000000"/>
          <w:szCs w:val="24"/>
          <w:lang w:eastAsia="es-CR"/>
        </w:rPr>
        <w:t>respectivamente.</w:t>
      </w:r>
    </w:p>
    <w:p w14:paraId="35E9C72E" w14:textId="2C4B05AB" w:rsidR="00974476" w:rsidRPr="00B72E37" w:rsidRDefault="00974476" w:rsidP="00974476">
      <w:pPr>
        <w:rPr>
          <w:rFonts w:eastAsia="Times New Roman" w:cs="Times New Roman"/>
          <w:bCs/>
          <w:color w:val="000000"/>
          <w:szCs w:val="24"/>
          <w:lang w:eastAsia="es-CR"/>
        </w:rPr>
      </w:pPr>
      <w:r>
        <w:rPr>
          <w:rFonts w:eastAsia="Times New Roman" w:cs="Times New Roman"/>
          <w:bCs/>
          <w:color w:val="000000"/>
          <w:szCs w:val="24"/>
          <w:lang w:eastAsia="es-CR"/>
        </w:rPr>
        <w:tab/>
        <w:t xml:space="preserve">Durante el ensayo control para </w:t>
      </w:r>
      <w:r w:rsidRPr="0044700A">
        <w:rPr>
          <w:rFonts w:eastAsia="Times New Roman" w:cs="Times New Roman"/>
          <w:bCs/>
          <w:color w:val="000000"/>
          <w:szCs w:val="24"/>
          <w:lang w:eastAsia="es-CR"/>
        </w:rPr>
        <w:t xml:space="preserve">determinar la capacidad inhibitoria entre las bacterias </w:t>
      </w:r>
      <w:r w:rsidR="00F0307B">
        <w:rPr>
          <w:rFonts w:eastAsia="Times New Roman" w:cs="Times New Roman"/>
          <w:bCs/>
          <w:color w:val="000000"/>
          <w:szCs w:val="24"/>
          <w:lang w:eastAsia="es-CR"/>
        </w:rPr>
        <w:t xml:space="preserve">ESKAPE utilizadas, se registró </w:t>
      </w:r>
      <w:r>
        <w:rPr>
          <w:rFonts w:eastAsia="Times New Roman" w:cs="Times New Roman"/>
          <w:bCs/>
          <w:color w:val="000000"/>
          <w:szCs w:val="24"/>
          <w:lang w:eastAsia="es-CR"/>
        </w:rPr>
        <w:t xml:space="preserve">que la bacteria </w:t>
      </w:r>
      <w:r>
        <w:rPr>
          <w:rFonts w:eastAsia="Times New Roman" w:cs="Times New Roman"/>
          <w:bCs/>
          <w:i/>
          <w:iCs/>
          <w:color w:val="000000"/>
          <w:szCs w:val="24"/>
          <w:lang w:eastAsia="es-CR"/>
        </w:rPr>
        <w:t xml:space="preserve">P. aeruginosa </w:t>
      </w:r>
      <w:r>
        <w:rPr>
          <w:rFonts w:eastAsia="Times New Roman" w:cs="Times New Roman"/>
          <w:bCs/>
          <w:color w:val="000000"/>
          <w:szCs w:val="24"/>
          <w:lang w:eastAsia="es-CR"/>
        </w:rPr>
        <w:t xml:space="preserve">al ser co-cultivada generaba compuestos que inhibían el crecimiento de </w:t>
      </w:r>
      <w:r>
        <w:rPr>
          <w:rFonts w:eastAsia="Times New Roman" w:cs="Times New Roman"/>
          <w:bCs/>
          <w:i/>
          <w:iCs/>
          <w:color w:val="000000"/>
          <w:szCs w:val="24"/>
          <w:lang w:eastAsia="es-CR"/>
        </w:rPr>
        <w:t xml:space="preserve">K. pneumoniae, A. baumannii </w:t>
      </w:r>
      <w:r>
        <w:rPr>
          <w:rFonts w:eastAsia="Times New Roman" w:cs="Times New Roman"/>
          <w:bCs/>
          <w:color w:val="000000"/>
          <w:szCs w:val="24"/>
          <w:lang w:eastAsia="es-CR"/>
        </w:rPr>
        <w:t xml:space="preserve">y </w:t>
      </w:r>
      <w:r>
        <w:rPr>
          <w:rFonts w:eastAsia="Times New Roman" w:cs="Times New Roman"/>
          <w:bCs/>
          <w:i/>
          <w:iCs/>
          <w:color w:val="000000"/>
          <w:szCs w:val="24"/>
          <w:lang w:eastAsia="es-CR"/>
        </w:rPr>
        <w:t xml:space="preserve">S. aureus. </w:t>
      </w:r>
      <w:r w:rsidRPr="004C1BC6">
        <w:rPr>
          <w:rFonts w:eastAsia="Times New Roman" w:cs="Times New Roman"/>
          <w:bCs/>
          <w:color w:val="000000"/>
          <w:szCs w:val="24"/>
          <w:lang w:eastAsia="es-CR"/>
        </w:rPr>
        <w:t xml:space="preserve">Por su parte, </w:t>
      </w:r>
      <w:r w:rsidRPr="004C1BC6">
        <w:rPr>
          <w:rFonts w:eastAsia="Times New Roman" w:cs="Times New Roman"/>
          <w:bCs/>
          <w:i/>
          <w:iCs/>
          <w:color w:val="000000"/>
          <w:szCs w:val="24"/>
          <w:lang w:eastAsia="es-CR"/>
        </w:rPr>
        <w:t>A. baumannii</w:t>
      </w:r>
      <w:r w:rsidRPr="004C1BC6">
        <w:rPr>
          <w:rFonts w:eastAsia="Times New Roman" w:cs="Times New Roman"/>
          <w:bCs/>
          <w:color w:val="000000"/>
          <w:szCs w:val="24"/>
          <w:lang w:eastAsia="es-CR"/>
        </w:rPr>
        <w:t xml:space="preserve"> inhibió el crecimiento de </w:t>
      </w:r>
      <w:r w:rsidRPr="004C1BC6">
        <w:rPr>
          <w:rFonts w:eastAsia="Times New Roman" w:cs="Times New Roman"/>
          <w:bCs/>
          <w:i/>
          <w:iCs/>
          <w:color w:val="000000"/>
          <w:szCs w:val="24"/>
          <w:lang w:eastAsia="es-CR"/>
        </w:rPr>
        <w:t>K. pneumoniae</w:t>
      </w:r>
      <w:r w:rsidRPr="004C1BC6">
        <w:rPr>
          <w:rFonts w:eastAsia="Times New Roman" w:cs="Times New Roman"/>
          <w:bCs/>
          <w:color w:val="000000"/>
          <w:szCs w:val="24"/>
          <w:lang w:eastAsia="es-CR"/>
        </w:rPr>
        <w:t xml:space="preserve">, mientras que </w:t>
      </w:r>
      <w:r w:rsidRPr="008A4C3B">
        <w:rPr>
          <w:rFonts w:eastAsia="Times New Roman" w:cs="Times New Roman"/>
          <w:bCs/>
          <w:i/>
          <w:iCs/>
          <w:color w:val="000000"/>
          <w:szCs w:val="24"/>
          <w:lang w:eastAsia="es-CR"/>
        </w:rPr>
        <w:t>S. aureus</w:t>
      </w:r>
      <w:r w:rsidRPr="004C1BC6">
        <w:rPr>
          <w:rFonts w:eastAsia="Times New Roman" w:cs="Times New Roman"/>
          <w:bCs/>
          <w:color w:val="000000"/>
          <w:szCs w:val="24"/>
          <w:lang w:eastAsia="es-CR"/>
        </w:rPr>
        <w:t xml:space="preserve"> inhibió parcialmente a </w:t>
      </w:r>
      <w:proofErr w:type="spellStart"/>
      <w:r w:rsidRPr="004C1BC6">
        <w:rPr>
          <w:rFonts w:eastAsia="Times New Roman" w:cs="Times New Roman"/>
          <w:bCs/>
          <w:i/>
          <w:iCs/>
          <w:color w:val="000000"/>
          <w:szCs w:val="24"/>
          <w:lang w:eastAsia="es-CR"/>
        </w:rPr>
        <w:t>A</w:t>
      </w:r>
      <w:proofErr w:type="spellEnd"/>
      <w:r w:rsidRPr="004C1BC6">
        <w:rPr>
          <w:rFonts w:eastAsia="Times New Roman" w:cs="Times New Roman"/>
          <w:bCs/>
          <w:i/>
          <w:iCs/>
          <w:color w:val="000000"/>
          <w:szCs w:val="24"/>
          <w:lang w:eastAsia="es-CR"/>
        </w:rPr>
        <w:t>. baumannii.</w:t>
      </w:r>
      <w:r w:rsidRPr="004C1BC6">
        <w:rPr>
          <w:rFonts w:eastAsia="Times New Roman" w:cs="Times New Roman"/>
          <w:bCs/>
          <w:color w:val="000000"/>
          <w:szCs w:val="24"/>
          <w:lang w:eastAsia="es-CR"/>
        </w:rPr>
        <w:t xml:space="preserve"> Además, el ensayo permitió evidenciar que </w:t>
      </w:r>
      <w:r w:rsidRPr="004C1BC6">
        <w:rPr>
          <w:rFonts w:eastAsia="Times New Roman" w:cs="Times New Roman"/>
          <w:bCs/>
          <w:i/>
          <w:iCs/>
          <w:color w:val="000000"/>
          <w:szCs w:val="24"/>
          <w:lang w:eastAsia="es-CR"/>
        </w:rPr>
        <w:t>K. pneumoniae, E. faecium</w:t>
      </w:r>
      <w:r w:rsidRPr="004C1BC6">
        <w:rPr>
          <w:rFonts w:eastAsia="Times New Roman" w:cs="Times New Roman"/>
          <w:bCs/>
          <w:color w:val="000000"/>
          <w:szCs w:val="24"/>
          <w:lang w:eastAsia="es-CR"/>
        </w:rPr>
        <w:t xml:space="preserve"> y </w:t>
      </w:r>
      <w:r w:rsidRPr="004C1BC6">
        <w:rPr>
          <w:rFonts w:eastAsia="Times New Roman" w:cs="Times New Roman"/>
          <w:bCs/>
          <w:i/>
          <w:iCs/>
          <w:color w:val="000000"/>
          <w:szCs w:val="24"/>
          <w:lang w:eastAsia="es-CR"/>
        </w:rPr>
        <w:t>E. hormaechei</w:t>
      </w:r>
      <w:r w:rsidRPr="004C1BC6">
        <w:rPr>
          <w:rFonts w:eastAsia="Times New Roman" w:cs="Times New Roman"/>
          <w:bCs/>
          <w:color w:val="000000"/>
          <w:szCs w:val="24"/>
          <w:lang w:eastAsia="es-CR"/>
        </w:rPr>
        <w:t xml:space="preserve"> presentaban dificultades para crecer en </w:t>
      </w:r>
      <w:r w:rsidR="00F0307B">
        <w:rPr>
          <w:rFonts w:eastAsia="Times New Roman" w:cs="Times New Roman"/>
          <w:bCs/>
          <w:color w:val="000000"/>
          <w:szCs w:val="24"/>
          <w:lang w:eastAsia="es-CR"/>
        </w:rPr>
        <w:t xml:space="preserve">el </w:t>
      </w:r>
      <w:r w:rsidRPr="004C1BC6">
        <w:rPr>
          <w:rFonts w:eastAsia="Times New Roman" w:cs="Times New Roman"/>
          <w:bCs/>
          <w:color w:val="000000"/>
          <w:szCs w:val="24"/>
          <w:lang w:eastAsia="es-CR"/>
        </w:rPr>
        <w:t xml:space="preserve">medio </w:t>
      </w:r>
      <w:r w:rsidR="00F0307B">
        <w:rPr>
          <w:rFonts w:eastAsia="Times New Roman" w:cs="Times New Roman"/>
          <w:bCs/>
          <w:color w:val="000000"/>
          <w:szCs w:val="24"/>
          <w:lang w:eastAsia="es-CR"/>
        </w:rPr>
        <w:t>de cultivo</w:t>
      </w:r>
      <w:r w:rsidR="00F0307B" w:rsidRPr="004C1BC6">
        <w:rPr>
          <w:rFonts w:eastAsia="Times New Roman" w:cs="Times New Roman"/>
          <w:bCs/>
          <w:color w:val="000000"/>
          <w:szCs w:val="24"/>
          <w:lang w:eastAsia="es-CR"/>
        </w:rPr>
        <w:t xml:space="preserve"> </w:t>
      </w:r>
      <w:r w:rsidRPr="004C1BC6">
        <w:rPr>
          <w:rFonts w:eastAsia="Times New Roman" w:cs="Times New Roman"/>
          <w:bCs/>
          <w:color w:val="000000"/>
          <w:szCs w:val="24"/>
          <w:lang w:eastAsia="es-CR"/>
        </w:rPr>
        <w:t xml:space="preserve">suplementado con 2% de </w:t>
      </w:r>
      <w:r w:rsidR="00F0307B">
        <w:rPr>
          <w:rFonts w:eastAsia="Times New Roman" w:cs="Times New Roman"/>
          <w:bCs/>
          <w:color w:val="000000"/>
          <w:szCs w:val="24"/>
          <w:lang w:eastAsia="es-CR"/>
        </w:rPr>
        <w:t>NaCl</w:t>
      </w:r>
      <w:r w:rsidR="00F0307B" w:rsidRPr="004C1BC6">
        <w:rPr>
          <w:rFonts w:eastAsia="Times New Roman" w:cs="Times New Roman"/>
          <w:bCs/>
          <w:color w:val="000000"/>
          <w:szCs w:val="24"/>
          <w:lang w:eastAsia="es-CR"/>
        </w:rPr>
        <w:t xml:space="preserve"> </w:t>
      </w:r>
      <w:r w:rsidRPr="004C1BC6">
        <w:rPr>
          <w:rFonts w:eastAsia="Times New Roman" w:cs="Times New Roman"/>
          <w:bCs/>
          <w:color w:val="000000"/>
          <w:szCs w:val="24"/>
          <w:lang w:eastAsia="es-CR"/>
        </w:rPr>
        <w:t xml:space="preserve">después de </w:t>
      </w:r>
      <w:r>
        <w:rPr>
          <w:rFonts w:eastAsia="Times New Roman" w:cs="Times New Roman"/>
          <w:bCs/>
          <w:color w:val="000000"/>
          <w:szCs w:val="24"/>
          <w:lang w:eastAsia="es-CR"/>
        </w:rPr>
        <w:t>algunos</w:t>
      </w:r>
      <w:r w:rsidRPr="004C1BC6">
        <w:rPr>
          <w:rFonts w:eastAsia="Times New Roman" w:cs="Times New Roman"/>
          <w:bCs/>
          <w:color w:val="000000"/>
          <w:szCs w:val="24"/>
          <w:lang w:eastAsia="es-CR"/>
        </w:rPr>
        <w:t xml:space="preserve"> días </w:t>
      </w:r>
      <w:r>
        <w:rPr>
          <w:rFonts w:eastAsia="Times New Roman" w:cs="Times New Roman"/>
          <w:bCs/>
          <w:color w:val="000000"/>
          <w:szCs w:val="24"/>
          <w:lang w:eastAsia="es-CR"/>
        </w:rPr>
        <w:t>en incubación</w:t>
      </w:r>
      <w:r w:rsidRPr="004C1BC6">
        <w:rPr>
          <w:rFonts w:eastAsia="Times New Roman" w:cs="Times New Roman"/>
          <w:bCs/>
          <w:color w:val="000000"/>
          <w:szCs w:val="24"/>
          <w:lang w:eastAsia="es-CR"/>
        </w:rPr>
        <w:t>. Estos hallazgos fueron tomados en cuenta al momento de evaluar la actividad antimicrobiana de los hongos marinos</w:t>
      </w:r>
      <w:r w:rsidR="00F0307B">
        <w:rPr>
          <w:rFonts w:eastAsia="Times New Roman" w:cs="Times New Roman"/>
          <w:bCs/>
          <w:color w:val="000000"/>
          <w:szCs w:val="24"/>
          <w:lang w:eastAsia="es-CR"/>
        </w:rPr>
        <w:t xml:space="preserve"> aislados</w:t>
      </w:r>
      <w:r w:rsidRPr="004C1BC6">
        <w:rPr>
          <w:rFonts w:eastAsia="Times New Roman" w:cs="Times New Roman"/>
          <w:bCs/>
          <w:color w:val="000000"/>
          <w:szCs w:val="24"/>
          <w:lang w:eastAsia="es-CR"/>
        </w:rPr>
        <w:t>.</w:t>
      </w:r>
    </w:p>
    <w:p w14:paraId="0EB847C0" w14:textId="126CF9EF" w:rsidR="00BB6573" w:rsidRDefault="4447C96C" w:rsidP="4447C96C">
      <w:pPr>
        <w:spacing w:after="0"/>
        <w:ind w:firstLine="708"/>
        <w:rPr>
          <w:rFonts w:eastAsia="Times New Roman" w:cs="Times New Roman"/>
          <w:color w:val="000000"/>
          <w:lang w:eastAsia="es-CR"/>
        </w:rPr>
      </w:pPr>
      <w:r w:rsidRPr="4447C96C">
        <w:rPr>
          <w:rFonts w:eastAsia="Times New Roman" w:cs="Times New Roman"/>
          <w:color w:val="000000" w:themeColor="text1"/>
          <w:lang w:eastAsia="es-CR"/>
        </w:rPr>
        <w:t xml:space="preserve">Los resultados obtenidos de la actividad antibacteriana de las cepas de hongos aisladas fueron tomadas en cuenta para seleccionar las cepas A 4.1 y B 3.2 para evaluar la actividad antimicrobiana en </w:t>
      </w:r>
      <w:r w:rsidR="00F64762">
        <w:rPr>
          <w:rFonts w:eastAsia="Times New Roman" w:cs="Times New Roman"/>
          <w:color w:val="000000" w:themeColor="text1"/>
          <w:lang w:eastAsia="es-CR"/>
        </w:rPr>
        <w:t>cultivo líquido</w:t>
      </w:r>
      <w:r w:rsidRPr="4447C96C">
        <w:rPr>
          <w:rFonts w:eastAsia="Times New Roman" w:cs="Times New Roman"/>
          <w:color w:val="000000" w:themeColor="text1"/>
          <w:lang w:eastAsia="es-CR"/>
        </w:rPr>
        <w:t xml:space="preserve">. Por otro lado, se escogió la cepa A 2.1, que a pesar de que su actividad en co-cultivo no pudo ser evaluada ya que no logró crecer adecuadamente en el medio de cultivo Mueller Hinton, </w:t>
      </w:r>
      <w:r w:rsidR="00BB6D57">
        <w:rPr>
          <w:rFonts w:eastAsia="Times New Roman" w:cs="Times New Roman"/>
          <w:color w:val="000000" w:themeColor="text1"/>
          <w:lang w:eastAsia="es-CR"/>
        </w:rPr>
        <w:t xml:space="preserve">fue el único aislamiento que produjo </w:t>
      </w:r>
      <w:r w:rsidRPr="4447C96C">
        <w:rPr>
          <w:rFonts w:eastAsia="Times New Roman" w:cs="Times New Roman"/>
          <w:color w:val="000000" w:themeColor="text1"/>
          <w:lang w:eastAsia="es-CR"/>
        </w:rPr>
        <w:t>exudados</w:t>
      </w:r>
      <w:r w:rsidR="00BB6D57">
        <w:rPr>
          <w:rFonts w:eastAsia="Times New Roman" w:cs="Times New Roman"/>
          <w:color w:val="000000" w:themeColor="text1"/>
          <w:lang w:eastAsia="es-CR"/>
        </w:rPr>
        <w:t>, que además</w:t>
      </w:r>
      <w:r w:rsidRPr="4447C96C">
        <w:rPr>
          <w:rFonts w:eastAsia="Times New Roman" w:cs="Times New Roman"/>
          <w:color w:val="000000" w:themeColor="text1"/>
          <w:lang w:eastAsia="es-CR"/>
        </w:rPr>
        <w:t xml:space="preserve"> </w:t>
      </w:r>
      <w:r w:rsidR="00BB6D57">
        <w:rPr>
          <w:rFonts w:eastAsia="Times New Roman" w:cs="Times New Roman"/>
          <w:color w:val="000000" w:themeColor="text1"/>
          <w:lang w:eastAsia="es-CR"/>
        </w:rPr>
        <w:t>mostraron</w:t>
      </w:r>
      <w:r w:rsidRPr="4447C96C">
        <w:rPr>
          <w:rFonts w:eastAsia="Times New Roman" w:cs="Times New Roman"/>
          <w:color w:val="000000" w:themeColor="text1"/>
          <w:lang w:eastAsia="es-CR"/>
        </w:rPr>
        <w:t xml:space="preserve"> la capacidad de inhibir el crecimiento de algunas bacterias.</w:t>
      </w:r>
    </w:p>
    <w:p w14:paraId="2784F2D8" w14:textId="77777777" w:rsidR="006D1132" w:rsidRDefault="006D1132" w:rsidP="4447C96C">
      <w:pPr>
        <w:spacing w:after="0"/>
        <w:ind w:firstLine="708"/>
        <w:rPr>
          <w:rFonts w:eastAsia="Times New Roman" w:cs="Times New Roman"/>
          <w:color w:val="000000"/>
          <w:lang w:eastAsia="es-CR"/>
        </w:rPr>
      </w:pPr>
    </w:p>
    <w:p w14:paraId="00A0B3DD" w14:textId="07B399CC" w:rsidR="00733977" w:rsidRPr="00413E34" w:rsidRDefault="4447C96C" w:rsidP="002D6787">
      <w:pPr>
        <w:pStyle w:val="Titulo20"/>
        <w:numPr>
          <w:ilvl w:val="1"/>
          <w:numId w:val="19"/>
        </w:numPr>
        <w:rPr>
          <w:lang w:eastAsia="es-CR"/>
        </w:rPr>
      </w:pPr>
      <w:r w:rsidRPr="4447C96C">
        <w:rPr>
          <w:lang w:eastAsia="es-CR"/>
        </w:rPr>
        <w:t xml:space="preserve">  </w:t>
      </w:r>
      <w:bookmarkStart w:id="110" w:name="_Toc140204082"/>
      <w:r w:rsidRPr="4447C96C">
        <w:rPr>
          <w:lang w:eastAsia="es-CR"/>
        </w:rPr>
        <w:t>Identificación molecular</w:t>
      </w:r>
      <w:bookmarkEnd w:id="110"/>
      <w:r w:rsidRPr="4447C96C">
        <w:rPr>
          <w:lang w:eastAsia="es-CR"/>
        </w:rPr>
        <w:t xml:space="preserve"> </w:t>
      </w:r>
    </w:p>
    <w:p w14:paraId="718B3C92" w14:textId="6E68CDB1" w:rsidR="006D1132" w:rsidRPr="006D1132" w:rsidRDefault="4447C96C" w:rsidP="4447C96C">
      <w:pPr>
        <w:ind w:firstLine="708"/>
        <w:rPr>
          <w:rFonts w:eastAsia="Times New Roman" w:cs="Times New Roman"/>
          <w:color w:val="000000"/>
          <w:lang w:eastAsia="es-CR"/>
        </w:rPr>
      </w:pPr>
      <w:r w:rsidRPr="4447C96C">
        <w:rPr>
          <w:rFonts w:eastAsia="Times New Roman" w:cs="Times New Roman"/>
          <w:color w:val="000000" w:themeColor="text1"/>
          <w:lang w:eastAsia="es-CR"/>
        </w:rPr>
        <w:t xml:space="preserve">Los alineamientos y posterior obtención de secuencia consenso correspondiente a la región </w:t>
      </w:r>
      <w:r w:rsidRPr="00A63592">
        <w:rPr>
          <w:rFonts w:eastAsia="Times New Roman" w:cs="Times New Roman"/>
          <w:i/>
          <w:iCs/>
          <w:color w:val="000000" w:themeColor="text1"/>
          <w:lang w:eastAsia="es-CR"/>
        </w:rPr>
        <w:t xml:space="preserve">ITS </w:t>
      </w:r>
      <w:r w:rsidRPr="4447C96C">
        <w:rPr>
          <w:rFonts w:eastAsia="Times New Roman" w:cs="Times New Roman"/>
          <w:color w:val="000000" w:themeColor="text1"/>
          <w:lang w:eastAsia="es-CR"/>
        </w:rPr>
        <w:t xml:space="preserve">de los hongos marinos seleccionados y sus características macro y microscópicas, permitieron identificar las cepas a nivel de género. Para la cepa A 2.1 el BlastN mostró altos valores de identidad (99.82%), cobertura (99%) y e-value (0.0) significativo para tres especies del género </w:t>
      </w:r>
      <w:r w:rsidRPr="4447C96C">
        <w:rPr>
          <w:rFonts w:eastAsia="Times New Roman" w:cs="Times New Roman"/>
          <w:i/>
          <w:iCs/>
          <w:color w:val="000000" w:themeColor="text1"/>
          <w:lang w:eastAsia="es-CR"/>
        </w:rPr>
        <w:t xml:space="preserve">Penicillium: P. parvum, P. paraherquei </w:t>
      </w:r>
      <w:r w:rsidRPr="4447C96C">
        <w:rPr>
          <w:rFonts w:eastAsia="Times New Roman" w:cs="Times New Roman"/>
          <w:color w:val="000000" w:themeColor="text1"/>
          <w:lang w:eastAsia="es-CR"/>
        </w:rPr>
        <w:t>y</w:t>
      </w:r>
      <w:r w:rsidRPr="4447C96C">
        <w:rPr>
          <w:rFonts w:eastAsia="Times New Roman" w:cs="Times New Roman"/>
          <w:i/>
          <w:iCs/>
          <w:color w:val="000000" w:themeColor="text1"/>
          <w:lang w:eastAsia="es-CR"/>
        </w:rPr>
        <w:t xml:space="preserve"> P. senticosum</w:t>
      </w:r>
      <w:r w:rsidRPr="4447C96C">
        <w:rPr>
          <w:rFonts w:eastAsia="Times New Roman" w:cs="Times New Roman"/>
          <w:color w:val="000000" w:themeColor="text1"/>
          <w:lang w:eastAsia="es-CR"/>
        </w:rPr>
        <w:t xml:space="preserve">. La cepa B 3.2 se asoció al género </w:t>
      </w:r>
      <w:r w:rsidRPr="4447C96C">
        <w:rPr>
          <w:rFonts w:eastAsia="Times New Roman" w:cs="Times New Roman"/>
          <w:i/>
          <w:iCs/>
          <w:color w:val="000000" w:themeColor="text1"/>
          <w:lang w:eastAsia="es-CR"/>
        </w:rPr>
        <w:lastRenderedPageBreak/>
        <w:t>Aspergillus</w:t>
      </w:r>
      <w:r w:rsidRPr="4447C96C">
        <w:rPr>
          <w:rFonts w:eastAsia="Times New Roman" w:cs="Times New Roman"/>
          <w:color w:val="000000" w:themeColor="text1"/>
          <w:lang w:eastAsia="es-CR"/>
        </w:rPr>
        <w:t xml:space="preserve"> con altos valores de similitud (100%), cobertura (99%) y e-value (0.0) significativo para </w:t>
      </w:r>
      <w:r w:rsidRPr="4447C96C">
        <w:rPr>
          <w:rFonts w:eastAsia="Times New Roman" w:cs="Times New Roman"/>
          <w:i/>
          <w:iCs/>
          <w:color w:val="000000" w:themeColor="text1"/>
          <w:lang w:eastAsia="es-CR"/>
        </w:rPr>
        <w:t xml:space="preserve">A. tamarii </w:t>
      </w:r>
      <w:r w:rsidRPr="4447C96C">
        <w:rPr>
          <w:rFonts w:eastAsia="Times New Roman" w:cs="Times New Roman"/>
          <w:color w:val="000000" w:themeColor="text1"/>
          <w:lang w:eastAsia="es-CR"/>
        </w:rPr>
        <w:t>y</w:t>
      </w:r>
      <w:r w:rsidRPr="4447C96C">
        <w:rPr>
          <w:rFonts w:eastAsia="Times New Roman" w:cs="Times New Roman"/>
          <w:i/>
          <w:iCs/>
          <w:color w:val="000000" w:themeColor="text1"/>
          <w:lang w:eastAsia="es-CR"/>
        </w:rPr>
        <w:t xml:space="preserve"> A. caelatus</w:t>
      </w:r>
      <w:r w:rsidRPr="4447C96C">
        <w:rPr>
          <w:rFonts w:eastAsia="Times New Roman" w:cs="Times New Roman"/>
          <w:color w:val="000000" w:themeColor="text1"/>
          <w:lang w:eastAsia="es-CR"/>
        </w:rPr>
        <w:t xml:space="preserve">. Para </w:t>
      </w:r>
      <w:r w:rsidRPr="4447C96C">
        <w:rPr>
          <w:rFonts w:eastAsia="Times New Roman" w:cs="Times New Roman"/>
          <w:i/>
          <w:iCs/>
          <w:color w:val="000000" w:themeColor="text1"/>
          <w:lang w:eastAsia="es-CR"/>
        </w:rPr>
        <w:t>A. pseudotamarii</w:t>
      </w:r>
      <w:r w:rsidRPr="4447C96C">
        <w:rPr>
          <w:rFonts w:eastAsia="Times New Roman" w:cs="Times New Roman"/>
          <w:color w:val="000000" w:themeColor="text1"/>
          <w:lang w:eastAsia="es-CR"/>
        </w:rPr>
        <w:t xml:space="preserve"> se observó la misma tendencia: 100% de similitud, e-value de 0.0, pero 97% de cobertura. La secuencia obtenida para la cepa A 4.1 no fue lo suficientemente específica para asignar un único género. Los resultados del BlastN presentaron 100% de similitud, 10</w:t>
      </w:r>
      <w:r w:rsidR="00DA7BD2">
        <w:rPr>
          <w:rFonts w:eastAsia="Times New Roman" w:cs="Times New Roman"/>
          <w:color w:val="000000" w:themeColor="text1"/>
          <w:lang w:eastAsia="es-CR"/>
        </w:rPr>
        <w:t>0</w:t>
      </w:r>
      <w:r w:rsidRPr="4447C96C">
        <w:rPr>
          <w:rFonts w:eastAsia="Times New Roman" w:cs="Times New Roman"/>
          <w:color w:val="000000" w:themeColor="text1"/>
          <w:lang w:eastAsia="es-CR"/>
        </w:rPr>
        <w:t xml:space="preserve"> % de cobertura y e-value 0.0 para las especies </w:t>
      </w:r>
      <w:r w:rsidRPr="4447C96C">
        <w:rPr>
          <w:rFonts w:eastAsia="Times New Roman" w:cs="Times New Roman"/>
          <w:i/>
          <w:iCs/>
          <w:color w:val="000000" w:themeColor="text1"/>
          <w:lang w:eastAsia="es-CR"/>
        </w:rPr>
        <w:t xml:space="preserve">Paraconiothyrium estuarinum </w:t>
      </w:r>
      <w:r w:rsidRPr="4447C96C">
        <w:rPr>
          <w:rFonts w:eastAsia="Times New Roman" w:cs="Times New Roman"/>
          <w:color w:val="000000" w:themeColor="text1"/>
          <w:lang w:eastAsia="es-CR"/>
        </w:rPr>
        <w:t>y</w:t>
      </w:r>
      <w:r w:rsidRPr="4447C96C">
        <w:rPr>
          <w:rFonts w:eastAsia="Times New Roman" w:cs="Times New Roman"/>
          <w:i/>
          <w:iCs/>
          <w:color w:val="000000" w:themeColor="text1"/>
          <w:lang w:eastAsia="es-CR"/>
        </w:rPr>
        <w:t xml:space="preserve"> Microsphaeropsis arundinis. </w:t>
      </w:r>
      <w:r w:rsidRPr="4447C96C">
        <w:rPr>
          <w:rFonts w:eastAsia="Times New Roman" w:cs="Times New Roman"/>
          <w:color w:val="000000" w:themeColor="text1"/>
          <w:lang w:eastAsia="es-CR"/>
        </w:rPr>
        <w:t xml:space="preserve">Sin embargo, debido a que la mayoría de las regiones ITS comparadas que fueron similares a la cepa A 4.1 se encuentran dentro del género </w:t>
      </w:r>
      <w:r w:rsidRPr="4447C96C">
        <w:rPr>
          <w:rFonts w:eastAsia="Times New Roman" w:cs="Times New Roman"/>
          <w:i/>
          <w:iCs/>
          <w:color w:val="000000" w:themeColor="text1"/>
          <w:lang w:eastAsia="es-CR"/>
        </w:rPr>
        <w:t xml:space="preserve">Paraconiothyrium </w:t>
      </w:r>
      <w:r w:rsidRPr="4447C96C">
        <w:rPr>
          <w:rFonts w:eastAsia="Times New Roman" w:cs="Times New Roman"/>
          <w:color w:val="000000" w:themeColor="text1"/>
          <w:lang w:eastAsia="es-CR"/>
        </w:rPr>
        <w:t xml:space="preserve">se clasificó esta cepa dentro del mismo género. </w:t>
      </w:r>
    </w:p>
    <w:p w14:paraId="059FAD3F" w14:textId="0C0A0358" w:rsidR="006D1132" w:rsidRPr="006D1132" w:rsidRDefault="4447C96C" w:rsidP="4447C96C">
      <w:pPr>
        <w:ind w:firstLine="708"/>
        <w:rPr>
          <w:rFonts w:eastAsia="Times New Roman" w:cs="Times New Roman"/>
          <w:color w:val="000000"/>
          <w:lang w:eastAsia="es-CR"/>
        </w:rPr>
      </w:pPr>
      <w:r w:rsidRPr="4447C96C">
        <w:rPr>
          <w:rFonts w:eastAsia="Times New Roman" w:cs="Times New Roman"/>
          <w:color w:val="000000" w:themeColor="text1"/>
          <w:lang w:eastAsia="es-CR"/>
        </w:rPr>
        <w:t xml:space="preserve">La calidad de la secuenciación de la región </w:t>
      </w:r>
      <w:r w:rsidRPr="00A63592">
        <w:rPr>
          <w:rFonts w:ascii="Symbol" w:eastAsia="Symbol" w:hAnsi="Symbol" w:cs="Symbol"/>
          <w:i/>
          <w:iCs/>
        </w:rPr>
        <w:t>b</w:t>
      </w:r>
      <w:r w:rsidRPr="00A63592">
        <w:rPr>
          <w:rFonts w:eastAsia="Times New Roman" w:cs="Times New Roman"/>
          <w:i/>
          <w:iCs/>
          <w:color w:val="000000" w:themeColor="text1"/>
          <w:lang w:eastAsia="es-CR"/>
        </w:rPr>
        <w:t>-tubulina</w:t>
      </w:r>
      <w:r w:rsidRPr="4447C96C">
        <w:rPr>
          <w:rFonts w:eastAsia="Times New Roman" w:cs="Times New Roman"/>
          <w:color w:val="000000" w:themeColor="text1"/>
          <w:lang w:eastAsia="es-CR"/>
        </w:rPr>
        <w:t xml:space="preserve"> no permitió generar una secuencia consenso, ya que la cantidad de pares de bases leídas correctamente por el equipo fue muy baja. Por lo tanto, únicamente se trabajó con la información obtenida para la región ITS.</w:t>
      </w:r>
    </w:p>
    <w:p w14:paraId="492B8124" w14:textId="0694BF54" w:rsidR="00733977" w:rsidRDefault="4447C96C" w:rsidP="4447C96C">
      <w:pPr>
        <w:spacing w:after="0"/>
        <w:ind w:firstLine="708"/>
        <w:rPr>
          <w:rFonts w:eastAsia="Times New Roman" w:cs="Times New Roman"/>
          <w:color w:val="000000"/>
          <w:lang w:eastAsia="es-CR"/>
        </w:rPr>
      </w:pPr>
      <w:r w:rsidRPr="4447C96C">
        <w:rPr>
          <w:rFonts w:eastAsia="Times New Roman" w:cs="Times New Roman"/>
          <w:color w:val="000000" w:themeColor="text1"/>
          <w:lang w:eastAsia="es-CR"/>
        </w:rPr>
        <w:t>Los árboles filogenéticos generados para las cepas A 2.1 (Anexo 5.</w:t>
      </w:r>
      <w:r w:rsidR="00A63592">
        <w:rPr>
          <w:rFonts w:eastAsia="Times New Roman" w:cs="Times New Roman"/>
          <w:color w:val="000000" w:themeColor="text1"/>
          <w:lang w:eastAsia="es-CR"/>
        </w:rPr>
        <w:t>A</w:t>
      </w:r>
      <w:r w:rsidRPr="4447C96C">
        <w:rPr>
          <w:rFonts w:eastAsia="Times New Roman" w:cs="Times New Roman"/>
          <w:color w:val="000000" w:themeColor="text1"/>
          <w:lang w:eastAsia="es-CR"/>
        </w:rPr>
        <w:t>) y A 4.1 (Anexo 5.</w:t>
      </w:r>
      <w:r w:rsidR="00A63592">
        <w:rPr>
          <w:rFonts w:eastAsia="Times New Roman" w:cs="Times New Roman"/>
          <w:color w:val="000000" w:themeColor="text1"/>
          <w:lang w:eastAsia="es-CR"/>
        </w:rPr>
        <w:t>B</w:t>
      </w:r>
      <w:r w:rsidRPr="4447C96C">
        <w:rPr>
          <w:rFonts w:eastAsia="Times New Roman" w:cs="Times New Roman"/>
          <w:color w:val="000000" w:themeColor="text1"/>
          <w:lang w:eastAsia="es-CR"/>
        </w:rPr>
        <w:t xml:space="preserve">), revelaron alta variabilidad, con valores de </w:t>
      </w:r>
      <w:proofErr w:type="spellStart"/>
      <w:r w:rsidRPr="4447C96C">
        <w:rPr>
          <w:rFonts w:eastAsia="Times New Roman" w:cs="Times New Roman"/>
          <w:color w:val="000000" w:themeColor="text1"/>
          <w:lang w:eastAsia="es-CR"/>
        </w:rPr>
        <w:t>bootstrap</w:t>
      </w:r>
      <w:proofErr w:type="spellEnd"/>
      <w:r w:rsidRPr="4447C96C">
        <w:rPr>
          <w:rFonts w:eastAsia="Times New Roman" w:cs="Times New Roman"/>
          <w:color w:val="000000" w:themeColor="text1"/>
          <w:lang w:eastAsia="es-CR"/>
        </w:rPr>
        <w:t xml:space="preserve"> muy bajos debido a que los datos utilizados para la construcción del árbol no fueron suficientemente específicos para lograr una topología adecuada. Opuesto a lo esperado, las especies relacionadas a estas cepas se distribuyeron en muchos </w:t>
      </w:r>
      <w:proofErr w:type="spellStart"/>
      <w:r w:rsidRPr="4447C96C">
        <w:rPr>
          <w:rFonts w:eastAsia="Times New Roman" w:cs="Times New Roman"/>
          <w:color w:val="000000" w:themeColor="text1"/>
          <w:lang w:eastAsia="es-CR"/>
        </w:rPr>
        <w:t>clados</w:t>
      </w:r>
      <w:proofErr w:type="spellEnd"/>
      <w:r w:rsidRPr="4447C96C">
        <w:rPr>
          <w:rFonts w:eastAsia="Times New Roman" w:cs="Times New Roman"/>
          <w:color w:val="000000" w:themeColor="text1"/>
          <w:lang w:eastAsia="es-CR"/>
        </w:rPr>
        <w:t xml:space="preserve"> distintos, lo que indica una marcada variabilidad genética entre ellas. Por otro lado, el árbol generado para la cepa B 3.2 y las especies relacionadas con su identificación molecular mostraron una topología adecuada, con una agrupación coherente dentro de un mismo </w:t>
      </w:r>
      <w:proofErr w:type="spellStart"/>
      <w:r w:rsidRPr="4447C96C">
        <w:rPr>
          <w:rFonts w:eastAsia="Times New Roman" w:cs="Times New Roman"/>
          <w:color w:val="000000" w:themeColor="text1"/>
          <w:lang w:eastAsia="es-CR"/>
        </w:rPr>
        <w:t>clado</w:t>
      </w:r>
      <w:proofErr w:type="spellEnd"/>
      <w:r w:rsidRPr="4447C96C">
        <w:rPr>
          <w:rFonts w:eastAsia="Times New Roman" w:cs="Times New Roman"/>
          <w:color w:val="000000" w:themeColor="text1"/>
          <w:lang w:eastAsia="es-CR"/>
        </w:rPr>
        <w:t xml:space="preserve"> y altos valores de </w:t>
      </w:r>
      <w:proofErr w:type="spellStart"/>
      <w:r w:rsidRPr="4447C96C">
        <w:rPr>
          <w:rFonts w:eastAsia="Times New Roman" w:cs="Times New Roman"/>
          <w:color w:val="000000" w:themeColor="text1"/>
          <w:lang w:eastAsia="es-CR"/>
        </w:rPr>
        <w:t>bootstrap</w:t>
      </w:r>
      <w:proofErr w:type="spellEnd"/>
      <w:r w:rsidRPr="4447C96C">
        <w:rPr>
          <w:rFonts w:eastAsia="Times New Roman" w:cs="Times New Roman"/>
          <w:color w:val="000000" w:themeColor="text1"/>
          <w:lang w:eastAsia="es-CR"/>
        </w:rPr>
        <w:t xml:space="preserve"> (Anexo 5.</w:t>
      </w:r>
      <w:r w:rsidR="00A63592">
        <w:rPr>
          <w:rFonts w:eastAsia="Times New Roman" w:cs="Times New Roman"/>
          <w:color w:val="000000" w:themeColor="text1"/>
          <w:lang w:eastAsia="es-CR"/>
        </w:rPr>
        <w:t>C</w:t>
      </w:r>
      <w:r w:rsidRPr="4447C96C">
        <w:rPr>
          <w:rFonts w:eastAsia="Times New Roman" w:cs="Times New Roman"/>
          <w:color w:val="000000" w:themeColor="text1"/>
          <w:lang w:eastAsia="es-CR"/>
        </w:rPr>
        <w:t>).</w:t>
      </w:r>
    </w:p>
    <w:p w14:paraId="633D33D5" w14:textId="77777777" w:rsidR="00F21752" w:rsidRDefault="00F21752" w:rsidP="4447C96C">
      <w:pPr>
        <w:spacing w:after="0"/>
        <w:ind w:firstLine="708"/>
        <w:rPr>
          <w:rFonts w:eastAsia="Times New Roman" w:cs="Times New Roman"/>
          <w:color w:val="000000"/>
          <w:lang w:eastAsia="es-CR"/>
        </w:rPr>
      </w:pPr>
    </w:p>
    <w:p w14:paraId="6EC95380" w14:textId="4C6C3F06" w:rsidR="000361FB" w:rsidRPr="000361FB" w:rsidRDefault="4447C96C" w:rsidP="00915F20">
      <w:pPr>
        <w:pStyle w:val="Titulo20"/>
        <w:numPr>
          <w:ilvl w:val="1"/>
          <w:numId w:val="19"/>
        </w:numPr>
        <w:spacing w:after="0"/>
        <w:rPr>
          <w:lang w:eastAsia="es-CR"/>
        </w:rPr>
      </w:pPr>
      <w:r w:rsidRPr="4447C96C">
        <w:rPr>
          <w:lang w:eastAsia="es-CR"/>
        </w:rPr>
        <w:t xml:space="preserve"> </w:t>
      </w:r>
      <w:bookmarkStart w:id="111" w:name="_Toc140204083"/>
      <w:r w:rsidRPr="4447C96C">
        <w:rPr>
          <w:lang w:eastAsia="es-CR"/>
        </w:rPr>
        <w:t>Ensayo de actividad y caracterización química de las fracciones</w:t>
      </w:r>
      <w:bookmarkEnd w:id="111"/>
      <w:r w:rsidRPr="4447C96C">
        <w:rPr>
          <w:lang w:eastAsia="es-CR"/>
        </w:rPr>
        <w:t xml:space="preserve"> </w:t>
      </w:r>
    </w:p>
    <w:p w14:paraId="42432D5B" w14:textId="5F27C548" w:rsidR="009D473E" w:rsidRDefault="4447C96C" w:rsidP="00102D3B">
      <w:pPr>
        <w:ind w:firstLine="708"/>
        <w:rPr>
          <w:lang w:eastAsia="es-CR"/>
        </w:rPr>
      </w:pPr>
      <w:r w:rsidRPr="4447C96C">
        <w:rPr>
          <w:lang w:eastAsia="es-CR"/>
        </w:rPr>
        <w:t xml:space="preserve">Las tres cepas fúngicas seleccionadas mostraron diferencias en su actividad antimicrobiana en el ensayo en pozo al ser fermentadas en co-cultivo con </w:t>
      </w:r>
      <w:r w:rsidRPr="4447C96C">
        <w:rPr>
          <w:i/>
          <w:iCs/>
          <w:lang w:eastAsia="es-CR"/>
        </w:rPr>
        <w:t xml:space="preserve">S. aureus </w:t>
      </w:r>
      <w:r w:rsidRPr="4447C96C">
        <w:rPr>
          <w:lang w:eastAsia="es-CR"/>
        </w:rPr>
        <w:t>y</w:t>
      </w:r>
      <w:r w:rsidRPr="4447C96C">
        <w:rPr>
          <w:i/>
          <w:iCs/>
          <w:lang w:eastAsia="es-CR"/>
        </w:rPr>
        <w:t xml:space="preserve"> E. hormaechei</w:t>
      </w:r>
      <w:r w:rsidRPr="4447C96C">
        <w:rPr>
          <w:lang w:eastAsia="es-CR"/>
        </w:rPr>
        <w:t xml:space="preserve">. En algunas ocasiones la actividad incrementó y en otras disminuyó, también hubo réplicas en las cuales no se determinó un cambio aparente en la actividad. Los extractos de </w:t>
      </w:r>
      <w:r w:rsidR="003120EF">
        <w:rPr>
          <w:lang w:eastAsia="es-CR"/>
        </w:rPr>
        <w:t>los cultivos líquidos</w:t>
      </w:r>
      <w:r w:rsidRPr="4447C96C">
        <w:rPr>
          <w:lang w:eastAsia="es-CR"/>
        </w:rPr>
        <w:t xml:space="preserve"> presentaron diferentes grados de actividad antimicrobiana, desde la reducción en el tiempo del crecimiento o la densidad microbiana, hasta la inhibición completa del crecimiento de los microorganismos (Figura 7</w:t>
      </w:r>
      <w:r w:rsidR="00551A7B">
        <w:rPr>
          <w:lang w:eastAsia="es-CR"/>
        </w:rPr>
        <w:t>.</w:t>
      </w:r>
      <w:r w:rsidR="00A63592">
        <w:rPr>
          <w:lang w:eastAsia="es-CR"/>
        </w:rPr>
        <w:t>A</w:t>
      </w:r>
      <w:r w:rsidRPr="4447C96C">
        <w:rPr>
          <w:lang w:eastAsia="es-CR"/>
        </w:rPr>
        <w:t>). Algunos de los extractos generaron diámetros de inhibición mayores que los controles positivos utilizados. Los controles negativos no generaron inhibición antimicrobiana.</w:t>
      </w:r>
    </w:p>
    <w:p w14:paraId="5B1C3CA7" w14:textId="7CEC667B" w:rsidR="00915F20" w:rsidRDefault="00915F64" w:rsidP="00915F20">
      <w:pPr>
        <w:keepNext/>
        <w:spacing w:after="0"/>
        <w:ind w:left="-284" w:right="-138" w:hanging="283"/>
        <w:jc w:val="center"/>
      </w:pPr>
      <w:r>
        <w:rPr>
          <w:noProof/>
        </w:rPr>
        <w:lastRenderedPageBreak/>
        <w:drawing>
          <wp:inline distT="0" distB="0" distL="0" distR="0" wp14:anchorId="14247E50" wp14:editId="58C4F957">
            <wp:extent cx="6129134" cy="3051544"/>
            <wp:effectExtent l="0" t="0" r="5080" b="0"/>
            <wp:docPr id="896929298"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929298" name="Imagen 2" descr="Diagrama&#10;&#10;Descripción generada automáticamente"/>
                    <pic:cNvPicPr/>
                  </pic:nvPicPr>
                  <pic:blipFill rotWithShape="1">
                    <a:blip r:embed="rId18">
                      <a:extLst>
                        <a:ext uri="{28A0092B-C50C-407E-A947-70E740481C1C}">
                          <a14:useLocalDpi xmlns:a14="http://schemas.microsoft.com/office/drawing/2010/main" val="0"/>
                        </a:ext>
                      </a:extLst>
                    </a:blip>
                    <a:srcRect l="2253" t="11021" r="3111" b="15550"/>
                    <a:stretch/>
                  </pic:blipFill>
                  <pic:spPr bwMode="auto">
                    <a:xfrm>
                      <a:off x="0" y="0"/>
                      <a:ext cx="6148284" cy="3061078"/>
                    </a:xfrm>
                    <a:prstGeom prst="rect">
                      <a:avLst/>
                    </a:prstGeom>
                    <a:ln>
                      <a:noFill/>
                    </a:ln>
                    <a:extLst>
                      <a:ext uri="{53640926-AAD7-44D8-BBD7-CCE9431645EC}">
                        <a14:shadowObscured xmlns:a14="http://schemas.microsoft.com/office/drawing/2010/main"/>
                      </a:ext>
                    </a:extLst>
                  </pic:spPr>
                </pic:pic>
              </a:graphicData>
            </a:graphic>
          </wp:inline>
        </w:drawing>
      </w:r>
    </w:p>
    <w:p w14:paraId="6D24781F" w14:textId="14799433" w:rsidR="00915F20" w:rsidRPr="00D45136" w:rsidRDefault="00915F20" w:rsidP="008258BF">
      <w:pPr>
        <w:pStyle w:val="Descripcin"/>
        <w:ind w:right="288"/>
        <w:rPr>
          <w:i w:val="0"/>
          <w:iCs w:val="0"/>
          <w:color w:val="auto"/>
          <w:sz w:val="20"/>
          <w:szCs w:val="20"/>
          <w:lang w:eastAsia="es-CR"/>
        </w:rPr>
      </w:pPr>
      <w:bookmarkStart w:id="112" w:name="_Toc138574969"/>
      <w:bookmarkStart w:id="113" w:name="_Toc142272976"/>
      <w:r w:rsidRPr="00915F20">
        <w:rPr>
          <w:b/>
          <w:bCs/>
          <w:i w:val="0"/>
          <w:iCs w:val="0"/>
          <w:color w:val="auto"/>
          <w:sz w:val="20"/>
          <w:szCs w:val="20"/>
        </w:rPr>
        <w:t xml:space="preserve">Figura  </w:t>
      </w:r>
      <w:r w:rsidRPr="00915F20">
        <w:rPr>
          <w:b/>
          <w:bCs/>
          <w:i w:val="0"/>
          <w:iCs w:val="0"/>
          <w:color w:val="auto"/>
          <w:sz w:val="20"/>
          <w:szCs w:val="20"/>
        </w:rPr>
        <w:fldChar w:fldCharType="begin"/>
      </w:r>
      <w:r w:rsidRPr="00915F20">
        <w:rPr>
          <w:b/>
          <w:bCs/>
          <w:i w:val="0"/>
          <w:iCs w:val="0"/>
          <w:color w:val="auto"/>
          <w:sz w:val="20"/>
          <w:szCs w:val="20"/>
        </w:rPr>
        <w:instrText xml:space="preserve"> SEQ Figura_ \* ARABIC </w:instrText>
      </w:r>
      <w:r w:rsidRPr="00915F20">
        <w:rPr>
          <w:b/>
          <w:bCs/>
          <w:i w:val="0"/>
          <w:iCs w:val="0"/>
          <w:color w:val="auto"/>
          <w:sz w:val="20"/>
          <w:szCs w:val="20"/>
        </w:rPr>
        <w:fldChar w:fldCharType="separate"/>
      </w:r>
      <w:r w:rsidRPr="00915F20">
        <w:rPr>
          <w:b/>
          <w:bCs/>
          <w:i w:val="0"/>
          <w:iCs w:val="0"/>
          <w:noProof/>
          <w:color w:val="auto"/>
          <w:sz w:val="20"/>
          <w:szCs w:val="20"/>
        </w:rPr>
        <w:t>7</w:t>
      </w:r>
      <w:r w:rsidRPr="00915F20">
        <w:rPr>
          <w:b/>
          <w:bCs/>
          <w:i w:val="0"/>
          <w:iCs w:val="0"/>
          <w:color w:val="auto"/>
          <w:sz w:val="20"/>
          <w:szCs w:val="20"/>
        </w:rPr>
        <w:fldChar w:fldCharType="end"/>
      </w:r>
      <w:r>
        <w:rPr>
          <w:b/>
          <w:bCs/>
          <w:i w:val="0"/>
          <w:iCs w:val="0"/>
          <w:color w:val="auto"/>
          <w:sz w:val="20"/>
          <w:szCs w:val="20"/>
        </w:rPr>
        <w:t xml:space="preserve">. </w:t>
      </w:r>
      <w:r w:rsidRPr="00D45136">
        <w:rPr>
          <w:i w:val="0"/>
          <w:iCs w:val="0"/>
          <w:color w:val="auto"/>
          <w:sz w:val="20"/>
          <w:szCs w:val="20"/>
          <w:lang w:eastAsia="es-CR"/>
        </w:rPr>
        <w:t xml:space="preserve">Actividad antimicrobiana de extractos crudos de hongos marinos obtenidas a partir de su </w:t>
      </w:r>
      <w:r w:rsidR="00F64762">
        <w:rPr>
          <w:i w:val="0"/>
          <w:iCs w:val="0"/>
          <w:color w:val="auto"/>
          <w:sz w:val="20"/>
          <w:szCs w:val="20"/>
          <w:lang w:eastAsia="es-CR"/>
        </w:rPr>
        <w:t>cultivo líquido</w:t>
      </w:r>
      <w:r w:rsidRPr="00D45136">
        <w:rPr>
          <w:i w:val="0"/>
          <w:iCs w:val="0"/>
          <w:color w:val="auto"/>
          <w:sz w:val="20"/>
          <w:szCs w:val="20"/>
          <w:lang w:eastAsia="es-CR"/>
        </w:rPr>
        <w:t xml:space="preserve"> en tres tratamientos diferentes en medio Wickerham: un cultivo axénico (“CP”), en co-cultivo con la bacteria </w:t>
      </w:r>
      <w:r w:rsidRPr="00F94D4E">
        <w:rPr>
          <w:color w:val="auto"/>
          <w:sz w:val="20"/>
          <w:szCs w:val="20"/>
          <w:lang w:eastAsia="es-CR"/>
        </w:rPr>
        <w:t>S. aureus</w:t>
      </w:r>
      <w:r w:rsidRPr="00D45136">
        <w:rPr>
          <w:i w:val="0"/>
          <w:iCs w:val="0"/>
          <w:color w:val="auto"/>
          <w:sz w:val="20"/>
          <w:szCs w:val="20"/>
          <w:lang w:eastAsia="es-CR"/>
        </w:rPr>
        <w:t xml:space="preserve"> (“CCSA”) y en co-cultivo con </w:t>
      </w:r>
      <w:r w:rsidRPr="00F94D4E">
        <w:rPr>
          <w:color w:val="auto"/>
          <w:sz w:val="20"/>
          <w:szCs w:val="20"/>
          <w:lang w:eastAsia="es-CR"/>
        </w:rPr>
        <w:t>E. hormaechei</w:t>
      </w:r>
      <w:r w:rsidRPr="00D45136">
        <w:rPr>
          <w:i w:val="0"/>
          <w:iCs w:val="0"/>
          <w:color w:val="auto"/>
          <w:sz w:val="20"/>
          <w:szCs w:val="20"/>
          <w:lang w:eastAsia="es-CR"/>
        </w:rPr>
        <w:t xml:space="preserve"> (“CCEH”) y el screening de los metabolitos secundarios presentes en cada extracto. A) La actividad antimicrobiana fue analizada contra microorganismos patógenos de interés médico midiendo los milímetros de inhibición mediante la técnica de difusión en pozos. Los criterios de inhibición fueron clasificados según el grado de inhibición de crecimiento donde 3 significa una inhibición completa, 2 para una modera reducción del crecimiento bacteriano, 1 cuando la reducción del crecimiento fue baja y 0 cuando no se afecta el crecimiento bacteriano. Se utilizó estreptomicina/penicilina (1000 </w:t>
      </w:r>
      <w:r w:rsidRPr="00D45136">
        <w:rPr>
          <w:rFonts w:cs="Times New Roman"/>
          <w:i w:val="0"/>
          <w:iCs w:val="0"/>
          <w:color w:val="auto"/>
          <w:sz w:val="20"/>
          <w:szCs w:val="20"/>
          <w:lang w:eastAsia="es-CR"/>
        </w:rPr>
        <w:t>µg/mL</w:t>
      </w:r>
      <w:r w:rsidRPr="00D45136">
        <w:rPr>
          <w:i w:val="0"/>
          <w:iCs w:val="0"/>
          <w:color w:val="auto"/>
          <w:sz w:val="20"/>
          <w:szCs w:val="20"/>
          <w:lang w:eastAsia="es-CR"/>
        </w:rPr>
        <w:t xml:space="preserve">) como control positivo para las bacterias, fluoconazol (1000 </w:t>
      </w:r>
      <w:r w:rsidRPr="00D45136">
        <w:rPr>
          <w:rFonts w:cs="Times New Roman"/>
          <w:i w:val="0"/>
          <w:iCs w:val="0"/>
          <w:color w:val="auto"/>
          <w:sz w:val="20"/>
          <w:szCs w:val="20"/>
          <w:lang w:eastAsia="es-CR"/>
        </w:rPr>
        <w:t>µg/mL</w:t>
      </w:r>
      <w:r w:rsidRPr="00D45136">
        <w:rPr>
          <w:i w:val="0"/>
          <w:iCs w:val="0"/>
          <w:color w:val="auto"/>
          <w:sz w:val="20"/>
          <w:szCs w:val="20"/>
          <w:lang w:eastAsia="es-CR"/>
        </w:rPr>
        <w:t xml:space="preserve">) para la levadura </w:t>
      </w:r>
      <w:r w:rsidRPr="008C2C71">
        <w:rPr>
          <w:color w:val="auto"/>
          <w:sz w:val="20"/>
          <w:szCs w:val="20"/>
          <w:lang w:eastAsia="es-CR"/>
        </w:rPr>
        <w:t>C. albicans</w:t>
      </w:r>
      <w:r w:rsidRPr="00D45136">
        <w:rPr>
          <w:i w:val="0"/>
          <w:iCs w:val="0"/>
          <w:color w:val="auto"/>
          <w:sz w:val="20"/>
          <w:szCs w:val="20"/>
          <w:lang w:eastAsia="es-CR"/>
        </w:rPr>
        <w:t xml:space="preserve"> y 0.1% de cicloheximida como control para </w:t>
      </w:r>
      <w:r w:rsidRPr="00780209">
        <w:rPr>
          <w:color w:val="auto"/>
          <w:sz w:val="20"/>
          <w:szCs w:val="20"/>
          <w:lang w:eastAsia="es-CR"/>
        </w:rPr>
        <w:t xml:space="preserve">A. </w:t>
      </w:r>
      <w:r w:rsidR="004D2B5A" w:rsidRPr="00780209">
        <w:rPr>
          <w:color w:val="auto"/>
          <w:sz w:val="20"/>
          <w:szCs w:val="20"/>
          <w:lang w:eastAsia="es-CR"/>
        </w:rPr>
        <w:t>niger</w:t>
      </w:r>
      <w:r w:rsidRPr="00D45136">
        <w:rPr>
          <w:i w:val="0"/>
          <w:iCs w:val="0"/>
          <w:color w:val="auto"/>
          <w:sz w:val="20"/>
          <w:szCs w:val="20"/>
          <w:lang w:eastAsia="es-CR"/>
        </w:rPr>
        <w:t xml:space="preserve"> y </w:t>
      </w:r>
      <w:r w:rsidRPr="00780209">
        <w:rPr>
          <w:color w:val="auto"/>
          <w:sz w:val="20"/>
          <w:szCs w:val="20"/>
          <w:lang w:eastAsia="es-CR"/>
        </w:rPr>
        <w:t>A. fumigatus</w:t>
      </w:r>
      <w:r w:rsidRPr="00D45136">
        <w:rPr>
          <w:i w:val="0"/>
          <w:iCs w:val="0"/>
          <w:color w:val="auto"/>
          <w:sz w:val="20"/>
          <w:szCs w:val="20"/>
          <w:lang w:eastAsia="es-CR"/>
        </w:rPr>
        <w:t xml:space="preserve">. Como controles negativos se utilizó agua destilada, un cultivo puro de </w:t>
      </w:r>
      <w:r w:rsidRPr="00780209">
        <w:rPr>
          <w:color w:val="auto"/>
          <w:sz w:val="20"/>
          <w:szCs w:val="20"/>
          <w:lang w:eastAsia="es-CR"/>
        </w:rPr>
        <w:t>S. aureus, E. hormaechei</w:t>
      </w:r>
      <w:r w:rsidRPr="00D45136">
        <w:rPr>
          <w:i w:val="0"/>
          <w:iCs w:val="0"/>
          <w:color w:val="auto"/>
          <w:sz w:val="20"/>
          <w:szCs w:val="20"/>
          <w:lang w:eastAsia="es-CR"/>
        </w:rPr>
        <w:t xml:space="preserve"> incubado en las mismas condiciones del ensayo. B) La presencia o ausencia de metabolitos secundarios en cada uno de los extractos utilizados en el ensayo fue analizado empleando los procedimientos estándares de análisis fitoquímicos y están representados con el símbolo “+” para las reacciones positivas y con “++” para reacciones de mayor intensidad.</w:t>
      </w:r>
      <w:bookmarkEnd w:id="112"/>
      <w:bookmarkEnd w:id="113"/>
      <w:r w:rsidRPr="00D45136">
        <w:rPr>
          <w:i w:val="0"/>
          <w:iCs w:val="0"/>
          <w:color w:val="auto"/>
          <w:sz w:val="20"/>
          <w:szCs w:val="20"/>
          <w:lang w:eastAsia="es-CR"/>
        </w:rPr>
        <w:t xml:space="preserve"> </w:t>
      </w:r>
    </w:p>
    <w:p w14:paraId="4EC401BB" w14:textId="7653807A" w:rsidR="00915F20" w:rsidRDefault="4447C96C" w:rsidP="4447C96C">
      <w:pPr>
        <w:spacing w:after="0" w:line="276" w:lineRule="auto"/>
        <w:rPr>
          <w:sz w:val="20"/>
          <w:szCs w:val="20"/>
          <w:lang w:eastAsia="es-CR"/>
        </w:rPr>
      </w:pPr>
      <w:r w:rsidRPr="4447C96C">
        <w:rPr>
          <w:sz w:val="20"/>
          <w:szCs w:val="20"/>
          <w:lang w:eastAsia="es-CR"/>
        </w:rPr>
        <w:t xml:space="preserve"> “MSI”: Medio sin inocular.</w:t>
      </w:r>
    </w:p>
    <w:p w14:paraId="7C74BF9A" w14:textId="77777777" w:rsidR="00FE6298" w:rsidRDefault="00FE6298" w:rsidP="4447C96C">
      <w:pPr>
        <w:spacing w:after="0" w:line="276" w:lineRule="auto"/>
        <w:rPr>
          <w:sz w:val="20"/>
          <w:szCs w:val="20"/>
          <w:lang w:eastAsia="es-CR"/>
        </w:rPr>
      </w:pPr>
    </w:p>
    <w:p w14:paraId="308437D9" w14:textId="0D3DE93B" w:rsidR="00B44735" w:rsidRPr="00105AFA" w:rsidRDefault="00B44735" w:rsidP="00915F20">
      <w:pPr>
        <w:ind w:firstLine="708"/>
        <w:rPr>
          <w:lang w:eastAsia="es-CR"/>
        </w:rPr>
      </w:pPr>
      <w:r>
        <w:rPr>
          <w:lang w:eastAsia="es-CR"/>
        </w:rPr>
        <w:t xml:space="preserve">La cepa A </w:t>
      </w:r>
      <w:r w:rsidR="00381F81">
        <w:rPr>
          <w:lang w:eastAsia="es-CR"/>
        </w:rPr>
        <w:t>4</w:t>
      </w:r>
      <w:r>
        <w:rPr>
          <w:lang w:eastAsia="es-CR"/>
        </w:rPr>
        <w:t>.1</w:t>
      </w:r>
      <w:r w:rsidR="004A46F5">
        <w:rPr>
          <w:lang w:eastAsia="es-CR"/>
        </w:rPr>
        <w:t xml:space="preserve"> </w:t>
      </w:r>
      <w:r w:rsidR="00021454">
        <w:rPr>
          <w:lang w:eastAsia="es-CR"/>
        </w:rPr>
        <w:t>(</w:t>
      </w:r>
      <w:r w:rsidR="00381F81" w:rsidRPr="00381F81">
        <w:rPr>
          <w:rFonts w:eastAsia="Times New Roman" w:cs="Times New Roman"/>
          <w:bCs/>
          <w:i/>
          <w:iCs/>
          <w:color w:val="000000"/>
          <w:szCs w:val="24"/>
          <w:lang w:eastAsia="es-CR"/>
        </w:rPr>
        <w:t xml:space="preserve"> </w:t>
      </w:r>
      <w:r w:rsidR="00381F81" w:rsidRPr="006D1132">
        <w:rPr>
          <w:rFonts w:eastAsia="Times New Roman" w:cs="Times New Roman"/>
          <w:bCs/>
          <w:i/>
          <w:iCs/>
          <w:color w:val="000000"/>
          <w:szCs w:val="24"/>
          <w:lang w:eastAsia="es-CR"/>
        </w:rPr>
        <w:t>Paraconiothyrium</w:t>
      </w:r>
      <w:r w:rsidR="00381F81">
        <w:rPr>
          <w:lang w:eastAsia="es-CR"/>
        </w:rPr>
        <w:t xml:space="preserve"> sp.</w:t>
      </w:r>
      <w:r w:rsidR="00021454">
        <w:rPr>
          <w:lang w:eastAsia="es-CR"/>
        </w:rPr>
        <w:t xml:space="preserve">) </w:t>
      </w:r>
      <w:r w:rsidR="00DA699B">
        <w:rPr>
          <w:lang w:eastAsia="es-CR"/>
        </w:rPr>
        <w:t>inhibió completamente el crecimiento</w:t>
      </w:r>
      <w:r w:rsidR="00ED1B77">
        <w:rPr>
          <w:lang w:eastAsia="es-CR"/>
        </w:rPr>
        <w:t xml:space="preserve"> </w:t>
      </w:r>
      <w:r w:rsidR="00ED1B77" w:rsidRPr="00ED1B77">
        <w:rPr>
          <w:i/>
          <w:iCs/>
          <w:lang w:eastAsia="es-CR"/>
        </w:rPr>
        <w:t>A. niger</w:t>
      </w:r>
      <w:r w:rsidR="00ED1B77">
        <w:rPr>
          <w:lang w:eastAsia="es-CR"/>
        </w:rPr>
        <w:t xml:space="preserve"> </w:t>
      </w:r>
      <w:r w:rsidR="006D110C">
        <w:rPr>
          <w:lang w:eastAsia="es-CR"/>
        </w:rPr>
        <w:t xml:space="preserve">en los tres tratamientos </w:t>
      </w:r>
      <w:r w:rsidR="00ED1B77">
        <w:rPr>
          <w:lang w:eastAsia="es-CR"/>
        </w:rPr>
        <w:t xml:space="preserve">y de </w:t>
      </w:r>
      <w:r w:rsidR="004A46F5">
        <w:rPr>
          <w:lang w:eastAsia="es-CR"/>
        </w:rPr>
        <w:t xml:space="preserve">la levadura </w:t>
      </w:r>
      <w:r w:rsidR="004A46F5">
        <w:rPr>
          <w:i/>
          <w:iCs/>
          <w:lang w:eastAsia="es-CR"/>
        </w:rPr>
        <w:t xml:space="preserve">C. albicans </w:t>
      </w:r>
      <w:r w:rsidR="00097778">
        <w:rPr>
          <w:lang w:eastAsia="es-CR"/>
        </w:rPr>
        <w:t>únicamente cuando fue fermentada en co-cultivo</w:t>
      </w:r>
      <w:r w:rsidR="00AB6613">
        <w:rPr>
          <w:lang w:eastAsia="es-CR"/>
        </w:rPr>
        <w:t xml:space="preserve">, mientras que </w:t>
      </w:r>
      <w:r w:rsidR="007D5242">
        <w:rPr>
          <w:lang w:eastAsia="es-CR"/>
        </w:rPr>
        <w:t>su actividad contra</w:t>
      </w:r>
      <w:r w:rsidR="00C447CA">
        <w:rPr>
          <w:lang w:eastAsia="es-CR"/>
        </w:rPr>
        <w:t xml:space="preserve"> </w:t>
      </w:r>
      <w:r w:rsidR="00C447CA">
        <w:rPr>
          <w:i/>
          <w:iCs/>
          <w:lang w:eastAsia="es-CR"/>
        </w:rPr>
        <w:t>E. hormaechei</w:t>
      </w:r>
      <w:r w:rsidR="0034659D">
        <w:rPr>
          <w:lang w:eastAsia="es-CR"/>
        </w:rPr>
        <w:t xml:space="preserve"> </w:t>
      </w:r>
      <w:r w:rsidR="00AB6613">
        <w:rPr>
          <w:lang w:eastAsia="es-CR"/>
        </w:rPr>
        <w:t>se mantuvo relativamente consta</w:t>
      </w:r>
      <w:r w:rsidR="00FB3123">
        <w:rPr>
          <w:lang w:eastAsia="es-CR"/>
        </w:rPr>
        <w:t xml:space="preserve">nte entre tratamientos, </w:t>
      </w:r>
      <w:r w:rsidR="0000361C">
        <w:rPr>
          <w:lang w:eastAsia="es-CR"/>
        </w:rPr>
        <w:t xml:space="preserve">y exceptuando un ligero </w:t>
      </w:r>
      <w:r w:rsidR="000B71AD">
        <w:rPr>
          <w:lang w:eastAsia="es-CR"/>
        </w:rPr>
        <w:t>aumento en la i</w:t>
      </w:r>
      <w:r w:rsidR="00F5337F">
        <w:rPr>
          <w:lang w:eastAsia="es-CR"/>
        </w:rPr>
        <w:t>nhibición contra</w:t>
      </w:r>
      <w:r w:rsidR="0000361C">
        <w:rPr>
          <w:lang w:eastAsia="es-CR"/>
        </w:rPr>
        <w:t xml:space="preserve"> </w:t>
      </w:r>
      <w:r w:rsidR="00F5337F" w:rsidRPr="00C447CA">
        <w:rPr>
          <w:i/>
          <w:iCs/>
          <w:lang w:eastAsia="es-CR"/>
        </w:rPr>
        <w:t>A. baumannii</w:t>
      </w:r>
      <w:r w:rsidR="00B470B1">
        <w:rPr>
          <w:i/>
          <w:iCs/>
          <w:lang w:eastAsia="es-CR"/>
        </w:rPr>
        <w:t xml:space="preserve"> </w:t>
      </w:r>
      <w:r w:rsidR="00B470B1">
        <w:rPr>
          <w:lang w:eastAsia="es-CR"/>
        </w:rPr>
        <w:t>y</w:t>
      </w:r>
      <w:r w:rsidR="00F5337F">
        <w:rPr>
          <w:i/>
          <w:iCs/>
          <w:lang w:eastAsia="es-CR"/>
        </w:rPr>
        <w:t xml:space="preserve"> E. faecium </w:t>
      </w:r>
      <w:r w:rsidR="00B470B1">
        <w:rPr>
          <w:lang w:eastAsia="es-CR"/>
        </w:rPr>
        <w:t xml:space="preserve">para el </w:t>
      </w:r>
      <w:r w:rsidR="00105AFA">
        <w:rPr>
          <w:lang w:eastAsia="es-CR"/>
        </w:rPr>
        <w:t xml:space="preserve">co-cultivo con </w:t>
      </w:r>
      <w:r w:rsidR="00105AFA">
        <w:rPr>
          <w:i/>
          <w:iCs/>
          <w:lang w:eastAsia="es-CR"/>
        </w:rPr>
        <w:t>E. hormaechei</w:t>
      </w:r>
      <w:r w:rsidR="00F5337F">
        <w:rPr>
          <w:i/>
          <w:iCs/>
          <w:lang w:eastAsia="es-CR"/>
        </w:rPr>
        <w:t xml:space="preserve">, </w:t>
      </w:r>
      <w:r w:rsidR="00105AFA">
        <w:rPr>
          <w:lang w:eastAsia="es-CR"/>
        </w:rPr>
        <w:t>no se observ</w:t>
      </w:r>
      <w:r w:rsidR="006D71A0">
        <w:rPr>
          <w:lang w:eastAsia="es-CR"/>
        </w:rPr>
        <w:t>ó</w:t>
      </w:r>
      <w:r w:rsidR="00105AFA">
        <w:rPr>
          <w:lang w:eastAsia="es-CR"/>
        </w:rPr>
        <w:t xml:space="preserve"> un</w:t>
      </w:r>
      <w:r w:rsidR="006D71A0">
        <w:rPr>
          <w:lang w:eastAsia="es-CR"/>
        </w:rPr>
        <w:t>a mayor influencia de los cultivos mixtos</w:t>
      </w:r>
      <w:r w:rsidR="00C73DB7">
        <w:rPr>
          <w:lang w:eastAsia="es-CR"/>
        </w:rPr>
        <w:t xml:space="preserve"> en cuanto a la generación de mayor actividad antimicrobiana</w:t>
      </w:r>
      <w:r w:rsidR="00113DDE">
        <w:rPr>
          <w:lang w:eastAsia="es-CR"/>
        </w:rPr>
        <w:t xml:space="preserve"> (Anexo </w:t>
      </w:r>
      <w:r w:rsidR="00731ECB">
        <w:rPr>
          <w:lang w:eastAsia="es-CR"/>
        </w:rPr>
        <w:t>6</w:t>
      </w:r>
      <w:r w:rsidR="00113DDE">
        <w:rPr>
          <w:lang w:eastAsia="es-CR"/>
        </w:rPr>
        <w:t>)</w:t>
      </w:r>
      <w:r w:rsidR="006D71A0">
        <w:rPr>
          <w:lang w:eastAsia="es-CR"/>
        </w:rPr>
        <w:t>.</w:t>
      </w:r>
      <w:r w:rsidR="00113DDE">
        <w:rPr>
          <w:lang w:eastAsia="es-CR"/>
        </w:rPr>
        <w:t xml:space="preserve"> </w:t>
      </w:r>
      <w:r w:rsidR="000B71AD">
        <w:rPr>
          <w:lang w:eastAsia="es-CR"/>
        </w:rPr>
        <w:t xml:space="preserve"> </w:t>
      </w:r>
    </w:p>
    <w:p w14:paraId="67109580" w14:textId="465540E8" w:rsidR="001E1C92" w:rsidRDefault="004E1285" w:rsidP="001E1C92">
      <w:pPr>
        <w:ind w:firstLine="708"/>
        <w:rPr>
          <w:lang w:eastAsia="es-CR"/>
        </w:rPr>
      </w:pPr>
      <w:r>
        <w:rPr>
          <w:lang w:eastAsia="es-CR"/>
        </w:rPr>
        <w:t>Por su parte, l</w:t>
      </w:r>
      <w:r w:rsidR="00CC303D">
        <w:rPr>
          <w:lang w:eastAsia="es-CR"/>
        </w:rPr>
        <w:t xml:space="preserve">a cepa </w:t>
      </w:r>
      <w:r w:rsidR="001D6243">
        <w:rPr>
          <w:lang w:eastAsia="es-CR"/>
        </w:rPr>
        <w:t xml:space="preserve">B 3.2, </w:t>
      </w:r>
      <w:r w:rsidR="00CC303D">
        <w:rPr>
          <w:lang w:eastAsia="es-CR"/>
        </w:rPr>
        <w:t xml:space="preserve">identificada como </w:t>
      </w:r>
      <w:r w:rsidR="00CC303D" w:rsidRPr="00CC303D">
        <w:rPr>
          <w:i/>
          <w:iCs/>
          <w:lang w:eastAsia="es-CR"/>
        </w:rPr>
        <w:t>Aspergillus</w:t>
      </w:r>
      <w:r w:rsidR="00CC303D">
        <w:rPr>
          <w:lang w:eastAsia="es-CR"/>
        </w:rPr>
        <w:t xml:space="preserve"> sp.</w:t>
      </w:r>
      <w:r w:rsidR="001D6243">
        <w:rPr>
          <w:lang w:eastAsia="es-CR"/>
        </w:rPr>
        <w:t>,</w:t>
      </w:r>
      <w:r w:rsidR="00CC303D">
        <w:rPr>
          <w:lang w:eastAsia="es-CR"/>
        </w:rPr>
        <w:t xml:space="preserve"> produjo</w:t>
      </w:r>
      <w:r>
        <w:rPr>
          <w:lang w:eastAsia="es-CR"/>
        </w:rPr>
        <w:t xml:space="preserve"> mayor inhibición al </w:t>
      </w:r>
      <w:r w:rsidR="00F6275B">
        <w:rPr>
          <w:lang w:eastAsia="es-CR"/>
        </w:rPr>
        <w:t xml:space="preserve">ser </w:t>
      </w:r>
      <w:r>
        <w:rPr>
          <w:lang w:eastAsia="es-CR"/>
        </w:rPr>
        <w:t xml:space="preserve">fermentada en </w:t>
      </w:r>
      <w:r w:rsidR="0078777B">
        <w:rPr>
          <w:lang w:eastAsia="es-CR"/>
        </w:rPr>
        <w:t>co-cultivo</w:t>
      </w:r>
      <w:r w:rsidR="0014771C">
        <w:rPr>
          <w:lang w:eastAsia="es-CR"/>
        </w:rPr>
        <w:t>, su</w:t>
      </w:r>
      <w:r w:rsidR="0078777B">
        <w:rPr>
          <w:lang w:eastAsia="es-CR"/>
        </w:rPr>
        <w:t xml:space="preserve"> </w:t>
      </w:r>
      <w:r w:rsidR="00CC303D">
        <w:rPr>
          <w:lang w:eastAsia="es-CR"/>
        </w:rPr>
        <w:t xml:space="preserve">halo de inhibición contra la bacteria </w:t>
      </w:r>
      <w:r w:rsidR="00CC303D">
        <w:rPr>
          <w:i/>
          <w:iCs/>
          <w:lang w:eastAsia="es-CR"/>
        </w:rPr>
        <w:t xml:space="preserve">S. aureus </w:t>
      </w:r>
      <w:r w:rsidR="0078777B">
        <w:rPr>
          <w:lang w:eastAsia="es-CR"/>
        </w:rPr>
        <w:t>tuvo un mayor diámetro a</w:t>
      </w:r>
      <w:r w:rsidR="00E85132">
        <w:rPr>
          <w:lang w:eastAsia="es-CR"/>
        </w:rPr>
        <w:t>l ser</w:t>
      </w:r>
      <w:r w:rsidR="00CC303D">
        <w:rPr>
          <w:lang w:eastAsia="es-CR"/>
        </w:rPr>
        <w:t xml:space="preserve"> </w:t>
      </w:r>
      <w:r w:rsidR="004656DC">
        <w:rPr>
          <w:lang w:eastAsia="es-CR"/>
        </w:rPr>
        <w:t>co</w:t>
      </w:r>
      <w:r w:rsidR="00CC303D">
        <w:rPr>
          <w:lang w:eastAsia="es-CR"/>
        </w:rPr>
        <w:t>-cultiv</w:t>
      </w:r>
      <w:r w:rsidR="004656DC">
        <w:rPr>
          <w:lang w:eastAsia="es-CR"/>
        </w:rPr>
        <w:t>ada</w:t>
      </w:r>
      <w:r w:rsidR="00CC303D">
        <w:rPr>
          <w:lang w:eastAsia="es-CR"/>
        </w:rPr>
        <w:t xml:space="preserve"> con </w:t>
      </w:r>
      <w:r w:rsidR="004656DC">
        <w:rPr>
          <w:lang w:eastAsia="es-CR"/>
        </w:rPr>
        <w:t>est</w:t>
      </w:r>
      <w:r w:rsidR="00AC55A5">
        <w:rPr>
          <w:lang w:eastAsia="es-CR"/>
        </w:rPr>
        <w:t>a misma bacteria</w:t>
      </w:r>
      <w:r w:rsidR="00B67DC5">
        <w:rPr>
          <w:lang w:eastAsia="es-CR"/>
        </w:rPr>
        <w:t xml:space="preserve"> (Anexo </w:t>
      </w:r>
      <w:r w:rsidR="00551A7B">
        <w:rPr>
          <w:lang w:eastAsia="es-CR"/>
        </w:rPr>
        <w:t>7</w:t>
      </w:r>
      <w:r w:rsidR="00574781">
        <w:rPr>
          <w:lang w:eastAsia="es-CR"/>
        </w:rPr>
        <w:t>.</w:t>
      </w:r>
      <w:r w:rsidR="00A63592">
        <w:rPr>
          <w:lang w:eastAsia="es-CR"/>
        </w:rPr>
        <w:t>B</w:t>
      </w:r>
      <w:r w:rsidR="00B67DC5">
        <w:rPr>
          <w:lang w:eastAsia="es-CR"/>
        </w:rPr>
        <w:t>)</w:t>
      </w:r>
      <w:r w:rsidR="00885541">
        <w:rPr>
          <w:lang w:eastAsia="es-CR"/>
        </w:rPr>
        <w:t>.</w:t>
      </w:r>
      <w:r w:rsidR="00CC303D">
        <w:rPr>
          <w:lang w:eastAsia="es-CR"/>
        </w:rPr>
        <w:t xml:space="preserve"> </w:t>
      </w:r>
      <w:r w:rsidR="004656DC">
        <w:rPr>
          <w:lang w:eastAsia="es-CR"/>
        </w:rPr>
        <w:t>Por otro lado,</w:t>
      </w:r>
      <w:r w:rsidR="001A608E">
        <w:rPr>
          <w:lang w:eastAsia="es-CR"/>
        </w:rPr>
        <w:t xml:space="preserve"> únicamente</w:t>
      </w:r>
      <w:r w:rsidR="004656DC">
        <w:rPr>
          <w:lang w:eastAsia="es-CR"/>
        </w:rPr>
        <w:t xml:space="preserve"> </w:t>
      </w:r>
      <w:r w:rsidR="00C440FD">
        <w:rPr>
          <w:lang w:eastAsia="es-CR"/>
        </w:rPr>
        <w:t>el extracto de</w:t>
      </w:r>
      <w:r w:rsidR="00E02C0F">
        <w:rPr>
          <w:lang w:eastAsia="es-CR"/>
        </w:rPr>
        <w:t>l cultivo líquido en</w:t>
      </w:r>
      <w:r w:rsidR="00C440FD">
        <w:rPr>
          <w:lang w:eastAsia="es-CR"/>
        </w:rPr>
        <w:t xml:space="preserve"> </w:t>
      </w:r>
      <w:r w:rsidR="003F4930">
        <w:rPr>
          <w:lang w:eastAsia="es-CR"/>
        </w:rPr>
        <w:t xml:space="preserve">co-cultivo con </w:t>
      </w:r>
      <w:r w:rsidR="003F4930">
        <w:rPr>
          <w:i/>
          <w:iCs/>
          <w:lang w:eastAsia="es-CR"/>
        </w:rPr>
        <w:t>E. hormaechei</w:t>
      </w:r>
      <w:r w:rsidR="003F4930">
        <w:rPr>
          <w:lang w:eastAsia="es-CR"/>
        </w:rPr>
        <w:t xml:space="preserve"> </w:t>
      </w:r>
      <w:r w:rsidR="001A608E">
        <w:rPr>
          <w:lang w:eastAsia="es-CR"/>
        </w:rPr>
        <w:t xml:space="preserve">generó </w:t>
      </w:r>
      <w:r w:rsidR="003F4930">
        <w:rPr>
          <w:lang w:eastAsia="es-CR"/>
        </w:rPr>
        <w:t xml:space="preserve">la </w:t>
      </w:r>
      <w:r w:rsidR="00CC303D">
        <w:rPr>
          <w:lang w:eastAsia="es-CR"/>
        </w:rPr>
        <w:t>inhibi</w:t>
      </w:r>
      <w:r w:rsidR="005119EC">
        <w:rPr>
          <w:lang w:eastAsia="es-CR"/>
        </w:rPr>
        <w:t>ci</w:t>
      </w:r>
      <w:r w:rsidR="00CC303D">
        <w:rPr>
          <w:lang w:eastAsia="es-CR"/>
        </w:rPr>
        <w:t>ó</w:t>
      </w:r>
      <w:r w:rsidR="005119EC">
        <w:rPr>
          <w:lang w:eastAsia="es-CR"/>
        </w:rPr>
        <w:t xml:space="preserve">n </w:t>
      </w:r>
      <w:r w:rsidR="00ED733C">
        <w:rPr>
          <w:lang w:eastAsia="es-CR"/>
        </w:rPr>
        <w:t xml:space="preserve">completa </w:t>
      </w:r>
      <w:r w:rsidR="005119EC">
        <w:rPr>
          <w:lang w:eastAsia="es-CR"/>
        </w:rPr>
        <w:t xml:space="preserve">contra </w:t>
      </w:r>
      <w:r w:rsidR="005119EC">
        <w:rPr>
          <w:lang w:eastAsia="es-CR"/>
        </w:rPr>
        <w:lastRenderedPageBreak/>
        <w:t>la levadura</w:t>
      </w:r>
      <w:r w:rsidR="00CC303D">
        <w:rPr>
          <w:lang w:eastAsia="es-CR"/>
        </w:rPr>
        <w:t xml:space="preserve"> </w:t>
      </w:r>
      <w:bookmarkStart w:id="114" w:name="_Hlk124997156"/>
      <w:r w:rsidR="00CC303D">
        <w:rPr>
          <w:i/>
          <w:iCs/>
          <w:lang w:eastAsia="es-CR"/>
        </w:rPr>
        <w:t>C. alb</w:t>
      </w:r>
      <w:r w:rsidR="0029408F">
        <w:rPr>
          <w:i/>
          <w:iCs/>
          <w:lang w:eastAsia="es-CR"/>
        </w:rPr>
        <w:t>i</w:t>
      </w:r>
      <w:r w:rsidR="00CC303D">
        <w:rPr>
          <w:i/>
          <w:iCs/>
          <w:lang w:eastAsia="es-CR"/>
        </w:rPr>
        <w:t>cans</w:t>
      </w:r>
      <w:bookmarkEnd w:id="114"/>
      <w:r w:rsidR="009B76CE">
        <w:rPr>
          <w:i/>
          <w:iCs/>
          <w:lang w:eastAsia="es-CR"/>
        </w:rPr>
        <w:t xml:space="preserve">. </w:t>
      </w:r>
      <w:r w:rsidR="00483F18">
        <w:rPr>
          <w:lang w:eastAsia="es-CR"/>
        </w:rPr>
        <w:t>En contraste</w:t>
      </w:r>
      <w:r w:rsidR="00BF2A09">
        <w:rPr>
          <w:lang w:eastAsia="es-CR"/>
        </w:rPr>
        <w:t xml:space="preserve"> de las cepas fúngicas anteriormente mencionadas, e</w:t>
      </w:r>
      <w:r w:rsidR="00F02D12">
        <w:rPr>
          <w:lang w:eastAsia="es-CR"/>
        </w:rPr>
        <w:t xml:space="preserve">l hongo marino identificado como </w:t>
      </w:r>
      <w:r w:rsidR="00381F81">
        <w:rPr>
          <w:i/>
          <w:iCs/>
          <w:lang w:eastAsia="es-CR"/>
        </w:rPr>
        <w:t>Penicillium sp</w:t>
      </w:r>
      <w:r w:rsidR="00021454">
        <w:rPr>
          <w:lang w:eastAsia="es-CR"/>
        </w:rPr>
        <w:t>.</w:t>
      </w:r>
      <w:r w:rsidR="00375E08">
        <w:rPr>
          <w:i/>
          <w:iCs/>
          <w:lang w:eastAsia="es-CR"/>
        </w:rPr>
        <w:t xml:space="preserve"> </w:t>
      </w:r>
      <w:r w:rsidR="001D6243" w:rsidRPr="00381F81">
        <w:rPr>
          <w:lang w:eastAsia="es-CR"/>
        </w:rPr>
        <w:t xml:space="preserve">(cepa A </w:t>
      </w:r>
      <w:r w:rsidR="00ED733C">
        <w:rPr>
          <w:lang w:eastAsia="es-CR"/>
        </w:rPr>
        <w:t>2</w:t>
      </w:r>
      <w:r w:rsidR="001D6243" w:rsidRPr="00381F81">
        <w:rPr>
          <w:lang w:eastAsia="es-CR"/>
        </w:rPr>
        <w:t xml:space="preserve">.1) </w:t>
      </w:r>
      <w:r w:rsidR="00375E08">
        <w:rPr>
          <w:lang w:eastAsia="es-CR"/>
        </w:rPr>
        <w:t>mostró</w:t>
      </w:r>
      <w:r w:rsidR="00876141">
        <w:rPr>
          <w:lang w:eastAsia="es-CR"/>
        </w:rPr>
        <w:t xml:space="preserve"> </w:t>
      </w:r>
      <w:r w:rsidR="00375E08">
        <w:rPr>
          <w:lang w:eastAsia="es-CR"/>
        </w:rPr>
        <w:t xml:space="preserve">una disminución en los diámetros de crecimiento </w:t>
      </w:r>
      <w:r w:rsidR="00CF656F">
        <w:rPr>
          <w:lang w:eastAsia="es-CR"/>
        </w:rPr>
        <w:t xml:space="preserve">contra </w:t>
      </w:r>
      <w:r w:rsidR="00717F43">
        <w:rPr>
          <w:i/>
          <w:iCs/>
          <w:lang w:eastAsia="es-CR"/>
        </w:rPr>
        <w:t>C. albicans</w:t>
      </w:r>
      <w:r w:rsidR="00564F18">
        <w:rPr>
          <w:i/>
          <w:iCs/>
          <w:lang w:eastAsia="es-CR"/>
        </w:rPr>
        <w:t xml:space="preserve"> </w:t>
      </w:r>
      <w:r w:rsidR="00564F18">
        <w:rPr>
          <w:lang w:eastAsia="es-CR"/>
        </w:rPr>
        <w:t xml:space="preserve">para ambos los tratamientos en co-cultivo, </w:t>
      </w:r>
      <w:r w:rsidR="003C616F">
        <w:rPr>
          <w:lang w:eastAsia="es-CR"/>
        </w:rPr>
        <w:t xml:space="preserve">de la misma forma con el co-cultivo con </w:t>
      </w:r>
      <w:r w:rsidR="003C616F">
        <w:rPr>
          <w:i/>
          <w:iCs/>
          <w:lang w:eastAsia="es-CR"/>
        </w:rPr>
        <w:t xml:space="preserve">E. hormaechei </w:t>
      </w:r>
      <w:r w:rsidR="00564F18">
        <w:rPr>
          <w:lang w:eastAsia="es-CR"/>
        </w:rPr>
        <w:t>que</w:t>
      </w:r>
      <w:r w:rsidR="003C616F">
        <w:rPr>
          <w:lang w:eastAsia="es-CR"/>
        </w:rPr>
        <w:t xml:space="preserve"> redujo su diámetro en comparación con el cultivo puro </w:t>
      </w:r>
      <w:r w:rsidR="00077EEC">
        <w:rPr>
          <w:lang w:eastAsia="es-CR"/>
        </w:rPr>
        <w:t>contra los hongos</w:t>
      </w:r>
      <w:r w:rsidR="00564F18">
        <w:rPr>
          <w:lang w:eastAsia="es-CR"/>
        </w:rPr>
        <w:t xml:space="preserve"> </w:t>
      </w:r>
      <w:r w:rsidR="00717F43">
        <w:rPr>
          <w:i/>
          <w:iCs/>
          <w:lang w:eastAsia="es-CR"/>
        </w:rPr>
        <w:t xml:space="preserve">A. niger </w:t>
      </w:r>
      <w:r w:rsidR="00717F43">
        <w:rPr>
          <w:lang w:eastAsia="es-CR"/>
        </w:rPr>
        <w:t xml:space="preserve">y </w:t>
      </w:r>
      <w:r w:rsidR="00717F43">
        <w:rPr>
          <w:i/>
          <w:iCs/>
          <w:lang w:eastAsia="es-CR"/>
        </w:rPr>
        <w:t>A. fumigatus</w:t>
      </w:r>
      <w:r w:rsidR="00070843">
        <w:rPr>
          <w:i/>
          <w:iCs/>
          <w:lang w:eastAsia="es-CR"/>
        </w:rPr>
        <w:t xml:space="preserve"> </w:t>
      </w:r>
      <w:r w:rsidR="00070843">
        <w:rPr>
          <w:lang w:eastAsia="es-CR"/>
        </w:rPr>
        <w:t>(Anex</w:t>
      </w:r>
      <w:r w:rsidR="00B67DC5">
        <w:rPr>
          <w:lang w:eastAsia="es-CR"/>
        </w:rPr>
        <w:t>o</w:t>
      </w:r>
      <w:r w:rsidR="00070843">
        <w:rPr>
          <w:lang w:eastAsia="es-CR"/>
        </w:rPr>
        <w:t xml:space="preserve"> </w:t>
      </w:r>
      <w:r w:rsidR="00574781">
        <w:rPr>
          <w:lang w:eastAsia="es-CR"/>
        </w:rPr>
        <w:t>7.</w:t>
      </w:r>
      <w:r w:rsidR="00A63592">
        <w:rPr>
          <w:lang w:eastAsia="es-CR"/>
        </w:rPr>
        <w:t>A</w:t>
      </w:r>
      <w:r w:rsidR="00B67DC5">
        <w:rPr>
          <w:lang w:eastAsia="es-CR"/>
        </w:rPr>
        <w:t>)</w:t>
      </w:r>
      <w:r w:rsidR="00077EEC">
        <w:rPr>
          <w:lang w:eastAsia="es-CR"/>
        </w:rPr>
        <w:t>.</w:t>
      </w:r>
      <w:r w:rsidR="00844801">
        <w:rPr>
          <w:lang w:eastAsia="es-CR"/>
        </w:rPr>
        <w:t xml:space="preserve"> Por contraparte, e</w:t>
      </w:r>
      <w:r w:rsidR="00077EEC">
        <w:rPr>
          <w:lang w:eastAsia="es-CR"/>
        </w:rPr>
        <w:t xml:space="preserve">l crecimiento de las bacterias </w:t>
      </w:r>
      <w:r w:rsidR="0016627D" w:rsidRPr="0016627D">
        <w:rPr>
          <w:i/>
          <w:iCs/>
        </w:rPr>
        <w:t>P. aeruginosa</w:t>
      </w:r>
      <w:r w:rsidR="0016627D">
        <w:rPr>
          <w:iCs/>
        </w:rPr>
        <w:t xml:space="preserve"> y </w:t>
      </w:r>
      <w:r w:rsidR="0016627D" w:rsidRPr="0016627D">
        <w:rPr>
          <w:i/>
          <w:iCs/>
        </w:rPr>
        <w:t>K. pneumoniae</w:t>
      </w:r>
      <w:r w:rsidR="0016627D">
        <w:t xml:space="preserve"> no se vio afectado por ninguno de los tratamientos evaluados</w:t>
      </w:r>
      <w:r w:rsidR="007E7B6F">
        <w:t>.</w:t>
      </w:r>
      <w:r w:rsidR="001E1C92" w:rsidRPr="001E1C92">
        <w:rPr>
          <w:lang w:eastAsia="es-CR"/>
        </w:rPr>
        <w:t xml:space="preserve"> </w:t>
      </w:r>
    </w:p>
    <w:p w14:paraId="7C6F7940" w14:textId="569261A2" w:rsidR="001E1C92" w:rsidRDefault="001E1C92" w:rsidP="001E1C92">
      <w:pPr>
        <w:ind w:firstLine="708"/>
        <w:rPr>
          <w:lang w:eastAsia="es-CR"/>
        </w:rPr>
      </w:pPr>
      <w:r>
        <w:rPr>
          <w:lang w:eastAsia="es-CR"/>
        </w:rPr>
        <w:t xml:space="preserve">En cuanto al </w:t>
      </w:r>
      <w:r w:rsidR="00D7155F">
        <w:rPr>
          <w:lang w:eastAsia="es-CR"/>
        </w:rPr>
        <w:t>tamizaje</w:t>
      </w:r>
      <w:r>
        <w:rPr>
          <w:lang w:eastAsia="es-CR"/>
        </w:rPr>
        <w:t xml:space="preserve"> de metabolitos secundarios presentes en cada uno de los extractos fúngicos utilizados en el ensayo de actividad antimicrobiana, el análisis permitió observar cambios en los perfiles de metabolitos producidos entre los diferentes tratamientos contra los componentes del medio de cultivo </w:t>
      </w:r>
      <w:r w:rsidRPr="00996D12">
        <w:rPr>
          <w:lang w:eastAsia="es-CR"/>
        </w:rPr>
        <w:t xml:space="preserve">inicial (Figura </w:t>
      </w:r>
      <w:r w:rsidR="002B0C9C">
        <w:rPr>
          <w:lang w:eastAsia="es-CR"/>
        </w:rPr>
        <w:t>7.</w:t>
      </w:r>
      <w:r w:rsidR="00A63592">
        <w:rPr>
          <w:lang w:eastAsia="es-CR"/>
        </w:rPr>
        <w:t>B</w:t>
      </w:r>
      <w:r w:rsidRPr="00996D12">
        <w:rPr>
          <w:lang w:eastAsia="es-CR"/>
        </w:rPr>
        <w:t>).</w:t>
      </w:r>
      <w:r>
        <w:rPr>
          <w:lang w:eastAsia="es-CR"/>
        </w:rPr>
        <w:t xml:space="preserve">  La presencia de flavonoides fue únicamente detectada en los extractos </w:t>
      </w:r>
      <w:r w:rsidR="00B86419">
        <w:rPr>
          <w:lang w:eastAsia="es-CR"/>
        </w:rPr>
        <w:t>del cultivo líquido de las cepas</w:t>
      </w:r>
      <w:r>
        <w:rPr>
          <w:lang w:eastAsia="es-CR"/>
        </w:rPr>
        <w:t xml:space="preserve"> fúngicas, pero en mayor cantidad para la cepa A 4</w:t>
      </w:r>
      <w:r w:rsidR="00A33F3D">
        <w:rPr>
          <w:lang w:eastAsia="es-CR"/>
        </w:rPr>
        <w:t>.</w:t>
      </w:r>
      <w:r>
        <w:rPr>
          <w:lang w:eastAsia="es-CR"/>
        </w:rPr>
        <w:t>1</w:t>
      </w:r>
      <w:r w:rsidR="00D7155F">
        <w:rPr>
          <w:lang w:eastAsia="es-CR"/>
        </w:rPr>
        <w:t xml:space="preserve"> (</w:t>
      </w:r>
      <w:r w:rsidR="00D7155F" w:rsidRPr="006D1132">
        <w:rPr>
          <w:rFonts w:eastAsia="Times New Roman" w:cs="Times New Roman"/>
          <w:bCs/>
          <w:i/>
          <w:iCs/>
          <w:color w:val="000000"/>
          <w:szCs w:val="24"/>
          <w:lang w:eastAsia="es-CR"/>
        </w:rPr>
        <w:t>Paraconiothyrium</w:t>
      </w:r>
      <w:r w:rsidR="00D7155F">
        <w:rPr>
          <w:lang w:eastAsia="es-CR"/>
        </w:rPr>
        <w:t xml:space="preserve"> </w:t>
      </w:r>
      <w:r w:rsidR="00D7155F" w:rsidRPr="00D7155F">
        <w:rPr>
          <w:i/>
          <w:iCs/>
          <w:lang w:eastAsia="es-CR"/>
        </w:rPr>
        <w:t>sp.</w:t>
      </w:r>
      <w:r w:rsidR="00D7155F">
        <w:rPr>
          <w:lang w:eastAsia="es-CR"/>
        </w:rPr>
        <w:t>)</w:t>
      </w:r>
      <w:r>
        <w:rPr>
          <w:lang w:eastAsia="es-CR"/>
        </w:rPr>
        <w:t xml:space="preserve">, mientras que antraquinonas, fenoles y taninos solamente fueron detectados en los extractos de esta misma cepa y </w:t>
      </w:r>
      <w:r>
        <w:rPr>
          <w:i/>
          <w:iCs/>
          <w:lang w:eastAsia="es-CR"/>
        </w:rPr>
        <w:t xml:space="preserve">Aspergillus </w:t>
      </w:r>
      <w:r w:rsidRPr="00780800">
        <w:rPr>
          <w:i/>
          <w:iCs/>
          <w:lang w:eastAsia="es-CR"/>
        </w:rPr>
        <w:t>sp</w:t>
      </w:r>
      <w:r w:rsidR="002224BF">
        <w:rPr>
          <w:i/>
          <w:iCs/>
          <w:lang w:eastAsia="es-CR"/>
        </w:rPr>
        <w:t xml:space="preserve"> </w:t>
      </w:r>
      <w:r w:rsidR="002224BF">
        <w:rPr>
          <w:lang w:eastAsia="es-CR"/>
        </w:rPr>
        <w:t>(B 3.2)</w:t>
      </w:r>
      <w:r>
        <w:rPr>
          <w:lang w:eastAsia="es-CR"/>
        </w:rPr>
        <w:t xml:space="preserve">. La presencia de alcaloides fue únicamente detectada por la prueba de </w:t>
      </w:r>
      <w:r w:rsidR="004D2B5A">
        <w:rPr>
          <w:lang w:eastAsia="es-CR"/>
        </w:rPr>
        <w:t>Dragendorff</w:t>
      </w:r>
      <w:r>
        <w:rPr>
          <w:lang w:eastAsia="es-CR"/>
        </w:rPr>
        <w:t xml:space="preserve"> tanto en los medios de control como en los fermentos de </w:t>
      </w:r>
      <w:r w:rsidRPr="00270741">
        <w:rPr>
          <w:i/>
          <w:iCs/>
          <w:lang w:eastAsia="es-CR"/>
        </w:rPr>
        <w:t>Penicilium</w:t>
      </w:r>
      <w:r>
        <w:rPr>
          <w:lang w:eastAsia="es-CR"/>
        </w:rPr>
        <w:t xml:space="preserve"> </w:t>
      </w:r>
      <w:r w:rsidRPr="00D7155F">
        <w:rPr>
          <w:i/>
          <w:iCs/>
          <w:lang w:eastAsia="es-CR"/>
        </w:rPr>
        <w:t>sp</w:t>
      </w:r>
      <w:r>
        <w:rPr>
          <w:lang w:eastAsia="es-CR"/>
        </w:rPr>
        <w:t>.</w:t>
      </w:r>
      <w:r w:rsidR="002224BF">
        <w:rPr>
          <w:lang w:eastAsia="es-CR"/>
        </w:rPr>
        <w:t xml:space="preserve"> (cepa A 2.1)</w:t>
      </w:r>
      <w:r>
        <w:rPr>
          <w:lang w:eastAsia="es-CR"/>
        </w:rPr>
        <w:t xml:space="preserve"> y </w:t>
      </w:r>
      <w:r w:rsidR="00D7155F" w:rsidRPr="006D1132">
        <w:rPr>
          <w:rFonts w:eastAsia="Times New Roman" w:cs="Times New Roman"/>
          <w:bCs/>
          <w:i/>
          <w:iCs/>
          <w:color w:val="000000"/>
          <w:szCs w:val="24"/>
          <w:lang w:eastAsia="es-CR"/>
        </w:rPr>
        <w:t>Paraconiothyrium</w:t>
      </w:r>
      <w:r w:rsidR="00D7155F" w:rsidRPr="00D7155F">
        <w:rPr>
          <w:i/>
          <w:iCs/>
          <w:lang w:eastAsia="es-CR"/>
        </w:rPr>
        <w:t xml:space="preserve"> sp</w:t>
      </w:r>
      <w:r w:rsidR="00D7155F">
        <w:rPr>
          <w:i/>
          <w:iCs/>
          <w:lang w:eastAsia="es-CR"/>
        </w:rPr>
        <w:t>.</w:t>
      </w:r>
      <w:r w:rsidRPr="00D7155F">
        <w:rPr>
          <w:i/>
          <w:iCs/>
          <w:lang w:eastAsia="es-CR"/>
        </w:rPr>
        <w:t>,</w:t>
      </w:r>
      <w:r>
        <w:rPr>
          <w:lang w:eastAsia="es-CR"/>
        </w:rPr>
        <w:t xml:space="preserve"> sin embargo, para la cepa </w:t>
      </w:r>
      <w:r w:rsidRPr="00C37592">
        <w:rPr>
          <w:i/>
          <w:iCs/>
          <w:lang w:eastAsia="es-CR"/>
        </w:rPr>
        <w:t>Aspergillus sp</w:t>
      </w:r>
      <w:r>
        <w:rPr>
          <w:lang w:eastAsia="es-CR"/>
        </w:rPr>
        <w:t>. no se lograron detectar alcaloides con ninguno de los métodos utilizados.</w:t>
      </w:r>
    </w:p>
    <w:p w14:paraId="07D12234" w14:textId="7C2568FE" w:rsidR="00A33F3D" w:rsidRDefault="00375CE8" w:rsidP="00F47DE0">
      <w:pPr>
        <w:spacing w:after="0"/>
        <w:ind w:firstLine="708"/>
        <w:rPr>
          <w:i/>
          <w:iCs/>
          <w:szCs w:val="24"/>
          <w:lang w:eastAsia="es-CR"/>
        </w:rPr>
      </w:pPr>
      <w:r w:rsidRPr="007C4493">
        <w:rPr>
          <w:szCs w:val="24"/>
          <w:lang w:eastAsia="es-CR"/>
        </w:rPr>
        <w:t>La presencia de enlaces p</w:t>
      </w:r>
      <w:r w:rsidR="00AB09A0" w:rsidRPr="007C4493">
        <w:rPr>
          <w:szCs w:val="24"/>
          <w:lang w:eastAsia="es-CR"/>
        </w:rPr>
        <w:t xml:space="preserve">eptídicos fue detectada en mayor cantidad en el </w:t>
      </w:r>
      <w:r w:rsidR="00681EB8">
        <w:rPr>
          <w:szCs w:val="24"/>
          <w:lang w:eastAsia="es-CR"/>
        </w:rPr>
        <w:t>tratamiento</w:t>
      </w:r>
      <w:r w:rsidR="00AB09A0" w:rsidRPr="007C4493">
        <w:rPr>
          <w:szCs w:val="24"/>
          <w:lang w:eastAsia="es-CR"/>
        </w:rPr>
        <w:t xml:space="preserve"> de</w:t>
      </w:r>
      <w:r w:rsidR="00681EB8">
        <w:rPr>
          <w:szCs w:val="24"/>
          <w:lang w:eastAsia="es-CR"/>
        </w:rPr>
        <w:t>l</w:t>
      </w:r>
      <w:r w:rsidR="00AB09A0" w:rsidRPr="007C4493">
        <w:rPr>
          <w:szCs w:val="24"/>
          <w:lang w:eastAsia="es-CR"/>
        </w:rPr>
        <w:t xml:space="preserve"> cultivo </w:t>
      </w:r>
      <w:r w:rsidR="00D13418">
        <w:rPr>
          <w:szCs w:val="24"/>
          <w:lang w:eastAsia="es-CR"/>
        </w:rPr>
        <w:t>puro</w:t>
      </w:r>
      <w:r w:rsidR="00CF32FD">
        <w:rPr>
          <w:szCs w:val="24"/>
          <w:lang w:eastAsia="es-CR"/>
        </w:rPr>
        <w:t xml:space="preserve"> y</w:t>
      </w:r>
      <w:r w:rsidR="00AB09A0" w:rsidRPr="007C4493">
        <w:rPr>
          <w:szCs w:val="24"/>
          <w:lang w:eastAsia="es-CR"/>
        </w:rPr>
        <w:t xml:space="preserve"> su detección fue disminuyendo en </w:t>
      </w:r>
      <w:r w:rsidR="00AB370D" w:rsidRPr="007C4493">
        <w:rPr>
          <w:szCs w:val="24"/>
          <w:lang w:eastAsia="es-CR"/>
        </w:rPr>
        <w:t>los controles d</w:t>
      </w:r>
      <w:r w:rsidR="00CF32FD">
        <w:rPr>
          <w:szCs w:val="24"/>
          <w:lang w:eastAsia="es-CR"/>
        </w:rPr>
        <w:t>el co-cultiv</w:t>
      </w:r>
      <w:r w:rsidR="007B2DC4">
        <w:rPr>
          <w:szCs w:val="24"/>
          <w:lang w:eastAsia="es-CR"/>
        </w:rPr>
        <w:t>o</w:t>
      </w:r>
      <w:r w:rsidR="00AB370D" w:rsidRPr="007C4493">
        <w:rPr>
          <w:szCs w:val="24"/>
          <w:lang w:eastAsia="es-CR"/>
        </w:rPr>
        <w:t xml:space="preserve">, para disminuir completamente su detección en </w:t>
      </w:r>
      <w:r w:rsidR="00B86419">
        <w:rPr>
          <w:szCs w:val="24"/>
          <w:lang w:eastAsia="es-CR"/>
        </w:rPr>
        <w:t>los cultivos líquidos</w:t>
      </w:r>
      <w:r w:rsidR="00AB370D" w:rsidRPr="007C4493">
        <w:rPr>
          <w:szCs w:val="24"/>
          <w:lang w:eastAsia="es-CR"/>
        </w:rPr>
        <w:t xml:space="preserve"> que contenían los hongos marinos. Finalmente, </w:t>
      </w:r>
      <w:r w:rsidR="008E6DA5" w:rsidRPr="007C4493">
        <w:rPr>
          <w:szCs w:val="24"/>
          <w:lang w:eastAsia="es-CR"/>
        </w:rPr>
        <w:t xml:space="preserve">la presencia de carbohidratos fue detectada solamente en el control de </w:t>
      </w:r>
      <w:r w:rsidR="008E6DA5" w:rsidRPr="007C4493">
        <w:rPr>
          <w:i/>
          <w:iCs/>
          <w:szCs w:val="24"/>
          <w:lang w:eastAsia="es-CR"/>
        </w:rPr>
        <w:t>E.  hormaechei</w:t>
      </w:r>
      <w:r w:rsidR="007C4493" w:rsidRPr="007C4493">
        <w:rPr>
          <w:i/>
          <w:iCs/>
          <w:szCs w:val="24"/>
          <w:lang w:eastAsia="es-CR"/>
        </w:rPr>
        <w:t xml:space="preserve"> </w:t>
      </w:r>
      <w:r w:rsidR="007C4493" w:rsidRPr="007C4493">
        <w:rPr>
          <w:szCs w:val="24"/>
          <w:lang w:eastAsia="es-CR"/>
        </w:rPr>
        <w:t xml:space="preserve">y en el co-cultivo de </w:t>
      </w:r>
      <w:r w:rsidR="007C4493" w:rsidRPr="007C4493">
        <w:rPr>
          <w:i/>
          <w:iCs/>
          <w:szCs w:val="24"/>
          <w:lang w:eastAsia="es-CR"/>
        </w:rPr>
        <w:t xml:space="preserve">Aspergillus </w:t>
      </w:r>
      <w:r w:rsidR="00A026BE">
        <w:rPr>
          <w:i/>
          <w:iCs/>
          <w:szCs w:val="24"/>
          <w:lang w:eastAsia="es-CR"/>
        </w:rPr>
        <w:t>sp</w:t>
      </w:r>
      <w:r w:rsidR="007C4493" w:rsidRPr="007C4493">
        <w:rPr>
          <w:i/>
          <w:iCs/>
          <w:szCs w:val="24"/>
          <w:lang w:eastAsia="es-CR"/>
        </w:rPr>
        <w:t xml:space="preserve">. </w:t>
      </w:r>
      <w:r w:rsidR="007C4493" w:rsidRPr="007C4493">
        <w:rPr>
          <w:szCs w:val="24"/>
          <w:lang w:eastAsia="es-CR"/>
        </w:rPr>
        <w:t xml:space="preserve">junto con la bacteria </w:t>
      </w:r>
      <w:r w:rsidR="007C4493" w:rsidRPr="007C4493">
        <w:rPr>
          <w:i/>
          <w:iCs/>
          <w:szCs w:val="24"/>
          <w:lang w:eastAsia="es-CR"/>
        </w:rPr>
        <w:t>S. aureus.</w:t>
      </w:r>
    </w:p>
    <w:p w14:paraId="3308815A" w14:textId="77777777" w:rsidR="00F47DE0" w:rsidRPr="00A33F3D" w:rsidRDefault="00F47DE0" w:rsidP="00F47DE0">
      <w:pPr>
        <w:spacing w:after="0"/>
        <w:ind w:firstLine="708"/>
        <w:rPr>
          <w:i/>
          <w:iCs/>
          <w:szCs w:val="24"/>
          <w:lang w:eastAsia="es-CR"/>
        </w:rPr>
      </w:pPr>
    </w:p>
    <w:p w14:paraId="6DEE5ABF" w14:textId="1D2A3C18" w:rsidR="00184CFD" w:rsidRDefault="00D46106" w:rsidP="00316FA9">
      <w:pPr>
        <w:pStyle w:val="Titulo20"/>
        <w:numPr>
          <w:ilvl w:val="1"/>
          <w:numId w:val="19"/>
        </w:numPr>
        <w:spacing w:after="0"/>
        <w:rPr>
          <w:lang w:eastAsia="es-CR"/>
        </w:rPr>
      </w:pPr>
      <w:bookmarkStart w:id="115" w:name="_Toc140204084"/>
      <w:r w:rsidRPr="007F11D5">
        <w:rPr>
          <w:lang w:eastAsia="es-CR"/>
        </w:rPr>
        <w:t>Purificación e identificación parcial de las fracciones</w:t>
      </w:r>
      <w:bookmarkEnd w:id="115"/>
      <w:r w:rsidRPr="007F11D5">
        <w:rPr>
          <w:lang w:eastAsia="es-CR"/>
        </w:rPr>
        <w:t xml:space="preserve"> </w:t>
      </w:r>
      <w:r>
        <w:rPr>
          <w:lang w:eastAsia="es-CR"/>
        </w:rPr>
        <w:t xml:space="preserve"> </w:t>
      </w:r>
      <w:r w:rsidR="00B41489">
        <w:rPr>
          <w:lang w:eastAsia="es-CR"/>
        </w:rPr>
        <w:t xml:space="preserve"> </w:t>
      </w:r>
    </w:p>
    <w:p w14:paraId="67F49C56" w14:textId="4BF8DCB5" w:rsidR="00770AF4" w:rsidRPr="00C05522" w:rsidRDefault="4447C96C" w:rsidP="4447C96C">
      <w:pPr>
        <w:ind w:firstLine="709"/>
        <w:rPr>
          <w:rFonts w:cs="Times New Roman"/>
        </w:rPr>
      </w:pPr>
      <w:r w:rsidRPr="4447C96C">
        <w:rPr>
          <w:lang w:eastAsia="es-CR"/>
        </w:rPr>
        <w:t xml:space="preserve"> </w:t>
      </w:r>
      <w:r w:rsidRPr="4447C96C">
        <w:rPr>
          <w:rFonts w:cs="Times New Roman"/>
        </w:rPr>
        <w:t xml:space="preserve">Los cromatogramas obtenidos a partir del fraccionamiento por HPLC de los extractos de </w:t>
      </w:r>
      <w:r w:rsidRPr="4447C96C">
        <w:rPr>
          <w:rFonts w:cs="Times New Roman"/>
          <w:i/>
          <w:iCs/>
        </w:rPr>
        <w:t>Penicillium sp.</w:t>
      </w:r>
      <w:r w:rsidR="00E7573A">
        <w:rPr>
          <w:rFonts w:cs="Times New Roman"/>
          <w:i/>
          <w:iCs/>
        </w:rPr>
        <w:t xml:space="preserve"> </w:t>
      </w:r>
      <w:r w:rsidR="00E7573A">
        <w:rPr>
          <w:rFonts w:cs="Times New Roman"/>
        </w:rPr>
        <w:t>(cepa A 2.1)</w:t>
      </w:r>
      <w:r w:rsidRPr="4447C96C">
        <w:rPr>
          <w:rFonts w:cs="Times New Roman"/>
          <w:i/>
          <w:iCs/>
        </w:rPr>
        <w:t>,</w:t>
      </w:r>
      <w:r w:rsidRPr="4447C96C">
        <w:rPr>
          <w:rFonts w:cs="Times New Roman"/>
        </w:rPr>
        <w:t xml:space="preserve"> en cultivo puro y en co-cultivo, mostraron diferencias en el perfil de los compuestos de cada tratamiento (Figura 8). En los extractos del cultivo puro se detectaron dos picos con actividad contra </w:t>
      </w:r>
      <w:r w:rsidRPr="4447C96C">
        <w:rPr>
          <w:rFonts w:cs="Times New Roman"/>
          <w:i/>
          <w:iCs/>
        </w:rPr>
        <w:t xml:space="preserve">C. albicans </w:t>
      </w:r>
      <w:r w:rsidRPr="4447C96C">
        <w:rPr>
          <w:rFonts w:cs="Times New Roman"/>
        </w:rPr>
        <w:t xml:space="preserve">a los 17.5 min después de los 20 min de retención (Figura 8.A). Estos picos mantuvieron su actividad en los extractos </w:t>
      </w:r>
      <w:r w:rsidR="00B86419">
        <w:rPr>
          <w:rFonts w:cs="Times New Roman"/>
        </w:rPr>
        <w:t xml:space="preserve">del </w:t>
      </w:r>
      <w:r w:rsidRPr="4447C96C">
        <w:rPr>
          <w:rFonts w:cs="Times New Roman"/>
        </w:rPr>
        <w:t xml:space="preserve">co-cultivo, pero registrando valores más altos de intensidad UV en comparación con los valores del cultivo puro (Figura 8.B y C). </w:t>
      </w:r>
    </w:p>
    <w:p w14:paraId="0C769D09" w14:textId="77777777" w:rsidR="00005942" w:rsidRDefault="0025141B" w:rsidP="00005942">
      <w:pPr>
        <w:keepNext/>
        <w:spacing w:after="0"/>
        <w:jc w:val="center"/>
      </w:pPr>
      <w:r>
        <w:rPr>
          <w:noProof/>
          <w:lang w:eastAsia="es-CR"/>
        </w:rPr>
        <w:lastRenderedPageBreak/>
        <w:drawing>
          <wp:inline distT="0" distB="0" distL="0" distR="0" wp14:anchorId="7A56F259" wp14:editId="09E4EEAC">
            <wp:extent cx="5943600" cy="5495925"/>
            <wp:effectExtent l="0" t="0" r="0" b="9525"/>
            <wp:docPr id="1078590393" name="Imagen 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590393" name="Imagen 6" descr="Diagrama&#10;&#10;Descripción generada automáticamente"/>
                    <pic:cNvPicPr/>
                  </pic:nvPicPr>
                  <pic:blipFill rotWithShape="1">
                    <a:blip r:embed="rId19">
                      <a:extLst>
                        <a:ext uri="{28A0092B-C50C-407E-A947-70E740481C1C}">
                          <a14:useLocalDpi xmlns:a14="http://schemas.microsoft.com/office/drawing/2010/main" val="0"/>
                        </a:ext>
                      </a:extLst>
                    </a:blip>
                    <a:srcRect t="8314" b="7518"/>
                    <a:stretch/>
                  </pic:blipFill>
                  <pic:spPr bwMode="auto">
                    <a:xfrm>
                      <a:off x="0" y="0"/>
                      <a:ext cx="5943600" cy="5495925"/>
                    </a:xfrm>
                    <a:prstGeom prst="rect">
                      <a:avLst/>
                    </a:prstGeom>
                    <a:ln>
                      <a:noFill/>
                    </a:ln>
                    <a:extLst>
                      <a:ext uri="{53640926-AAD7-44D8-BBD7-CCE9431645EC}">
                        <a14:shadowObscured xmlns:a14="http://schemas.microsoft.com/office/drawing/2010/main"/>
                      </a:ext>
                    </a:extLst>
                  </pic:spPr>
                </pic:pic>
              </a:graphicData>
            </a:graphic>
          </wp:inline>
        </w:drawing>
      </w:r>
    </w:p>
    <w:p w14:paraId="79FB3F84" w14:textId="7071900A" w:rsidR="009D7E92" w:rsidRDefault="00005942" w:rsidP="00005942">
      <w:pPr>
        <w:pStyle w:val="Descripcin"/>
        <w:rPr>
          <w:lang w:eastAsia="es-CR"/>
        </w:rPr>
      </w:pPr>
      <w:bookmarkStart w:id="116" w:name="_Toc138574970"/>
      <w:bookmarkStart w:id="117" w:name="_Toc142272977"/>
      <w:r w:rsidRPr="00005942">
        <w:rPr>
          <w:b/>
          <w:bCs/>
          <w:i w:val="0"/>
          <w:iCs w:val="0"/>
          <w:color w:val="auto"/>
        </w:rPr>
        <w:t xml:space="preserve">Figura  </w:t>
      </w:r>
      <w:r w:rsidRPr="00005942">
        <w:rPr>
          <w:b/>
          <w:bCs/>
          <w:i w:val="0"/>
          <w:iCs w:val="0"/>
          <w:color w:val="auto"/>
        </w:rPr>
        <w:fldChar w:fldCharType="begin"/>
      </w:r>
      <w:r w:rsidRPr="00005942">
        <w:rPr>
          <w:b/>
          <w:bCs/>
          <w:i w:val="0"/>
          <w:iCs w:val="0"/>
          <w:color w:val="auto"/>
        </w:rPr>
        <w:instrText xml:space="preserve"> SEQ Figura_ \* ARABIC </w:instrText>
      </w:r>
      <w:r w:rsidRPr="00005942">
        <w:rPr>
          <w:b/>
          <w:bCs/>
          <w:i w:val="0"/>
          <w:iCs w:val="0"/>
          <w:color w:val="auto"/>
        </w:rPr>
        <w:fldChar w:fldCharType="separate"/>
      </w:r>
      <w:r w:rsidR="00915F20">
        <w:rPr>
          <w:b/>
          <w:bCs/>
          <w:i w:val="0"/>
          <w:iCs w:val="0"/>
          <w:noProof/>
          <w:color w:val="auto"/>
        </w:rPr>
        <w:t>8</w:t>
      </w:r>
      <w:r w:rsidRPr="00005942">
        <w:rPr>
          <w:b/>
          <w:bCs/>
          <w:i w:val="0"/>
          <w:iCs w:val="0"/>
          <w:color w:val="auto"/>
        </w:rPr>
        <w:fldChar w:fldCharType="end"/>
      </w:r>
      <w:r w:rsidRPr="00005942">
        <w:rPr>
          <w:b/>
          <w:bCs/>
          <w:i w:val="0"/>
          <w:iCs w:val="0"/>
          <w:color w:val="auto"/>
        </w:rPr>
        <w:t>.</w:t>
      </w:r>
      <w:r w:rsidRPr="00005942">
        <w:rPr>
          <w:color w:val="auto"/>
        </w:rPr>
        <w:t xml:space="preserve"> </w:t>
      </w:r>
      <w:r w:rsidRPr="00D45136">
        <w:rPr>
          <w:i w:val="0"/>
          <w:iCs w:val="0"/>
          <w:color w:val="auto"/>
          <w:sz w:val="20"/>
          <w:szCs w:val="20"/>
          <w:lang w:eastAsia="es-CR"/>
        </w:rPr>
        <w:t xml:space="preserve">Cromatograma </w:t>
      </w:r>
      <w:r w:rsidRPr="00BD55BB">
        <w:rPr>
          <w:i w:val="0"/>
          <w:iCs w:val="0"/>
          <w:color w:val="auto"/>
          <w:sz w:val="20"/>
          <w:szCs w:val="20"/>
          <w:lang w:eastAsia="es-CR"/>
        </w:rPr>
        <w:t xml:space="preserve">de los extractos crudos de los tres tratamientos de la cepa </w:t>
      </w:r>
      <w:r w:rsidRPr="00763BAF">
        <w:rPr>
          <w:color w:val="auto"/>
          <w:sz w:val="20"/>
          <w:szCs w:val="20"/>
          <w:lang w:eastAsia="es-CR"/>
        </w:rPr>
        <w:t xml:space="preserve">Penicillium </w:t>
      </w:r>
      <w:r w:rsidR="00A026BE">
        <w:rPr>
          <w:color w:val="auto"/>
          <w:sz w:val="20"/>
          <w:szCs w:val="20"/>
          <w:lang w:eastAsia="es-CR"/>
        </w:rPr>
        <w:t>sp</w:t>
      </w:r>
      <w:r w:rsidRPr="00BD55BB">
        <w:rPr>
          <w:i w:val="0"/>
          <w:iCs w:val="0"/>
          <w:color w:val="auto"/>
          <w:sz w:val="20"/>
          <w:szCs w:val="20"/>
          <w:lang w:eastAsia="es-CR"/>
        </w:rPr>
        <w:t xml:space="preserve">. obtenido mediante el fraccionamiento en RP-HPLC. A) Fraccionamiento del extracto crudo </w:t>
      </w:r>
      <w:r w:rsidR="004C7EAD">
        <w:rPr>
          <w:i w:val="0"/>
          <w:iCs w:val="0"/>
          <w:color w:val="auto"/>
          <w:sz w:val="20"/>
          <w:szCs w:val="20"/>
          <w:lang w:eastAsia="es-CR"/>
        </w:rPr>
        <w:t>del cultivo líquido</w:t>
      </w:r>
      <w:r w:rsidRPr="00BD55BB">
        <w:rPr>
          <w:i w:val="0"/>
          <w:iCs w:val="0"/>
          <w:color w:val="auto"/>
          <w:sz w:val="20"/>
          <w:szCs w:val="20"/>
          <w:lang w:eastAsia="es-CR"/>
        </w:rPr>
        <w:t xml:space="preserve"> axénica de la cepa </w:t>
      </w:r>
      <w:r w:rsidRPr="00763BAF">
        <w:rPr>
          <w:color w:val="auto"/>
          <w:sz w:val="20"/>
          <w:szCs w:val="20"/>
          <w:lang w:eastAsia="es-CR"/>
        </w:rPr>
        <w:t>Penicillium sp</w:t>
      </w:r>
      <w:r w:rsidRPr="00BD55BB">
        <w:rPr>
          <w:i w:val="0"/>
          <w:iCs w:val="0"/>
          <w:color w:val="auto"/>
          <w:sz w:val="20"/>
          <w:szCs w:val="20"/>
          <w:lang w:eastAsia="es-CR"/>
        </w:rPr>
        <w:t xml:space="preserve">. en la cual se lograron identificar dos picos cuyas fracciones fueron colectadas con actividad antimicrobiana contra la levadura </w:t>
      </w:r>
      <w:r w:rsidRPr="00763BAF">
        <w:rPr>
          <w:color w:val="auto"/>
          <w:sz w:val="20"/>
          <w:szCs w:val="20"/>
          <w:lang w:eastAsia="es-CR"/>
        </w:rPr>
        <w:t>C. albicans.</w:t>
      </w:r>
      <w:r w:rsidRPr="00BD55BB">
        <w:rPr>
          <w:i w:val="0"/>
          <w:iCs w:val="0"/>
          <w:color w:val="auto"/>
          <w:sz w:val="20"/>
          <w:szCs w:val="20"/>
          <w:lang w:eastAsia="es-CR"/>
        </w:rPr>
        <w:t xml:space="preserve"> B) Cromatograma del extracto crudo obtenido </w:t>
      </w:r>
      <w:r w:rsidR="004C7EAD">
        <w:rPr>
          <w:i w:val="0"/>
          <w:iCs w:val="0"/>
          <w:color w:val="auto"/>
          <w:sz w:val="20"/>
          <w:szCs w:val="20"/>
          <w:lang w:eastAsia="es-CR"/>
        </w:rPr>
        <w:t>del cultivo líqu</w:t>
      </w:r>
      <w:r w:rsidR="00624E00">
        <w:rPr>
          <w:i w:val="0"/>
          <w:iCs w:val="0"/>
          <w:color w:val="auto"/>
          <w:sz w:val="20"/>
          <w:szCs w:val="20"/>
          <w:lang w:eastAsia="es-CR"/>
        </w:rPr>
        <w:t>ido</w:t>
      </w:r>
      <w:r w:rsidRPr="00BD55BB">
        <w:rPr>
          <w:i w:val="0"/>
          <w:iCs w:val="0"/>
          <w:color w:val="auto"/>
          <w:sz w:val="20"/>
          <w:szCs w:val="20"/>
          <w:lang w:eastAsia="es-CR"/>
        </w:rPr>
        <w:t xml:space="preserve"> en co-cultivo de </w:t>
      </w:r>
      <w:r w:rsidRPr="00763BAF">
        <w:rPr>
          <w:color w:val="auto"/>
          <w:sz w:val="20"/>
          <w:szCs w:val="20"/>
          <w:lang w:eastAsia="es-CR"/>
        </w:rPr>
        <w:t>Penicillium sp</w:t>
      </w:r>
      <w:r w:rsidRPr="00BD55BB">
        <w:rPr>
          <w:i w:val="0"/>
          <w:iCs w:val="0"/>
          <w:color w:val="auto"/>
          <w:sz w:val="20"/>
          <w:szCs w:val="20"/>
          <w:lang w:eastAsia="es-CR"/>
        </w:rPr>
        <w:t xml:space="preserve">. con </w:t>
      </w:r>
      <w:r w:rsidRPr="00763BAF">
        <w:rPr>
          <w:color w:val="auto"/>
          <w:sz w:val="20"/>
          <w:szCs w:val="20"/>
          <w:lang w:eastAsia="es-CR"/>
        </w:rPr>
        <w:t>S. aureus</w:t>
      </w:r>
      <w:r w:rsidRPr="00BD55BB">
        <w:rPr>
          <w:i w:val="0"/>
          <w:iCs w:val="0"/>
          <w:color w:val="auto"/>
          <w:sz w:val="20"/>
          <w:szCs w:val="20"/>
          <w:lang w:eastAsia="es-CR"/>
        </w:rPr>
        <w:t xml:space="preserve"> donde se detecta actividad inhibitoria contra </w:t>
      </w:r>
      <w:r w:rsidRPr="00763BAF">
        <w:rPr>
          <w:color w:val="auto"/>
          <w:sz w:val="20"/>
          <w:szCs w:val="20"/>
          <w:lang w:eastAsia="es-CR"/>
        </w:rPr>
        <w:t>C. albicans</w:t>
      </w:r>
      <w:r w:rsidRPr="00BD55BB">
        <w:rPr>
          <w:i w:val="0"/>
          <w:iCs w:val="0"/>
          <w:color w:val="auto"/>
          <w:sz w:val="20"/>
          <w:szCs w:val="20"/>
          <w:lang w:eastAsia="es-CR"/>
        </w:rPr>
        <w:t xml:space="preserve"> en cuatro fracciones de picos de absorbancia y en dos picos contra la bacteria </w:t>
      </w:r>
      <w:r w:rsidRPr="00763BAF">
        <w:rPr>
          <w:color w:val="auto"/>
          <w:sz w:val="20"/>
          <w:szCs w:val="20"/>
          <w:lang w:eastAsia="es-CR"/>
        </w:rPr>
        <w:t>S. aureus</w:t>
      </w:r>
      <w:r w:rsidRPr="00BD55BB">
        <w:rPr>
          <w:i w:val="0"/>
          <w:iCs w:val="0"/>
          <w:color w:val="auto"/>
          <w:sz w:val="20"/>
          <w:szCs w:val="20"/>
          <w:lang w:eastAsia="es-CR"/>
        </w:rPr>
        <w:t xml:space="preserve">. C) Fraccionamiento del extracto crudo obtenido </w:t>
      </w:r>
      <w:r w:rsidR="00624E00">
        <w:rPr>
          <w:i w:val="0"/>
          <w:iCs w:val="0"/>
          <w:color w:val="auto"/>
          <w:sz w:val="20"/>
          <w:szCs w:val="20"/>
          <w:lang w:eastAsia="es-CR"/>
        </w:rPr>
        <w:t>del cultivo líquido</w:t>
      </w:r>
      <w:r w:rsidRPr="00BD55BB">
        <w:rPr>
          <w:i w:val="0"/>
          <w:iCs w:val="0"/>
          <w:color w:val="auto"/>
          <w:sz w:val="20"/>
          <w:szCs w:val="20"/>
          <w:lang w:eastAsia="es-CR"/>
        </w:rPr>
        <w:t xml:space="preserve"> en co-cultivo de </w:t>
      </w:r>
      <w:r w:rsidRPr="00624E00">
        <w:rPr>
          <w:color w:val="auto"/>
          <w:sz w:val="20"/>
          <w:szCs w:val="20"/>
          <w:lang w:eastAsia="es-CR"/>
        </w:rPr>
        <w:t>Penicillium</w:t>
      </w:r>
      <w:r w:rsidRPr="00BD55BB">
        <w:rPr>
          <w:i w:val="0"/>
          <w:iCs w:val="0"/>
          <w:color w:val="auto"/>
          <w:sz w:val="20"/>
          <w:szCs w:val="20"/>
          <w:lang w:eastAsia="es-CR"/>
        </w:rPr>
        <w:t xml:space="preserve"> sp. con </w:t>
      </w:r>
      <w:r w:rsidRPr="00763BAF">
        <w:rPr>
          <w:color w:val="auto"/>
          <w:sz w:val="20"/>
          <w:szCs w:val="20"/>
          <w:lang w:eastAsia="es-CR"/>
        </w:rPr>
        <w:t>E. hormaechei</w:t>
      </w:r>
      <w:r w:rsidRPr="00BD55BB">
        <w:rPr>
          <w:i w:val="0"/>
          <w:iCs w:val="0"/>
          <w:color w:val="auto"/>
          <w:sz w:val="20"/>
          <w:szCs w:val="20"/>
          <w:lang w:eastAsia="es-CR"/>
        </w:rPr>
        <w:t xml:space="preserve"> y picos de actividad inhibitoria contra </w:t>
      </w:r>
      <w:r w:rsidRPr="00763BAF">
        <w:rPr>
          <w:color w:val="auto"/>
          <w:sz w:val="20"/>
          <w:szCs w:val="20"/>
          <w:lang w:eastAsia="es-CR"/>
        </w:rPr>
        <w:t xml:space="preserve">C. albicans </w:t>
      </w:r>
      <w:r w:rsidRPr="00763BAF">
        <w:rPr>
          <w:i w:val="0"/>
          <w:iCs w:val="0"/>
          <w:color w:val="auto"/>
          <w:sz w:val="20"/>
          <w:szCs w:val="20"/>
          <w:lang w:eastAsia="es-CR"/>
        </w:rPr>
        <w:t>y</w:t>
      </w:r>
      <w:r w:rsidRPr="00763BAF">
        <w:rPr>
          <w:color w:val="auto"/>
          <w:sz w:val="20"/>
          <w:szCs w:val="20"/>
          <w:lang w:eastAsia="es-CR"/>
        </w:rPr>
        <w:t xml:space="preserve"> S. aureus.</w:t>
      </w:r>
      <w:r w:rsidRPr="00BD55BB">
        <w:rPr>
          <w:i w:val="0"/>
          <w:iCs w:val="0"/>
          <w:color w:val="auto"/>
          <w:sz w:val="20"/>
          <w:szCs w:val="20"/>
          <w:lang w:eastAsia="es-CR"/>
        </w:rPr>
        <w:t xml:space="preserve"> En el caso de la actividad señalada con el símbolo “*” del extracto contra </w:t>
      </w:r>
      <w:r w:rsidRPr="00763BAF">
        <w:rPr>
          <w:color w:val="auto"/>
          <w:sz w:val="20"/>
          <w:szCs w:val="20"/>
          <w:lang w:eastAsia="es-CR"/>
        </w:rPr>
        <w:t>S. aureus</w:t>
      </w:r>
      <w:r w:rsidRPr="00BD55BB">
        <w:rPr>
          <w:i w:val="0"/>
          <w:iCs w:val="0"/>
          <w:color w:val="auto"/>
          <w:sz w:val="20"/>
          <w:szCs w:val="20"/>
          <w:lang w:eastAsia="es-CR"/>
        </w:rPr>
        <w:t xml:space="preserve"> indica una ligera disminución del crecimiento bacteriano. En cada uno de los tratamientos, el cromatograma ubicado en la sección superior corresponde a los máximos de absorbancia de 215 nm, mientras que el inferior a la absorbancia de 280 nm.</w:t>
      </w:r>
      <w:bookmarkEnd w:id="116"/>
      <w:bookmarkEnd w:id="117"/>
    </w:p>
    <w:p w14:paraId="5798E193" w14:textId="1DBEF17F" w:rsidR="004621E8" w:rsidRPr="00C05522" w:rsidRDefault="004621E8" w:rsidP="004621E8">
      <w:pPr>
        <w:ind w:firstLine="709"/>
        <w:rPr>
          <w:rFonts w:cs="Times New Roman"/>
          <w:szCs w:val="24"/>
        </w:rPr>
      </w:pPr>
      <w:r w:rsidRPr="00C05522">
        <w:rPr>
          <w:rFonts w:cs="Times New Roman"/>
          <w:szCs w:val="24"/>
        </w:rPr>
        <w:t xml:space="preserve">En los cromatogramas de los extractos de </w:t>
      </w:r>
      <w:r w:rsidRPr="00C05522">
        <w:rPr>
          <w:rFonts w:cs="Times New Roman"/>
          <w:i/>
          <w:iCs/>
          <w:szCs w:val="24"/>
        </w:rPr>
        <w:t>Penicillium</w:t>
      </w:r>
      <w:r w:rsidRPr="00C05522">
        <w:rPr>
          <w:rFonts w:cs="Times New Roman"/>
          <w:szCs w:val="24"/>
        </w:rPr>
        <w:t xml:space="preserve"> </w:t>
      </w:r>
      <w:r w:rsidRPr="00C05522">
        <w:rPr>
          <w:rFonts w:cs="Times New Roman"/>
          <w:i/>
          <w:iCs/>
          <w:szCs w:val="24"/>
        </w:rPr>
        <w:t>sp</w:t>
      </w:r>
      <w:r>
        <w:rPr>
          <w:rFonts w:cs="Times New Roman"/>
          <w:i/>
          <w:iCs/>
          <w:szCs w:val="24"/>
        </w:rPr>
        <w:t>.</w:t>
      </w:r>
      <w:r w:rsidRPr="00C05522">
        <w:rPr>
          <w:rFonts w:cs="Times New Roman"/>
          <w:i/>
          <w:iCs/>
          <w:szCs w:val="24"/>
        </w:rPr>
        <w:t xml:space="preserve"> </w:t>
      </w:r>
      <w:r w:rsidRPr="00C05522">
        <w:rPr>
          <w:rFonts w:cs="Times New Roman"/>
          <w:szCs w:val="24"/>
        </w:rPr>
        <w:t>en</w:t>
      </w:r>
      <w:r w:rsidRPr="00C05522">
        <w:rPr>
          <w:rFonts w:cs="Times New Roman"/>
          <w:i/>
          <w:iCs/>
          <w:szCs w:val="24"/>
        </w:rPr>
        <w:t xml:space="preserve"> </w:t>
      </w:r>
      <w:r w:rsidRPr="00C05522">
        <w:rPr>
          <w:rFonts w:cs="Times New Roman"/>
          <w:szCs w:val="24"/>
        </w:rPr>
        <w:t xml:space="preserve">co-cultivo se detectó a los 14 min de retención </w:t>
      </w:r>
      <w:r>
        <w:rPr>
          <w:rFonts w:cs="Times New Roman"/>
          <w:szCs w:val="24"/>
        </w:rPr>
        <w:t>un</w:t>
      </w:r>
      <w:r w:rsidRPr="00C05522">
        <w:rPr>
          <w:rFonts w:cs="Times New Roman"/>
          <w:szCs w:val="24"/>
        </w:rPr>
        <w:t xml:space="preserve"> pico</w:t>
      </w:r>
      <w:r>
        <w:rPr>
          <w:rFonts w:cs="Times New Roman"/>
          <w:szCs w:val="24"/>
        </w:rPr>
        <w:t xml:space="preserve"> de absorbancia</w:t>
      </w:r>
      <w:r w:rsidRPr="00C05522">
        <w:rPr>
          <w:rFonts w:cs="Times New Roman"/>
          <w:szCs w:val="24"/>
        </w:rPr>
        <w:t xml:space="preserve"> con actividad antifúngica contra </w:t>
      </w:r>
      <w:r w:rsidRPr="00C05522">
        <w:rPr>
          <w:rFonts w:cs="Times New Roman"/>
          <w:i/>
          <w:iCs/>
          <w:szCs w:val="24"/>
        </w:rPr>
        <w:t>C. albicans</w:t>
      </w:r>
      <w:r w:rsidRPr="00C05522">
        <w:rPr>
          <w:rFonts w:cs="Times New Roman"/>
          <w:szCs w:val="24"/>
        </w:rPr>
        <w:t xml:space="preserve">, </w:t>
      </w:r>
      <w:r>
        <w:rPr>
          <w:rFonts w:cs="Times New Roman"/>
          <w:szCs w:val="24"/>
        </w:rPr>
        <w:t xml:space="preserve">la cual estaba </w:t>
      </w:r>
      <w:r w:rsidRPr="00C05522">
        <w:rPr>
          <w:rFonts w:cs="Times New Roman"/>
          <w:szCs w:val="24"/>
        </w:rPr>
        <w:t>ausente en</w:t>
      </w:r>
      <w:r>
        <w:rPr>
          <w:rFonts w:cs="Times New Roman"/>
          <w:szCs w:val="24"/>
        </w:rPr>
        <w:t xml:space="preserve"> el</w:t>
      </w:r>
      <w:r w:rsidRPr="00C05522">
        <w:rPr>
          <w:rFonts w:cs="Times New Roman"/>
          <w:szCs w:val="24"/>
        </w:rPr>
        <w:t xml:space="preserve"> cromatograma del extracto del cultivo puro. En el co-cultivo con </w:t>
      </w:r>
      <w:r w:rsidRPr="00C05522">
        <w:rPr>
          <w:rFonts w:cs="Times New Roman"/>
          <w:i/>
          <w:iCs/>
          <w:szCs w:val="24"/>
        </w:rPr>
        <w:t>S. aureus,</w:t>
      </w:r>
      <w:r w:rsidRPr="00C05522">
        <w:rPr>
          <w:rFonts w:cs="Times New Roman"/>
          <w:szCs w:val="24"/>
        </w:rPr>
        <w:t xml:space="preserve"> se detectó un pico con actividad antifúngica incompleta contra </w:t>
      </w:r>
      <w:r w:rsidRPr="00C05522">
        <w:rPr>
          <w:rFonts w:cs="Times New Roman"/>
          <w:i/>
          <w:iCs/>
          <w:szCs w:val="24"/>
        </w:rPr>
        <w:t>C. albicans</w:t>
      </w:r>
      <w:r w:rsidRPr="00C05522">
        <w:rPr>
          <w:rFonts w:cs="Times New Roman"/>
          <w:szCs w:val="24"/>
        </w:rPr>
        <w:t xml:space="preserve"> a los 19 min de retención</w:t>
      </w:r>
      <w:r w:rsidRPr="00C05522">
        <w:rPr>
          <w:rFonts w:cs="Times New Roman"/>
          <w:i/>
          <w:iCs/>
          <w:szCs w:val="24"/>
        </w:rPr>
        <w:t xml:space="preserve">. </w:t>
      </w:r>
      <w:r w:rsidRPr="00C05522">
        <w:rPr>
          <w:rFonts w:cs="Times New Roman"/>
          <w:szCs w:val="24"/>
        </w:rPr>
        <w:lastRenderedPageBreak/>
        <w:t xml:space="preserve">En el co-cultivo con </w:t>
      </w:r>
      <w:r w:rsidRPr="00C05522">
        <w:rPr>
          <w:rFonts w:cs="Times New Roman"/>
          <w:i/>
          <w:iCs/>
          <w:szCs w:val="24"/>
        </w:rPr>
        <w:t>E. hormaechei</w:t>
      </w:r>
      <w:r w:rsidRPr="00C05522">
        <w:rPr>
          <w:rFonts w:cs="Times New Roman"/>
          <w:szCs w:val="24"/>
        </w:rPr>
        <w:t xml:space="preserve"> se detectó a los 21 min de retención un pico más con actividad antifúngica contra </w:t>
      </w:r>
      <w:r w:rsidRPr="00C05522">
        <w:rPr>
          <w:rFonts w:cs="Times New Roman"/>
          <w:i/>
          <w:iCs/>
          <w:szCs w:val="24"/>
        </w:rPr>
        <w:t>C. albicans</w:t>
      </w:r>
      <w:r w:rsidRPr="00C05522">
        <w:rPr>
          <w:rFonts w:cs="Times New Roman"/>
          <w:szCs w:val="24"/>
        </w:rPr>
        <w:t xml:space="preserve"> </w:t>
      </w:r>
      <w:r>
        <w:rPr>
          <w:rFonts w:cs="Times New Roman"/>
          <w:szCs w:val="24"/>
        </w:rPr>
        <w:t>(</w:t>
      </w:r>
      <w:r w:rsidRPr="00C05522">
        <w:rPr>
          <w:rFonts w:cs="Times New Roman"/>
          <w:szCs w:val="24"/>
        </w:rPr>
        <w:t xml:space="preserve">Figura </w:t>
      </w:r>
      <w:r w:rsidR="0041659A">
        <w:rPr>
          <w:rFonts w:cs="Times New Roman"/>
          <w:szCs w:val="24"/>
        </w:rPr>
        <w:t>8</w:t>
      </w:r>
      <w:r w:rsidRPr="00C05522">
        <w:rPr>
          <w:rFonts w:cs="Times New Roman"/>
          <w:szCs w:val="24"/>
        </w:rPr>
        <w:t>.</w:t>
      </w:r>
      <w:r>
        <w:rPr>
          <w:rFonts w:cs="Times New Roman"/>
          <w:szCs w:val="24"/>
        </w:rPr>
        <w:t>C)</w:t>
      </w:r>
    </w:p>
    <w:p w14:paraId="2DB3051C" w14:textId="32A2C7B4" w:rsidR="00D460DA" w:rsidRDefault="00D460DA" w:rsidP="00D460DA">
      <w:pPr>
        <w:spacing w:line="312" w:lineRule="auto"/>
        <w:ind w:firstLine="709"/>
        <w:rPr>
          <w:rFonts w:cs="Times New Roman"/>
          <w:szCs w:val="24"/>
        </w:rPr>
      </w:pPr>
      <w:r w:rsidRPr="00C05522">
        <w:rPr>
          <w:rFonts w:cs="Times New Roman"/>
          <w:szCs w:val="24"/>
        </w:rPr>
        <w:t xml:space="preserve">La actividad antibacteriana de los extractos de </w:t>
      </w:r>
      <w:r w:rsidRPr="00C05522">
        <w:rPr>
          <w:rFonts w:cs="Times New Roman"/>
          <w:i/>
          <w:iCs/>
          <w:szCs w:val="24"/>
        </w:rPr>
        <w:t xml:space="preserve">Penicillium sp. </w:t>
      </w:r>
      <w:r w:rsidRPr="00C05522">
        <w:rPr>
          <w:rFonts w:cs="Times New Roman"/>
          <w:szCs w:val="24"/>
        </w:rPr>
        <w:t xml:space="preserve">contra </w:t>
      </w:r>
      <w:r w:rsidRPr="00C05522">
        <w:rPr>
          <w:rFonts w:cs="Times New Roman"/>
          <w:i/>
          <w:iCs/>
          <w:szCs w:val="24"/>
        </w:rPr>
        <w:t xml:space="preserve">S. aureus </w:t>
      </w:r>
      <w:r w:rsidRPr="00C05522">
        <w:rPr>
          <w:rFonts w:cs="Times New Roman"/>
          <w:szCs w:val="24"/>
        </w:rPr>
        <w:t>se registró</w:t>
      </w:r>
      <w:r w:rsidRPr="00C05522">
        <w:rPr>
          <w:rFonts w:cs="Times New Roman"/>
          <w:i/>
          <w:iCs/>
          <w:szCs w:val="24"/>
        </w:rPr>
        <w:t xml:space="preserve"> </w:t>
      </w:r>
      <w:r w:rsidRPr="00C05522">
        <w:rPr>
          <w:rFonts w:cs="Times New Roman"/>
          <w:szCs w:val="24"/>
        </w:rPr>
        <w:t>únicamente en l</w:t>
      </w:r>
      <w:r w:rsidR="005B340F">
        <w:rPr>
          <w:rFonts w:cs="Times New Roman"/>
          <w:szCs w:val="24"/>
        </w:rPr>
        <w:t xml:space="preserve">os </w:t>
      </w:r>
      <w:proofErr w:type="spellStart"/>
      <w:r w:rsidR="005B340F">
        <w:rPr>
          <w:rFonts w:cs="Times New Roman"/>
          <w:szCs w:val="24"/>
        </w:rPr>
        <w:t>tratamienots</w:t>
      </w:r>
      <w:proofErr w:type="spellEnd"/>
      <w:r w:rsidR="005B340F">
        <w:rPr>
          <w:rFonts w:cs="Times New Roman"/>
          <w:szCs w:val="24"/>
        </w:rPr>
        <w:t xml:space="preserve"> </w:t>
      </w:r>
      <w:r w:rsidRPr="00C05522">
        <w:rPr>
          <w:rFonts w:cs="Times New Roman"/>
          <w:szCs w:val="24"/>
        </w:rPr>
        <w:t xml:space="preserve">en co-cultivo. En el co-cultivo con </w:t>
      </w:r>
      <w:r w:rsidRPr="00C05522">
        <w:rPr>
          <w:rFonts w:cs="Times New Roman"/>
          <w:i/>
          <w:iCs/>
          <w:szCs w:val="24"/>
        </w:rPr>
        <w:t>S. aureus</w:t>
      </w:r>
      <w:r w:rsidRPr="00C05522">
        <w:rPr>
          <w:rFonts w:cs="Times New Roman"/>
          <w:szCs w:val="24"/>
        </w:rPr>
        <w:t xml:space="preserve"> se confirmó la actividad de dos picos</w:t>
      </w:r>
      <w:r>
        <w:rPr>
          <w:rFonts w:cs="Times New Roman"/>
          <w:szCs w:val="24"/>
        </w:rPr>
        <w:t xml:space="preserve"> con tiempos de retención de</w:t>
      </w:r>
      <w:r w:rsidRPr="00C05522">
        <w:rPr>
          <w:rFonts w:cs="Times New Roman"/>
          <w:szCs w:val="24"/>
        </w:rPr>
        <w:t xml:space="preserve"> 7.5 y 20 min</w:t>
      </w:r>
      <w:r>
        <w:rPr>
          <w:rFonts w:cs="Times New Roman"/>
          <w:szCs w:val="24"/>
        </w:rPr>
        <w:t>.</w:t>
      </w:r>
      <w:r w:rsidRPr="00C05522">
        <w:rPr>
          <w:rFonts w:cs="Times New Roman"/>
          <w:szCs w:val="24"/>
        </w:rPr>
        <w:t xml:space="preserve"> En el co-cultivo con </w:t>
      </w:r>
      <w:r w:rsidRPr="00C05522">
        <w:rPr>
          <w:rFonts w:cs="Times New Roman"/>
          <w:i/>
          <w:iCs/>
          <w:szCs w:val="24"/>
        </w:rPr>
        <w:t xml:space="preserve">E. hormaechei </w:t>
      </w:r>
      <w:r w:rsidRPr="00C05522">
        <w:rPr>
          <w:rFonts w:cs="Times New Roman"/>
          <w:szCs w:val="24"/>
        </w:rPr>
        <w:t xml:space="preserve">se detectaron 4 picos con actividad antibacteriana, de los cuales solamente el pico detectado a los 19.5 min mostró inhibición completa del crecimiento de </w:t>
      </w:r>
      <w:r w:rsidRPr="00C05522">
        <w:rPr>
          <w:rFonts w:cs="Times New Roman"/>
          <w:i/>
          <w:iCs/>
          <w:szCs w:val="24"/>
        </w:rPr>
        <w:t>S aureus</w:t>
      </w:r>
      <w:r w:rsidRPr="00C05522">
        <w:rPr>
          <w:rFonts w:cs="Times New Roman"/>
          <w:szCs w:val="24"/>
        </w:rPr>
        <w:t xml:space="preserve">, los demás provocaron una ligera disminución del crecimiento bacteriano (Figura </w:t>
      </w:r>
      <w:r w:rsidR="0041659A">
        <w:rPr>
          <w:rFonts w:cs="Times New Roman"/>
          <w:szCs w:val="24"/>
        </w:rPr>
        <w:t>8</w:t>
      </w:r>
      <w:r w:rsidRPr="00C05522">
        <w:rPr>
          <w:rFonts w:cs="Times New Roman"/>
          <w:szCs w:val="24"/>
        </w:rPr>
        <w:t>.</w:t>
      </w:r>
      <w:r w:rsidR="0041659A">
        <w:rPr>
          <w:rFonts w:cs="Times New Roman"/>
          <w:szCs w:val="24"/>
        </w:rPr>
        <w:t>C</w:t>
      </w:r>
      <w:r w:rsidRPr="00C05522">
        <w:rPr>
          <w:rFonts w:cs="Times New Roman"/>
          <w:szCs w:val="24"/>
        </w:rPr>
        <w:t xml:space="preserve">). </w:t>
      </w:r>
    </w:p>
    <w:p w14:paraId="47D7DBA9" w14:textId="5E44C652" w:rsidR="00D460DA" w:rsidRDefault="00D460DA" w:rsidP="00D460DA">
      <w:pPr>
        <w:spacing w:line="312" w:lineRule="auto"/>
        <w:ind w:firstLine="709"/>
        <w:rPr>
          <w:rFonts w:cs="Times New Roman"/>
          <w:szCs w:val="24"/>
        </w:rPr>
      </w:pPr>
      <w:r w:rsidRPr="005F4CD3">
        <w:rPr>
          <w:rFonts w:cs="Times New Roman"/>
          <w:szCs w:val="24"/>
        </w:rPr>
        <w:t>En el fraccionamiento de los extractos de</w:t>
      </w:r>
      <w:r w:rsidR="005B340F">
        <w:rPr>
          <w:rFonts w:cs="Times New Roman"/>
          <w:szCs w:val="24"/>
        </w:rPr>
        <w:t>l cultivo líquido de</w:t>
      </w:r>
      <w:r w:rsidRPr="005F4CD3">
        <w:rPr>
          <w:rFonts w:cs="Times New Roman"/>
          <w:szCs w:val="24"/>
        </w:rPr>
        <w:t xml:space="preserve"> </w:t>
      </w:r>
      <w:r w:rsidRPr="005F4CD3">
        <w:rPr>
          <w:rFonts w:cs="Times New Roman"/>
          <w:i/>
          <w:iCs/>
          <w:szCs w:val="24"/>
        </w:rPr>
        <w:t xml:space="preserve">Aspergillus </w:t>
      </w:r>
      <w:r w:rsidR="00A026BE">
        <w:rPr>
          <w:rFonts w:cs="Times New Roman"/>
          <w:i/>
          <w:iCs/>
          <w:szCs w:val="24"/>
        </w:rPr>
        <w:t>sp</w:t>
      </w:r>
      <w:r w:rsidRPr="005F4CD3">
        <w:rPr>
          <w:rFonts w:cs="Times New Roman"/>
          <w:szCs w:val="24"/>
        </w:rPr>
        <w:t>.</w:t>
      </w:r>
      <w:r w:rsidR="00143F09">
        <w:rPr>
          <w:rFonts w:cs="Times New Roman"/>
          <w:szCs w:val="24"/>
        </w:rPr>
        <w:t xml:space="preserve"> (cepa B 3.2)</w:t>
      </w:r>
      <w:r w:rsidRPr="005F4CD3">
        <w:rPr>
          <w:rFonts w:cs="Times New Roman"/>
          <w:szCs w:val="24"/>
        </w:rPr>
        <w:t xml:space="preserve"> se detectaron varios picos y regiones</w:t>
      </w:r>
      <w:r>
        <w:rPr>
          <w:rFonts w:cs="Times New Roman"/>
          <w:szCs w:val="24"/>
        </w:rPr>
        <w:t xml:space="preserve"> de absorbancia</w:t>
      </w:r>
      <w:r w:rsidRPr="005F4CD3">
        <w:rPr>
          <w:rFonts w:cs="Times New Roman"/>
          <w:szCs w:val="24"/>
        </w:rPr>
        <w:t xml:space="preserve"> con actividad antibacteriana contra </w:t>
      </w:r>
      <w:r w:rsidRPr="005F4CD3">
        <w:rPr>
          <w:rFonts w:cs="Times New Roman"/>
          <w:i/>
          <w:iCs/>
          <w:szCs w:val="24"/>
        </w:rPr>
        <w:t>S. aureus</w:t>
      </w:r>
      <w:r w:rsidRPr="005F4CD3">
        <w:rPr>
          <w:rFonts w:cs="Times New Roman"/>
          <w:szCs w:val="24"/>
        </w:rPr>
        <w:t xml:space="preserve">, tanto en el tratamiento puro como en el co-cultivo con </w:t>
      </w:r>
      <w:r w:rsidRPr="005F4CD3">
        <w:rPr>
          <w:rFonts w:cs="Times New Roman"/>
          <w:i/>
          <w:iCs/>
          <w:szCs w:val="24"/>
        </w:rPr>
        <w:t xml:space="preserve">S. aureus </w:t>
      </w:r>
      <w:r w:rsidRPr="005F4CD3">
        <w:rPr>
          <w:rFonts w:cs="Times New Roman"/>
          <w:szCs w:val="24"/>
        </w:rPr>
        <w:t xml:space="preserve">(Figura </w:t>
      </w:r>
      <w:r w:rsidR="00CE3F87">
        <w:rPr>
          <w:rFonts w:cs="Times New Roman"/>
          <w:szCs w:val="24"/>
        </w:rPr>
        <w:t>9</w:t>
      </w:r>
      <w:r w:rsidRPr="005F4CD3">
        <w:rPr>
          <w:rFonts w:cs="Times New Roman"/>
          <w:szCs w:val="24"/>
        </w:rPr>
        <w:t>).</w:t>
      </w:r>
      <w:r w:rsidRPr="005F4CD3">
        <w:rPr>
          <w:rFonts w:cs="Times New Roman"/>
          <w:i/>
          <w:iCs/>
          <w:szCs w:val="24"/>
        </w:rPr>
        <w:t xml:space="preserve"> </w:t>
      </w:r>
      <w:r w:rsidRPr="005F4CD3">
        <w:rPr>
          <w:rFonts w:cs="Times New Roman"/>
          <w:szCs w:val="24"/>
        </w:rPr>
        <w:t xml:space="preserve"> En el cultivo puro se logró determinar la actividad de dos picos con tiempos de retención de 7.5 y 18 min (Figura </w:t>
      </w:r>
      <w:r w:rsidR="00CE3F87">
        <w:rPr>
          <w:rFonts w:cs="Times New Roman"/>
          <w:szCs w:val="24"/>
        </w:rPr>
        <w:t>9</w:t>
      </w:r>
      <w:r w:rsidRPr="005F4CD3">
        <w:rPr>
          <w:rFonts w:cs="Times New Roman"/>
          <w:szCs w:val="24"/>
        </w:rPr>
        <w:t xml:space="preserve">a), picos que se mantuvieron presentes en </w:t>
      </w:r>
      <w:r w:rsidR="00624E00">
        <w:rPr>
          <w:rFonts w:cs="Times New Roman"/>
          <w:szCs w:val="24"/>
        </w:rPr>
        <w:t>el</w:t>
      </w:r>
      <w:r w:rsidRPr="005F4CD3">
        <w:rPr>
          <w:rFonts w:cs="Times New Roman"/>
          <w:szCs w:val="24"/>
        </w:rPr>
        <w:t xml:space="preserve"> co-cultivo. Sin embargo, para ambos extractos, los diámetros de inhibición detectados eran menores a los obtenidos con el cultivo puro. </w:t>
      </w:r>
    </w:p>
    <w:p w14:paraId="66D1B573" w14:textId="2176EECC" w:rsidR="00CF5E79" w:rsidRDefault="00CF5E79" w:rsidP="00CF5E79">
      <w:pPr>
        <w:ind w:firstLine="709"/>
        <w:rPr>
          <w:rFonts w:cs="Times New Roman"/>
          <w:szCs w:val="24"/>
        </w:rPr>
      </w:pPr>
      <w:r w:rsidRPr="00465847">
        <w:rPr>
          <w:rFonts w:cs="Times New Roman"/>
          <w:szCs w:val="24"/>
        </w:rPr>
        <w:t>En el cultivo puro, se lograron determinar más regiones con actividad antibacteriana que en los extractos del co-</w:t>
      </w:r>
      <w:r w:rsidRPr="00BB5FE7">
        <w:rPr>
          <w:rFonts w:cs="Times New Roman"/>
          <w:szCs w:val="24"/>
        </w:rPr>
        <w:t xml:space="preserve">cultivo (Figura </w:t>
      </w:r>
      <w:r w:rsidR="00CE3F87" w:rsidRPr="00BB5FE7">
        <w:rPr>
          <w:rFonts w:cs="Times New Roman"/>
          <w:szCs w:val="24"/>
        </w:rPr>
        <w:t>9</w:t>
      </w:r>
      <w:r w:rsidRPr="00BB5FE7">
        <w:rPr>
          <w:rFonts w:cs="Times New Roman"/>
          <w:szCs w:val="24"/>
        </w:rPr>
        <w:t xml:space="preserve"> A y B), no</w:t>
      </w:r>
      <w:r w:rsidRPr="00465847">
        <w:rPr>
          <w:rFonts w:cs="Times New Roman"/>
          <w:szCs w:val="24"/>
        </w:rPr>
        <w:t xml:space="preserve"> obstante, las condiciones de la corrida utilizadas no permitieron resolver la curva de actividad.</w:t>
      </w:r>
      <w:r w:rsidRPr="002563E5">
        <w:rPr>
          <w:rFonts w:cs="Times New Roman"/>
          <w:szCs w:val="24"/>
        </w:rPr>
        <w:t xml:space="preserve"> Además, muchos de los extractos perdieron su actividad con el paso del tiempo o eran sensibles a la temperatura, por lo que el proceso de concentrado del fraccionamiento también imposibilitó el rastreo adecuado de la actividad antimicrobiana. En el tratamiento en co-cultivo, se logró determinar actividad antibacteriana contra </w:t>
      </w:r>
      <w:r w:rsidRPr="002563E5">
        <w:rPr>
          <w:rFonts w:cs="Times New Roman"/>
          <w:i/>
          <w:iCs/>
          <w:szCs w:val="24"/>
        </w:rPr>
        <w:t>S. aureus</w:t>
      </w:r>
      <w:r w:rsidRPr="002563E5">
        <w:rPr>
          <w:rFonts w:cs="Times New Roman"/>
          <w:szCs w:val="24"/>
        </w:rPr>
        <w:t xml:space="preserve"> de tres secciones del cromatograma. La región </w:t>
      </w:r>
      <w:r>
        <w:rPr>
          <w:rFonts w:cs="Times New Roman"/>
          <w:szCs w:val="24"/>
        </w:rPr>
        <w:t>“a”</w:t>
      </w:r>
      <w:r w:rsidRPr="002563E5">
        <w:rPr>
          <w:rFonts w:cs="Times New Roman"/>
          <w:szCs w:val="24"/>
        </w:rPr>
        <w:t xml:space="preserve">, con un tiempo de retención de 7.5 a 9 min, conformada por dos picos detectados a una absorbancia de 215 nm, la región </w:t>
      </w:r>
      <w:r>
        <w:rPr>
          <w:rFonts w:cs="Times New Roman"/>
          <w:szCs w:val="24"/>
        </w:rPr>
        <w:t>“b”</w:t>
      </w:r>
      <w:r w:rsidRPr="002563E5">
        <w:rPr>
          <w:rFonts w:cs="Times New Roman"/>
          <w:szCs w:val="24"/>
        </w:rPr>
        <w:t xml:space="preserve"> con retención entre el minuto 11 y el 13, conformada por el conjunto de varias señales (Figura </w:t>
      </w:r>
      <w:r w:rsidR="00316852">
        <w:rPr>
          <w:rFonts w:cs="Times New Roman"/>
          <w:szCs w:val="24"/>
        </w:rPr>
        <w:t>9.</w:t>
      </w:r>
      <w:r>
        <w:rPr>
          <w:rFonts w:cs="Times New Roman"/>
          <w:szCs w:val="24"/>
        </w:rPr>
        <w:t>A</w:t>
      </w:r>
      <w:r w:rsidRPr="002563E5">
        <w:rPr>
          <w:rFonts w:cs="Times New Roman"/>
          <w:szCs w:val="24"/>
        </w:rPr>
        <w:t xml:space="preserve">). Luego, un único pico a los 9.5 minutos de retención, el cual pareciera coincidir con el pico encontrado en el cultivo puro, pero con mejor definición. </w:t>
      </w:r>
    </w:p>
    <w:p w14:paraId="69E9FC09" w14:textId="31D19050" w:rsidR="00F21752" w:rsidRPr="008427A8" w:rsidRDefault="4447C96C" w:rsidP="4447C96C">
      <w:pPr>
        <w:spacing w:line="312" w:lineRule="auto"/>
        <w:ind w:firstLine="709"/>
        <w:rPr>
          <w:rFonts w:cs="Times New Roman"/>
        </w:rPr>
      </w:pPr>
      <w:r w:rsidRPr="4447C96C">
        <w:rPr>
          <w:rFonts w:cs="Times New Roman"/>
        </w:rPr>
        <w:t xml:space="preserve">En cuanto a la actividad del co-cultivo de </w:t>
      </w:r>
      <w:r w:rsidRPr="4447C96C">
        <w:rPr>
          <w:rFonts w:cs="Times New Roman"/>
          <w:i/>
          <w:iCs/>
        </w:rPr>
        <w:t>Aspergillus sp.</w:t>
      </w:r>
      <w:r w:rsidRPr="4447C96C">
        <w:rPr>
          <w:rFonts w:cs="Times New Roman"/>
        </w:rPr>
        <w:t xml:space="preserve"> junto con la bacteria </w:t>
      </w:r>
      <w:r w:rsidR="00D45549" w:rsidRPr="4447C96C">
        <w:rPr>
          <w:rFonts w:cs="Times New Roman"/>
          <w:i/>
          <w:iCs/>
        </w:rPr>
        <w:t>E. hormaechei</w:t>
      </w:r>
      <w:r w:rsidRPr="4447C96C">
        <w:rPr>
          <w:rFonts w:cs="Times New Roman"/>
        </w:rPr>
        <w:t xml:space="preserve">, no se logró rastrear a cuáles picos o regiones correspondía la actividad inhibitoria contra la levadura </w:t>
      </w:r>
      <w:r w:rsidRPr="4447C96C">
        <w:rPr>
          <w:rFonts w:cs="Times New Roman"/>
          <w:i/>
          <w:iCs/>
        </w:rPr>
        <w:t>C. albicans.</w:t>
      </w:r>
    </w:p>
    <w:p w14:paraId="29A51EC4" w14:textId="77777777" w:rsidR="0090553F" w:rsidRDefault="0025141B" w:rsidP="0090553F">
      <w:pPr>
        <w:keepNext/>
        <w:spacing w:after="0"/>
        <w:jc w:val="center"/>
      </w:pPr>
      <w:r>
        <w:rPr>
          <w:noProof/>
          <w:lang w:eastAsia="es-CR"/>
        </w:rPr>
        <w:lastRenderedPageBreak/>
        <w:drawing>
          <wp:inline distT="0" distB="0" distL="0" distR="0" wp14:anchorId="3057AEE9" wp14:editId="26AC0078">
            <wp:extent cx="5943600" cy="3676650"/>
            <wp:effectExtent l="0" t="0" r="0" b="0"/>
            <wp:docPr id="1774461847" name="Imagen 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461847" name="Imagen 7" descr="Diagrama&#10;&#10;Descripción generada automáticamente"/>
                    <pic:cNvPicPr/>
                  </pic:nvPicPr>
                  <pic:blipFill rotWithShape="1">
                    <a:blip r:embed="rId20">
                      <a:extLst>
                        <a:ext uri="{28A0092B-C50C-407E-A947-70E740481C1C}">
                          <a14:useLocalDpi xmlns:a14="http://schemas.microsoft.com/office/drawing/2010/main" val="0"/>
                        </a:ext>
                      </a:extLst>
                    </a:blip>
                    <a:srcRect t="9044" b="34649"/>
                    <a:stretch/>
                  </pic:blipFill>
                  <pic:spPr bwMode="auto">
                    <a:xfrm>
                      <a:off x="0" y="0"/>
                      <a:ext cx="5943600" cy="3676650"/>
                    </a:xfrm>
                    <a:prstGeom prst="rect">
                      <a:avLst/>
                    </a:prstGeom>
                    <a:ln>
                      <a:noFill/>
                    </a:ln>
                    <a:extLst>
                      <a:ext uri="{53640926-AAD7-44D8-BBD7-CCE9431645EC}">
                        <a14:shadowObscured xmlns:a14="http://schemas.microsoft.com/office/drawing/2010/main"/>
                      </a:ext>
                    </a:extLst>
                  </pic:spPr>
                </pic:pic>
              </a:graphicData>
            </a:graphic>
          </wp:inline>
        </w:drawing>
      </w:r>
    </w:p>
    <w:p w14:paraId="1238F355" w14:textId="1B8E9814" w:rsidR="00A579DC" w:rsidRDefault="0090553F" w:rsidP="0090553F">
      <w:pPr>
        <w:pStyle w:val="Descripcin"/>
        <w:rPr>
          <w:lang w:eastAsia="es-CR"/>
        </w:rPr>
      </w:pPr>
      <w:bookmarkStart w:id="118" w:name="_Toc138574971"/>
      <w:bookmarkStart w:id="119" w:name="_Toc142272978"/>
      <w:r w:rsidRPr="0090553F">
        <w:rPr>
          <w:b/>
          <w:bCs/>
          <w:i w:val="0"/>
          <w:iCs w:val="0"/>
          <w:color w:val="auto"/>
          <w:sz w:val="20"/>
          <w:szCs w:val="20"/>
        </w:rPr>
        <w:t xml:space="preserve">Figura  </w:t>
      </w:r>
      <w:r w:rsidRPr="0090553F">
        <w:rPr>
          <w:b/>
          <w:bCs/>
          <w:i w:val="0"/>
          <w:iCs w:val="0"/>
          <w:color w:val="auto"/>
          <w:sz w:val="20"/>
          <w:szCs w:val="20"/>
        </w:rPr>
        <w:fldChar w:fldCharType="begin"/>
      </w:r>
      <w:r w:rsidRPr="0090553F">
        <w:rPr>
          <w:b/>
          <w:bCs/>
          <w:i w:val="0"/>
          <w:iCs w:val="0"/>
          <w:color w:val="auto"/>
          <w:sz w:val="20"/>
          <w:szCs w:val="20"/>
        </w:rPr>
        <w:instrText xml:space="preserve"> SEQ Figura_ \* ARABIC </w:instrText>
      </w:r>
      <w:r w:rsidRPr="0090553F">
        <w:rPr>
          <w:b/>
          <w:bCs/>
          <w:i w:val="0"/>
          <w:iCs w:val="0"/>
          <w:color w:val="auto"/>
          <w:sz w:val="20"/>
          <w:szCs w:val="20"/>
        </w:rPr>
        <w:fldChar w:fldCharType="separate"/>
      </w:r>
      <w:r w:rsidR="00915F20">
        <w:rPr>
          <w:b/>
          <w:bCs/>
          <w:i w:val="0"/>
          <w:iCs w:val="0"/>
          <w:noProof/>
          <w:color w:val="auto"/>
          <w:sz w:val="20"/>
          <w:szCs w:val="20"/>
        </w:rPr>
        <w:t>9</w:t>
      </w:r>
      <w:r w:rsidRPr="0090553F">
        <w:rPr>
          <w:b/>
          <w:bCs/>
          <w:i w:val="0"/>
          <w:iCs w:val="0"/>
          <w:color w:val="auto"/>
          <w:sz w:val="20"/>
          <w:szCs w:val="20"/>
        </w:rPr>
        <w:fldChar w:fldCharType="end"/>
      </w:r>
      <w:r>
        <w:t xml:space="preserve">. </w:t>
      </w:r>
      <w:r w:rsidR="00763BAF" w:rsidRPr="008C2C71">
        <w:rPr>
          <w:i w:val="0"/>
          <w:iCs w:val="0"/>
          <w:color w:val="auto"/>
          <w:sz w:val="20"/>
          <w:szCs w:val="20"/>
          <w:lang w:eastAsia="es-CR"/>
        </w:rPr>
        <w:t xml:space="preserve">Cromatograma de los extractos crudos de los tres tratamientos de la cepa </w:t>
      </w:r>
      <w:r w:rsidR="00763BAF" w:rsidRPr="00916602">
        <w:rPr>
          <w:color w:val="auto"/>
          <w:sz w:val="20"/>
          <w:szCs w:val="20"/>
          <w:lang w:eastAsia="es-CR"/>
        </w:rPr>
        <w:t xml:space="preserve">Aspergillus </w:t>
      </w:r>
      <w:r w:rsidR="00A026BE">
        <w:rPr>
          <w:color w:val="auto"/>
          <w:sz w:val="20"/>
          <w:szCs w:val="20"/>
          <w:lang w:eastAsia="es-CR"/>
        </w:rPr>
        <w:t>sp.</w:t>
      </w:r>
      <w:r w:rsidR="00763BAF" w:rsidRPr="008C2C71">
        <w:rPr>
          <w:i w:val="0"/>
          <w:iCs w:val="0"/>
          <w:color w:val="auto"/>
          <w:sz w:val="20"/>
          <w:szCs w:val="20"/>
          <w:lang w:eastAsia="es-CR"/>
        </w:rPr>
        <w:t xml:space="preserve"> que mostraron actividad contra </w:t>
      </w:r>
      <w:r w:rsidR="00763BAF" w:rsidRPr="001A6AC8">
        <w:rPr>
          <w:color w:val="auto"/>
          <w:sz w:val="20"/>
          <w:szCs w:val="20"/>
          <w:lang w:eastAsia="es-CR"/>
        </w:rPr>
        <w:t>S. aureus</w:t>
      </w:r>
      <w:r w:rsidR="00763BAF" w:rsidRPr="008C2C71">
        <w:rPr>
          <w:i w:val="0"/>
          <w:iCs w:val="0"/>
          <w:color w:val="auto"/>
          <w:sz w:val="20"/>
          <w:szCs w:val="20"/>
          <w:lang w:eastAsia="es-CR"/>
        </w:rPr>
        <w:t xml:space="preserve"> obtenido mediante su fraccionamiento en </w:t>
      </w:r>
      <w:r w:rsidR="00763BAF">
        <w:rPr>
          <w:i w:val="0"/>
          <w:iCs w:val="0"/>
          <w:color w:val="auto"/>
          <w:sz w:val="20"/>
          <w:szCs w:val="20"/>
          <w:lang w:eastAsia="es-CR"/>
        </w:rPr>
        <w:t>RP-</w:t>
      </w:r>
      <w:r w:rsidR="00763BAF" w:rsidRPr="008C2C71">
        <w:rPr>
          <w:i w:val="0"/>
          <w:iCs w:val="0"/>
          <w:color w:val="auto"/>
          <w:sz w:val="20"/>
          <w:szCs w:val="20"/>
          <w:lang w:eastAsia="es-CR"/>
        </w:rPr>
        <w:t>HPLC. A) Cromatograma del extracto crudo de</w:t>
      </w:r>
      <w:r w:rsidR="00E07673">
        <w:rPr>
          <w:i w:val="0"/>
          <w:iCs w:val="0"/>
          <w:color w:val="auto"/>
          <w:sz w:val="20"/>
          <w:szCs w:val="20"/>
          <w:lang w:eastAsia="es-CR"/>
        </w:rPr>
        <w:t xml:space="preserve">l cultivo líquido </w:t>
      </w:r>
      <w:r w:rsidR="00763BAF" w:rsidRPr="008C2C71">
        <w:rPr>
          <w:i w:val="0"/>
          <w:iCs w:val="0"/>
          <w:color w:val="auto"/>
          <w:sz w:val="20"/>
          <w:szCs w:val="20"/>
          <w:lang w:eastAsia="es-CR"/>
        </w:rPr>
        <w:t>axénic</w:t>
      </w:r>
      <w:r w:rsidR="00E07673">
        <w:rPr>
          <w:i w:val="0"/>
          <w:iCs w:val="0"/>
          <w:color w:val="auto"/>
          <w:sz w:val="20"/>
          <w:szCs w:val="20"/>
          <w:lang w:eastAsia="es-CR"/>
        </w:rPr>
        <w:t>o</w:t>
      </w:r>
      <w:r w:rsidR="00763BAF" w:rsidRPr="008C2C71">
        <w:rPr>
          <w:i w:val="0"/>
          <w:iCs w:val="0"/>
          <w:color w:val="auto"/>
          <w:sz w:val="20"/>
          <w:szCs w:val="20"/>
          <w:lang w:eastAsia="es-CR"/>
        </w:rPr>
        <w:t xml:space="preserve"> de la cepa </w:t>
      </w:r>
      <w:r w:rsidR="00763BAF" w:rsidRPr="008C2C71">
        <w:rPr>
          <w:color w:val="auto"/>
          <w:sz w:val="20"/>
          <w:szCs w:val="20"/>
          <w:lang w:eastAsia="es-CR"/>
        </w:rPr>
        <w:t xml:space="preserve">Aspergillus </w:t>
      </w:r>
      <w:r w:rsidR="00A026BE">
        <w:rPr>
          <w:color w:val="auto"/>
          <w:sz w:val="20"/>
          <w:szCs w:val="20"/>
          <w:lang w:eastAsia="es-CR"/>
        </w:rPr>
        <w:t>sp.</w:t>
      </w:r>
      <w:r w:rsidR="00763BAF" w:rsidRPr="008C2C71">
        <w:rPr>
          <w:i w:val="0"/>
          <w:iCs w:val="0"/>
          <w:color w:val="auto"/>
          <w:sz w:val="20"/>
          <w:szCs w:val="20"/>
          <w:lang w:eastAsia="es-CR"/>
        </w:rPr>
        <w:t xml:space="preserve"> en la cual se lograron identificar dos picos</w:t>
      </w:r>
      <w:r w:rsidR="00763BAF">
        <w:rPr>
          <w:i w:val="0"/>
          <w:iCs w:val="0"/>
          <w:color w:val="auto"/>
          <w:sz w:val="20"/>
          <w:szCs w:val="20"/>
          <w:lang w:eastAsia="es-CR"/>
        </w:rPr>
        <w:t xml:space="preserve"> de absorbancia</w:t>
      </w:r>
      <w:r w:rsidR="00763BAF" w:rsidRPr="008C2C71">
        <w:rPr>
          <w:i w:val="0"/>
          <w:iCs w:val="0"/>
          <w:color w:val="auto"/>
          <w:sz w:val="20"/>
          <w:szCs w:val="20"/>
          <w:lang w:eastAsia="es-CR"/>
        </w:rPr>
        <w:t xml:space="preserve"> con actividad “1-2” y tres regiones “</w:t>
      </w:r>
      <w:r w:rsidR="00731F41">
        <w:rPr>
          <w:i w:val="0"/>
          <w:iCs w:val="0"/>
          <w:color w:val="auto"/>
          <w:sz w:val="20"/>
          <w:szCs w:val="20"/>
          <w:lang w:eastAsia="es-CR"/>
        </w:rPr>
        <w:t>a-b-c</w:t>
      </w:r>
      <w:r w:rsidR="00763BAF" w:rsidRPr="008C2C71">
        <w:rPr>
          <w:i w:val="0"/>
          <w:iCs w:val="0"/>
          <w:color w:val="auto"/>
          <w:sz w:val="20"/>
          <w:szCs w:val="20"/>
          <w:lang w:eastAsia="es-CR"/>
        </w:rPr>
        <w:t>” de las cuales no se pudo separar en picos individuales. B)  Fraccionamiento del extracto crudo obtenido de</w:t>
      </w:r>
      <w:r w:rsidR="00E07673">
        <w:rPr>
          <w:i w:val="0"/>
          <w:iCs w:val="0"/>
          <w:color w:val="auto"/>
          <w:sz w:val="20"/>
          <w:szCs w:val="20"/>
          <w:lang w:eastAsia="es-CR"/>
        </w:rPr>
        <w:t>l</w:t>
      </w:r>
      <w:r w:rsidR="00763BAF" w:rsidRPr="008C2C71">
        <w:rPr>
          <w:i w:val="0"/>
          <w:iCs w:val="0"/>
          <w:color w:val="auto"/>
          <w:sz w:val="20"/>
          <w:szCs w:val="20"/>
          <w:lang w:eastAsia="es-CR"/>
        </w:rPr>
        <w:t xml:space="preserve"> co-cultivo de </w:t>
      </w:r>
      <w:r w:rsidR="00763BAF" w:rsidRPr="008C2C71">
        <w:rPr>
          <w:color w:val="auto"/>
          <w:sz w:val="20"/>
          <w:szCs w:val="20"/>
          <w:lang w:eastAsia="es-CR"/>
        </w:rPr>
        <w:t xml:space="preserve">Aspergillus </w:t>
      </w:r>
      <w:r w:rsidR="00A026BE">
        <w:rPr>
          <w:color w:val="auto"/>
          <w:sz w:val="20"/>
          <w:szCs w:val="20"/>
          <w:lang w:eastAsia="es-CR"/>
        </w:rPr>
        <w:t>sp</w:t>
      </w:r>
      <w:r w:rsidR="00763BAF" w:rsidRPr="008C2C71">
        <w:rPr>
          <w:color w:val="auto"/>
          <w:sz w:val="20"/>
          <w:szCs w:val="20"/>
          <w:lang w:eastAsia="es-CR"/>
        </w:rPr>
        <w:t>.</w:t>
      </w:r>
      <w:r w:rsidR="00763BAF" w:rsidRPr="008C2C71">
        <w:rPr>
          <w:i w:val="0"/>
          <w:iCs w:val="0"/>
          <w:color w:val="auto"/>
          <w:sz w:val="20"/>
          <w:szCs w:val="20"/>
          <w:lang w:eastAsia="es-CR"/>
        </w:rPr>
        <w:t xml:space="preserve"> con </w:t>
      </w:r>
      <w:r w:rsidR="00763BAF" w:rsidRPr="008C2C71">
        <w:rPr>
          <w:color w:val="auto"/>
          <w:sz w:val="20"/>
          <w:szCs w:val="20"/>
          <w:lang w:eastAsia="es-CR"/>
        </w:rPr>
        <w:t>S. aureus</w:t>
      </w:r>
      <w:r w:rsidR="00763BAF" w:rsidRPr="008C2C71">
        <w:rPr>
          <w:i w:val="0"/>
          <w:iCs w:val="0"/>
          <w:color w:val="auto"/>
          <w:sz w:val="20"/>
          <w:szCs w:val="20"/>
          <w:lang w:eastAsia="es-CR"/>
        </w:rPr>
        <w:t xml:space="preserve"> donde se obtuvieron dos regiones con actividad “</w:t>
      </w:r>
      <w:r w:rsidR="00B74AB3">
        <w:rPr>
          <w:i w:val="0"/>
          <w:iCs w:val="0"/>
          <w:color w:val="auto"/>
          <w:sz w:val="20"/>
          <w:szCs w:val="20"/>
          <w:lang w:eastAsia="es-CR"/>
        </w:rPr>
        <w:t>a-b</w:t>
      </w:r>
      <w:r w:rsidR="00763BAF" w:rsidRPr="008C2C71">
        <w:rPr>
          <w:i w:val="0"/>
          <w:iCs w:val="0"/>
          <w:color w:val="auto"/>
          <w:sz w:val="20"/>
          <w:szCs w:val="20"/>
          <w:lang w:eastAsia="es-CR"/>
        </w:rPr>
        <w:t>” y el pico señalado con el número ”1”.  En cada uno de los tratamientos, el cromatograma ubicado en la sección superior corresponde a la lectura a una absorbancia de 215 nm, mientras que el inferior se leyó con una absorbancia de 280 nm.</w:t>
      </w:r>
      <w:bookmarkEnd w:id="118"/>
      <w:bookmarkEnd w:id="119"/>
    </w:p>
    <w:p w14:paraId="62B77C1C" w14:textId="77777777" w:rsidR="0041290D" w:rsidRPr="0041290D" w:rsidRDefault="0041290D" w:rsidP="0041290D">
      <w:pPr>
        <w:spacing w:after="0"/>
        <w:rPr>
          <w:lang w:eastAsia="es-CR"/>
        </w:rPr>
      </w:pPr>
    </w:p>
    <w:p w14:paraId="2344BBB7" w14:textId="4686D8E3" w:rsidR="0068445C" w:rsidRPr="002563E5" w:rsidRDefault="4447C96C" w:rsidP="4447C96C">
      <w:pPr>
        <w:ind w:firstLine="709"/>
        <w:rPr>
          <w:rFonts w:cs="Times New Roman"/>
        </w:rPr>
      </w:pPr>
      <w:r w:rsidRPr="4447C96C">
        <w:rPr>
          <w:rFonts w:cs="Times New Roman"/>
        </w:rPr>
        <w:t xml:space="preserve">Por su parte, para la cepa </w:t>
      </w:r>
      <w:r w:rsidRPr="4447C96C">
        <w:rPr>
          <w:rFonts w:cs="Times New Roman"/>
          <w:i/>
          <w:iCs/>
        </w:rPr>
        <w:t>Paraconiothyrium sp.</w:t>
      </w:r>
      <w:r w:rsidRPr="4447C96C">
        <w:rPr>
          <w:rFonts w:cs="Times New Roman"/>
        </w:rPr>
        <w:t xml:space="preserve"> </w:t>
      </w:r>
      <w:r w:rsidR="00143F09">
        <w:rPr>
          <w:rFonts w:cs="Times New Roman"/>
        </w:rPr>
        <w:t>(cepa A 4.1)</w:t>
      </w:r>
      <w:r w:rsidR="00311A9B">
        <w:rPr>
          <w:rFonts w:cs="Times New Roman"/>
        </w:rPr>
        <w:t xml:space="preserve"> </w:t>
      </w:r>
      <w:r w:rsidRPr="4447C96C">
        <w:rPr>
          <w:rFonts w:cs="Times New Roman"/>
        </w:rPr>
        <w:t xml:space="preserve">únicamente se logró rastrear la actividad antibacteriana contra la bacteria </w:t>
      </w:r>
      <w:r w:rsidRPr="4447C96C">
        <w:rPr>
          <w:rFonts w:cs="Times New Roman"/>
          <w:i/>
          <w:iCs/>
        </w:rPr>
        <w:t>S. aureus</w:t>
      </w:r>
      <w:r w:rsidRPr="4447C96C">
        <w:rPr>
          <w:rFonts w:cs="Times New Roman"/>
        </w:rPr>
        <w:t xml:space="preserve"> en los extractos </w:t>
      </w:r>
      <w:r w:rsidR="00E07673">
        <w:rPr>
          <w:rFonts w:cs="Times New Roman"/>
        </w:rPr>
        <w:t>del</w:t>
      </w:r>
      <w:r w:rsidRPr="4447C96C">
        <w:rPr>
          <w:rFonts w:cs="Times New Roman"/>
        </w:rPr>
        <w:t xml:space="preserve"> co-cultivo con esta misma bacteria en una región compuesta por varios picos (Figura 10). Para esta región se realizó un segundo fraccionamiento con diferentes condiciones de corrida con el fin de resolver la curva y obtener picos de compuestos individuales, no obstante, no se logró detectar a cuál pico o conjunto de picos específicos correspondía la actividad antimicrobiana.</w:t>
      </w:r>
    </w:p>
    <w:p w14:paraId="723AB7A2" w14:textId="77777777" w:rsidR="006570B1" w:rsidRDefault="0025141B" w:rsidP="006570B1">
      <w:pPr>
        <w:keepNext/>
        <w:spacing w:after="0"/>
        <w:jc w:val="center"/>
      </w:pPr>
      <w:r>
        <w:rPr>
          <w:noProof/>
          <w:lang w:eastAsia="es-CR"/>
        </w:rPr>
        <w:lastRenderedPageBreak/>
        <w:drawing>
          <wp:inline distT="0" distB="0" distL="0" distR="0" wp14:anchorId="168EDC3A" wp14:editId="6A847DEB">
            <wp:extent cx="5943600" cy="1847850"/>
            <wp:effectExtent l="0" t="0" r="0" b="0"/>
            <wp:docPr id="1610968769" name="Imagen 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968769" name="Imagen 8" descr="Diagrama&#10;&#10;Descripción generada automáticamente"/>
                    <pic:cNvPicPr/>
                  </pic:nvPicPr>
                  <pic:blipFill rotWithShape="1">
                    <a:blip r:embed="rId21">
                      <a:extLst>
                        <a:ext uri="{28A0092B-C50C-407E-A947-70E740481C1C}">
                          <a14:useLocalDpi xmlns:a14="http://schemas.microsoft.com/office/drawing/2010/main" val="0"/>
                        </a:ext>
                      </a:extLst>
                    </a:blip>
                    <a:srcRect t="23631" b="48069"/>
                    <a:stretch/>
                  </pic:blipFill>
                  <pic:spPr bwMode="auto">
                    <a:xfrm>
                      <a:off x="0" y="0"/>
                      <a:ext cx="5943600" cy="1847850"/>
                    </a:xfrm>
                    <a:prstGeom prst="rect">
                      <a:avLst/>
                    </a:prstGeom>
                    <a:ln>
                      <a:noFill/>
                    </a:ln>
                    <a:extLst>
                      <a:ext uri="{53640926-AAD7-44D8-BBD7-CCE9431645EC}">
                        <a14:shadowObscured xmlns:a14="http://schemas.microsoft.com/office/drawing/2010/main"/>
                      </a:ext>
                    </a:extLst>
                  </pic:spPr>
                </pic:pic>
              </a:graphicData>
            </a:graphic>
          </wp:inline>
        </w:drawing>
      </w:r>
    </w:p>
    <w:p w14:paraId="33070C83" w14:textId="7998B0A6" w:rsidR="001E1C92" w:rsidRPr="006570B1" w:rsidRDefault="006570B1" w:rsidP="006570B1">
      <w:pPr>
        <w:pStyle w:val="Descripcin"/>
        <w:rPr>
          <w:i w:val="0"/>
          <w:iCs w:val="0"/>
          <w:color w:val="auto"/>
          <w:sz w:val="20"/>
          <w:szCs w:val="20"/>
          <w:lang w:eastAsia="es-CR"/>
        </w:rPr>
      </w:pPr>
      <w:bookmarkStart w:id="120" w:name="_Toc138574972"/>
      <w:bookmarkStart w:id="121" w:name="_Toc142272979"/>
      <w:r w:rsidRPr="006570B1">
        <w:rPr>
          <w:b/>
          <w:bCs/>
          <w:i w:val="0"/>
          <w:iCs w:val="0"/>
          <w:color w:val="auto"/>
          <w:sz w:val="20"/>
          <w:szCs w:val="20"/>
        </w:rPr>
        <w:t xml:space="preserve">Figura  </w:t>
      </w:r>
      <w:r w:rsidRPr="006570B1">
        <w:rPr>
          <w:b/>
          <w:bCs/>
          <w:i w:val="0"/>
          <w:iCs w:val="0"/>
          <w:color w:val="auto"/>
          <w:sz w:val="20"/>
          <w:szCs w:val="20"/>
        </w:rPr>
        <w:fldChar w:fldCharType="begin"/>
      </w:r>
      <w:r w:rsidRPr="006570B1">
        <w:rPr>
          <w:b/>
          <w:bCs/>
          <w:i w:val="0"/>
          <w:iCs w:val="0"/>
          <w:color w:val="auto"/>
          <w:sz w:val="20"/>
          <w:szCs w:val="20"/>
        </w:rPr>
        <w:instrText xml:space="preserve"> SEQ Figura_ \* ARABIC </w:instrText>
      </w:r>
      <w:r w:rsidRPr="006570B1">
        <w:rPr>
          <w:b/>
          <w:bCs/>
          <w:i w:val="0"/>
          <w:iCs w:val="0"/>
          <w:color w:val="auto"/>
          <w:sz w:val="20"/>
          <w:szCs w:val="20"/>
        </w:rPr>
        <w:fldChar w:fldCharType="separate"/>
      </w:r>
      <w:r w:rsidR="00915F20">
        <w:rPr>
          <w:b/>
          <w:bCs/>
          <w:i w:val="0"/>
          <w:iCs w:val="0"/>
          <w:noProof/>
          <w:color w:val="auto"/>
          <w:sz w:val="20"/>
          <w:szCs w:val="20"/>
        </w:rPr>
        <w:t>10</w:t>
      </w:r>
      <w:r w:rsidRPr="006570B1">
        <w:rPr>
          <w:b/>
          <w:bCs/>
          <w:i w:val="0"/>
          <w:iCs w:val="0"/>
          <w:color w:val="auto"/>
          <w:sz w:val="20"/>
          <w:szCs w:val="20"/>
        </w:rPr>
        <w:fldChar w:fldCharType="end"/>
      </w:r>
      <w:r w:rsidRPr="006570B1">
        <w:rPr>
          <w:i w:val="0"/>
          <w:iCs w:val="0"/>
          <w:color w:val="auto"/>
          <w:sz w:val="20"/>
          <w:szCs w:val="20"/>
        </w:rPr>
        <w:t xml:space="preserve">. Cromatograma del extracto crudo de la cepa A 4.1, identificada como </w:t>
      </w:r>
      <w:r w:rsidRPr="006570B1">
        <w:rPr>
          <w:color w:val="auto"/>
          <w:sz w:val="20"/>
          <w:szCs w:val="20"/>
        </w:rPr>
        <w:t>Paraconiothyrium sp</w:t>
      </w:r>
      <w:r w:rsidRPr="006570B1">
        <w:rPr>
          <w:i w:val="0"/>
          <w:iCs w:val="0"/>
          <w:color w:val="auto"/>
          <w:sz w:val="20"/>
          <w:szCs w:val="20"/>
        </w:rPr>
        <w:t xml:space="preserve">., en co-cultivo con la bacteria S. aureus obtenido mediante RP-HPLC. En este caso la región señalada como “a” mostró actividad contra </w:t>
      </w:r>
      <w:r w:rsidRPr="006570B1">
        <w:rPr>
          <w:color w:val="auto"/>
          <w:sz w:val="20"/>
          <w:szCs w:val="20"/>
        </w:rPr>
        <w:t>E. faecium, A. baumannii y</w:t>
      </w:r>
      <w:r w:rsidRPr="006570B1">
        <w:rPr>
          <w:i w:val="0"/>
          <w:iCs w:val="0"/>
          <w:color w:val="auto"/>
          <w:sz w:val="20"/>
          <w:szCs w:val="20"/>
        </w:rPr>
        <w:t xml:space="preserve"> </w:t>
      </w:r>
      <w:r w:rsidRPr="006570B1">
        <w:rPr>
          <w:color w:val="auto"/>
          <w:sz w:val="20"/>
          <w:szCs w:val="20"/>
        </w:rPr>
        <w:t>E. hormaechei</w:t>
      </w:r>
      <w:r w:rsidRPr="006570B1">
        <w:rPr>
          <w:i w:val="0"/>
          <w:iCs w:val="0"/>
          <w:color w:val="auto"/>
          <w:sz w:val="20"/>
          <w:szCs w:val="20"/>
        </w:rPr>
        <w:t>.  Sin embargo, no se logró determinar en cual pico específico se encontraba la actividad contra cada una de las cepas bacterianas. El cromatograma superior muestra mediciones realizadas a una absorbancia de 215 y la inferior a 280 nm.</w:t>
      </w:r>
      <w:bookmarkEnd w:id="120"/>
      <w:bookmarkEnd w:id="121"/>
    </w:p>
    <w:p w14:paraId="2CA4380D" w14:textId="695560B2" w:rsidR="001E1C92" w:rsidRDefault="001E1C92" w:rsidP="00F722D9">
      <w:pPr>
        <w:spacing w:after="0"/>
        <w:ind w:firstLine="708"/>
        <w:rPr>
          <w:szCs w:val="24"/>
          <w:lang w:eastAsia="es-CR"/>
        </w:rPr>
      </w:pPr>
    </w:p>
    <w:p w14:paraId="67D7F056" w14:textId="4E14CA1A" w:rsidR="00314BA7" w:rsidRPr="006C096E" w:rsidRDefault="006D1132" w:rsidP="00874997">
      <w:pPr>
        <w:pStyle w:val="Titulo20"/>
        <w:numPr>
          <w:ilvl w:val="1"/>
          <w:numId w:val="19"/>
        </w:numPr>
        <w:spacing w:before="0" w:after="0"/>
        <w:rPr>
          <w:lang w:eastAsia="es-CR"/>
        </w:rPr>
      </w:pPr>
      <w:r w:rsidRPr="006C096E">
        <w:rPr>
          <w:lang w:eastAsia="es-CR"/>
        </w:rPr>
        <w:t xml:space="preserve"> </w:t>
      </w:r>
      <w:bookmarkStart w:id="122" w:name="_Toc140204085"/>
      <w:r w:rsidR="006C096E" w:rsidRPr="006C096E">
        <w:rPr>
          <w:lang w:eastAsia="es-CR"/>
        </w:rPr>
        <w:t>Análisis de genómica</w:t>
      </w:r>
      <w:r w:rsidR="006C096E" w:rsidRPr="009B40B5">
        <w:rPr>
          <w:lang w:eastAsia="es-CR"/>
        </w:rPr>
        <w:t xml:space="preserve"> comparativa</w:t>
      </w:r>
      <w:bookmarkEnd w:id="122"/>
    </w:p>
    <w:p w14:paraId="0709AA28" w14:textId="4BF09B0A" w:rsidR="006D1132" w:rsidRDefault="006D1132" w:rsidP="006D1132">
      <w:pPr>
        <w:ind w:firstLine="360"/>
        <w:rPr>
          <w:lang w:eastAsia="es-CR"/>
        </w:rPr>
      </w:pPr>
      <w:r>
        <w:rPr>
          <w:lang w:eastAsia="es-CR"/>
        </w:rPr>
        <w:t xml:space="preserve">El análisis de los CGB de la cepa A 2.1 </w:t>
      </w:r>
      <w:r w:rsidR="00311A9B">
        <w:rPr>
          <w:lang w:eastAsia="es-CR"/>
        </w:rPr>
        <w:t>(</w:t>
      </w:r>
      <w:r w:rsidR="00311A9B" w:rsidRPr="00311A9B">
        <w:rPr>
          <w:i/>
          <w:iCs/>
          <w:lang w:eastAsia="es-CR"/>
        </w:rPr>
        <w:t>Penicillium sp.)</w:t>
      </w:r>
      <w:r w:rsidR="00311A9B">
        <w:rPr>
          <w:lang w:eastAsia="es-CR"/>
        </w:rPr>
        <w:t xml:space="preserve"> </w:t>
      </w:r>
      <w:r>
        <w:rPr>
          <w:lang w:eastAsia="es-CR"/>
        </w:rPr>
        <w:t xml:space="preserve">no pudo ser llevado a cabo utilizando los genomas de las especies </w:t>
      </w:r>
      <w:r w:rsidRPr="00A5719A">
        <w:rPr>
          <w:i/>
          <w:iCs/>
          <w:lang w:eastAsia="es-CR"/>
        </w:rPr>
        <w:t xml:space="preserve">P. parvum, P. paraherquei </w:t>
      </w:r>
      <w:r w:rsidRPr="00A5719A">
        <w:rPr>
          <w:lang w:eastAsia="es-CR"/>
        </w:rPr>
        <w:t>y</w:t>
      </w:r>
      <w:r w:rsidRPr="00A5719A">
        <w:rPr>
          <w:i/>
          <w:iCs/>
          <w:lang w:eastAsia="es-CR"/>
        </w:rPr>
        <w:t xml:space="preserve"> P. senticosum</w:t>
      </w:r>
      <w:r>
        <w:rPr>
          <w:lang w:eastAsia="es-CR"/>
        </w:rPr>
        <w:t xml:space="preserve">, ni tampoco con los genomas de las especies taxonómicamente cercanas a ellas (según el árbol filogenético Anexo </w:t>
      </w:r>
      <w:r w:rsidR="000C557F">
        <w:rPr>
          <w:lang w:eastAsia="es-CR"/>
        </w:rPr>
        <w:t>5</w:t>
      </w:r>
      <w:r>
        <w:rPr>
          <w:lang w:eastAsia="es-CR"/>
        </w:rPr>
        <w:t xml:space="preserve">), por lo que finalmente se decidió realizar el análisis con el genoma completo disponible para </w:t>
      </w:r>
      <w:r w:rsidRPr="00917F0B">
        <w:rPr>
          <w:i/>
          <w:iCs/>
          <w:lang w:eastAsia="es-CR"/>
        </w:rPr>
        <w:t>Penicillium sp</w:t>
      </w:r>
      <w:r w:rsidR="00917F0B">
        <w:rPr>
          <w:i/>
          <w:iCs/>
          <w:lang w:eastAsia="es-CR"/>
        </w:rPr>
        <w:t>.</w:t>
      </w:r>
      <w:r>
        <w:rPr>
          <w:lang w:eastAsia="es-CR"/>
        </w:rPr>
        <w:t xml:space="preserve"> (Cuadro 3). Esta situación fue reincidente para la cepa A 4.1, por lo que también se realizaron los análisis bioinformáticos con el genoma de </w:t>
      </w:r>
      <w:r w:rsidRPr="00A5719A">
        <w:rPr>
          <w:i/>
          <w:iCs/>
          <w:lang w:eastAsia="es-CR"/>
        </w:rPr>
        <w:t xml:space="preserve">Paraconiothyrium </w:t>
      </w:r>
      <w:r w:rsidR="00B74AB3">
        <w:rPr>
          <w:i/>
          <w:iCs/>
          <w:lang w:eastAsia="es-CR"/>
        </w:rPr>
        <w:t>sp.</w:t>
      </w:r>
      <w:r w:rsidR="00A5719A">
        <w:rPr>
          <w:lang w:eastAsia="es-CR"/>
        </w:rPr>
        <w:t xml:space="preserve"> </w:t>
      </w:r>
      <w:r>
        <w:rPr>
          <w:lang w:eastAsia="es-CR"/>
        </w:rPr>
        <w:t xml:space="preserve">(Cuadro </w:t>
      </w:r>
      <w:r w:rsidR="00260DC6">
        <w:rPr>
          <w:lang w:eastAsia="es-CR"/>
        </w:rPr>
        <w:t>5</w:t>
      </w:r>
      <w:r>
        <w:rPr>
          <w:lang w:eastAsia="es-CR"/>
        </w:rPr>
        <w:t xml:space="preserve">).  En el caso específico de la cepa B 3.2, sí están disponibles los genomas de </w:t>
      </w:r>
      <w:r w:rsidRPr="00356FE3">
        <w:rPr>
          <w:i/>
          <w:iCs/>
          <w:lang w:eastAsia="es-CR"/>
        </w:rPr>
        <w:t>Aspergillus tamarii, Aspergillus pseudotamarii</w:t>
      </w:r>
      <w:r>
        <w:rPr>
          <w:lang w:eastAsia="es-CR"/>
        </w:rPr>
        <w:t xml:space="preserve"> y </w:t>
      </w:r>
      <w:r w:rsidRPr="00356FE3">
        <w:rPr>
          <w:i/>
          <w:iCs/>
          <w:lang w:eastAsia="es-CR"/>
        </w:rPr>
        <w:t>Aspergillus caelatus,</w:t>
      </w:r>
      <w:r>
        <w:rPr>
          <w:lang w:eastAsia="es-CR"/>
        </w:rPr>
        <w:t xml:space="preserve"> por lo que, para este aislamiento sí fue posible ejecutar los análisis con las especies genéticamente similares a su región ITS.</w:t>
      </w:r>
    </w:p>
    <w:p w14:paraId="37D7B154" w14:textId="5A41128C" w:rsidR="006D1132" w:rsidRDefault="006D1132" w:rsidP="006D1132">
      <w:pPr>
        <w:ind w:firstLine="360"/>
        <w:rPr>
          <w:lang w:eastAsia="es-CR"/>
        </w:rPr>
      </w:pPr>
      <w:r>
        <w:rPr>
          <w:lang w:eastAsia="es-CR"/>
        </w:rPr>
        <w:t xml:space="preserve">  Respecto al potencial metabólico de cada cepa en cuestión</w:t>
      </w:r>
      <w:r w:rsidR="00D840D3">
        <w:rPr>
          <w:lang w:eastAsia="es-CR"/>
        </w:rPr>
        <w:t>,</w:t>
      </w:r>
      <w:r>
        <w:rPr>
          <w:lang w:eastAsia="es-CR"/>
        </w:rPr>
        <w:t xml:space="preserve"> se utilizó </w:t>
      </w:r>
      <w:r w:rsidR="00356FE3">
        <w:rPr>
          <w:lang w:eastAsia="es-CR"/>
        </w:rPr>
        <w:t xml:space="preserve">ANTISMASH </w:t>
      </w:r>
      <w:r>
        <w:rPr>
          <w:lang w:eastAsia="es-CR"/>
        </w:rPr>
        <w:t xml:space="preserve">para detectar CGB asociados a rutas metabólicas de interés. Para el genoma de </w:t>
      </w:r>
      <w:r w:rsidRPr="00D840D3">
        <w:rPr>
          <w:i/>
          <w:iCs/>
          <w:lang w:eastAsia="es-CR"/>
        </w:rPr>
        <w:t>Penicillium sp</w:t>
      </w:r>
      <w:r>
        <w:rPr>
          <w:lang w:eastAsia="es-CR"/>
        </w:rPr>
        <w:t xml:space="preserve">. se identificaron un total de 10 CGB codificantes a moléculas con actividad antimicrobiana, de los cuales en su mayoría sintetizan para la producción de péptidos no ribosomales, que pertenecen al </w:t>
      </w:r>
      <w:r w:rsidR="00116BBE">
        <w:rPr>
          <w:lang w:eastAsia="es-CR"/>
        </w:rPr>
        <w:t>clúster</w:t>
      </w:r>
      <w:r>
        <w:rPr>
          <w:lang w:eastAsia="es-CR"/>
        </w:rPr>
        <w:t xml:space="preserve"> NRPS con 4 </w:t>
      </w:r>
      <w:r w:rsidR="00116BBE">
        <w:rPr>
          <w:lang w:eastAsia="es-CR"/>
        </w:rPr>
        <w:t>clúster</w:t>
      </w:r>
      <w:r>
        <w:rPr>
          <w:lang w:eastAsia="es-CR"/>
        </w:rPr>
        <w:t xml:space="preserve">s de los 10 identificados, representando un 40%, seguidos por el </w:t>
      </w:r>
      <w:r w:rsidR="00116BBE">
        <w:rPr>
          <w:lang w:eastAsia="es-CR"/>
        </w:rPr>
        <w:t>clúster</w:t>
      </w:r>
      <w:r>
        <w:rPr>
          <w:lang w:eastAsia="es-CR"/>
        </w:rPr>
        <w:t xml:space="preserve"> de los T1PKS (policétido sintasas del tipo 1) con un 30% (3 CGB) y un 10 % para los </w:t>
      </w:r>
      <w:r w:rsidR="00116BBE">
        <w:rPr>
          <w:lang w:eastAsia="es-CR"/>
        </w:rPr>
        <w:t>clúster</w:t>
      </w:r>
      <w:r>
        <w:rPr>
          <w:lang w:eastAsia="es-CR"/>
        </w:rPr>
        <w:t>s del tipo NRPS</w:t>
      </w:r>
      <w:r w:rsidR="0057268E">
        <w:rPr>
          <w:lang w:eastAsia="es-CR"/>
        </w:rPr>
        <w:t>, indol</w:t>
      </w:r>
      <w:r>
        <w:rPr>
          <w:lang w:eastAsia="es-CR"/>
        </w:rPr>
        <w:t xml:space="preserve"> y terpenos, cada uno con un </w:t>
      </w:r>
      <w:r w:rsidR="00116BBE">
        <w:rPr>
          <w:lang w:eastAsia="es-CR"/>
        </w:rPr>
        <w:t>clúster</w:t>
      </w:r>
      <w:r>
        <w:rPr>
          <w:lang w:eastAsia="es-CR"/>
        </w:rPr>
        <w:t xml:space="preserve">.  (Figura </w:t>
      </w:r>
      <w:r w:rsidR="00394FD4">
        <w:rPr>
          <w:lang w:eastAsia="es-CR"/>
        </w:rPr>
        <w:t>1</w:t>
      </w:r>
      <w:r w:rsidR="008427A8">
        <w:rPr>
          <w:lang w:eastAsia="es-CR"/>
        </w:rPr>
        <w:t>1</w:t>
      </w:r>
      <w:r>
        <w:rPr>
          <w:lang w:eastAsia="es-CR"/>
        </w:rPr>
        <w:t>.</w:t>
      </w:r>
      <w:r w:rsidR="00CF7B43">
        <w:rPr>
          <w:lang w:eastAsia="es-CR"/>
        </w:rPr>
        <w:t>A</w:t>
      </w:r>
      <w:r>
        <w:rPr>
          <w:lang w:eastAsia="es-CR"/>
        </w:rPr>
        <w:t xml:space="preserve">).  Cada clúster está compuesto por un conjunto de genes con categorías de tipo medular, transporte, regulador, genes biosintéticos adicionales, genes de resistencia y otros.  Dentro de cada uno de los </w:t>
      </w:r>
      <w:r w:rsidR="00116BBE">
        <w:rPr>
          <w:lang w:eastAsia="es-CR"/>
        </w:rPr>
        <w:t>clúster</w:t>
      </w:r>
      <w:r>
        <w:rPr>
          <w:lang w:eastAsia="es-CR"/>
        </w:rPr>
        <w:t xml:space="preserve">s obtenidos se identificó un único gen medular. Sin embargo, hay un clúster en particular que pertenece tanto al tipo NRPS </w:t>
      </w:r>
      <w:r>
        <w:rPr>
          <w:lang w:eastAsia="es-CR"/>
        </w:rPr>
        <w:lastRenderedPageBreak/>
        <w:t>como al tipo indol, y se destaca por tener dos genes medulares distintos en su estructura. Estos dos genes tienen una diferencia de tamaño de aproximadamente 3,400 pares de bases.</w:t>
      </w:r>
    </w:p>
    <w:p w14:paraId="0A795C54" w14:textId="41BFF2DF" w:rsidR="00A5719A" w:rsidRDefault="006D1132" w:rsidP="00BB5FE7">
      <w:pPr>
        <w:spacing w:after="0"/>
        <w:ind w:firstLine="360"/>
        <w:rPr>
          <w:lang w:eastAsia="es-CR"/>
        </w:rPr>
      </w:pPr>
      <w:r>
        <w:rPr>
          <w:lang w:eastAsia="es-CR"/>
        </w:rPr>
        <w:t xml:space="preserve">En cuanto a los análisis de genómica comparativa de los genes medulares de los </w:t>
      </w:r>
      <w:r w:rsidR="00116BBE">
        <w:rPr>
          <w:lang w:eastAsia="es-CR"/>
        </w:rPr>
        <w:t>clúster</w:t>
      </w:r>
      <w:r>
        <w:rPr>
          <w:lang w:eastAsia="es-CR"/>
        </w:rPr>
        <w:t xml:space="preserve">s seleccionados para esta especie, se observó que la mayoría mostraron una distancia genética de media a alta entre sí. Sin embargo, se destacan el gen 3 y el gen 69, los cuales obtuvieron el valor más bajo de distancia genética con un 0.459. Aunque estos dos genes no codifican para la misma molécula, pertenecen al mismo tipo de </w:t>
      </w:r>
      <w:r w:rsidR="00116BBE">
        <w:rPr>
          <w:lang w:eastAsia="es-CR"/>
        </w:rPr>
        <w:t>clúster</w:t>
      </w:r>
      <w:r>
        <w:rPr>
          <w:lang w:eastAsia="es-CR"/>
        </w:rPr>
        <w:t xml:space="preserve">s: NRPS y T1PKS (ver Cuadro </w:t>
      </w:r>
      <w:r w:rsidR="00260DC6">
        <w:rPr>
          <w:lang w:eastAsia="es-CR"/>
        </w:rPr>
        <w:t>5</w:t>
      </w:r>
      <w:r>
        <w:rPr>
          <w:lang w:eastAsia="es-CR"/>
        </w:rPr>
        <w:t xml:space="preserve"> y Figura </w:t>
      </w:r>
      <w:r w:rsidR="00316852">
        <w:rPr>
          <w:lang w:eastAsia="es-CR"/>
        </w:rPr>
        <w:t>11.A</w:t>
      </w:r>
      <w:r>
        <w:rPr>
          <w:lang w:eastAsia="es-CR"/>
        </w:rPr>
        <w:t>). Un caso similar ocurre con los genes 114 y 3, gen 2 y 50, así como el gen 37 con el gen 69. Aunque estos genes no biosintetizan el mismo metabolito, comparten el mismo tipo de CGB.</w:t>
      </w:r>
      <w:r w:rsidR="00990A4C">
        <w:rPr>
          <w:lang w:eastAsia="es-CR"/>
        </w:rPr>
        <w:t xml:space="preserve"> </w:t>
      </w:r>
      <w:r w:rsidR="000F33D1">
        <w:rPr>
          <w:lang w:eastAsia="es-CR"/>
        </w:rPr>
        <w:t xml:space="preserve">Finalmente, se observa que a una distancia genética de </w:t>
      </w:r>
      <w:r w:rsidR="0093767D">
        <w:rPr>
          <w:lang w:eastAsia="es-CR"/>
        </w:rPr>
        <w:t xml:space="preserve">0.643 ya no </w:t>
      </w:r>
      <w:r w:rsidR="00403304">
        <w:rPr>
          <w:lang w:eastAsia="es-CR"/>
        </w:rPr>
        <w:t>hay ninguna semejanza génica.</w:t>
      </w:r>
    </w:p>
    <w:p w14:paraId="26691BD3" w14:textId="77777777" w:rsidR="00C621EC" w:rsidRPr="00524326" w:rsidRDefault="00C621EC" w:rsidP="00C621EC">
      <w:pPr>
        <w:spacing w:after="0"/>
        <w:ind w:firstLine="360"/>
        <w:rPr>
          <w:lang w:eastAsia="es-CR"/>
        </w:rPr>
      </w:pPr>
    </w:p>
    <w:p w14:paraId="24B2DA85" w14:textId="215BE711" w:rsidR="00A5719A" w:rsidRPr="002B6E8A" w:rsidRDefault="002E2FA1" w:rsidP="000F7EE5">
      <w:pPr>
        <w:pStyle w:val="Descripcin"/>
        <w:spacing w:after="0"/>
        <w:rPr>
          <w:rFonts w:eastAsia="Times New Roman" w:cs="Times New Roman"/>
          <w:i w:val="0"/>
          <w:iCs w:val="0"/>
          <w:sz w:val="22"/>
          <w:szCs w:val="32"/>
          <w:lang w:eastAsia="es-CR"/>
        </w:rPr>
      </w:pPr>
      <w:bookmarkStart w:id="123" w:name="_Toc138593433"/>
      <w:r w:rsidRPr="002B6E8A">
        <w:rPr>
          <w:b/>
          <w:bCs/>
          <w:i w:val="0"/>
          <w:iCs w:val="0"/>
          <w:color w:val="auto"/>
          <w:sz w:val="22"/>
          <w:szCs w:val="22"/>
        </w:rPr>
        <w:t xml:space="preserve">Cuadro </w:t>
      </w:r>
      <w:r w:rsidRPr="002B6E8A">
        <w:rPr>
          <w:b/>
          <w:bCs/>
          <w:i w:val="0"/>
          <w:iCs w:val="0"/>
          <w:color w:val="auto"/>
          <w:sz w:val="22"/>
          <w:szCs w:val="22"/>
        </w:rPr>
        <w:fldChar w:fldCharType="begin"/>
      </w:r>
      <w:r w:rsidRPr="002B6E8A">
        <w:rPr>
          <w:b/>
          <w:bCs/>
          <w:i w:val="0"/>
          <w:iCs w:val="0"/>
          <w:color w:val="auto"/>
          <w:sz w:val="22"/>
          <w:szCs w:val="22"/>
        </w:rPr>
        <w:instrText xml:space="preserve"> SEQ Cuadro \* ARABIC </w:instrText>
      </w:r>
      <w:r w:rsidRPr="002B6E8A">
        <w:rPr>
          <w:b/>
          <w:bCs/>
          <w:i w:val="0"/>
          <w:iCs w:val="0"/>
          <w:color w:val="auto"/>
          <w:sz w:val="22"/>
          <w:szCs w:val="22"/>
        </w:rPr>
        <w:fldChar w:fldCharType="separate"/>
      </w:r>
      <w:r w:rsidR="00336027">
        <w:rPr>
          <w:b/>
          <w:bCs/>
          <w:i w:val="0"/>
          <w:iCs w:val="0"/>
          <w:noProof/>
          <w:color w:val="auto"/>
          <w:sz w:val="22"/>
          <w:szCs w:val="22"/>
        </w:rPr>
        <w:t>5</w:t>
      </w:r>
      <w:r w:rsidRPr="002B6E8A">
        <w:rPr>
          <w:b/>
          <w:bCs/>
          <w:i w:val="0"/>
          <w:iCs w:val="0"/>
          <w:color w:val="auto"/>
          <w:sz w:val="22"/>
          <w:szCs w:val="22"/>
        </w:rPr>
        <w:fldChar w:fldCharType="end"/>
      </w:r>
      <w:r w:rsidR="00A5719A" w:rsidRPr="002B6E8A">
        <w:rPr>
          <w:rFonts w:eastAsia="Times New Roman" w:cs="Times New Roman"/>
          <w:b/>
          <w:bCs/>
          <w:i w:val="0"/>
          <w:iCs w:val="0"/>
          <w:color w:val="auto"/>
          <w:sz w:val="22"/>
          <w:szCs w:val="32"/>
          <w:lang w:eastAsia="es-CR"/>
        </w:rPr>
        <w:t>.</w:t>
      </w:r>
      <w:r w:rsidR="00A5719A" w:rsidRPr="002B6E8A">
        <w:rPr>
          <w:rFonts w:eastAsia="Times New Roman" w:cs="Times New Roman"/>
          <w:b/>
          <w:bCs/>
          <w:color w:val="auto"/>
          <w:sz w:val="22"/>
          <w:szCs w:val="32"/>
          <w:lang w:eastAsia="es-CR"/>
        </w:rPr>
        <w:t xml:space="preserve"> </w:t>
      </w:r>
      <w:r w:rsidR="00A5719A" w:rsidRPr="002B6E8A">
        <w:rPr>
          <w:rFonts w:eastAsia="Times New Roman" w:cs="Times New Roman"/>
          <w:i w:val="0"/>
          <w:iCs w:val="0"/>
          <w:color w:val="000000"/>
          <w:sz w:val="22"/>
          <w:szCs w:val="32"/>
          <w:lang w:eastAsia="es-CR"/>
        </w:rPr>
        <w:t xml:space="preserve">Comparativa de moléculas biosintetizadas y genes medulares </w:t>
      </w:r>
      <w:r w:rsidR="00A5719A" w:rsidRPr="002B6E8A">
        <w:rPr>
          <w:rFonts w:eastAsia="Times New Roman" w:cs="Times New Roman"/>
          <w:color w:val="000000"/>
          <w:sz w:val="22"/>
          <w:szCs w:val="32"/>
          <w:lang w:eastAsia="es-CR"/>
        </w:rPr>
        <w:t>Penicillium sp.</w:t>
      </w:r>
      <w:r w:rsidR="00A5719A" w:rsidRPr="002B6E8A">
        <w:rPr>
          <w:rFonts w:eastAsia="Times New Roman" w:cs="Times New Roman"/>
          <w:i w:val="0"/>
          <w:iCs w:val="0"/>
          <w:color w:val="000000"/>
          <w:sz w:val="22"/>
          <w:szCs w:val="32"/>
          <w:lang w:eastAsia="es-CR"/>
        </w:rPr>
        <w:t xml:space="preserve"> y </w:t>
      </w:r>
      <w:r w:rsidR="00A5719A" w:rsidRPr="002B6E8A">
        <w:rPr>
          <w:rFonts w:eastAsia="Times New Roman" w:cs="Times New Roman"/>
          <w:color w:val="000000"/>
          <w:sz w:val="22"/>
          <w:szCs w:val="32"/>
          <w:lang w:eastAsia="es-CR"/>
        </w:rPr>
        <w:t>Paraconiothyrium sp.</w:t>
      </w:r>
      <w:bookmarkEnd w:id="123"/>
    </w:p>
    <w:p w14:paraId="7C75D596" w14:textId="5D086FB6" w:rsidR="00A5719A" w:rsidRPr="00A5719A" w:rsidRDefault="004A63E4" w:rsidP="003E0A80">
      <w:pPr>
        <w:spacing w:after="0" w:line="240" w:lineRule="auto"/>
        <w:ind w:hanging="284"/>
        <w:jc w:val="left"/>
        <w:rPr>
          <w:rFonts w:eastAsia="Times New Roman" w:cs="Times New Roman"/>
          <w:szCs w:val="24"/>
          <w:lang w:eastAsia="es-CR"/>
        </w:rPr>
      </w:pPr>
      <w:r>
        <w:rPr>
          <w:noProof/>
        </w:rPr>
        <w:drawing>
          <wp:inline distT="0" distB="0" distL="0" distR="0" wp14:anchorId="27B29294" wp14:editId="12FFC14A">
            <wp:extent cx="6199739" cy="2028825"/>
            <wp:effectExtent l="0" t="0" r="0" b="0"/>
            <wp:docPr id="501926604"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926604" name="Imagen 1" descr="Interfaz de usuario gráfica&#10;&#10;Descripción generada automáticamente con confianza media"/>
                    <pic:cNvPicPr/>
                  </pic:nvPicPr>
                  <pic:blipFill>
                    <a:blip r:embed="rId22"/>
                    <a:stretch>
                      <a:fillRect/>
                    </a:stretch>
                  </pic:blipFill>
                  <pic:spPr>
                    <a:xfrm>
                      <a:off x="0" y="0"/>
                      <a:ext cx="6212789" cy="2033096"/>
                    </a:xfrm>
                    <a:prstGeom prst="rect">
                      <a:avLst/>
                    </a:prstGeom>
                  </pic:spPr>
                </pic:pic>
              </a:graphicData>
            </a:graphic>
          </wp:inline>
        </w:drawing>
      </w:r>
    </w:p>
    <w:p w14:paraId="4F8FE150" w14:textId="4B6CBE45" w:rsidR="00A5719A" w:rsidRPr="006D469C" w:rsidRDefault="4447C96C" w:rsidP="4447C96C">
      <w:pPr>
        <w:spacing w:after="0" w:line="240" w:lineRule="auto"/>
        <w:jc w:val="left"/>
        <w:rPr>
          <w:rFonts w:eastAsia="Times New Roman" w:cs="Times New Roman"/>
          <w:sz w:val="22"/>
          <w:szCs w:val="20"/>
          <w:lang w:eastAsia="es-CR"/>
        </w:rPr>
      </w:pPr>
      <w:r w:rsidRPr="006D469C">
        <w:rPr>
          <w:rFonts w:eastAsia="Times New Roman" w:cs="Times New Roman"/>
          <w:sz w:val="20"/>
          <w:szCs w:val="20"/>
          <w:lang w:eastAsia="es-CR"/>
        </w:rPr>
        <w:t>*: Valor umbral donde no se encontró correspondencia entre la molécula sintetizada ni pertenencia al mismo tipo de clúster.</w:t>
      </w:r>
    </w:p>
    <w:p w14:paraId="6D28F0DE" w14:textId="2C9CABE5" w:rsidR="00922D49" w:rsidRDefault="00922D49" w:rsidP="00F55BA5">
      <w:pPr>
        <w:rPr>
          <w:szCs w:val="24"/>
          <w:lang w:eastAsia="es-CR"/>
        </w:rPr>
      </w:pPr>
    </w:p>
    <w:p w14:paraId="1DDD0331" w14:textId="04E9F7F5" w:rsidR="00A5719A" w:rsidRDefault="00622E6E" w:rsidP="00A5719A">
      <w:pPr>
        <w:ind w:firstLine="360"/>
        <w:rPr>
          <w:szCs w:val="24"/>
          <w:lang w:eastAsia="es-CR"/>
        </w:rPr>
      </w:pPr>
      <w:r>
        <w:rPr>
          <w:szCs w:val="24"/>
          <w:lang w:eastAsia="es-CR"/>
        </w:rPr>
        <w:t>Para e</w:t>
      </w:r>
      <w:r w:rsidR="00A5719A" w:rsidRPr="00A5719A">
        <w:rPr>
          <w:szCs w:val="24"/>
          <w:lang w:eastAsia="es-CR"/>
        </w:rPr>
        <w:t xml:space="preserve">l género </w:t>
      </w:r>
      <w:r w:rsidR="00A5719A" w:rsidRPr="00A5719A">
        <w:rPr>
          <w:i/>
          <w:iCs/>
          <w:szCs w:val="24"/>
          <w:lang w:eastAsia="es-CR"/>
        </w:rPr>
        <w:t>Paraconiothyrium sp.</w:t>
      </w:r>
      <w:r w:rsidR="00A5719A" w:rsidRPr="00A5719A">
        <w:rPr>
          <w:szCs w:val="24"/>
          <w:lang w:eastAsia="es-CR"/>
        </w:rPr>
        <w:t xml:space="preserve"> </w:t>
      </w:r>
      <w:r w:rsidR="00311A9B">
        <w:rPr>
          <w:szCs w:val="24"/>
          <w:lang w:eastAsia="es-CR"/>
        </w:rPr>
        <w:t xml:space="preserve">(cepa A 4.1) </w:t>
      </w:r>
      <w:r w:rsidR="00A5719A" w:rsidRPr="00A5719A">
        <w:rPr>
          <w:szCs w:val="24"/>
          <w:lang w:eastAsia="es-CR"/>
        </w:rPr>
        <w:t xml:space="preserve">se lograron identificar un total de 7 CGB, codificantes mayoritariamente para policétidos (T1PKS) con un 57% (4 CBG) y solamente un </w:t>
      </w:r>
      <w:r w:rsidR="00116BBE">
        <w:rPr>
          <w:szCs w:val="24"/>
          <w:lang w:eastAsia="es-CR"/>
        </w:rPr>
        <w:t>clúster</w:t>
      </w:r>
      <w:r w:rsidR="00A5719A" w:rsidRPr="00A5719A">
        <w:rPr>
          <w:szCs w:val="24"/>
          <w:lang w:eastAsia="es-CR"/>
        </w:rPr>
        <w:t xml:space="preserve"> (14.3%) para: moléculas del tipo RiPP fúngico, terpenos y sintetasas de péptidos no ribosomales (NRPS) (Figura </w:t>
      </w:r>
      <w:r w:rsidR="008427A8">
        <w:rPr>
          <w:szCs w:val="24"/>
          <w:lang w:eastAsia="es-CR"/>
        </w:rPr>
        <w:t>11.B</w:t>
      </w:r>
      <w:r w:rsidR="00A5719A" w:rsidRPr="00A5719A">
        <w:rPr>
          <w:szCs w:val="24"/>
          <w:lang w:eastAsia="es-CR"/>
        </w:rPr>
        <w:t xml:space="preserve">). Cada uno de los </w:t>
      </w:r>
      <w:r w:rsidR="00116BBE">
        <w:rPr>
          <w:szCs w:val="24"/>
          <w:lang w:eastAsia="es-CR"/>
        </w:rPr>
        <w:t>clúster</w:t>
      </w:r>
      <w:r w:rsidR="000F7EE5">
        <w:rPr>
          <w:szCs w:val="24"/>
          <w:lang w:eastAsia="es-CR"/>
        </w:rPr>
        <w:t>s</w:t>
      </w:r>
      <w:r w:rsidR="00A5719A" w:rsidRPr="00A5719A">
        <w:rPr>
          <w:szCs w:val="24"/>
          <w:lang w:eastAsia="es-CR"/>
        </w:rPr>
        <w:t xml:space="preserve"> biosintético</w:t>
      </w:r>
      <w:r w:rsidR="000F7EE5">
        <w:rPr>
          <w:szCs w:val="24"/>
          <w:lang w:eastAsia="es-CR"/>
        </w:rPr>
        <w:t>s</w:t>
      </w:r>
      <w:r w:rsidR="00A5719A" w:rsidRPr="00A5719A">
        <w:rPr>
          <w:szCs w:val="24"/>
          <w:lang w:eastAsia="es-CR"/>
        </w:rPr>
        <w:t xml:space="preserve"> mencionados anteriormente contaban únicamente con la presencia de un gen medular dentro de su estructura.</w:t>
      </w:r>
    </w:p>
    <w:p w14:paraId="69404615" w14:textId="77777777" w:rsidR="00C621EC" w:rsidRDefault="00C621EC" w:rsidP="00A5719A">
      <w:pPr>
        <w:ind w:firstLine="360"/>
        <w:rPr>
          <w:szCs w:val="24"/>
          <w:lang w:eastAsia="es-CR"/>
        </w:rPr>
      </w:pPr>
    </w:p>
    <w:p w14:paraId="26F220F3" w14:textId="77777777" w:rsidR="00C621EC" w:rsidRDefault="00C621EC" w:rsidP="00A5719A">
      <w:pPr>
        <w:ind w:firstLine="360"/>
        <w:rPr>
          <w:szCs w:val="24"/>
          <w:lang w:eastAsia="es-CR"/>
        </w:rPr>
      </w:pPr>
    </w:p>
    <w:p w14:paraId="2150B3DF" w14:textId="44D8D076" w:rsidR="00D54535" w:rsidRPr="00A5719A" w:rsidRDefault="00D54535" w:rsidP="00D54535">
      <w:pPr>
        <w:ind w:firstLine="720"/>
        <w:rPr>
          <w:rFonts w:eastAsia="Times New Roman" w:cs="Times New Roman"/>
          <w:szCs w:val="24"/>
          <w:lang w:eastAsia="es-CR"/>
        </w:rPr>
      </w:pPr>
      <w:r w:rsidRPr="00A5719A">
        <w:rPr>
          <w:rFonts w:eastAsia="Times New Roman" w:cs="Times New Roman"/>
          <w:color w:val="000000"/>
          <w:szCs w:val="24"/>
          <w:lang w:eastAsia="es-CR"/>
        </w:rPr>
        <w:lastRenderedPageBreak/>
        <w:t xml:space="preserve">Los análisis de genética comparativa de los genes medulares de cada uno de estos </w:t>
      </w:r>
      <w:r w:rsidR="00116BBE">
        <w:rPr>
          <w:rFonts w:eastAsia="Times New Roman" w:cs="Times New Roman"/>
          <w:color w:val="000000"/>
          <w:szCs w:val="24"/>
          <w:lang w:eastAsia="es-CR"/>
        </w:rPr>
        <w:t>clúster</w:t>
      </w:r>
      <w:r w:rsidRPr="00A5719A">
        <w:rPr>
          <w:rFonts w:eastAsia="Times New Roman" w:cs="Times New Roman"/>
          <w:color w:val="000000"/>
          <w:szCs w:val="24"/>
          <w:lang w:eastAsia="es-CR"/>
        </w:rPr>
        <w:t>s no mostraron una evidente diversidad génica, pues su variación oscil</w:t>
      </w:r>
      <w:r>
        <w:rPr>
          <w:rFonts w:eastAsia="Times New Roman" w:cs="Times New Roman"/>
          <w:color w:val="000000"/>
          <w:szCs w:val="24"/>
          <w:lang w:eastAsia="es-CR"/>
        </w:rPr>
        <w:t>ó</w:t>
      </w:r>
      <w:r w:rsidRPr="00A5719A">
        <w:rPr>
          <w:rFonts w:eastAsia="Times New Roman" w:cs="Times New Roman"/>
          <w:color w:val="000000"/>
          <w:szCs w:val="24"/>
          <w:lang w:eastAsia="es-CR"/>
        </w:rPr>
        <w:t xml:space="preserve"> entre los valores de 0.468 y 0.58. El primer valor registrado para los genes 365, 565 y 1342, ambos pertenecientes al </w:t>
      </w:r>
      <w:r w:rsidR="00D45549" w:rsidRPr="00A5719A">
        <w:rPr>
          <w:rFonts w:eastAsia="Times New Roman" w:cs="Times New Roman"/>
          <w:color w:val="000000"/>
          <w:szCs w:val="24"/>
          <w:lang w:eastAsia="es-CR"/>
        </w:rPr>
        <w:t>clúster</w:t>
      </w:r>
      <w:r w:rsidRPr="00A5719A">
        <w:rPr>
          <w:rFonts w:eastAsia="Times New Roman" w:cs="Times New Roman"/>
          <w:color w:val="000000"/>
          <w:szCs w:val="24"/>
          <w:lang w:eastAsia="es-CR"/>
        </w:rPr>
        <w:t xml:space="preserve"> de tipo T1PKS. El segundo valor lo registraron los genes 1341 y 1275. La variabilidad genética empieza a ser más evidente a partir de una distancia de 0.58 (con los genes 1341 y 1275) ya que no mostraron ninguna similitud</w:t>
      </w:r>
      <w:r>
        <w:rPr>
          <w:rFonts w:eastAsia="Times New Roman" w:cs="Times New Roman"/>
          <w:color w:val="000000"/>
          <w:szCs w:val="24"/>
          <w:lang w:eastAsia="es-CR"/>
        </w:rPr>
        <w:t xml:space="preserve"> génica</w:t>
      </w:r>
      <w:r w:rsidRPr="00A5719A">
        <w:rPr>
          <w:rFonts w:eastAsia="Times New Roman" w:cs="Times New Roman"/>
          <w:color w:val="000000"/>
          <w:szCs w:val="24"/>
          <w:lang w:eastAsia="es-CR"/>
        </w:rPr>
        <w:t>. </w:t>
      </w:r>
    </w:p>
    <w:p w14:paraId="45EF4A25" w14:textId="77777777" w:rsidR="00A5719A" w:rsidRDefault="00A5719A" w:rsidP="00A5719A">
      <w:pPr>
        <w:keepNext/>
        <w:spacing w:after="0" w:line="240" w:lineRule="auto"/>
        <w:jc w:val="center"/>
      </w:pPr>
      <w:r w:rsidRPr="00A5719A">
        <w:rPr>
          <w:noProof/>
          <w:szCs w:val="24"/>
          <w:lang w:eastAsia="es-CR"/>
        </w:rPr>
        <w:drawing>
          <wp:inline distT="0" distB="0" distL="0" distR="0" wp14:anchorId="2B94FB00" wp14:editId="1B1E7089">
            <wp:extent cx="5724463" cy="3950246"/>
            <wp:effectExtent l="0" t="0" r="0" b="0"/>
            <wp:docPr id="1945853309" name="Imagen 2" descr="Gráfico,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853309" name="Imagen 2" descr="Gráfico, Diagrama&#10;&#10;Descripción generada automá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4891" cy="4019548"/>
                    </a:xfrm>
                    <a:prstGeom prst="rect">
                      <a:avLst/>
                    </a:prstGeom>
                    <a:noFill/>
                    <a:ln>
                      <a:noFill/>
                    </a:ln>
                  </pic:spPr>
                </pic:pic>
              </a:graphicData>
            </a:graphic>
          </wp:inline>
        </w:drawing>
      </w:r>
    </w:p>
    <w:p w14:paraId="0D6DF5D0" w14:textId="08A4CADD" w:rsidR="00A5719A" w:rsidRPr="00A5719A" w:rsidRDefault="00A5719A" w:rsidP="00157273">
      <w:pPr>
        <w:pStyle w:val="Descripcin"/>
        <w:ind w:left="142" w:right="288"/>
        <w:rPr>
          <w:rFonts w:eastAsia="Times New Roman" w:cs="Times New Roman"/>
          <w:szCs w:val="24"/>
          <w:lang w:eastAsia="es-CR"/>
        </w:rPr>
      </w:pPr>
      <w:bookmarkStart w:id="124" w:name="_Toc138131531"/>
      <w:bookmarkStart w:id="125" w:name="_Toc138574973"/>
      <w:bookmarkStart w:id="126" w:name="_Toc142272980"/>
      <w:r w:rsidRPr="00A5719A">
        <w:rPr>
          <w:b/>
          <w:bCs/>
          <w:i w:val="0"/>
          <w:iCs w:val="0"/>
          <w:color w:val="auto"/>
          <w:sz w:val="20"/>
          <w:szCs w:val="20"/>
        </w:rPr>
        <w:t xml:space="preserve">Figura  </w:t>
      </w:r>
      <w:r w:rsidRPr="00A5719A">
        <w:rPr>
          <w:b/>
          <w:bCs/>
          <w:i w:val="0"/>
          <w:iCs w:val="0"/>
          <w:color w:val="auto"/>
          <w:sz w:val="20"/>
          <w:szCs w:val="20"/>
        </w:rPr>
        <w:fldChar w:fldCharType="begin"/>
      </w:r>
      <w:r w:rsidRPr="00A5719A">
        <w:rPr>
          <w:b/>
          <w:bCs/>
          <w:i w:val="0"/>
          <w:iCs w:val="0"/>
          <w:color w:val="auto"/>
          <w:sz w:val="20"/>
          <w:szCs w:val="20"/>
        </w:rPr>
        <w:instrText xml:space="preserve"> SEQ Figura_ \* ARABIC </w:instrText>
      </w:r>
      <w:r w:rsidRPr="00A5719A">
        <w:rPr>
          <w:b/>
          <w:bCs/>
          <w:i w:val="0"/>
          <w:iCs w:val="0"/>
          <w:color w:val="auto"/>
          <w:sz w:val="20"/>
          <w:szCs w:val="20"/>
        </w:rPr>
        <w:fldChar w:fldCharType="separate"/>
      </w:r>
      <w:r w:rsidR="00915F20">
        <w:rPr>
          <w:b/>
          <w:bCs/>
          <w:i w:val="0"/>
          <w:iCs w:val="0"/>
          <w:noProof/>
          <w:color w:val="auto"/>
          <w:sz w:val="20"/>
          <w:szCs w:val="20"/>
        </w:rPr>
        <w:t>11</w:t>
      </w:r>
      <w:r w:rsidRPr="00A5719A">
        <w:rPr>
          <w:b/>
          <w:bCs/>
          <w:i w:val="0"/>
          <w:iCs w:val="0"/>
          <w:color w:val="auto"/>
          <w:sz w:val="20"/>
          <w:szCs w:val="20"/>
        </w:rPr>
        <w:fldChar w:fldCharType="end"/>
      </w:r>
      <w:r w:rsidRPr="00A5719A">
        <w:rPr>
          <w:b/>
          <w:bCs/>
          <w:i w:val="0"/>
          <w:iCs w:val="0"/>
          <w:color w:val="auto"/>
          <w:sz w:val="20"/>
          <w:szCs w:val="20"/>
        </w:rPr>
        <w:t>.</w:t>
      </w:r>
      <w:r w:rsidRPr="00A5719A">
        <w:rPr>
          <w:color w:val="auto"/>
          <w:sz w:val="20"/>
          <w:szCs w:val="20"/>
        </w:rPr>
        <w:t xml:space="preserve"> </w:t>
      </w:r>
      <w:r w:rsidR="003F387D" w:rsidRPr="003F387D">
        <w:rPr>
          <w:i w:val="0"/>
          <w:iCs w:val="0"/>
          <w:color w:val="auto"/>
          <w:sz w:val="20"/>
          <w:szCs w:val="20"/>
        </w:rPr>
        <w:t xml:space="preserve">Tipos de </w:t>
      </w:r>
      <w:r w:rsidR="00D45549" w:rsidRPr="003F387D">
        <w:rPr>
          <w:i w:val="0"/>
          <w:iCs w:val="0"/>
          <w:color w:val="auto"/>
          <w:sz w:val="20"/>
          <w:szCs w:val="20"/>
        </w:rPr>
        <w:t>clústers</w:t>
      </w:r>
      <w:r w:rsidR="003F387D" w:rsidRPr="003F387D">
        <w:rPr>
          <w:i w:val="0"/>
          <w:iCs w:val="0"/>
          <w:color w:val="auto"/>
          <w:sz w:val="20"/>
          <w:szCs w:val="20"/>
        </w:rPr>
        <w:t xml:space="preserve"> de genes biosintéticos (CGB) con actividad antimicrobiana reportada obtenidos desde ANTISMASH 6.0 para las especies de hongos fermentados en esta investigación. (A) Total de </w:t>
      </w:r>
      <w:r w:rsidR="00D45549" w:rsidRPr="003F387D">
        <w:rPr>
          <w:i w:val="0"/>
          <w:iCs w:val="0"/>
          <w:color w:val="auto"/>
          <w:sz w:val="20"/>
          <w:szCs w:val="20"/>
        </w:rPr>
        <w:t>clústers</w:t>
      </w:r>
      <w:r w:rsidR="003F387D" w:rsidRPr="003F387D">
        <w:rPr>
          <w:i w:val="0"/>
          <w:iCs w:val="0"/>
          <w:color w:val="auto"/>
          <w:sz w:val="20"/>
          <w:szCs w:val="20"/>
        </w:rPr>
        <w:t xml:space="preserve"> obtenidos para la especie </w:t>
      </w:r>
      <w:r w:rsidR="003F387D" w:rsidRPr="003F387D">
        <w:rPr>
          <w:color w:val="auto"/>
          <w:sz w:val="20"/>
          <w:szCs w:val="20"/>
        </w:rPr>
        <w:t>Penicillium sp.</w:t>
      </w:r>
      <w:r w:rsidR="003F387D" w:rsidRPr="003F387D">
        <w:rPr>
          <w:i w:val="0"/>
          <w:iCs w:val="0"/>
          <w:color w:val="auto"/>
          <w:sz w:val="20"/>
          <w:szCs w:val="20"/>
        </w:rPr>
        <w:t xml:space="preserve"> (B) Total de </w:t>
      </w:r>
      <w:r w:rsidR="00116BBE">
        <w:rPr>
          <w:i w:val="0"/>
          <w:iCs w:val="0"/>
          <w:color w:val="auto"/>
          <w:sz w:val="20"/>
          <w:szCs w:val="20"/>
        </w:rPr>
        <w:t>clúster</w:t>
      </w:r>
      <w:r w:rsidR="003F387D" w:rsidRPr="003F387D">
        <w:rPr>
          <w:i w:val="0"/>
          <w:iCs w:val="0"/>
          <w:color w:val="auto"/>
          <w:sz w:val="20"/>
          <w:szCs w:val="20"/>
        </w:rPr>
        <w:t xml:space="preserve">s obtenidos para la especie </w:t>
      </w:r>
      <w:r w:rsidR="003F387D" w:rsidRPr="003F387D">
        <w:rPr>
          <w:color w:val="auto"/>
          <w:sz w:val="20"/>
          <w:szCs w:val="20"/>
        </w:rPr>
        <w:t>Paraconiothyrium sp</w:t>
      </w:r>
      <w:r w:rsidR="003F387D" w:rsidRPr="003F387D">
        <w:rPr>
          <w:i w:val="0"/>
          <w:iCs w:val="0"/>
          <w:color w:val="auto"/>
          <w:sz w:val="20"/>
          <w:szCs w:val="20"/>
        </w:rPr>
        <w:t xml:space="preserve">. (C) Total de </w:t>
      </w:r>
      <w:r w:rsidR="00116BBE">
        <w:rPr>
          <w:i w:val="0"/>
          <w:iCs w:val="0"/>
          <w:color w:val="auto"/>
          <w:sz w:val="20"/>
          <w:szCs w:val="20"/>
        </w:rPr>
        <w:t>clúster</w:t>
      </w:r>
      <w:r w:rsidR="003F387D" w:rsidRPr="003F387D">
        <w:rPr>
          <w:i w:val="0"/>
          <w:iCs w:val="0"/>
          <w:color w:val="auto"/>
          <w:sz w:val="20"/>
          <w:szCs w:val="20"/>
        </w:rPr>
        <w:t xml:space="preserve">s obtenidos para las especies: </w:t>
      </w:r>
      <w:r w:rsidR="003F387D" w:rsidRPr="003F387D">
        <w:rPr>
          <w:color w:val="auto"/>
          <w:sz w:val="20"/>
          <w:szCs w:val="20"/>
        </w:rPr>
        <w:t>Aspergillus tamarii, Aspergillus pseudotamarii</w:t>
      </w:r>
      <w:r w:rsidR="003F387D" w:rsidRPr="003F387D">
        <w:rPr>
          <w:i w:val="0"/>
          <w:iCs w:val="0"/>
          <w:color w:val="auto"/>
          <w:sz w:val="20"/>
          <w:szCs w:val="20"/>
        </w:rPr>
        <w:t xml:space="preserve"> y </w:t>
      </w:r>
      <w:r w:rsidR="003F387D" w:rsidRPr="003F387D">
        <w:rPr>
          <w:color w:val="auto"/>
          <w:sz w:val="20"/>
          <w:szCs w:val="20"/>
        </w:rPr>
        <w:t>Aspergillus caelatus.</w:t>
      </w:r>
      <w:r w:rsidR="003F387D" w:rsidRPr="003F387D">
        <w:rPr>
          <w:i w:val="0"/>
          <w:iCs w:val="0"/>
          <w:color w:val="auto"/>
          <w:sz w:val="20"/>
          <w:szCs w:val="20"/>
        </w:rPr>
        <w:t xml:space="preserve"> Entre paréntesis se muestra el porcentaje correspondiente a la cantidad de </w:t>
      </w:r>
      <w:r w:rsidR="00D45549" w:rsidRPr="003F387D">
        <w:rPr>
          <w:i w:val="0"/>
          <w:iCs w:val="0"/>
          <w:color w:val="auto"/>
          <w:sz w:val="20"/>
          <w:szCs w:val="20"/>
        </w:rPr>
        <w:t>clústers</w:t>
      </w:r>
      <w:r w:rsidR="003F387D" w:rsidRPr="003F387D">
        <w:rPr>
          <w:i w:val="0"/>
          <w:iCs w:val="0"/>
          <w:color w:val="auto"/>
          <w:sz w:val="20"/>
          <w:szCs w:val="20"/>
        </w:rPr>
        <w:t xml:space="preserve"> por especie.</w:t>
      </w:r>
      <w:bookmarkEnd w:id="124"/>
      <w:bookmarkEnd w:id="125"/>
      <w:bookmarkEnd w:id="126"/>
    </w:p>
    <w:p w14:paraId="284457B1" w14:textId="7816BF2E" w:rsidR="004E6059" w:rsidRDefault="00855891" w:rsidP="004E6059">
      <w:pPr>
        <w:keepNext/>
        <w:spacing w:after="0"/>
        <w:ind w:firstLine="142"/>
      </w:pPr>
      <w:r>
        <w:rPr>
          <w:noProof/>
        </w:rPr>
        <w:lastRenderedPageBreak/>
        <w:drawing>
          <wp:inline distT="0" distB="0" distL="0" distR="0" wp14:anchorId="1BB14179" wp14:editId="337246F3">
            <wp:extent cx="5942948" cy="3462655"/>
            <wp:effectExtent l="0" t="0" r="1270" b="4445"/>
            <wp:docPr id="530583298" name="Imagen 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583298" name="Imagen 4" descr="Interfaz de usuario gráfica, Aplicación&#10;&#10;Descripción generada automáticamente"/>
                    <pic:cNvPicPr/>
                  </pic:nvPicPr>
                  <pic:blipFill rotWithShape="1">
                    <a:blip r:embed="rId24" cstate="print">
                      <a:extLst>
                        <a:ext uri="{28A0092B-C50C-407E-A947-70E740481C1C}">
                          <a14:useLocalDpi xmlns:a14="http://schemas.microsoft.com/office/drawing/2010/main" val="0"/>
                        </a:ext>
                      </a:extLst>
                    </a:blip>
                    <a:srcRect t="3900" b="18974"/>
                    <a:stretch/>
                  </pic:blipFill>
                  <pic:spPr bwMode="auto">
                    <a:xfrm>
                      <a:off x="0" y="0"/>
                      <a:ext cx="5954298" cy="3469268"/>
                    </a:xfrm>
                    <a:prstGeom prst="rect">
                      <a:avLst/>
                    </a:prstGeom>
                    <a:ln>
                      <a:noFill/>
                    </a:ln>
                    <a:extLst>
                      <a:ext uri="{53640926-AAD7-44D8-BBD7-CCE9431645EC}">
                        <a14:shadowObscured xmlns:a14="http://schemas.microsoft.com/office/drawing/2010/main"/>
                      </a:ext>
                    </a:extLst>
                  </pic:spPr>
                </pic:pic>
              </a:graphicData>
            </a:graphic>
          </wp:inline>
        </w:drawing>
      </w:r>
    </w:p>
    <w:p w14:paraId="4A04BBCA" w14:textId="36858AA5" w:rsidR="00A5719A" w:rsidRDefault="004E6059" w:rsidP="004E6059">
      <w:pPr>
        <w:pStyle w:val="Descripcin"/>
      </w:pPr>
      <w:bookmarkStart w:id="127" w:name="_Toc138574974"/>
      <w:bookmarkStart w:id="128" w:name="_Toc142272981"/>
      <w:r w:rsidRPr="004E6059">
        <w:rPr>
          <w:b/>
          <w:bCs/>
          <w:i w:val="0"/>
          <w:iCs w:val="0"/>
          <w:color w:val="auto"/>
          <w:sz w:val="20"/>
          <w:szCs w:val="20"/>
        </w:rPr>
        <w:t xml:space="preserve">Figura  </w:t>
      </w:r>
      <w:r w:rsidRPr="004E6059">
        <w:rPr>
          <w:b/>
          <w:bCs/>
          <w:i w:val="0"/>
          <w:iCs w:val="0"/>
          <w:color w:val="auto"/>
          <w:sz w:val="20"/>
          <w:szCs w:val="20"/>
        </w:rPr>
        <w:fldChar w:fldCharType="begin"/>
      </w:r>
      <w:r w:rsidRPr="004E6059">
        <w:rPr>
          <w:b/>
          <w:bCs/>
          <w:i w:val="0"/>
          <w:iCs w:val="0"/>
          <w:color w:val="auto"/>
          <w:sz w:val="20"/>
          <w:szCs w:val="20"/>
        </w:rPr>
        <w:instrText xml:space="preserve"> SEQ Figura_ \* ARABIC </w:instrText>
      </w:r>
      <w:r w:rsidRPr="004E6059">
        <w:rPr>
          <w:b/>
          <w:bCs/>
          <w:i w:val="0"/>
          <w:iCs w:val="0"/>
          <w:color w:val="auto"/>
          <w:sz w:val="20"/>
          <w:szCs w:val="20"/>
        </w:rPr>
        <w:fldChar w:fldCharType="separate"/>
      </w:r>
      <w:r w:rsidR="00915F20">
        <w:rPr>
          <w:b/>
          <w:bCs/>
          <w:i w:val="0"/>
          <w:iCs w:val="0"/>
          <w:noProof/>
          <w:color w:val="auto"/>
          <w:sz w:val="20"/>
          <w:szCs w:val="20"/>
        </w:rPr>
        <w:t>12</w:t>
      </w:r>
      <w:r w:rsidRPr="004E6059">
        <w:rPr>
          <w:b/>
          <w:bCs/>
          <w:i w:val="0"/>
          <w:iCs w:val="0"/>
          <w:color w:val="auto"/>
          <w:sz w:val="20"/>
          <w:szCs w:val="20"/>
        </w:rPr>
        <w:fldChar w:fldCharType="end"/>
      </w:r>
      <w:r w:rsidRPr="004E6059">
        <w:rPr>
          <w:b/>
          <w:bCs/>
          <w:i w:val="0"/>
          <w:iCs w:val="0"/>
          <w:color w:val="auto"/>
          <w:sz w:val="20"/>
          <w:szCs w:val="20"/>
        </w:rPr>
        <w:t>.</w:t>
      </w:r>
      <w:r w:rsidRPr="004E6059">
        <w:rPr>
          <w:color w:val="auto"/>
          <w:sz w:val="20"/>
          <w:szCs w:val="20"/>
        </w:rPr>
        <w:t xml:space="preserve"> </w:t>
      </w:r>
      <w:r w:rsidRPr="00A5719A">
        <w:rPr>
          <w:i w:val="0"/>
          <w:iCs w:val="0"/>
          <w:color w:val="000000"/>
          <w:sz w:val="20"/>
          <w:szCs w:val="20"/>
        </w:rPr>
        <w:t xml:space="preserve">Mapa de calor de distancias genéticas entre los genes medulares de los </w:t>
      </w:r>
      <w:r w:rsidR="00D45549" w:rsidRPr="00A5719A">
        <w:rPr>
          <w:i w:val="0"/>
          <w:iCs w:val="0"/>
          <w:color w:val="000000"/>
          <w:sz w:val="20"/>
          <w:szCs w:val="20"/>
        </w:rPr>
        <w:t>clústers</w:t>
      </w:r>
      <w:r w:rsidRPr="00A5719A">
        <w:rPr>
          <w:i w:val="0"/>
          <w:iCs w:val="0"/>
          <w:color w:val="000000"/>
          <w:sz w:val="20"/>
          <w:szCs w:val="20"/>
        </w:rPr>
        <w:t xml:space="preserve"> de genes biosintéticos (CGB) de actividad antimicrobiana con similitud mayor o igual al 50% a base de datos de ANTISMASH 6.0 para las especies de hongos fermentados en esta investigación. (A) Mapa de calor para </w:t>
      </w:r>
      <w:r w:rsidRPr="00A026BE">
        <w:rPr>
          <w:color w:val="000000"/>
          <w:sz w:val="20"/>
          <w:szCs w:val="20"/>
        </w:rPr>
        <w:t xml:space="preserve">Penicillium </w:t>
      </w:r>
      <w:r w:rsidR="00A026BE" w:rsidRPr="00A026BE">
        <w:rPr>
          <w:color w:val="000000"/>
          <w:sz w:val="20"/>
          <w:szCs w:val="20"/>
        </w:rPr>
        <w:t>sp</w:t>
      </w:r>
      <w:r w:rsidRPr="00A026BE">
        <w:rPr>
          <w:color w:val="000000"/>
          <w:sz w:val="20"/>
          <w:szCs w:val="20"/>
        </w:rPr>
        <w:t>.</w:t>
      </w:r>
      <w:r w:rsidRPr="00A5719A">
        <w:rPr>
          <w:i w:val="0"/>
          <w:iCs w:val="0"/>
          <w:color w:val="000000"/>
          <w:sz w:val="20"/>
          <w:szCs w:val="20"/>
        </w:rPr>
        <w:t xml:space="preserve"> (B) Mapa de calor para </w:t>
      </w:r>
      <w:r w:rsidRPr="00A5719A">
        <w:rPr>
          <w:color w:val="000000"/>
          <w:sz w:val="20"/>
          <w:szCs w:val="20"/>
        </w:rPr>
        <w:t>Paraconiothyrium spp</w:t>
      </w:r>
      <w:bookmarkEnd w:id="127"/>
      <w:bookmarkEnd w:id="128"/>
    </w:p>
    <w:p w14:paraId="3E6C59C0" w14:textId="77777777" w:rsidR="00A5719A" w:rsidRDefault="00A5719A" w:rsidP="00A5719A">
      <w:pPr>
        <w:spacing w:after="0" w:line="240" w:lineRule="auto"/>
        <w:ind w:firstLine="360"/>
        <w:rPr>
          <w:b/>
          <w:bCs/>
          <w:color w:val="000000"/>
          <w:sz w:val="20"/>
          <w:szCs w:val="20"/>
        </w:rPr>
      </w:pPr>
    </w:p>
    <w:p w14:paraId="2B934C9A" w14:textId="5283E3BB" w:rsidR="00A5719A" w:rsidRPr="00A5719A" w:rsidRDefault="00A5719A" w:rsidP="00874997">
      <w:pPr>
        <w:ind w:firstLine="708"/>
        <w:rPr>
          <w:rFonts w:eastAsia="Times New Roman" w:cs="Times New Roman"/>
          <w:szCs w:val="24"/>
          <w:lang w:eastAsia="es-CR"/>
        </w:rPr>
      </w:pPr>
      <w:r w:rsidRPr="00A5719A">
        <w:rPr>
          <w:rFonts w:eastAsia="Times New Roman" w:cs="Times New Roman"/>
          <w:color w:val="000000"/>
          <w:szCs w:val="24"/>
          <w:lang w:eastAsia="es-CR"/>
        </w:rPr>
        <w:t xml:space="preserve">Se anotaron un total de 44 CGB mediante ANTISMASH para la cepa B 3.2, codificantes a moléculas con actividad antimicrobiana para las tres especies de </w:t>
      </w:r>
      <w:r w:rsidRPr="00A5719A">
        <w:rPr>
          <w:rFonts w:eastAsia="Times New Roman" w:cs="Times New Roman"/>
          <w:i/>
          <w:iCs/>
          <w:color w:val="000000"/>
          <w:szCs w:val="24"/>
          <w:lang w:eastAsia="es-CR"/>
        </w:rPr>
        <w:t>Aspergillus sp.</w:t>
      </w:r>
      <w:r w:rsidRPr="00A5719A">
        <w:rPr>
          <w:rFonts w:eastAsia="Times New Roman" w:cs="Times New Roman"/>
          <w:color w:val="000000"/>
          <w:szCs w:val="24"/>
          <w:lang w:eastAsia="es-CR"/>
        </w:rPr>
        <w:t xml:space="preserve"> En su mayoría los </w:t>
      </w:r>
      <w:r w:rsidR="00D45549" w:rsidRPr="00A5719A">
        <w:rPr>
          <w:rFonts w:eastAsia="Times New Roman" w:cs="Times New Roman"/>
          <w:color w:val="000000"/>
          <w:szCs w:val="24"/>
          <w:lang w:eastAsia="es-CR"/>
        </w:rPr>
        <w:t>clústers</w:t>
      </w:r>
      <w:r w:rsidRPr="00A5719A">
        <w:rPr>
          <w:rFonts w:eastAsia="Times New Roman" w:cs="Times New Roman"/>
          <w:color w:val="000000"/>
          <w:szCs w:val="24"/>
          <w:lang w:eastAsia="es-CR"/>
        </w:rPr>
        <w:t xml:space="preserve"> pertenecen al grupo de T1PKS (13 </w:t>
      </w:r>
      <w:r w:rsidR="00116BBE">
        <w:rPr>
          <w:rFonts w:eastAsia="Times New Roman" w:cs="Times New Roman"/>
          <w:color w:val="000000"/>
          <w:szCs w:val="24"/>
          <w:lang w:eastAsia="es-CR"/>
        </w:rPr>
        <w:t>clúster</w:t>
      </w:r>
      <w:r w:rsidRPr="00A5719A">
        <w:rPr>
          <w:rFonts w:eastAsia="Times New Roman" w:cs="Times New Roman"/>
          <w:color w:val="000000"/>
          <w:szCs w:val="24"/>
          <w:lang w:eastAsia="es-CR"/>
        </w:rPr>
        <w:t xml:space="preserve">s lo que representa un 30%), NRPS (27% con 12 CGB) y del tipo NRPS (27% con 12 CGB) (Figura </w:t>
      </w:r>
      <w:r w:rsidR="00CF7B43">
        <w:rPr>
          <w:rFonts w:eastAsia="Times New Roman" w:cs="Times New Roman"/>
          <w:color w:val="000000"/>
          <w:szCs w:val="24"/>
          <w:lang w:eastAsia="es-CR"/>
        </w:rPr>
        <w:t>11.C</w:t>
      </w:r>
      <w:r w:rsidRPr="00A5719A">
        <w:rPr>
          <w:rFonts w:eastAsia="Times New Roman" w:cs="Times New Roman"/>
          <w:color w:val="000000"/>
          <w:szCs w:val="24"/>
          <w:lang w:eastAsia="es-CR"/>
        </w:rPr>
        <w:t xml:space="preserve">). Individualmente, la cepa </w:t>
      </w:r>
      <w:r w:rsidRPr="00A5719A">
        <w:rPr>
          <w:rFonts w:eastAsia="Times New Roman" w:cs="Times New Roman"/>
          <w:i/>
          <w:iCs/>
          <w:color w:val="000000"/>
          <w:szCs w:val="24"/>
          <w:lang w:eastAsia="es-CR"/>
        </w:rPr>
        <w:t xml:space="preserve">A. pseudotamarii </w:t>
      </w:r>
      <w:r w:rsidRPr="00A5719A">
        <w:rPr>
          <w:rFonts w:eastAsia="Times New Roman" w:cs="Times New Roman"/>
          <w:color w:val="000000"/>
          <w:szCs w:val="24"/>
          <w:lang w:eastAsia="es-CR"/>
        </w:rPr>
        <w:t>es</w:t>
      </w:r>
      <w:r w:rsidRPr="00A5719A">
        <w:rPr>
          <w:rFonts w:eastAsia="Times New Roman" w:cs="Times New Roman"/>
          <w:i/>
          <w:iCs/>
          <w:color w:val="000000"/>
          <w:szCs w:val="24"/>
          <w:lang w:eastAsia="es-CR"/>
        </w:rPr>
        <w:t xml:space="preserve"> </w:t>
      </w:r>
      <w:r w:rsidRPr="00A5719A">
        <w:rPr>
          <w:rFonts w:eastAsia="Times New Roman" w:cs="Times New Roman"/>
          <w:color w:val="000000"/>
          <w:szCs w:val="24"/>
          <w:lang w:eastAsia="es-CR"/>
        </w:rPr>
        <w:t xml:space="preserve">la especie que aportó la mayor cantidad de </w:t>
      </w:r>
      <w:r w:rsidR="00D45549" w:rsidRPr="00A5719A">
        <w:rPr>
          <w:rFonts w:eastAsia="Times New Roman" w:cs="Times New Roman"/>
          <w:color w:val="000000"/>
          <w:szCs w:val="24"/>
          <w:lang w:eastAsia="es-CR"/>
        </w:rPr>
        <w:t>clústers</w:t>
      </w:r>
      <w:r w:rsidRPr="00A5719A">
        <w:rPr>
          <w:rFonts w:eastAsia="Times New Roman" w:cs="Times New Roman"/>
          <w:color w:val="000000"/>
          <w:szCs w:val="24"/>
          <w:lang w:eastAsia="es-CR"/>
        </w:rPr>
        <w:t xml:space="preserve"> con un total de 17, seguido por </w:t>
      </w:r>
      <w:r w:rsidRPr="00A5719A">
        <w:rPr>
          <w:rFonts w:eastAsia="Times New Roman" w:cs="Times New Roman"/>
          <w:i/>
          <w:iCs/>
          <w:color w:val="000000"/>
          <w:szCs w:val="24"/>
          <w:lang w:eastAsia="es-CR"/>
        </w:rPr>
        <w:t>A. caelatus</w:t>
      </w:r>
      <w:r w:rsidRPr="00A5719A">
        <w:rPr>
          <w:rFonts w:eastAsia="Times New Roman" w:cs="Times New Roman"/>
          <w:color w:val="000000"/>
          <w:szCs w:val="24"/>
          <w:lang w:eastAsia="es-CR"/>
        </w:rPr>
        <w:t xml:space="preserve"> con 16 y</w:t>
      </w:r>
      <w:r w:rsidRPr="00A5719A">
        <w:rPr>
          <w:rFonts w:eastAsia="Times New Roman" w:cs="Times New Roman"/>
          <w:i/>
          <w:iCs/>
          <w:color w:val="000000"/>
          <w:szCs w:val="24"/>
          <w:lang w:eastAsia="es-CR"/>
        </w:rPr>
        <w:t xml:space="preserve"> A. tamarii con</w:t>
      </w:r>
      <w:r w:rsidRPr="00A5719A">
        <w:rPr>
          <w:rFonts w:eastAsia="Times New Roman" w:cs="Times New Roman"/>
          <w:color w:val="000000"/>
          <w:szCs w:val="24"/>
          <w:lang w:eastAsia="es-CR"/>
        </w:rPr>
        <w:t xml:space="preserve"> 11 (Figura </w:t>
      </w:r>
      <w:r w:rsidR="00844083">
        <w:rPr>
          <w:rFonts w:eastAsia="Times New Roman" w:cs="Times New Roman"/>
          <w:color w:val="000000"/>
          <w:szCs w:val="24"/>
          <w:lang w:eastAsia="es-CR"/>
        </w:rPr>
        <w:t>1</w:t>
      </w:r>
      <w:r w:rsidR="008427A8">
        <w:rPr>
          <w:rFonts w:eastAsia="Times New Roman" w:cs="Times New Roman"/>
          <w:color w:val="000000"/>
          <w:szCs w:val="24"/>
          <w:lang w:eastAsia="es-CR"/>
        </w:rPr>
        <w:t>1</w:t>
      </w:r>
      <w:r w:rsidRPr="00A5719A">
        <w:rPr>
          <w:rFonts w:eastAsia="Times New Roman" w:cs="Times New Roman"/>
          <w:color w:val="000000"/>
          <w:szCs w:val="24"/>
          <w:lang w:eastAsia="es-CR"/>
        </w:rPr>
        <w:t>.</w:t>
      </w:r>
      <w:r w:rsidR="00CF7B43">
        <w:rPr>
          <w:rFonts w:eastAsia="Times New Roman" w:cs="Times New Roman"/>
          <w:color w:val="000000"/>
          <w:szCs w:val="24"/>
          <w:lang w:eastAsia="es-CR"/>
        </w:rPr>
        <w:t>C</w:t>
      </w:r>
      <w:r w:rsidRPr="00A5719A">
        <w:rPr>
          <w:rFonts w:eastAsia="Times New Roman" w:cs="Times New Roman"/>
          <w:color w:val="000000"/>
          <w:szCs w:val="24"/>
          <w:lang w:eastAsia="es-CR"/>
        </w:rPr>
        <w:t xml:space="preserve">). Estas tres cepas presentan </w:t>
      </w:r>
      <w:r w:rsidR="00D45549" w:rsidRPr="00A5719A">
        <w:rPr>
          <w:rFonts w:eastAsia="Times New Roman" w:cs="Times New Roman"/>
          <w:color w:val="000000"/>
          <w:szCs w:val="24"/>
          <w:lang w:eastAsia="es-CR"/>
        </w:rPr>
        <w:t>clústers</w:t>
      </w:r>
      <w:r w:rsidRPr="00A5719A">
        <w:rPr>
          <w:rFonts w:eastAsia="Times New Roman" w:cs="Times New Roman"/>
          <w:color w:val="000000"/>
          <w:szCs w:val="24"/>
          <w:lang w:eastAsia="es-CR"/>
        </w:rPr>
        <w:t xml:space="preserve"> que codifican para la producción de metabolitos del grupo de los policétido sintetasa, de péptidos no ribosomales e indoles.  En cuanto a la biosíntesis de terpenos únicamente </w:t>
      </w:r>
      <w:r w:rsidRPr="00A5719A">
        <w:rPr>
          <w:rFonts w:eastAsia="Times New Roman" w:cs="Times New Roman"/>
          <w:i/>
          <w:iCs/>
          <w:color w:val="000000"/>
          <w:szCs w:val="24"/>
          <w:lang w:eastAsia="es-CR"/>
        </w:rPr>
        <w:t>A. pseudotamarri</w:t>
      </w:r>
      <w:r w:rsidRPr="00A5719A">
        <w:rPr>
          <w:rFonts w:eastAsia="Times New Roman" w:cs="Times New Roman"/>
          <w:color w:val="000000"/>
          <w:szCs w:val="24"/>
          <w:lang w:eastAsia="es-CR"/>
        </w:rPr>
        <w:t xml:space="preserve"> presentó en su genoma </w:t>
      </w:r>
      <w:r w:rsidR="00D45549" w:rsidRPr="00A5719A">
        <w:rPr>
          <w:rFonts w:eastAsia="Times New Roman" w:cs="Times New Roman"/>
          <w:color w:val="000000"/>
          <w:szCs w:val="24"/>
          <w:lang w:eastAsia="es-CR"/>
        </w:rPr>
        <w:t>clústers</w:t>
      </w:r>
      <w:r w:rsidRPr="00A5719A">
        <w:rPr>
          <w:rFonts w:eastAsia="Times New Roman" w:cs="Times New Roman"/>
          <w:color w:val="000000"/>
          <w:szCs w:val="24"/>
          <w:lang w:eastAsia="es-CR"/>
        </w:rPr>
        <w:t xml:space="preserve"> reportados para este metabolismo.</w:t>
      </w:r>
    </w:p>
    <w:p w14:paraId="5A011665" w14:textId="4194A377" w:rsidR="00A5719A" w:rsidRDefault="00A5719A" w:rsidP="00A5719A">
      <w:pPr>
        <w:spacing w:after="0"/>
        <w:rPr>
          <w:rFonts w:eastAsia="Times New Roman" w:cs="Times New Roman"/>
          <w:szCs w:val="24"/>
          <w:lang w:eastAsia="es-CR"/>
        </w:rPr>
      </w:pPr>
      <w:r w:rsidRPr="00A5719A">
        <w:rPr>
          <w:rFonts w:eastAsia="Times New Roman" w:cs="Times New Roman"/>
          <w:color w:val="000000"/>
          <w:szCs w:val="24"/>
          <w:lang w:eastAsia="es-CR"/>
        </w:rPr>
        <w:tab/>
        <w:t xml:space="preserve">En el caso de estas tres cepas de </w:t>
      </w:r>
      <w:r w:rsidRPr="00A5719A">
        <w:rPr>
          <w:rFonts w:eastAsia="Times New Roman" w:cs="Times New Roman"/>
          <w:i/>
          <w:iCs/>
          <w:color w:val="000000"/>
          <w:szCs w:val="24"/>
          <w:lang w:eastAsia="es-CR"/>
        </w:rPr>
        <w:t>Aspergillus sp.</w:t>
      </w:r>
      <w:r w:rsidRPr="00A5719A">
        <w:rPr>
          <w:rFonts w:eastAsia="Times New Roman" w:cs="Times New Roman"/>
          <w:color w:val="000000"/>
          <w:szCs w:val="24"/>
          <w:lang w:eastAsia="es-CR"/>
        </w:rPr>
        <w:t xml:space="preserve"> </w:t>
      </w:r>
      <w:r w:rsidR="00630D04">
        <w:rPr>
          <w:rFonts w:eastAsia="Times New Roman" w:cs="Times New Roman"/>
          <w:color w:val="000000"/>
          <w:szCs w:val="24"/>
          <w:lang w:eastAsia="es-CR"/>
        </w:rPr>
        <w:t xml:space="preserve">(cepa B 3.2) </w:t>
      </w:r>
      <w:r w:rsidRPr="00A5719A">
        <w:rPr>
          <w:rFonts w:eastAsia="Times New Roman" w:cs="Times New Roman"/>
          <w:color w:val="000000"/>
          <w:szCs w:val="24"/>
          <w:lang w:eastAsia="es-CR"/>
        </w:rPr>
        <w:t xml:space="preserve">sí hubo presencia de </w:t>
      </w:r>
      <w:r w:rsidR="00D45549" w:rsidRPr="00A5719A">
        <w:rPr>
          <w:rFonts w:eastAsia="Times New Roman" w:cs="Times New Roman"/>
          <w:color w:val="000000"/>
          <w:szCs w:val="24"/>
          <w:lang w:eastAsia="es-CR"/>
        </w:rPr>
        <w:t>clústers</w:t>
      </w:r>
      <w:r w:rsidRPr="00A5719A">
        <w:rPr>
          <w:rFonts w:eastAsia="Times New Roman" w:cs="Times New Roman"/>
          <w:color w:val="000000"/>
          <w:szCs w:val="24"/>
          <w:lang w:eastAsia="es-CR"/>
        </w:rPr>
        <w:t xml:space="preserve"> biosintéticos </w:t>
      </w:r>
      <w:r w:rsidR="003D4E37" w:rsidRPr="00A5719A">
        <w:rPr>
          <w:rFonts w:eastAsia="Times New Roman" w:cs="Times New Roman"/>
          <w:color w:val="000000"/>
          <w:szCs w:val="24"/>
          <w:lang w:eastAsia="es-CR"/>
        </w:rPr>
        <w:t>constituidos</w:t>
      </w:r>
      <w:r w:rsidRPr="00A5719A">
        <w:rPr>
          <w:rFonts w:eastAsia="Times New Roman" w:cs="Times New Roman"/>
          <w:color w:val="000000"/>
          <w:szCs w:val="24"/>
          <w:lang w:eastAsia="es-CR"/>
        </w:rPr>
        <w:t xml:space="preserve"> por más de un gen medular necesario</w:t>
      </w:r>
      <w:r w:rsidR="00CE3AEF">
        <w:rPr>
          <w:rFonts w:eastAsia="Times New Roman" w:cs="Times New Roman"/>
          <w:color w:val="000000"/>
          <w:szCs w:val="24"/>
          <w:lang w:eastAsia="es-CR"/>
        </w:rPr>
        <w:t>s</w:t>
      </w:r>
      <w:r w:rsidRPr="00A5719A">
        <w:rPr>
          <w:rFonts w:eastAsia="Times New Roman" w:cs="Times New Roman"/>
          <w:color w:val="000000"/>
          <w:szCs w:val="24"/>
          <w:lang w:eastAsia="es-CR"/>
        </w:rPr>
        <w:t xml:space="preserve"> para la síntesis del compuesto asociado. En el caso de </w:t>
      </w:r>
      <w:r w:rsidRPr="00A5719A">
        <w:rPr>
          <w:rFonts w:eastAsia="Times New Roman" w:cs="Times New Roman"/>
          <w:i/>
          <w:iCs/>
          <w:color w:val="000000"/>
          <w:szCs w:val="24"/>
          <w:lang w:eastAsia="es-CR"/>
        </w:rPr>
        <w:t>A. pseudotamarri</w:t>
      </w:r>
      <w:r w:rsidRPr="00A5719A">
        <w:rPr>
          <w:rFonts w:eastAsia="Times New Roman" w:cs="Times New Roman"/>
          <w:color w:val="000000"/>
          <w:szCs w:val="24"/>
          <w:lang w:eastAsia="es-CR"/>
        </w:rPr>
        <w:t xml:space="preserve"> hay dos CGB con tres genes medulares y un CBG con dos genes medulares</w:t>
      </w:r>
      <w:r w:rsidR="00E1715E">
        <w:rPr>
          <w:rFonts w:eastAsia="Times New Roman" w:cs="Times New Roman"/>
          <w:color w:val="000000"/>
          <w:szCs w:val="24"/>
          <w:lang w:eastAsia="es-CR"/>
        </w:rPr>
        <w:t>, los restantes</w:t>
      </w:r>
      <w:r w:rsidRPr="00A5719A">
        <w:rPr>
          <w:rFonts w:eastAsia="Times New Roman" w:cs="Times New Roman"/>
          <w:color w:val="000000"/>
          <w:szCs w:val="24"/>
          <w:lang w:eastAsia="es-CR"/>
        </w:rPr>
        <w:t xml:space="preserve"> present</w:t>
      </w:r>
      <w:r w:rsidR="00E1715E">
        <w:rPr>
          <w:rFonts w:eastAsia="Times New Roman" w:cs="Times New Roman"/>
          <w:color w:val="000000"/>
          <w:szCs w:val="24"/>
          <w:lang w:eastAsia="es-CR"/>
        </w:rPr>
        <w:t>aron</w:t>
      </w:r>
      <w:r w:rsidRPr="00A5719A">
        <w:rPr>
          <w:rFonts w:eastAsia="Times New Roman" w:cs="Times New Roman"/>
          <w:color w:val="000000"/>
          <w:szCs w:val="24"/>
          <w:lang w:eastAsia="es-CR"/>
        </w:rPr>
        <w:t xml:space="preserve"> un único gen medular. Para el caso de </w:t>
      </w:r>
      <w:r w:rsidRPr="00A5719A">
        <w:rPr>
          <w:rFonts w:eastAsia="Times New Roman" w:cs="Times New Roman"/>
          <w:i/>
          <w:iCs/>
          <w:color w:val="000000"/>
          <w:szCs w:val="24"/>
          <w:lang w:eastAsia="es-CR"/>
        </w:rPr>
        <w:t xml:space="preserve">A. tamarii </w:t>
      </w:r>
      <w:r w:rsidRPr="00A5719A">
        <w:rPr>
          <w:rFonts w:eastAsia="Times New Roman" w:cs="Times New Roman"/>
          <w:color w:val="000000"/>
          <w:szCs w:val="24"/>
          <w:lang w:eastAsia="es-CR"/>
        </w:rPr>
        <w:t xml:space="preserve">un </w:t>
      </w:r>
      <w:r w:rsidR="00D45549" w:rsidRPr="00A5719A">
        <w:rPr>
          <w:rFonts w:eastAsia="Times New Roman" w:cs="Times New Roman"/>
          <w:color w:val="000000"/>
          <w:szCs w:val="24"/>
          <w:lang w:eastAsia="es-CR"/>
        </w:rPr>
        <w:t>clúster</w:t>
      </w:r>
      <w:r w:rsidRPr="00A5719A">
        <w:rPr>
          <w:rFonts w:eastAsia="Times New Roman" w:cs="Times New Roman"/>
          <w:color w:val="000000"/>
          <w:szCs w:val="24"/>
          <w:lang w:eastAsia="es-CR"/>
        </w:rPr>
        <w:t xml:space="preserve"> presentaba tres genes medulares distintos dentro de su estructura, uno presentaba dos genes medulares y los siete sobrantes únicamente uno. Finalmente, para la cepa </w:t>
      </w:r>
      <w:r w:rsidRPr="00A5719A">
        <w:rPr>
          <w:rFonts w:eastAsia="Times New Roman" w:cs="Times New Roman"/>
          <w:i/>
          <w:iCs/>
          <w:color w:val="000000"/>
          <w:szCs w:val="24"/>
          <w:lang w:eastAsia="es-CR"/>
        </w:rPr>
        <w:t>A. caelatus</w:t>
      </w:r>
      <w:r w:rsidRPr="00A5719A">
        <w:rPr>
          <w:rFonts w:eastAsia="Times New Roman" w:cs="Times New Roman"/>
          <w:color w:val="000000"/>
          <w:szCs w:val="24"/>
          <w:lang w:eastAsia="es-CR"/>
        </w:rPr>
        <w:t xml:space="preserve"> tres </w:t>
      </w:r>
      <w:r w:rsidR="00D45549" w:rsidRPr="00A5719A">
        <w:rPr>
          <w:rFonts w:eastAsia="Times New Roman" w:cs="Times New Roman"/>
          <w:color w:val="000000"/>
          <w:szCs w:val="24"/>
          <w:lang w:eastAsia="es-CR"/>
        </w:rPr>
        <w:lastRenderedPageBreak/>
        <w:t>clústers</w:t>
      </w:r>
      <w:r w:rsidRPr="00A5719A">
        <w:rPr>
          <w:rFonts w:eastAsia="Times New Roman" w:cs="Times New Roman"/>
          <w:color w:val="000000"/>
          <w:szCs w:val="24"/>
          <w:lang w:eastAsia="es-CR"/>
        </w:rPr>
        <w:t xml:space="preserve"> presentaron dentro de su estructura dos genes medulares y solamente un </w:t>
      </w:r>
      <w:r w:rsidR="00116BBE">
        <w:rPr>
          <w:rFonts w:eastAsia="Times New Roman" w:cs="Times New Roman"/>
          <w:color w:val="000000"/>
          <w:szCs w:val="24"/>
          <w:lang w:eastAsia="es-CR"/>
        </w:rPr>
        <w:t>clúster</w:t>
      </w:r>
      <w:r w:rsidRPr="00A5719A">
        <w:rPr>
          <w:rFonts w:eastAsia="Times New Roman" w:cs="Times New Roman"/>
          <w:color w:val="000000"/>
          <w:szCs w:val="24"/>
          <w:lang w:eastAsia="es-CR"/>
        </w:rPr>
        <w:t xml:space="preserve"> mostró estar conformado por tres genes medulares necesarios para una producción correcta del metabolito, los restantes once solamente presentan por un gen medular.</w:t>
      </w:r>
    </w:p>
    <w:p w14:paraId="7996B17C" w14:textId="06607EAB" w:rsidR="00A5719A" w:rsidRDefault="00A5719A" w:rsidP="00A5719A">
      <w:pPr>
        <w:spacing w:before="240" w:after="0"/>
        <w:ind w:firstLine="708"/>
        <w:rPr>
          <w:rFonts w:eastAsia="Times New Roman" w:cs="Times New Roman"/>
          <w:color w:val="000000"/>
          <w:szCs w:val="24"/>
          <w:lang w:eastAsia="es-CR"/>
        </w:rPr>
      </w:pPr>
      <w:r w:rsidRPr="00A5719A">
        <w:rPr>
          <w:rFonts w:eastAsia="Times New Roman" w:cs="Times New Roman"/>
          <w:color w:val="000000"/>
          <w:szCs w:val="24"/>
          <w:lang w:eastAsia="es-CR"/>
        </w:rPr>
        <w:t>En relación con la diversidad génica entre los genes medulares de estas tres especies (</w:t>
      </w:r>
      <w:r w:rsidRPr="00A5719A">
        <w:rPr>
          <w:rFonts w:eastAsia="Times New Roman" w:cs="Times New Roman"/>
          <w:i/>
          <w:iCs/>
          <w:color w:val="000000"/>
          <w:szCs w:val="24"/>
          <w:lang w:eastAsia="es-CR"/>
        </w:rPr>
        <w:t>A. pseudotamarri</w:t>
      </w:r>
      <w:r w:rsidRPr="00A5719A">
        <w:rPr>
          <w:rFonts w:eastAsia="Times New Roman" w:cs="Times New Roman"/>
          <w:color w:val="000000"/>
          <w:szCs w:val="24"/>
          <w:lang w:eastAsia="es-CR"/>
        </w:rPr>
        <w:t xml:space="preserve">, </w:t>
      </w:r>
      <w:r w:rsidRPr="00A5719A">
        <w:rPr>
          <w:rFonts w:eastAsia="Times New Roman" w:cs="Times New Roman"/>
          <w:i/>
          <w:iCs/>
          <w:color w:val="000000"/>
          <w:szCs w:val="24"/>
          <w:lang w:eastAsia="es-CR"/>
        </w:rPr>
        <w:t>A. tamarii y A. caelatus)</w:t>
      </w:r>
      <w:r w:rsidRPr="00A5719A">
        <w:rPr>
          <w:rFonts w:eastAsia="Times New Roman" w:cs="Times New Roman"/>
          <w:color w:val="000000"/>
          <w:szCs w:val="24"/>
          <w:lang w:eastAsia="es-CR"/>
        </w:rPr>
        <w:t>, se obtuvieron distancias genéticas nulas o muy cercanas a 0, para los cuales 20 pares de genes alcanzaron valores menores a 0.1 (</w:t>
      </w:r>
      <w:r w:rsidR="003D4E37">
        <w:rPr>
          <w:rFonts w:eastAsia="Times New Roman" w:cs="Times New Roman"/>
          <w:color w:val="000000"/>
          <w:szCs w:val="24"/>
          <w:lang w:eastAsia="es-CR"/>
        </w:rPr>
        <w:t>Cuadro</w:t>
      </w:r>
      <w:r w:rsidR="00771C4D">
        <w:rPr>
          <w:rFonts w:eastAsia="Times New Roman" w:cs="Times New Roman"/>
          <w:color w:val="000000"/>
          <w:szCs w:val="24"/>
          <w:lang w:eastAsia="es-CR"/>
        </w:rPr>
        <w:t xml:space="preserve"> </w:t>
      </w:r>
      <w:r w:rsidR="00FF2CBC">
        <w:rPr>
          <w:rFonts w:eastAsia="Times New Roman" w:cs="Times New Roman"/>
          <w:color w:val="000000"/>
          <w:szCs w:val="24"/>
          <w:lang w:eastAsia="es-CR"/>
        </w:rPr>
        <w:t>6</w:t>
      </w:r>
      <w:r w:rsidR="00771C4D">
        <w:rPr>
          <w:rFonts w:eastAsia="Times New Roman" w:cs="Times New Roman"/>
          <w:color w:val="000000"/>
          <w:szCs w:val="24"/>
          <w:lang w:eastAsia="es-CR"/>
        </w:rPr>
        <w:t xml:space="preserve">, </w:t>
      </w:r>
      <w:r w:rsidRPr="00A5719A">
        <w:rPr>
          <w:rFonts w:eastAsia="Times New Roman" w:cs="Times New Roman"/>
          <w:color w:val="000000"/>
          <w:szCs w:val="24"/>
          <w:lang w:eastAsia="es-CR"/>
        </w:rPr>
        <w:t xml:space="preserve">Figura </w:t>
      </w:r>
      <w:r w:rsidR="00771C4D">
        <w:rPr>
          <w:rFonts w:eastAsia="Times New Roman" w:cs="Times New Roman"/>
          <w:color w:val="000000"/>
          <w:szCs w:val="24"/>
          <w:lang w:eastAsia="es-CR"/>
        </w:rPr>
        <w:t>1</w:t>
      </w:r>
      <w:r w:rsidR="00FF2CBC">
        <w:rPr>
          <w:rFonts w:eastAsia="Times New Roman" w:cs="Times New Roman"/>
          <w:color w:val="000000"/>
          <w:szCs w:val="24"/>
          <w:lang w:eastAsia="es-CR"/>
        </w:rPr>
        <w:t>3</w:t>
      </w:r>
      <w:r w:rsidRPr="00A5719A">
        <w:rPr>
          <w:rFonts w:eastAsia="Times New Roman" w:cs="Times New Roman"/>
          <w:color w:val="000000"/>
          <w:szCs w:val="24"/>
          <w:lang w:eastAsia="es-CR"/>
        </w:rPr>
        <w:t xml:space="preserve">). Esta cercanía genética se ve claramente evidenciada al comparar cada par de genes, ya que no sólo codifican para el mismo tipo de </w:t>
      </w:r>
      <w:r w:rsidR="00D45549" w:rsidRPr="00A5719A">
        <w:rPr>
          <w:rFonts w:eastAsia="Times New Roman" w:cs="Times New Roman"/>
          <w:color w:val="000000"/>
          <w:szCs w:val="24"/>
          <w:lang w:eastAsia="es-CR"/>
        </w:rPr>
        <w:t>cl</w:t>
      </w:r>
      <w:r w:rsidR="00D45549">
        <w:rPr>
          <w:rFonts w:eastAsia="Times New Roman" w:cs="Times New Roman"/>
          <w:color w:val="000000"/>
          <w:szCs w:val="24"/>
          <w:lang w:eastAsia="es-CR"/>
        </w:rPr>
        <w:t>ú</w:t>
      </w:r>
      <w:r w:rsidR="00D45549" w:rsidRPr="00A5719A">
        <w:rPr>
          <w:rFonts w:eastAsia="Times New Roman" w:cs="Times New Roman"/>
          <w:color w:val="000000"/>
          <w:szCs w:val="24"/>
          <w:lang w:eastAsia="es-CR"/>
        </w:rPr>
        <w:t>ster,</w:t>
      </w:r>
      <w:r w:rsidRPr="00A5719A">
        <w:rPr>
          <w:rFonts w:eastAsia="Times New Roman" w:cs="Times New Roman"/>
          <w:color w:val="000000"/>
          <w:szCs w:val="24"/>
          <w:lang w:eastAsia="es-CR"/>
        </w:rPr>
        <w:t xml:space="preserve"> sino que sintetizan la misma molécula, exceptuando únicamente al gen 1 de </w:t>
      </w:r>
      <w:r w:rsidRPr="00A5719A">
        <w:rPr>
          <w:rFonts w:eastAsia="Times New Roman" w:cs="Times New Roman"/>
          <w:i/>
          <w:iCs/>
          <w:color w:val="000000"/>
          <w:szCs w:val="24"/>
          <w:lang w:eastAsia="es-CR"/>
        </w:rPr>
        <w:t>A. caelatus</w:t>
      </w:r>
      <w:r w:rsidRPr="00A5719A">
        <w:rPr>
          <w:rFonts w:eastAsia="Times New Roman" w:cs="Times New Roman"/>
          <w:color w:val="000000"/>
          <w:szCs w:val="24"/>
          <w:lang w:eastAsia="es-CR"/>
        </w:rPr>
        <w:t>, que sintetiza Nidulani</w:t>
      </w:r>
      <w:r w:rsidR="00A148C0">
        <w:rPr>
          <w:rFonts w:eastAsia="Times New Roman" w:cs="Times New Roman"/>
          <w:color w:val="000000"/>
          <w:szCs w:val="24"/>
          <w:lang w:eastAsia="es-CR"/>
        </w:rPr>
        <w:t>n</w:t>
      </w:r>
      <w:r w:rsidRPr="00A5719A">
        <w:rPr>
          <w:rFonts w:eastAsia="Times New Roman" w:cs="Times New Roman"/>
          <w:color w:val="000000"/>
          <w:szCs w:val="24"/>
          <w:lang w:eastAsia="es-CR"/>
        </w:rPr>
        <w:t xml:space="preserve">a A, mientras que sus pares, el gen 51 de </w:t>
      </w:r>
      <w:r w:rsidRPr="00A5719A">
        <w:rPr>
          <w:rFonts w:eastAsia="Times New Roman" w:cs="Times New Roman"/>
          <w:i/>
          <w:iCs/>
          <w:color w:val="000000"/>
          <w:szCs w:val="24"/>
          <w:lang w:eastAsia="es-CR"/>
        </w:rPr>
        <w:t xml:space="preserve">A. tamarii </w:t>
      </w:r>
      <w:r w:rsidRPr="00A5719A">
        <w:rPr>
          <w:rFonts w:eastAsia="Times New Roman" w:cs="Times New Roman"/>
          <w:color w:val="000000"/>
          <w:szCs w:val="24"/>
          <w:lang w:eastAsia="es-CR"/>
        </w:rPr>
        <w:t xml:space="preserve">y el gen 8 de </w:t>
      </w:r>
      <w:r w:rsidRPr="00A5719A">
        <w:rPr>
          <w:rFonts w:eastAsia="Times New Roman" w:cs="Times New Roman"/>
          <w:i/>
          <w:iCs/>
          <w:color w:val="000000"/>
          <w:szCs w:val="24"/>
          <w:lang w:eastAsia="es-CR"/>
        </w:rPr>
        <w:t>A. pseudotamarii</w:t>
      </w:r>
      <w:r w:rsidRPr="00A5719A">
        <w:rPr>
          <w:rFonts w:eastAsia="Times New Roman" w:cs="Times New Roman"/>
          <w:color w:val="000000"/>
          <w:szCs w:val="24"/>
          <w:lang w:eastAsia="es-CR"/>
        </w:rPr>
        <w:t xml:space="preserve">, codifican para la molécula Fungisporina (Cuadro </w:t>
      </w:r>
      <w:r w:rsidR="00FF2CBC">
        <w:rPr>
          <w:rFonts w:eastAsia="Times New Roman" w:cs="Times New Roman"/>
          <w:color w:val="000000"/>
          <w:szCs w:val="24"/>
          <w:lang w:eastAsia="es-CR"/>
        </w:rPr>
        <w:t>6</w:t>
      </w:r>
      <w:r w:rsidRPr="00A5719A">
        <w:rPr>
          <w:rFonts w:eastAsia="Times New Roman" w:cs="Times New Roman"/>
          <w:color w:val="000000"/>
          <w:szCs w:val="24"/>
          <w:lang w:eastAsia="es-CR"/>
        </w:rPr>
        <w:t>). A partir de una distancia de 0.49, se observó una notable variabilidad en las secuencias de estos genes medulares.  Punto en el cuál, no se encontró correspondencia entre la molécula sintetizada ni pertenencia al mismo tipo de clúster.</w:t>
      </w:r>
    </w:p>
    <w:p w14:paraId="76651944" w14:textId="77777777" w:rsidR="00C73D00" w:rsidRDefault="00C73D00" w:rsidP="00A5719A">
      <w:pPr>
        <w:spacing w:before="240" w:after="0"/>
        <w:ind w:firstLine="708"/>
        <w:rPr>
          <w:rFonts w:eastAsia="Times New Roman" w:cs="Times New Roman"/>
          <w:color w:val="000000"/>
          <w:szCs w:val="24"/>
          <w:lang w:eastAsia="es-CR"/>
        </w:rPr>
      </w:pPr>
    </w:p>
    <w:p w14:paraId="4394375E" w14:textId="50058334" w:rsidR="00C73D00" w:rsidRPr="00A5719A" w:rsidRDefault="002E2FA1" w:rsidP="002E2FA1">
      <w:pPr>
        <w:pStyle w:val="Descripcin"/>
        <w:rPr>
          <w:rFonts w:eastAsia="Times New Roman" w:cs="Times New Roman"/>
          <w:szCs w:val="24"/>
          <w:lang w:eastAsia="es-CR"/>
        </w:rPr>
      </w:pPr>
      <w:bookmarkStart w:id="129" w:name="_Toc138593434"/>
      <w:r w:rsidRPr="002E2FA1">
        <w:rPr>
          <w:b/>
          <w:bCs/>
          <w:i w:val="0"/>
          <w:iCs w:val="0"/>
          <w:color w:val="auto"/>
          <w:sz w:val="22"/>
          <w:szCs w:val="22"/>
        </w:rPr>
        <w:t xml:space="preserve">Cuadro </w:t>
      </w:r>
      <w:r w:rsidRPr="002E2FA1">
        <w:rPr>
          <w:b/>
          <w:bCs/>
          <w:i w:val="0"/>
          <w:iCs w:val="0"/>
          <w:color w:val="auto"/>
          <w:sz w:val="22"/>
          <w:szCs w:val="22"/>
        </w:rPr>
        <w:fldChar w:fldCharType="begin"/>
      </w:r>
      <w:r w:rsidRPr="002E2FA1">
        <w:rPr>
          <w:b/>
          <w:bCs/>
          <w:i w:val="0"/>
          <w:iCs w:val="0"/>
          <w:color w:val="auto"/>
          <w:sz w:val="22"/>
          <w:szCs w:val="22"/>
        </w:rPr>
        <w:instrText xml:space="preserve"> SEQ Cuadro \* ARABIC </w:instrText>
      </w:r>
      <w:r w:rsidRPr="002E2FA1">
        <w:rPr>
          <w:b/>
          <w:bCs/>
          <w:i w:val="0"/>
          <w:iCs w:val="0"/>
          <w:color w:val="auto"/>
          <w:sz w:val="22"/>
          <w:szCs w:val="22"/>
        </w:rPr>
        <w:fldChar w:fldCharType="separate"/>
      </w:r>
      <w:r w:rsidR="00336027">
        <w:rPr>
          <w:b/>
          <w:bCs/>
          <w:i w:val="0"/>
          <w:iCs w:val="0"/>
          <w:noProof/>
          <w:color w:val="auto"/>
          <w:sz w:val="22"/>
          <w:szCs w:val="22"/>
        </w:rPr>
        <w:t>6</w:t>
      </w:r>
      <w:r w:rsidRPr="002E2FA1">
        <w:rPr>
          <w:b/>
          <w:bCs/>
          <w:i w:val="0"/>
          <w:iCs w:val="0"/>
          <w:color w:val="auto"/>
          <w:sz w:val="22"/>
          <w:szCs w:val="22"/>
        </w:rPr>
        <w:fldChar w:fldCharType="end"/>
      </w:r>
      <w:r w:rsidRPr="002E2FA1">
        <w:rPr>
          <w:b/>
          <w:bCs/>
          <w:i w:val="0"/>
          <w:iCs w:val="0"/>
          <w:color w:val="auto"/>
          <w:sz w:val="22"/>
          <w:szCs w:val="22"/>
        </w:rPr>
        <w:t>.</w:t>
      </w:r>
      <w:r w:rsidRPr="002E2FA1">
        <w:rPr>
          <w:color w:val="auto"/>
          <w:sz w:val="22"/>
          <w:szCs w:val="22"/>
        </w:rPr>
        <w:t xml:space="preserve"> </w:t>
      </w:r>
      <w:r w:rsidR="00C73D00" w:rsidRPr="002B6E8A">
        <w:rPr>
          <w:rFonts w:eastAsia="Times New Roman" w:cs="Times New Roman"/>
          <w:i w:val="0"/>
          <w:iCs w:val="0"/>
          <w:color w:val="auto"/>
          <w:sz w:val="22"/>
          <w:lang w:eastAsia="es-CR"/>
        </w:rPr>
        <w:t xml:space="preserve">Comparativa de moléculas biosintetizadas y </w:t>
      </w:r>
      <w:r w:rsidR="00D45549" w:rsidRPr="002B6E8A">
        <w:rPr>
          <w:rFonts w:eastAsia="Times New Roman" w:cs="Times New Roman"/>
          <w:i w:val="0"/>
          <w:iCs w:val="0"/>
          <w:color w:val="auto"/>
          <w:sz w:val="22"/>
          <w:lang w:eastAsia="es-CR"/>
        </w:rPr>
        <w:t>clústers</w:t>
      </w:r>
      <w:r w:rsidR="00C73D00" w:rsidRPr="002B6E8A">
        <w:rPr>
          <w:rFonts w:eastAsia="Times New Roman" w:cs="Times New Roman"/>
          <w:i w:val="0"/>
          <w:iCs w:val="0"/>
          <w:color w:val="auto"/>
          <w:sz w:val="22"/>
          <w:lang w:eastAsia="es-CR"/>
        </w:rPr>
        <w:t xml:space="preserve"> de genes </w:t>
      </w:r>
      <w:r w:rsidR="000F345A" w:rsidRPr="002B6E8A">
        <w:rPr>
          <w:rFonts w:eastAsia="Times New Roman" w:cs="Times New Roman"/>
          <w:i w:val="0"/>
          <w:iCs w:val="0"/>
          <w:color w:val="auto"/>
          <w:sz w:val="22"/>
          <w:lang w:eastAsia="es-CR"/>
        </w:rPr>
        <w:t>biosintéticos</w:t>
      </w:r>
      <w:r w:rsidR="00C73D00" w:rsidRPr="002B6E8A">
        <w:rPr>
          <w:rFonts w:eastAsia="Times New Roman" w:cs="Times New Roman"/>
          <w:i w:val="0"/>
          <w:iCs w:val="0"/>
          <w:color w:val="auto"/>
          <w:sz w:val="22"/>
          <w:lang w:eastAsia="es-CR"/>
        </w:rPr>
        <w:t xml:space="preserve"> entre </w:t>
      </w:r>
      <w:r w:rsidR="00C73D00" w:rsidRPr="002B6E8A">
        <w:rPr>
          <w:rFonts w:eastAsia="Times New Roman" w:cs="Times New Roman"/>
          <w:color w:val="auto"/>
          <w:sz w:val="22"/>
          <w:lang w:eastAsia="es-CR"/>
        </w:rPr>
        <w:t>Aspergillus tamarii</w:t>
      </w:r>
      <w:r w:rsidR="00B33F28" w:rsidRPr="002B6E8A">
        <w:rPr>
          <w:rFonts w:eastAsia="Times New Roman" w:cs="Times New Roman"/>
          <w:color w:val="auto"/>
          <w:sz w:val="22"/>
          <w:lang w:eastAsia="es-CR"/>
        </w:rPr>
        <w:t>,</w:t>
      </w:r>
      <w:r w:rsidR="00C73D00" w:rsidRPr="002B6E8A">
        <w:rPr>
          <w:rFonts w:eastAsia="Times New Roman" w:cs="Times New Roman"/>
          <w:color w:val="auto"/>
          <w:sz w:val="22"/>
          <w:lang w:eastAsia="es-CR"/>
        </w:rPr>
        <w:t xml:space="preserve"> Aspergillus pseudotamarii </w:t>
      </w:r>
      <w:r w:rsidR="00C73D00" w:rsidRPr="002B6E8A">
        <w:rPr>
          <w:rFonts w:eastAsia="Times New Roman" w:cs="Times New Roman"/>
          <w:i w:val="0"/>
          <w:iCs w:val="0"/>
          <w:color w:val="auto"/>
          <w:sz w:val="22"/>
          <w:lang w:eastAsia="es-CR"/>
        </w:rPr>
        <w:t>y</w:t>
      </w:r>
      <w:r w:rsidR="00C73D00" w:rsidRPr="002B6E8A">
        <w:rPr>
          <w:rFonts w:eastAsia="Times New Roman" w:cs="Times New Roman"/>
          <w:color w:val="auto"/>
          <w:sz w:val="22"/>
          <w:lang w:eastAsia="es-CR"/>
        </w:rPr>
        <w:t xml:space="preserve"> Aspergillus caelatus</w:t>
      </w:r>
      <w:r w:rsidR="00C73D00" w:rsidRPr="002B6E8A">
        <w:rPr>
          <w:rFonts w:eastAsia="Times New Roman" w:cs="Times New Roman"/>
          <w:i w:val="0"/>
          <w:iCs w:val="0"/>
          <w:color w:val="auto"/>
          <w:sz w:val="22"/>
          <w:lang w:eastAsia="es-CR"/>
        </w:rPr>
        <w:t>.</w:t>
      </w:r>
      <w:bookmarkEnd w:id="129"/>
    </w:p>
    <w:p w14:paraId="0CF2397D" w14:textId="2C780172" w:rsidR="00C73D00" w:rsidRDefault="00C73D00" w:rsidP="00C73D00">
      <w:pPr>
        <w:spacing w:before="240" w:after="0"/>
        <w:jc w:val="center"/>
        <w:rPr>
          <w:rFonts w:eastAsia="Times New Roman" w:cs="Times New Roman"/>
          <w:color w:val="000000"/>
          <w:szCs w:val="24"/>
          <w:lang w:eastAsia="es-CR"/>
        </w:rPr>
      </w:pPr>
      <w:r>
        <w:rPr>
          <w:noProof/>
        </w:rPr>
        <w:drawing>
          <wp:inline distT="0" distB="0" distL="0" distR="0" wp14:anchorId="12DC35ED" wp14:editId="324202CE">
            <wp:extent cx="5943600" cy="3117850"/>
            <wp:effectExtent l="0" t="0" r="0" b="6350"/>
            <wp:docPr id="12172090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209013" name=""/>
                    <pic:cNvPicPr/>
                  </pic:nvPicPr>
                  <pic:blipFill>
                    <a:blip r:embed="rId25"/>
                    <a:stretch>
                      <a:fillRect/>
                    </a:stretch>
                  </pic:blipFill>
                  <pic:spPr>
                    <a:xfrm>
                      <a:off x="0" y="0"/>
                      <a:ext cx="5943600" cy="3117850"/>
                    </a:xfrm>
                    <a:prstGeom prst="rect">
                      <a:avLst/>
                    </a:prstGeom>
                  </pic:spPr>
                </pic:pic>
              </a:graphicData>
            </a:graphic>
          </wp:inline>
        </w:drawing>
      </w:r>
    </w:p>
    <w:p w14:paraId="4E53B4EC" w14:textId="79314A6E" w:rsidR="00665769" w:rsidRDefault="003736B2" w:rsidP="009548D8">
      <w:pPr>
        <w:keepNext/>
        <w:spacing w:after="0" w:line="240" w:lineRule="auto"/>
        <w:jc w:val="center"/>
      </w:pPr>
      <w:r>
        <w:rPr>
          <w:noProof/>
        </w:rPr>
        <w:lastRenderedPageBreak/>
        <w:drawing>
          <wp:inline distT="0" distB="0" distL="0" distR="0" wp14:anchorId="73014C67" wp14:editId="3F601C50">
            <wp:extent cx="5982771" cy="6919993"/>
            <wp:effectExtent l="0" t="0" r="0" b="0"/>
            <wp:docPr id="1198057355"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057355" name="Imagen 1" descr="Imagen que contiene Diagrama&#10;&#10;Descripción generada automáticamente"/>
                    <pic:cNvPicPr/>
                  </pic:nvPicPr>
                  <pic:blipFill rotWithShape="1">
                    <a:blip r:embed="rId26" cstate="print">
                      <a:extLst>
                        <a:ext uri="{28A0092B-C50C-407E-A947-70E740481C1C}">
                          <a14:useLocalDpi xmlns:a14="http://schemas.microsoft.com/office/drawing/2010/main" val="0"/>
                        </a:ext>
                      </a:extLst>
                    </a:blip>
                    <a:srcRect l="3836" t="8873" r="8468" b="4183"/>
                    <a:stretch/>
                  </pic:blipFill>
                  <pic:spPr bwMode="auto">
                    <a:xfrm>
                      <a:off x="0" y="0"/>
                      <a:ext cx="5997794" cy="6937370"/>
                    </a:xfrm>
                    <a:prstGeom prst="rect">
                      <a:avLst/>
                    </a:prstGeom>
                    <a:ln>
                      <a:noFill/>
                    </a:ln>
                    <a:extLst>
                      <a:ext uri="{53640926-AAD7-44D8-BBD7-CCE9431645EC}">
                        <a14:shadowObscured xmlns:a14="http://schemas.microsoft.com/office/drawing/2010/main"/>
                      </a:ext>
                    </a:extLst>
                  </pic:spPr>
                </pic:pic>
              </a:graphicData>
            </a:graphic>
          </wp:inline>
        </w:drawing>
      </w:r>
    </w:p>
    <w:p w14:paraId="24F9CE17" w14:textId="71ADC8E2" w:rsidR="00A5719A" w:rsidRDefault="00665769" w:rsidP="009548D8">
      <w:pPr>
        <w:pStyle w:val="Descripcin"/>
      </w:pPr>
      <w:bookmarkStart w:id="130" w:name="_Toc138574975"/>
      <w:bookmarkStart w:id="131" w:name="_Toc142272982"/>
      <w:r w:rsidRPr="00665769">
        <w:rPr>
          <w:b/>
          <w:bCs/>
          <w:i w:val="0"/>
          <w:iCs w:val="0"/>
          <w:color w:val="auto"/>
          <w:sz w:val="20"/>
          <w:szCs w:val="20"/>
        </w:rPr>
        <w:t xml:space="preserve">Figura  </w:t>
      </w:r>
      <w:r w:rsidRPr="00665769">
        <w:rPr>
          <w:b/>
          <w:bCs/>
          <w:i w:val="0"/>
          <w:iCs w:val="0"/>
          <w:color w:val="auto"/>
          <w:sz w:val="20"/>
          <w:szCs w:val="20"/>
        </w:rPr>
        <w:fldChar w:fldCharType="begin"/>
      </w:r>
      <w:r w:rsidRPr="00665769">
        <w:rPr>
          <w:b/>
          <w:bCs/>
          <w:i w:val="0"/>
          <w:iCs w:val="0"/>
          <w:color w:val="auto"/>
          <w:sz w:val="20"/>
          <w:szCs w:val="20"/>
        </w:rPr>
        <w:instrText xml:space="preserve"> SEQ Figura_ \* ARABIC </w:instrText>
      </w:r>
      <w:r w:rsidRPr="00665769">
        <w:rPr>
          <w:b/>
          <w:bCs/>
          <w:i w:val="0"/>
          <w:iCs w:val="0"/>
          <w:color w:val="auto"/>
          <w:sz w:val="20"/>
          <w:szCs w:val="20"/>
        </w:rPr>
        <w:fldChar w:fldCharType="separate"/>
      </w:r>
      <w:r w:rsidR="00915F20">
        <w:rPr>
          <w:b/>
          <w:bCs/>
          <w:i w:val="0"/>
          <w:iCs w:val="0"/>
          <w:noProof/>
          <w:color w:val="auto"/>
          <w:sz w:val="20"/>
          <w:szCs w:val="20"/>
        </w:rPr>
        <w:t>13</w:t>
      </w:r>
      <w:r w:rsidRPr="00665769">
        <w:rPr>
          <w:b/>
          <w:bCs/>
          <w:i w:val="0"/>
          <w:iCs w:val="0"/>
          <w:color w:val="auto"/>
          <w:sz w:val="20"/>
          <w:szCs w:val="20"/>
        </w:rPr>
        <w:fldChar w:fldCharType="end"/>
      </w:r>
      <w:r w:rsidRPr="00665769">
        <w:rPr>
          <w:b/>
          <w:bCs/>
          <w:i w:val="0"/>
          <w:iCs w:val="0"/>
          <w:color w:val="auto"/>
          <w:sz w:val="20"/>
          <w:szCs w:val="20"/>
        </w:rPr>
        <w:t>.</w:t>
      </w:r>
      <w:r w:rsidRPr="00665769">
        <w:rPr>
          <w:color w:val="auto"/>
          <w:sz w:val="20"/>
          <w:szCs w:val="20"/>
        </w:rPr>
        <w:t xml:space="preserve"> </w:t>
      </w:r>
      <w:r w:rsidRPr="00A5719A">
        <w:rPr>
          <w:rFonts w:eastAsia="Times New Roman" w:cs="Times New Roman"/>
          <w:i w:val="0"/>
          <w:iCs w:val="0"/>
          <w:color w:val="000000"/>
          <w:sz w:val="20"/>
          <w:szCs w:val="20"/>
          <w:lang w:eastAsia="es-CR"/>
        </w:rPr>
        <w:t xml:space="preserve">Mapa de calor de las distancias genéticas entre genes medulares de los </w:t>
      </w:r>
      <w:r w:rsidR="00D45549" w:rsidRPr="00A5719A">
        <w:rPr>
          <w:rFonts w:eastAsia="Times New Roman" w:cs="Times New Roman"/>
          <w:i w:val="0"/>
          <w:iCs w:val="0"/>
          <w:color w:val="000000"/>
          <w:sz w:val="20"/>
          <w:szCs w:val="20"/>
          <w:lang w:eastAsia="es-CR"/>
        </w:rPr>
        <w:t>clústers</w:t>
      </w:r>
      <w:r w:rsidRPr="00A5719A">
        <w:rPr>
          <w:rFonts w:eastAsia="Times New Roman" w:cs="Times New Roman"/>
          <w:i w:val="0"/>
          <w:iCs w:val="0"/>
          <w:color w:val="000000"/>
          <w:sz w:val="20"/>
          <w:szCs w:val="20"/>
          <w:lang w:eastAsia="es-CR"/>
        </w:rPr>
        <w:t xml:space="preserve"> de genes biosintéticos (CGB) de los genomas de </w:t>
      </w:r>
      <w:r w:rsidRPr="00B33F28">
        <w:rPr>
          <w:rFonts w:eastAsia="Times New Roman" w:cs="Times New Roman"/>
          <w:color w:val="000000"/>
          <w:sz w:val="20"/>
          <w:szCs w:val="16"/>
          <w:lang w:eastAsia="es-CR"/>
        </w:rPr>
        <w:t xml:space="preserve">Aspergillus tamarii, Aspergillus pseudotamarii y Aspergillus </w:t>
      </w:r>
      <w:r w:rsidRPr="00755EB9">
        <w:rPr>
          <w:rFonts w:eastAsia="Times New Roman" w:cs="Times New Roman"/>
          <w:color w:val="000000"/>
          <w:sz w:val="20"/>
          <w:szCs w:val="16"/>
          <w:lang w:eastAsia="es-CR"/>
        </w:rPr>
        <w:t>caelatus</w:t>
      </w:r>
      <w:r w:rsidRPr="00A5719A">
        <w:rPr>
          <w:rFonts w:eastAsia="Times New Roman" w:cs="Times New Roman"/>
          <w:i w:val="0"/>
          <w:iCs w:val="0"/>
          <w:color w:val="000000"/>
          <w:sz w:val="20"/>
          <w:szCs w:val="20"/>
          <w:lang w:eastAsia="es-CR"/>
        </w:rPr>
        <w:t xml:space="preserve"> con potencial actividad antimicrobiana.</w:t>
      </w:r>
      <w:bookmarkEnd w:id="130"/>
      <w:r w:rsidR="0066057D">
        <w:rPr>
          <w:rFonts w:eastAsia="Times New Roman" w:cs="Times New Roman"/>
          <w:i w:val="0"/>
          <w:iCs w:val="0"/>
          <w:color w:val="000000"/>
          <w:sz w:val="20"/>
          <w:szCs w:val="20"/>
          <w:lang w:eastAsia="es-CR"/>
        </w:rPr>
        <w:t xml:space="preserve"> </w:t>
      </w:r>
      <w:r w:rsidR="0066057D" w:rsidRPr="0066057D">
        <w:rPr>
          <w:rFonts w:eastAsia="Times New Roman" w:cs="Times New Roman"/>
          <w:i w:val="0"/>
          <w:iCs w:val="0"/>
          <w:color w:val="000000"/>
          <w:sz w:val="20"/>
          <w:szCs w:val="20"/>
          <w:lang w:eastAsia="es-CR"/>
        </w:rPr>
        <w:t>Gradiente de color asociada a valores de distancia genética, colores cercanos a paleta amarilla indican altas distancias y colores cercanos a la paleta azul indican lo opuesto.</w:t>
      </w:r>
      <w:bookmarkEnd w:id="131"/>
    </w:p>
    <w:p w14:paraId="061C3901" w14:textId="652B005A" w:rsidR="00A5719A" w:rsidRDefault="00A5719A" w:rsidP="00A5719A">
      <w:pPr>
        <w:pStyle w:val="Descripcin"/>
        <w:jc w:val="left"/>
        <w:rPr>
          <w:rFonts w:eastAsia="Times New Roman" w:cs="Times New Roman"/>
          <w:i w:val="0"/>
          <w:iCs w:val="0"/>
          <w:color w:val="000000"/>
          <w:sz w:val="20"/>
          <w:szCs w:val="20"/>
          <w:lang w:eastAsia="es-CR"/>
        </w:rPr>
      </w:pPr>
    </w:p>
    <w:p w14:paraId="040BAA7C" w14:textId="77777777" w:rsidR="00A5719A" w:rsidRDefault="00A5719A" w:rsidP="00A5719A">
      <w:pPr>
        <w:rPr>
          <w:lang w:eastAsia="es-CR"/>
        </w:rPr>
      </w:pPr>
    </w:p>
    <w:p w14:paraId="1AD93286" w14:textId="77777777" w:rsidR="00474CD9" w:rsidRDefault="00DC6E9A" w:rsidP="002D6787">
      <w:pPr>
        <w:pStyle w:val="Titulo10"/>
        <w:numPr>
          <w:ilvl w:val="0"/>
          <w:numId w:val="19"/>
        </w:numPr>
        <w:spacing w:before="0"/>
        <w:rPr>
          <w:lang w:eastAsia="es-CR"/>
        </w:rPr>
      </w:pPr>
      <w:bookmarkStart w:id="132" w:name="_Toc24018785"/>
      <w:bookmarkStart w:id="133" w:name="_Toc140204086"/>
      <w:r>
        <w:rPr>
          <w:lang w:eastAsia="es-CR"/>
        </w:rPr>
        <w:lastRenderedPageBreak/>
        <w:t>Discusión</w:t>
      </w:r>
      <w:bookmarkEnd w:id="132"/>
      <w:bookmarkEnd w:id="133"/>
    </w:p>
    <w:p w14:paraId="12357AC3" w14:textId="77777777" w:rsidR="001A6AC8" w:rsidRDefault="001A6AC8" w:rsidP="001A6AC8">
      <w:pPr>
        <w:pStyle w:val="Titulo10"/>
        <w:spacing w:before="0"/>
        <w:ind w:left="360"/>
        <w:jc w:val="both"/>
        <w:rPr>
          <w:lang w:eastAsia="es-CR"/>
        </w:rPr>
      </w:pPr>
    </w:p>
    <w:p w14:paraId="03E72203" w14:textId="55D39AA4" w:rsidR="00F3537A" w:rsidRDefault="00F3537A" w:rsidP="00874997">
      <w:pPr>
        <w:pStyle w:val="Titulo20"/>
        <w:spacing w:after="0"/>
        <w:ind w:left="360"/>
        <w:rPr>
          <w:lang w:eastAsia="es-CR"/>
        </w:rPr>
      </w:pPr>
      <w:bookmarkStart w:id="134" w:name="_Toc140204087"/>
      <w:r>
        <w:rPr>
          <w:lang w:eastAsia="es-CR"/>
        </w:rPr>
        <w:t>5.1 Aislamiento</w:t>
      </w:r>
      <w:bookmarkEnd w:id="134"/>
      <w:r>
        <w:rPr>
          <w:lang w:eastAsia="es-CR"/>
        </w:rPr>
        <w:t xml:space="preserve"> </w:t>
      </w:r>
    </w:p>
    <w:p w14:paraId="10BEB2F7" w14:textId="05471981" w:rsidR="00090E26" w:rsidRDefault="00212AEC" w:rsidP="001A6AC8">
      <w:pPr>
        <w:spacing w:after="0"/>
        <w:ind w:firstLine="708"/>
        <w:rPr>
          <w:lang w:eastAsia="es-CR"/>
        </w:rPr>
      </w:pPr>
      <w:r>
        <w:rPr>
          <w:lang w:eastAsia="es-CR"/>
        </w:rPr>
        <w:t>Los hongos marinos</w:t>
      </w:r>
      <w:r w:rsidR="00090E26">
        <w:rPr>
          <w:lang w:eastAsia="es-CR"/>
        </w:rPr>
        <w:t xml:space="preserve"> </w:t>
      </w:r>
      <w:r>
        <w:rPr>
          <w:lang w:eastAsia="es-CR"/>
        </w:rPr>
        <w:t>aislad</w:t>
      </w:r>
      <w:r w:rsidR="006A6FDD">
        <w:rPr>
          <w:lang w:eastAsia="es-CR"/>
        </w:rPr>
        <w:t>o</w:t>
      </w:r>
      <w:r>
        <w:rPr>
          <w:lang w:eastAsia="es-CR"/>
        </w:rPr>
        <w:t>s</w:t>
      </w:r>
      <w:r w:rsidR="00090E26" w:rsidRPr="00090E26">
        <w:rPr>
          <w:lang w:eastAsia="es-CR"/>
        </w:rPr>
        <w:t xml:space="preserve"> permitieron </w:t>
      </w:r>
      <w:r w:rsidR="00090E26">
        <w:rPr>
          <w:lang w:eastAsia="es-CR"/>
        </w:rPr>
        <w:t>e</w:t>
      </w:r>
      <w:r>
        <w:rPr>
          <w:lang w:eastAsia="es-CR"/>
        </w:rPr>
        <w:t>videnciar</w:t>
      </w:r>
      <w:r w:rsidR="00090E26" w:rsidRPr="00090E26">
        <w:rPr>
          <w:lang w:eastAsia="es-CR"/>
        </w:rPr>
        <w:t xml:space="preserve"> la diversidad fúngica presente en el ecosistema marino de manglar </w:t>
      </w:r>
      <w:r w:rsidR="004053EC">
        <w:rPr>
          <w:lang w:eastAsia="es-CR"/>
        </w:rPr>
        <w:t>ubicado en</w:t>
      </w:r>
      <w:r w:rsidR="00090E26" w:rsidRPr="00090E26">
        <w:rPr>
          <w:lang w:eastAsia="es-CR"/>
        </w:rPr>
        <w:t xml:space="preserve"> Puntarenas</w:t>
      </w:r>
      <w:r w:rsidR="00E07EFC">
        <w:rPr>
          <w:lang w:eastAsia="es-CR"/>
        </w:rPr>
        <w:t xml:space="preserve"> de </w:t>
      </w:r>
      <w:r w:rsidR="00090E26" w:rsidRPr="00090E26">
        <w:rPr>
          <w:lang w:eastAsia="es-CR"/>
        </w:rPr>
        <w:t xml:space="preserve">Costa Rica, </w:t>
      </w:r>
      <w:r>
        <w:rPr>
          <w:lang w:eastAsia="es-CR"/>
        </w:rPr>
        <w:t>debido a</w:t>
      </w:r>
      <w:r w:rsidR="00090E26" w:rsidRPr="00090E26">
        <w:rPr>
          <w:lang w:eastAsia="es-CR"/>
        </w:rPr>
        <w:t xml:space="preserve"> que, a pesar de partir de </w:t>
      </w:r>
      <w:r w:rsidR="00131D73">
        <w:rPr>
          <w:lang w:eastAsia="es-CR"/>
        </w:rPr>
        <w:t>un muestreo pequeño y un aislamiento simple</w:t>
      </w:r>
      <w:r w:rsidR="00090E26" w:rsidRPr="00090E26">
        <w:rPr>
          <w:lang w:eastAsia="es-CR"/>
        </w:rPr>
        <w:t>, se logr</w:t>
      </w:r>
      <w:r>
        <w:rPr>
          <w:lang w:eastAsia="es-CR"/>
        </w:rPr>
        <w:t>aron</w:t>
      </w:r>
      <w:r w:rsidR="00090E26" w:rsidRPr="00090E26">
        <w:rPr>
          <w:lang w:eastAsia="es-CR"/>
        </w:rPr>
        <w:t xml:space="preserve"> obtener 2</w:t>
      </w:r>
      <w:r w:rsidR="00131D73">
        <w:rPr>
          <w:lang w:eastAsia="es-CR"/>
        </w:rPr>
        <w:t>1</w:t>
      </w:r>
      <w:r w:rsidR="00090E26" w:rsidRPr="00090E26">
        <w:rPr>
          <w:lang w:eastAsia="es-CR"/>
        </w:rPr>
        <w:t xml:space="preserve"> cepas de hongos marinos con características morfológicas muy variadas. </w:t>
      </w:r>
      <w:r>
        <w:rPr>
          <w:lang w:eastAsia="es-CR"/>
        </w:rPr>
        <w:t xml:space="preserve">Por otro lado, </w:t>
      </w:r>
      <w:r w:rsidR="00F14B71">
        <w:rPr>
          <w:lang w:eastAsia="es-CR"/>
        </w:rPr>
        <w:t>la cantidad de cepas aisladas de los sedimentos fangosos</w:t>
      </w:r>
      <w:r w:rsidR="00E168F4">
        <w:rPr>
          <w:lang w:eastAsia="es-CR"/>
        </w:rPr>
        <w:t>,</w:t>
      </w:r>
      <w:r w:rsidR="007F08B6">
        <w:rPr>
          <w:lang w:eastAsia="es-CR"/>
        </w:rPr>
        <w:t xml:space="preserve"> </w:t>
      </w:r>
      <w:r w:rsidR="00E168F4">
        <w:rPr>
          <w:lang w:eastAsia="es-CR"/>
        </w:rPr>
        <w:t xml:space="preserve">en comparación a las del sitio arenoso, </w:t>
      </w:r>
      <w:r w:rsidR="007F08B6">
        <w:rPr>
          <w:lang w:eastAsia="es-CR"/>
        </w:rPr>
        <w:t xml:space="preserve">podrían </w:t>
      </w:r>
      <w:r w:rsidR="00090E26" w:rsidRPr="00090E26">
        <w:rPr>
          <w:lang w:eastAsia="es-CR"/>
        </w:rPr>
        <w:t>suger</w:t>
      </w:r>
      <w:r w:rsidR="007F08B6">
        <w:rPr>
          <w:lang w:eastAsia="es-CR"/>
        </w:rPr>
        <w:t>ir</w:t>
      </w:r>
      <w:r w:rsidR="00090E26" w:rsidRPr="00090E26">
        <w:rPr>
          <w:lang w:eastAsia="es-CR"/>
        </w:rPr>
        <w:t xml:space="preserve"> una mayor diversidad fúngica </w:t>
      </w:r>
      <w:r>
        <w:rPr>
          <w:lang w:eastAsia="es-CR"/>
        </w:rPr>
        <w:t>presente en</w:t>
      </w:r>
      <w:r w:rsidR="00090E26" w:rsidRPr="00090E26">
        <w:rPr>
          <w:lang w:eastAsia="es-CR"/>
        </w:rPr>
        <w:t xml:space="preserve"> </w:t>
      </w:r>
      <w:r w:rsidR="007F08B6">
        <w:rPr>
          <w:lang w:eastAsia="es-CR"/>
        </w:rPr>
        <w:t>este tipo de ambientes</w:t>
      </w:r>
      <w:r w:rsidR="00090E26" w:rsidRPr="00090E26">
        <w:rPr>
          <w:lang w:eastAsia="es-CR"/>
        </w:rPr>
        <w:t>, sin embargo, para confirmarlo es necesario</w:t>
      </w:r>
      <w:r>
        <w:rPr>
          <w:lang w:eastAsia="es-CR"/>
        </w:rPr>
        <w:t xml:space="preserve"> aumentar la cantidad de muestras, así como incorporar más medios de cultivo, diferentes temperaturas de </w:t>
      </w:r>
      <w:r w:rsidR="00CE3A2E">
        <w:rPr>
          <w:lang w:eastAsia="es-CR"/>
        </w:rPr>
        <w:t>crecimiento</w:t>
      </w:r>
      <w:r w:rsidR="004A7D45">
        <w:rPr>
          <w:lang w:eastAsia="es-CR"/>
        </w:rPr>
        <w:t xml:space="preserve"> y</w:t>
      </w:r>
      <w:r w:rsidR="00236FE4">
        <w:rPr>
          <w:lang w:eastAsia="es-CR"/>
        </w:rPr>
        <w:t xml:space="preserve"> </w:t>
      </w:r>
      <w:r>
        <w:rPr>
          <w:lang w:eastAsia="es-CR"/>
        </w:rPr>
        <w:t xml:space="preserve">emplear </w:t>
      </w:r>
      <w:r w:rsidR="00CE3A2E">
        <w:rPr>
          <w:lang w:eastAsia="es-CR"/>
        </w:rPr>
        <w:t>otras metodologías de aislamiento.</w:t>
      </w:r>
    </w:p>
    <w:p w14:paraId="300AA5D4" w14:textId="77777777" w:rsidR="001A6AC8" w:rsidRDefault="001A6AC8" w:rsidP="001A6AC8">
      <w:pPr>
        <w:spacing w:after="0"/>
        <w:ind w:firstLine="708"/>
        <w:rPr>
          <w:lang w:eastAsia="es-CR"/>
        </w:rPr>
      </w:pPr>
    </w:p>
    <w:p w14:paraId="5B68EDD7" w14:textId="75030F78" w:rsidR="00F3537A" w:rsidRPr="00A43E5D" w:rsidRDefault="00952342" w:rsidP="00874997">
      <w:pPr>
        <w:pStyle w:val="Titulo20"/>
        <w:spacing w:after="0"/>
        <w:rPr>
          <w:lang w:eastAsia="es-CR"/>
        </w:rPr>
      </w:pPr>
      <w:r w:rsidRPr="00A43E5D">
        <w:rPr>
          <w:sz w:val="22"/>
          <w:szCs w:val="18"/>
          <w:lang w:eastAsia="es-CR"/>
        </w:rPr>
        <w:t xml:space="preserve">   </w:t>
      </w:r>
      <w:bookmarkStart w:id="135" w:name="_Toc140204088"/>
      <w:r w:rsidR="00026254" w:rsidRPr="00A43E5D">
        <w:rPr>
          <w:lang w:eastAsia="es-CR"/>
        </w:rPr>
        <w:t>5.2 Selección</w:t>
      </w:r>
      <w:r w:rsidR="00747C3E" w:rsidRPr="00A43E5D">
        <w:rPr>
          <w:rFonts w:eastAsia="Times New Roman"/>
          <w:lang w:eastAsia="es-CR"/>
        </w:rPr>
        <w:t xml:space="preserve"> preliminar</w:t>
      </w:r>
      <w:bookmarkEnd w:id="135"/>
      <w:r w:rsidR="00747C3E" w:rsidRPr="00A43E5D">
        <w:rPr>
          <w:rFonts w:eastAsia="Times New Roman"/>
          <w:lang w:eastAsia="es-CR"/>
        </w:rPr>
        <w:t xml:space="preserve"> </w:t>
      </w:r>
      <w:r w:rsidR="008246E3">
        <w:rPr>
          <w:rFonts w:eastAsia="Times New Roman"/>
          <w:lang w:eastAsia="es-CR"/>
        </w:rPr>
        <w:t>de los hongos</w:t>
      </w:r>
    </w:p>
    <w:p w14:paraId="1F5CE440" w14:textId="11C91304" w:rsidR="006C4A68" w:rsidRPr="00FE6F24" w:rsidRDefault="0087353F" w:rsidP="00425A71">
      <w:pPr>
        <w:ind w:firstLine="708"/>
        <w:rPr>
          <w:lang w:eastAsia="es-CR"/>
        </w:rPr>
      </w:pPr>
      <w:r w:rsidRPr="0087353F">
        <w:rPr>
          <w:lang w:eastAsia="es-CR"/>
        </w:rPr>
        <w:t xml:space="preserve">La metodología empleada para la selección preliminar de los hongos involucró diversos elementos que estimularon la producción de metabolitos con actividad antimicrobiana, </w:t>
      </w:r>
      <w:r w:rsidR="000E32C8" w:rsidRPr="000E32C8">
        <w:rPr>
          <w:lang w:eastAsia="es-CR"/>
        </w:rPr>
        <w:t>entre ellos, el co-cultivo en placa con bacterias.</w:t>
      </w:r>
      <w:r w:rsidR="00425A71">
        <w:rPr>
          <w:lang w:eastAsia="es-CR"/>
        </w:rPr>
        <w:t xml:space="preserve"> </w:t>
      </w:r>
      <w:r w:rsidR="006B701F">
        <w:rPr>
          <w:lang w:eastAsia="es-CR"/>
        </w:rPr>
        <w:t>Si bien es cierto</w:t>
      </w:r>
      <w:r w:rsidR="00C50EB7">
        <w:rPr>
          <w:lang w:eastAsia="es-CR"/>
        </w:rPr>
        <w:t xml:space="preserve"> otros </w:t>
      </w:r>
      <w:r w:rsidR="00425A71">
        <w:rPr>
          <w:lang w:eastAsia="es-CR"/>
        </w:rPr>
        <w:t>estudios</w:t>
      </w:r>
      <w:r w:rsidR="00C50EB7">
        <w:rPr>
          <w:lang w:eastAsia="es-CR"/>
        </w:rPr>
        <w:t xml:space="preserve"> han </w:t>
      </w:r>
      <w:r w:rsidR="00425A71">
        <w:rPr>
          <w:lang w:eastAsia="es-CR"/>
        </w:rPr>
        <w:t>utilizado</w:t>
      </w:r>
      <w:r w:rsidR="00BC7657">
        <w:rPr>
          <w:lang w:eastAsia="es-CR"/>
        </w:rPr>
        <w:t xml:space="preserve"> </w:t>
      </w:r>
      <w:r w:rsidR="00B25117">
        <w:rPr>
          <w:lang w:eastAsia="es-CR"/>
        </w:rPr>
        <w:t>co-cultivo</w:t>
      </w:r>
      <w:r w:rsidR="003544E7">
        <w:rPr>
          <w:lang w:eastAsia="es-CR"/>
        </w:rPr>
        <w:t>s</w:t>
      </w:r>
      <w:r w:rsidR="00B25117">
        <w:rPr>
          <w:lang w:eastAsia="es-CR"/>
        </w:rPr>
        <w:t xml:space="preserve"> para </w:t>
      </w:r>
      <w:r w:rsidR="001707F2">
        <w:rPr>
          <w:lang w:eastAsia="es-CR"/>
        </w:rPr>
        <w:t>estimular</w:t>
      </w:r>
      <w:r w:rsidR="00252B5D">
        <w:rPr>
          <w:lang w:eastAsia="es-CR"/>
        </w:rPr>
        <w:t xml:space="preserve"> la producción de </w:t>
      </w:r>
      <w:r w:rsidR="006F5675">
        <w:rPr>
          <w:lang w:eastAsia="es-CR"/>
        </w:rPr>
        <w:t>nuevos compuestos</w:t>
      </w:r>
      <w:r w:rsidR="00902F56">
        <w:rPr>
          <w:lang w:eastAsia="es-CR"/>
        </w:rPr>
        <w:t xml:space="preserve"> </w:t>
      </w:r>
      <w:r w:rsidR="00902F56">
        <w:rPr>
          <w:lang w:eastAsia="es-CR"/>
        </w:rPr>
        <w:fldChar w:fldCharType="begin" w:fldLock="1"/>
      </w:r>
      <w:r w:rsidR="00787BC6">
        <w:rPr>
          <w:lang w:eastAsia="es-CR"/>
        </w:rPr>
        <w:instrText>ADDIN CSL_CITATION {"citationItems":[{"id":"ITEM-1","itemData":{"DOI":"10.3390/microorganisms11020464","ISSN":"20762607","abstract":"Fungi are an important and prolific source of secondary metabolites (SMs) with diverse chemical structures and a wide array of biological properties. In the past two decades, however, the number of new fungal SMs by traditional monoculture method had been greatly decreasing. Fortunately, a growing number of studies have shown that co-culture strategy is an effective approach to awakening silent SM biosynthetic gene clusters (BGCs) in fungal strains to produce cryptic SMs. To enrich our knowledge of this approach and better exploit fungal biosynthetic potential for new drug discovery, this review comprehensively summarizes all fungal co-culture methods and their derived new SMs as well as bioactivities on the basis of an extensive literature search and data analysis. Future perspective on fungal co-culture study, as well as its interaction mechanism, is supplied.","author":[{"dropping-particle":"","family":"Xu","given":"Shuang","non-dropping-particle":"","parse-names":false,"suffix":""},{"dropping-particle":"","family":"Li","given":"Mengshi","non-dropping-particle":"","parse-names":false,"suffix":""},{"dropping-particle":"","family":"Hu","given":"Zhe","non-dropping-particle":"","parse-names":false,"suffix":""},{"dropping-particle":"","family":"Shao","given":"Yilan","non-dropping-particle":"","parse-names":false,"suffix":""},{"dropping-particle":"","family":"Ying","given":"Jialiang","non-dropping-particle":"","parse-names":false,"suffix":""},{"dropping-particle":"","family":"Zhang","given":"Huawei","non-dropping-particle":"","parse-names":false,"suffix":""}],"container-title":"Microorganisms","id":"ITEM-1","issue":"2","issued":{"date-parts":[["2023"]]},"title":"The Potential Use of Fungal Co-Culture Strategy for Discovery of New Secondary Metabolites","type":"article-journal","volume":"11"},"uris":["http://www.mendeley.com/documents/?uuid=3677d60f-4828-4ca6-9327-c0b68981a92d"]},{"id":"ITEM-2","itemData":{"DOI":"10.1016/j.biotechadv.2014.03.001","ISBN":"1873-1899 (Electronic)\\r0734-9750 (Linking)","ISSN":"07349750","PMID":"24651031","abstract":"Microorganisms have a long track record as important sources of novel bioactive natural products, particularly in the field of drug discovery. While microbes have been shown to biosynthesize a wide array of molecules, recent advances in genome sequencing have revealed that such organisms have the potential to yield even more structurally diverse secondary metabolites. Thus, many microbial gene clusters may be silent under standard laboratory growth conditions. In the last ten years, several methods have been developed to aid in the activation of these cryptic biosynthetic pathways. In addition to the techniques that demand prior knowledge of the genome sequences of the studied microorganisms, several genome sequence-independent tools have been developed. One of these approaches is microorganism co-culture, involving the cultivation of two or more microorganisms in the same confined environment. Microorganism co-culture is inspired by the natural microbe communities that are omnipresent in nature. Within these communities, microbes interact through signaling or defense molecules. Such compounds, produced dynamically, are of potential interest as new leads for drug discovery. Microorganism co-culture can be achieved in either solid or liquid media and has recently been used increasingly extensively to study natural interactions and discover new bioactive metabolites. Because of the complexity of microbial extracts, advanced analytical methods (e.g., mass spectrometry methods and metabolomics) are key for the successful detection and identification of co-culture-induced metabolites.This review focuses on co-culture studies that aim to increase the diversity of metabolites obtained from microbes. The various strategies are summarized with a special emphasis on the multiple methods of performing co-culture experiments. The analytical approaches for studying these interaction phenomena are discussed, and the chemical diversity and biological activity observed among the induced metabolites are described.","author":[{"dropping-particle":"","family":"Bertrand","given":"Samuel","non-dropping-particle":"","parse-names":false,"suffix":""},{"dropping-particle":"","family":"Bohni","given":"Nadine","non-dropping-particle":"","parse-names":false,"suffix":""},{"dropping-particle":"","family":"Schnee","given":"Sylvain","non-dropping-particle":"","parse-names":false,"suffix":""},{"dropping-particle":"","family":"Schumpp","given":"Olivier","non-dropping-particle":"","parse-names":false,"suffix":""},{"dropping-particle":"","family":"Gindro","given":"Katia","non-dropping-particle":"","parse-names":false,"suffix":""},{"dropping-particle":"","family":"Wolfender","given":"Jean Luc","non-dropping-particle":"","parse-names":false,"suffix":""}],"container-title":"Biotechnology Advances","id":"ITEM-2","issue":"6","issued":{"date-parts":[["2014"]]},"page":"1180-1204","publisher":"Elsevier Inc.","title":"Metabolite induction via microorganism co-culture: A potential way to enhance chemical diversity for drug discovery","type":"article-journal","volume":"32"},"uris":["http://www.mendeley.com/documents/?uuid=bd1f9ce7-b992-41fa-b5c8-5a0e4a89c9b7"]},{"id":"ITEM-3","itemData":{"DOI":"10.19080/napdd.2017.02.555594","author":[{"dropping-particle":"","family":"KA","given":"Krishnan Athira","non-dropping-particle":"","parse-names":false,"suffix":""},{"dropping-particle":"","family":"TR","given":"Keerthi","non-dropping-particle":"","parse-names":false,"suffix":""}],"container-title":"Novel Approaches in Drug Designing &amp; Development","id":"ITEM-3","issue":"4","issued":{"date-parts":[["2017"]]},"page":"10-13","title":"Co-Culture as the Novel Approach for Drug Discovery from Marine Environment","type":"article-journal","volume":"2"},"uris":["http://www.mendeley.com/documents/?uuid=1ea82bfe-2630-41e7-a56d-357fd3f61a08"]}],"mendeley":{"formattedCitation":"(Bertrand et al., 2014; KA &amp; TR, 2017; S. Xu et al., 2023)","plainTextFormattedCitation":"(Bertrand et al., 2014; KA &amp; TR, 2017; S. Xu et al., 2023)","previouslyFormattedCitation":"(Bertrand et al., 2014; KA &amp; TR, 2017; S. Xu et al., 2023)"},"properties":{"noteIndex":0},"schema":"https://github.com/citation-style-language/schema/raw/master/csl-citation.json"}</w:instrText>
      </w:r>
      <w:r w:rsidR="00902F56">
        <w:rPr>
          <w:lang w:eastAsia="es-CR"/>
        </w:rPr>
        <w:fldChar w:fldCharType="separate"/>
      </w:r>
      <w:r w:rsidR="00986CE2" w:rsidRPr="00986CE2">
        <w:rPr>
          <w:noProof/>
          <w:lang w:eastAsia="es-CR"/>
        </w:rPr>
        <w:t>(Bertrand et al., 2014;</w:t>
      </w:r>
      <w:r w:rsidR="006D23AF" w:rsidRPr="006D23AF">
        <w:t xml:space="preserve"> </w:t>
      </w:r>
      <w:r w:rsidR="006D23AF" w:rsidRPr="006D23AF">
        <w:rPr>
          <w:noProof/>
          <w:lang w:eastAsia="es-CR"/>
        </w:rPr>
        <w:t>Keerthi</w:t>
      </w:r>
      <w:r w:rsidR="006D23AF">
        <w:rPr>
          <w:noProof/>
          <w:lang w:eastAsia="es-CR"/>
        </w:rPr>
        <w:t xml:space="preserve">, </w:t>
      </w:r>
      <w:r w:rsidR="006D23AF" w:rsidRPr="006D23AF">
        <w:rPr>
          <w:noProof/>
          <w:lang w:eastAsia="es-CR"/>
        </w:rPr>
        <w:t>2017</w:t>
      </w:r>
      <w:r w:rsidR="00986CE2" w:rsidRPr="00986CE2">
        <w:rPr>
          <w:noProof/>
          <w:lang w:eastAsia="es-CR"/>
        </w:rPr>
        <w:t>; S. Xu et al., 2023)</w:t>
      </w:r>
      <w:r w:rsidR="00902F56">
        <w:rPr>
          <w:lang w:eastAsia="es-CR"/>
        </w:rPr>
        <w:fldChar w:fldCharType="end"/>
      </w:r>
      <w:r w:rsidR="00142C94">
        <w:rPr>
          <w:lang w:eastAsia="es-CR"/>
        </w:rPr>
        <w:t xml:space="preserve">, hasta el momento no </w:t>
      </w:r>
      <w:r w:rsidR="0034752F">
        <w:rPr>
          <w:lang w:eastAsia="es-CR"/>
        </w:rPr>
        <w:t>se han reportado</w:t>
      </w:r>
      <w:r w:rsidR="00142C94">
        <w:rPr>
          <w:lang w:eastAsia="es-CR"/>
        </w:rPr>
        <w:t xml:space="preserve"> metodologías </w:t>
      </w:r>
      <w:r w:rsidR="00DA0FF9">
        <w:rPr>
          <w:lang w:eastAsia="es-CR"/>
        </w:rPr>
        <w:t>de</w:t>
      </w:r>
      <w:r w:rsidR="00142C94">
        <w:rPr>
          <w:lang w:eastAsia="es-CR"/>
        </w:rPr>
        <w:t xml:space="preserve"> co-cultivo </w:t>
      </w:r>
      <w:r w:rsidR="00CF777B">
        <w:rPr>
          <w:lang w:eastAsia="es-CR"/>
        </w:rPr>
        <w:t>como el realizado en esta investigación</w:t>
      </w:r>
      <w:r w:rsidR="009863F4">
        <w:rPr>
          <w:lang w:eastAsia="es-CR"/>
        </w:rPr>
        <w:t>.</w:t>
      </w:r>
      <w:r w:rsidR="00A3375F">
        <w:rPr>
          <w:lang w:eastAsia="es-CR"/>
        </w:rPr>
        <w:t xml:space="preserve"> </w:t>
      </w:r>
      <w:r w:rsidR="006C4A68">
        <w:rPr>
          <w:lang w:eastAsia="es-CR"/>
        </w:rPr>
        <w:t xml:space="preserve"> </w:t>
      </w:r>
      <w:r w:rsidR="006C4A68" w:rsidRPr="006C4A68">
        <w:rPr>
          <w:lang w:eastAsia="es-CR"/>
        </w:rPr>
        <w:t>Al exponer previa</w:t>
      </w:r>
      <w:r w:rsidR="006C4A68">
        <w:rPr>
          <w:lang w:eastAsia="es-CR"/>
        </w:rPr>
        <w:t xml:space="preserve"> y </w:t>
      </w:r>
      <w:r w:rsidR="00844357">
        <w:rPr>
          <w:lang w:eastAsia="es-CR"/>
        </w:rPr>
        <w:t>prolongada</w:t>
      </w:r>
      <w:r w:rsidR="00844357" w:rsidRPr="006C4A68">
        <w:rPr>
          <w:lang w:eastAsia="es-CR"/>
        </w:rPr>
        <w:t>mente</w:t>
      </w:r>
      <w:r w:rsidR="006C4A68" w:rsidRPr="006C4A68">
        <w:rPr>
          <w:lang w:eastAsia="es-CR"/>
        </w:rPr>
        <w:t xml:space="preserve"> los hongos a las bacterias, se puede emular un ambiente competitivo similar al que se presenta en la naturaleza y estimular la actividad antimicrobiana de los hongos</w:t>
      </w:r>
      <w:r w:rsidR="006C4A68">
        <w:rPr>
          <w:lang w:eastAsia="es-CR"/>
        </w:rPr>
        <w:t xml:space="preserve"> </w:t>
      </w:r>
      <w:r w:rsidR="009708DC" w:rsidRPr="009708DC">
        <w:rPr>
          <w:lang w:eastAsia="es-CR"/>
        </w:rPr>
        <w:t>(</w:t>
      </w:r>
      <w:proofErr w:type="spellStart"/>
      <w:r w:rsidR="009708DC" w:rsidRPr="009708DC">
        <w:rPr>
          <w:lang w:eastAsia="es-CR"/>
        </w:rPr>
        <w:t>Keerthi</w:t>
      </w:r>
      <w:proofErr w:type="spellEnd"/>
      <w:r w:rsidR="009708DC" w:rsidRPr="009708DC">
        <w:rPr>
          <w:lang w:eastAsia="es-CR"/>
        </w:rPr>
        <w:t>, 2017)</w:t>
      </w:r>
      <w:r w:rsidR="009708DC">
        <w:rPr>
          <w:lang w:eastAsia="es-CR"/>
        </w:rPr>
        <w:t xml:space="preserve">. </w:t>
      </w:r>
      <w:r w:rsidR="006C4A68" w:rsidRPr="006C4A68">
        <w:rPr>
          <w:lang w:eastAsia="es-CR"/>
        </w:rPr>
        <w:t>Sin embargo,</w:t>
      </w:r>
      <w:r w:rsidR="00F74B79">
        <w:rPr>
          <w:lang w:eastAsia="es-CR"/>
        </w:rPr>
        <w:t xml:space="preserve"> siguen siendo necesarios</w:t>
      </w:r>
      <w:r w:rsidR="006C4A68" w:rsidRPr="006C4A68">
        <w:rPr>
          <w:lang w:eastAsia="es-CR"/>
        </w:rPr>
        <w:t xml:space="preserve"> más ensayos para comparar la actividad de las cepas fúngicas con y sin co-cultivo y confirmar </w:t>
      </w:r>
      <w:r w:rsidR="00F74B79">
        <w:rPr>
          <w:lang w:eastAsia="es-CR"/>
        </w:rPr>
        <w:t xml:space="preserve">así </w:t>
      </w:r>
      <w:r w:rsidR="006C4A68" w:rsidRPr="006C4A68">
        <w:rPr>
          <w:lang w:eastAsia="es-CR"/>
        </w:rPr>
        <w:t>la eficacia de esta técnica.</w:t>
      </w:r>
      <w:r w:rsidR="00D7240A">
        <w:rPr>
          <w:lang w:eastAsia="es-CR"/>
        </w:rPr>
        <w:t xml:space="preserve"> De igual manera, </w:t>
      </w:r>
      <w:r w:rsidR="00725670">
        <w:rPr>
          <w:lang w:eastAsia="es-CR"/>
        </w:rPr>
        <w:t xml:space="preserve">es necesario incluir curvas de crecimiento de las cepas fúngicas en cuestión con el objetivo de </w:t>
      </w:r>
      <w:r w:rsidR="000A75AA">
        <w:rPr>
          <w:lang w:eastAsia="es-CR"/>
        </w:rPr>
        <w:t xml:space="preserve">sincronizar los cultivos con las fases estacionarias </w:t>
      </w:r>
      <w:r w:rsidR="00730E67">
        <w:rPr>
          <w:lang w:eastAsia="es-CR"/>
        </w:rPr>
        <w:t>y así obtener mejores rendimientos.</w:t>
      </w:r>
    </w:p>
    <w:p w14:paraId="5AC9716F" w14:textId="351AED4C" w:rsidR="00A1437D" w:rsidRDefault="00207119" w:rsidP="00C65DBB">
      <w:pPr>
        <w:ind w:firstLine="708"/>
        <w:rPr>
          <w:lang w:eastAsia="es-CR"/>
        </w:rPr>
      </w:pPr>
      <w:r w:rsidRPr="00207119">
        <w:rPr>
          <w:lang w:eastAsia="es-CR"/>
        </w:rPr>
        <w:t xml:space="preserve">En cuanto a los efectos de la sal en la actividad antimicrobiana, </w:t>
      </w:r>
      <w:r w:rsidR="00A54BD5">
        <w:rPr>
          <w:lang w:eastAsia="es-CR"/>
        </w:rPr>
        <w:t>i</w:t>
      </w:r>
      <w:r w:rsidR="00A54BD5" w:rsidRPr="00A54BD5">
        <w:rPr>
          <w:lang w:eastAsia="es-CR"/>
        </w:rPr>
        <w:t xml:space="preserve">nvestigaciones anteriores han demostrado que la </w:t>
      </w:r>
      <w:r w:rsidR="00042AD2">
        <w:rPr>
          <w:lang w:eastAsia="es-CR"/>
        </w:rPr>
        <w:t>ausencia</w:t>
      </w:r>
      <w:r w:rsidR="00A54BD5" w:rsidRPr="00A54BD5">
        <w:rPr>
          <w:lang w:eastAsia="es-CR"/>
        </w:rPr>
        <w:t xml:space="preserve"> de sal puede actuar como un estímulo para la producción de metabolitos secundarios</w:t>
      </w:r>
      <w:r w:rsidR="00A54BD5">
        <w:rPr>
          <w:lang w:eastAsia="es-CR"/>
        </w:rPr>
        <w:t xml:space="preserve"> en ciertas especies de hongos marinos. </w:t>
      </w:r>
      <w:r w:rsidR="00403346">
        <w:rPr>
          <w:lang w:eastAsia="es-CR"/>
        </w:rPr>
        <w:t xml:space="preserve">Este </w:t>
      </w:r>
      <w:r w:rsidR="00F74B79">
        <w:rPr>
          <w:lang w:eastAsia="es-CR"/>
        </w:rPr>
        <w:t>fue</w:t>
      </w:r>
      <w:r w:rsidR="00403346">
        <w:rPr>
          <w:lang w:eastAsia="es-CR"/>
        </w:rPr>
        <w:t xml:space="preserve"> el caso </w:t>
      </w:r>
      <w:r w:rsidR="00C65FEC">
        <w:rPr>
          <w:lang w:eastAsia="es-CR"/>
        </w:rPr>
        <w:t xml:space="preserve">de varios hongos aislados </w:t>
      </w:r>
      <w:r w:rsidR="00F74B79">
        <w:rPr>
          <w:lang w:eastAsia="es-CR"/>
        </w:rPr>
        <w:t>de</w:t>
      </w:r>
      <w:r w:rsidR="00C65FEC">
        <w:rPr>
          <w:lang w:eastAsia="es-CR"/>
        </w:rPr>
        <w:t xml:space="preserve"> </w:t>
      </w:r>
      <w:r w:rsidR="00E568BF">
        <w:rPr>
          <w:lang w:eastAsia="es-CR"/>
        </w:rPr>
        <w:t xml:space="preserve">un manglar </w:t>
      </w:r>
      <w:r w:rsidR="00F74B79">
        <w:rPr>
          <w:lang w:eastAsia="es-CR"/>
        </w:rPr>
        <w:t>en</w:t>
      </w:r>
      <w:r w:rsidR="00E568BF">
        <w:rPr>
          <w:lang w:eastAsia="es-CR"/>
        </w:rPr>
        <w:t xml:space="preserve"> </w:t>
      </w:r>
      <w:r w:rsidR="00C65FEC">
        <w:rPr>
          <w:lang w:eastAsia="es-CR"/>
        </w:rPr>
        <w:t>Taiwán</w:t>
      </w:r>
      <w:r w:rsidR="00D024D2">
        <w:rPr>
          <w:lang w:eastAsia="es-CR"/>
        </w:rPr>
        <w:t xml:space="preserve"> </w:t>
      </w:r>
      <w:r w:rsidR="009436E0">
        <w:rPr>
          <w:lang w:eastAsia="es-CR"/>
        </w:rPr>
        <w:t>para los cuales su actividad antimicrobiana fue significativamente mayor cuando se utiliz</w:t>
      </w:r>
      <w:r w:rsidR="002470EB">
        <w:rPr>
          <w:lang w:eastAsia="es-CR"/>
        </w:rPr>
        <w:t xml:space="preserve">aron medios de cultivo sin </w:t>
      </w:r>
      <w:r w:rsidR="003F072C">
        <w:rPr>
          <w:lang w:eastAsia="es-CR"/>
        </w:rPr>
        <w:t>sal</w:t>
      </w:r>
      <w:r w:rsidR="00F74B79">
        <w:rPr>
          <w:lang w:eastAsia="es-CR"/>
        </w:rPr>
        <w:t xml:space="preserve"> que cuando los medios presentaban sal</w:t>
      </w:r>
      <w:r w:rsidR="00F530A0">
        <w:rPr>
          <w:lang w:eastAsia="es-CR"/>
        </w:rPr>
        <w:t xml:space="preserve"> </w:t>
      </w:r>
      <w:r w:rsidR="00F9375B">
        <w:rPr>
          <w:lang w:eastAsia="es-CR"/>
        </w:rPr>
        <w:fldChar w:fldCharType="begin" w:fldLock="1"/>
      </w:r>
      <w:r w:rsidR="00755888">
        <w:rPr>
          <w:lang w:eastAsia="es-CR"/>
        </w:rPr>
        <w:instrText>ADDIN CSL_CITATION {"citationItems":[{"id":"ITEM-1","itemData":{"DOI":"10.1007/s13131-011-0126-3","ISSN":"0253505X","abstract":"The study investigated the effects of salinity on growth, antimicrobial activities and secondary metabolites of 47 marine filamentous fungi isolated from the East China Sea near the western shore of the Taiwan Straits. The results indicate that NaCl promoted the growth up to 91.5% of test strains. However, only 14.9% of them showed a significant increase of antimicrobial activity against Candida albicans. When incubated in different concentrations of NaCl, the colony growth, antimicrobial activities and composition of secondary metabolites of the strain Ty01b-8 of Penicillium sp. varied. Treatment with KCl also showed a similar effect. An alkaloid isolated from the fermentation broth of Ty01b-8 was identified as chrysogine, inhibition activity of which against Hela cells was 15.05% at 20 μg/ml, and yield was 4.4 and 4.9 times higher in 3 percent and 6 percent NaCl treatments, respectively, compared with the non-salt culture condition. These findings prove that salinity is an important factor influencing growth and secondary metabolites of some marine fungi, which can be used to screen for new metabolites from marine fungi, and to enhance their metabolites production in industrial fermentation. © 2011 The Chinese Society of Oceanography and Springer-Verlag Berlin Heidelberg.","author":[{"dropping-particle":"","family":"Huang","given":"Jingjing","non-dropping-particle":"","parse-names":false,"suffix":""},{"dropping-particle":"","family":"Lu","given":"Chunhua","non-dropping-particle":"","parse-names":false,"suffix":""},{"dropping-particle":"","family":"Qian","given":"Xiaoming","non-dropping-particle":"","parse-names":false,"suffix":""},{"dropping-particle":"","family":"Huang","given":"Yaojian","non-dropping-particle":"","parse-names":false,"suffix":""},{"dropping-particle":"","family":"Zheng","given":"Zhonghui","non-dropping-particle":"","parse-names":false,"suffix":""},{"dropping-particle":"","family":"Shen","given":"Yuemao","non-dropping-particle":"","parse-names":false,"suffix":""}],"container-title":"Acta Oceanologica Sinica","id":"ITEM-1","issue":"3","issued":{"date-parts":[["2011"]]},"page":"118-123","title":"Effect of salinity on the growth, biological activity and secondary metabolites of some marine fungi","type":"article-journal","volume":"30"},"uris":["http://www.mendeley.com/documents/?uuid=3cf0a5f6-e0ca-44e0-856d-6467369f8cbd"]}],"mendeley":{"formattedCitation":"(J. Huang et al., 2011)","plainTextFormattedCitation":"(J. Huang et al., 2011)","previouslyFormattedCitation":"(J. Huang et al., 2011)"},"properties":{"noteIndex":0},"schema":"https://github.com/citation-style-language/schema/raw/master/csl-citation.json"}</w:instrText>
      </w:r>
      <w:r w:rsidR="00F9375B">
        <w:rPr>
          <w:lang w:eastAsia="es-CR"/>
        </w:rPr>
        <w:fldChar w:fldCharType="separate"/>
      </w:r>
      <w:r w:rsidR="00F9375B" w:rsidRPr="00F9375B">
        <w:rPr>
          <w:noProof/>
          <w:lang w:eastAsia="es-CR"/>
        </w:rPr>
        <w:t>(J. Huang et al., 2011)</w:t>
      </w:r>
      <w:r w:rsidR="00F9375B">
        <w:rPr>
          <w:lang w:eastAsia="es-CR"/>
        </w:rPr>
        <w:fldChar w:fldCharType="end"/>
      </w:r>
      <w:r w:rsidR="00F530A0">
        <w:rPr>
          <w:lang w:eastAsia="es-CR"/>
        </w:rPr>
        <w:t xml:space="preserve">. </w:t>
      </w:r>
      <w:r w:rsidR="00DE1B14">
        <w:rPr>
          <w:lang w:eastAsia="es-CR"/>
        </w:rPr>
        <w:t>Así también,</w:t>
      </w:r>
      <w:r w:rsidR="00757E37">
        <w:rPr>
          <w:lang w:eastAsia="es-CR"/>
        </w:rPr>
        <w:t xml:space="preserve"> </w:t>
      </w:r>
      <w:r w:rsidR="00F74B79">
        <w:rPr>
          <w:lang w:eastAsia="es-CR"/>
        </w:rPr>
        <w:t xml:space="preserve">en la investigación de </w:t>
      </w:r>
      <w:r w:rsidR="00F74B79">
        <w:rPr>
          <w:lang w:eastAsia="es-CR"/>
        </w:rPr>
        <w:fldChar w:fldCharType="begin" w:fldLock="1"/>
      </w:r>
      <w:r w:rsidR="00B446F1">
        <w:rPr>
          <w:lang w:eastAsia="es-CR"/>
        </w:rPr>
        <w:instrText>ADDIN CSL_CITATION {"citationItems":[{"id":"ITEM-1","itemData":{"DOI":"10.3390/microorganisms7010010","ISSN":"20762607","abstract":"Marine-derived fungi that inhabit severe changing environments have gained increasing interest for their ability to produce structurally unique natural products. Fungi belonging to the Talaromyces and the close Penicillium genera are among the most promising microbes for bioactive compound production, including colored metabolites. Coupling pigment producing capability with bioactive effectiveness would be a valuable challenge in some specific fields such as dyeing, cosmeceutical, or food industries. In this sense, Talaromyces albobiverticillius 30548, a red pigment producing strain, has been isolated from the marine environment of Reunion Island, Indian Ocean. In this research, we analyzed the effect of temperatures (21–27◦ C) and salinity levels (0–9%) on fungal growth and pigment production. Maximum pigment yield was obtained in non-salted media, when cultured at 27◦ C after 10 days of submerged fermentation in PDB. However, maximum dry biomass production was achieved at stressed condition with 9% sea salts concentrated media at the same temperature. The results indicate that salinity of the culture media positively influences the growth of the biomass. Inversely, pigment production decreases with increase in salinity over 6%. Color coordinates of secreted pigments were expressed in CIELAB color system. The hue angles (h◦ ) ranged from red to yellow colors. This indicated that the color distribution of fungal pigments depends on the salinity in the culture media. This study emphasizes the impact of abiotic stress (salt and temperature) on the growth and metabolome of marine-derived fungal strains.","author":[{"dropping-particle":"","family":"Venkatachalam","given":"Mekala","non-dropping-particle":"","parse-names":false,"suffix":""},{"dropping-particle":"","family":"Gérard","given":"Léa","non-dropping-particle":"","parse-names":false,"suffix":""},{"dropping-particle":"","family":"Milhau","given":"Cathie","non-dropping-particle":"","parse-names":false,"suffix":""},{"dropping-particle":"","family":"Vinale","given":"Francesco","non-dropping-particle":"","parse-names":false,"suffix":""},{"dropping-particle":"","family":"Dufossé","given":"Laurent","non-dropping-particle":"","parse-names":false,"suffix":""},{"dropping-particle":"","family":"Fouillaud","given":"Mireille","non-dropping-particle":"","parse-names":false,"suffix":""}],"container-title":"Microorganisms","id":"ITEM-1","issue":"1","issued":{"date-parts":[["2019"]]},"page":"1-19","title":"Salinity and temperature influence growth and pigment production in the marine-derived fungal strain talaromyces albobiverticillius 30548","type":"article-journal","volume":"7"},"uris":["http://www.mendeley.com/documents/?uuid=98e76cf2-d057-4102-8c41-b2675319b72c"]}],"mendeley":{"formattedCitation":"(Venkatachalam et al., 2019)","manualFormatting":"Venkatachalam et al. (2019)","plainTextFormattedCitation":"(Venkatachalam et al., 2019)","previouslyFormattedCitation":"(Venkatachalam et al., 2019)"},"properties":{"noteIndex":0},"schema":"https://github.com/citation-style-language/schema/raw/master/csl-citation.json"}</w:instrText>
      </w:r>
      <w:r w:rsidR="00F74B79">
        <w:rPr>
          <w:lang w:eastAsia="es-CR"/>
        </w:rPr>
        <w:fldChar w:fldCharType="separate"/>
      </w:r>
      <w:r w:rsidR="00F74B79" w:rsidRPr="00787BC6">
        <w:rPr>
          <w:noProof/>
          <w:lang w:eastAsia="es-CR"/>
        </w:rPr>
        <w:t>Venkatachalam et al.</w:t>
      </w:r>
      <w:r w:rsidR="00F74B79">
        <w:rPr>
          <w:noProof/>
          <w:lang w:eastAsia="es-CR"/>
        </w:rPr>
        <w:t xml:space="preserve"> </w:t>
      </w:r>
      <w:r w:rsidR="00F74B79">
        <w:rPr>
          <w:noProof/>
          <w:lang w:eastAsia="es-CR"/>
        </w:rPr>
        <w:lastRenderedPageBreak/>
        <w:t>(</w:t>
      </w:r>
      <w:r w:rsidR="00F74B79" w:rsidRPr="00787BC6">
        <w:rPr>
          <w:noProof/>
          <w:lang w:eastAsia="es-CR"/>
        </w:rPr>
        <w:t>2019)</w:t>
      </w:r>
      <w:r w:rsidR="00F74B79">
        <w:rPr>
          <w:lang w:eastAsia="es-CR"/>
        </w:rPr>
        <w:fldChar w:fldCharType="end"/>
      </w:r>
      <w:r w:rsidR="00F74B79">
        <w:rPr>
          <w:lang w:eastAsia="es-CR"/>
        </w:rPr>
        <w:t xml:space="preserve"> </w:t>
      </w:r>
      <w:r w:rsidR="00757E37">
        <w:rPr>
          <w:lang w:eastAsia="es-CR"/>
        </w:rPr>
        <w:t xml:space="preserve">el hongo </w:t>
      </w:r>
      <w:r w:rsidR="00D024D2">
        <w:rPr>
          <w:lang w:eastAsia="es-CR"/>
        </w:rPr>
        <w:t xml:space="preserve">marino </w:t>
      </w:r>
      <w:r w:rsidR="00D024D2" w:rsidRPr="00D024D2">
        <w:rPr>
          <w:i/>
          <w:iCs/>
          <w:lang w:eastAsia="es-CR"/>
        </w:rPr>
        <w:t>Talaromyces albobiverticillius</w:t>
      </w:r>
      <w:r w:rsidR="00D024D2">
        <w:rPr>
          <w:i/>
          <w:iCs/>
          <w:lang w:eastAsia="es-CR"/>
        </w:rPr>
        <w:t xml:space="preserve"> </w:t>
      </w:r>
      <w:r w:rsidR="00D024D2">
        <w:rPr>
          <w:lang w:eastAsia="es-CR"/>
        </w:rPr>
        <w:t xml:space="preserve">produjo mayores cantidades de pigmento </w:t>
      </w:r>
      <w:r w:rsidR="006B4A52">
        <w:rPr>
          <w:lang w:eastAsia="es-CR"/>
        </w:rPr>
        <w:t>cuando se redujo</w:t>
      </w:r>
      <w:r w:rsidR="00757E37">
        <w:rPr>
          <w:lang w:eastAsia="es-CR"/>
        </w:rPr>
        <w:t xml:space="preserve"> la sal del medio de cultivo</w:t>
      </w:r>
      <w:r w:rsidR="00BB0B9F">
        <w:rPr>
          <w:lang w:eastAsia="es-CR"/>
        </w:rPr>
        <w:t xml:space="preserve"> </w:t>
      </w:r>
      <w:r w:rsidR="00F74B79">
        <w:rPr>
          <w:lang w:eastAsia="es-CR"/>
        </w:rPr>
        <w:t>en el cual creció.</w:t>
      </w:r>
      <w:r w:rsidR="005535D2">
        <w:rPr>
          <w:lang w:eastAsia="es-CR"/>
        </w:rPr>
        <w:t xml:space="preserve"> </w:t>
      </w:r>
      <w:r w:rsidR="005A57E7">
        <w:rPr>
          <w:lang w:eastAsia="es-CR"/>
        </w:rPr>
        <w:t>De igual forma</w:t>
      </w:r>
      <w:r w:rsidR="00DC6791">
        <w:rPr>
          <w:lang w:eastAsia="es-CR"/>
        </w:rPr>
        <w:t xml:space="preserve">, el hongo </w:t>
      </w:r>
      <w:r w:rsidR="00DC6791" w:rsidRPr="00EF17EA">
        <w:rPr>
          <w:i/>
          <w:iCs/>
          <w:lang w:eastAsia="es-CR"/>
        </w:rPr>
        <w:t xml:space="preserve">Cladosporium </w:t>
      </w:r>
      <w:r w:rsidR="00204ADF" w:rsidRPr="00384722">
        <w:rPr>
          <w:i/>
          <w:iCs/>
          <w:lang w:eastAsia="es-CR"/>
        </w:rPr>
        <w:t>rubrum</w:t>
      </w:r>
      <w:r w:rsidR="00EF17EA">
        <w:rPr>
          <w:lang w:eastAsia="es-CR"/>
        </w:rPr>
        <w:t>, aislad</w:t>
      </w:r>
      <w:r w:rsidR="00292B9C">
        <w:rPr>
          <w:lang w:eastAsia="es-CR"/>
        </w:rPr>
        <w:t>o</w:t>
      </w:r>
      <w:r w:rsidR="00EF17EA">
        <w:rPr>
          <w:lang w:eastAsia="es-CR"/>
        </w:rPr>
        <w:t xml:space="preserve"> de </w:t>
      </w:r>
      <w:r w:rsidR="007A27E9">
        <w:rPr>
          <w:lang w:eastAsia="es-CR"/>
        </w:rPr>
        <w:t>u</w:t>
      </w:r>
      <w:r w:rsidR="00384722">
        <w:rPr>
          <w:lang w:eastAsia="es-CR"/>
        </w:rPr>
        <w:t>n</w:t>
      </w:r>
      <w:r w:rsidR="001C3F89">
        <w:rPr>
          <w:lang w:eastAsia="es-CR"/>
        </w:rPr>
        <w:t xml:space="preserve">a </w:t>
      </w:r>
      <w:r w:rsidR="007A27E9">
        <w:rPr>
          <w:lang w:eastAsia="es-CR"/>
        </w:rPr>
        <w:t>al</w:t>
      </w:r>
      <w:r w:rsidR="005A57E7">
        <w:rPr>
          <w:lang w:eastAsia="es-CR"/>
        </w:rPr>
        <w:t>ga marina</w:t>
      </w:r>
      <w:r w:rsidR="00EF17EA">
        <w:rPr>
          <w:lang w:eastAsia="es-CR"/>
        </w:rPr>
        <w:t xml:space="preserve">, </w:t>
      </w:r>
      <w:r w:rsidR="00215E1D" w:rsidRPr="00EF17EA">
        <w:rPr>
          <w:lang w:eastAsia="es-CR"/>
        </w:rPr>
        <w:t>presentó</w:t>
      </w:r>
      <w:r w:rsidR="00215E1D">
        <w:rPr>
          <w:lang w:eastAsia="es-CR"/>
        </w:rPr>
        <w:t xml:space="preserve"> mayores valores de actividad antioxidante cuando se cultivó en un medio sin sal</w:t>
      </w:r>
      <w:r w:rsidR="001C161B">
        <w:rPr>
          <w:lang w:eastAsia="es-CR"/>
        </w:rPr>
        <w:t xml:space="preserve"> </w:t>
      </w:r>
      <w:r w:rsidR="00B446F1">
        <w:rPr>
          <w:lang w:eastAsia="es-CR"/>
        </w:rPr>
        <w:fldChar w:fldCharType="begin" w:fldLock="1"/>
      </w:r>
      <w:r w:rsidR="00605639">
        <w:rPr>
          <w:lang w:eastAsia="es-CR"/>
        </w:rPr>
        <w:instrText>ADDIN CSL_CITATION {"citationItems":[{"id":"ITEM-1","itemData":{"DOI":"10.3390/app11136008","ISSN":"20763417","abstract":"There is an urgent need for new substances to overcome current challenges in the health sciences. Marine fungi are known producers of numerous compounds, but the manipulation of growth conditions for optimal compound production can be laborious and time-consuming. In Portugal, despite its very long coastline, there are only a few studies on marine fungi. From a collection of Portuguese marine fungi, we screened for antimicrobial, antioxidant, enzymatic, and cytotoxic activities. Mycelia aqueous extracts, obtained by high pressure-assisted extraction, and methanolic extracts of culture media showed high antioxidant, antimicrobial, and cytotoxic activities. The mycelium extracts of Cladosporium rubrum showed higher antioxidant potential compared to extracts from other fungi. Mycelia and culture media extracts of Aspergillus affinis and Penicillium lusitanum inhibited the growth of Staphylococcus aureus, Kocuria rhizophila, Enterococcus faecalis, Escherichia coli, Klebsiella pneumoniae, and Pseudomonas aeruginosa, including multiresistant strains. Penicillium lusitanum and Trichoderma aestuarinum inhibited the growth of clinical strains of Candida albicans, C. glabrata, C. parapsilosis, and C. tropicalis. All extracts from culture media were cytotoxic to Vero cells. Sea salt induced alterations in the mycelium’s chemical composition, leading to different activity profiles.","author":[{"dropping-particle":"","family":"Gonçalves","given":"Micael F.M.","non-dropping-particle":"","parse-names":false,"suffix":""},{"dropping-particle":"","family":"Paço","given":"Ana","non-dropping-particle":"","parse-names":false,"suffix":""},{"dropping-particle":"","family":"Escada","given":"Luís F.","non-dropping-particle":"","parse-names":false,"suffix":""},{"dropping-particle":"","family":"Albuquerque","given":"Manuela S.F.","non-dropping-particle":"","parse-names":false,"suffix":""},{"dropping-particle":"","family":"Pinto","given":"Carlos A.","non-dropping-particle":"","parse-names":false,"suffix":""},{"dropping-particle":"","family":"Saraiva","given":"Jorge","non-dropping-particle":"","parse-names":false,"suffix":""},{"dropping-particle":"","family":"Duarte","given":"Ana Sofia","non-dropping-particle":"","parse-names":false,"suffix":""},{"dropping-particle":"","family":"Rocha-Santos","given":"Teresa A.P.","non-dropping-particle":"","parse-names":false,"suffix":""},{"dropping-particle":"","family":"Esteves","given":"Ana Cristina","non-dropping-particle":"","parse-names":false,"suffix":""},{"dropping-particle":"","family":"Alves","given":"Artur","non-dropping-particle":"","parse-names":false,"suffix":""}],"container-title":"Applied Sciences (Switzerland)","id":"ITEM-1","issue":"13","issued":{"date-parts":[["2021"]]},"title":"Unveiling biological activities of marine fungi: The effect of sea salt","type":"article-journal","volume":"11"},"uris":["http://www.mendeley.com/documents/?uuid=05809124-2115-4732-827e-6c1869c97ffa"]}],"mendeley":{"formattedCitation":"(Gonçalves et al., 2021)","plainTextFormattedCitation":"(Gonçalves et al., 2021)","previouslyFormattedCitation":"(Gonçalves et al., 2021)"},"properties":{"noteIndex":0},"schema":"https://github.com/citation-style-language/schema/raw/master/csl-citation.json"}</w:instrText>
      </w:r>
      <w:r w:rsidR="00B446F1">
        <w:rPr>
          <w:lang w:eastAsia="es-CR"/>
        </w:rPr>
        <w:fldChar w:fldCharType="separate"/>
      </w:r>
      <w:r w:rsidR="00B446F1" w:rsidRPr="00B446F1">
        <w:rPr>
          <w:noProof/>
          <w:lang w:eastAsia="es-CR"/>
        </w:rPr>
        <w:t>(Gonçalves et al., 2021)</w:t>
      </w:r>
      <w:r w:rsidR="00B446F1">
        <w:rPr>
          <w:lang w:eastAsia="es-CR"/>
        </w:rPr>
        <w:fldChar w:fldCharType="end"/>
      </w:r>
      <w:r w:rsidR="00215E1D">
        <w:rPr>
          <w:lang w:eastAsia="es-CR"/>
        </w:rPr>
        <w:t>.</w:t>
      </w:r>
      <w:r w:rsidR="0082058C">
        <w:rPr>
          <w:lang w:eastAsia="es-CR"/>
        </w:rPr>
        <w:t xml:space="preserve"> </w:t>
      </w:r>
    </w:p>
    <w:p w14:paraId="4D0ECC90" w14:textId="22249873" w:rsidR="00C81239" w:rsidRDefault="00DE1B14" w:rsidP="003615FD">
      <w:pPr>
        <w:ind w:firstLine="708"/>
      </w:pPr>
      <w:r>
        <w:rPr>
          <w:lang w:eastAsia="es-CR"/>
        </w:rPr>
        <w:t xml:space="preserve">Por otro lado, </w:t>
      </w:r>
      <w:r w:rsidR="00240E97" w:rsidRPr="00240E97">
        <w:rPr>
          <w:lang w:eastAsia="es-CR"/>
        </w:rPr>
        <w:t xml:space="preserve">se podría plantear la hipótesis de que la sal puede influir en las interacciones entre las moléculas presentes en el medio de cultivo. Aunque los hongos marinos podrían haber desarrollado estructuras adaptadas para interactuar en ambientes con altas concentraciones de sal, </w:t>
      </w:r>
      <w:r w:rsidR="0092578F">
        <w:rPr>
          <w:lang w:eastAsia="es-CR"/>
        </w:rPr>
        <w:t xml:space="preserve">se conoce que la </w:t>
      </w:r>
      <w:r w:rsidR="001D1FEC">
        <w:rPr>
          <w:lang w:eastAsia="es-CR"/>
        </w:rPr>
        <w:t xml:space="preserve">actividad antibacteriana de algunos antibióticos se ve </w:t>
      </w:r>
      <w:r w:rsidR="00C9514E">
        <w:rPr>
          <w:lang w:eastAsia="es-CR"/>
        </w:rPr>
        <w:t xml:space="preserve">afectada en presencia de sal. Sin embargo, también </w:t>
      </w:r>
      <w:r w:rsidR="00240E97" w:rsidRPr="00240E97">
        <w:rPr>
          <w:lang w:eastAsia="es-CR"/>
        </w:rPr>
        <w:t>es posible que la sal</w:t>
      </w:r>
      <w:r w:rsidR="00D01BFA">
        <w:rPr>
          <w:lang w:eastAsia="es-CR"/>
        </w:rPr>
        <w:t xml:space="preserve"> </w:t>
      </w:r>
      <w:r w:rsidR="00240E97" w:rsidRPr="00240E97">
        <w:rPr>
          <w:lang w:eastAsia="es-CR"/>
        </w:rPr>
        <w:t>tenga un impacto en el metabolismo bacteriano.</w:t>
      </w:r>
      <w:r w:rsidR="00F816D3">
        <w:rPr>
          <w:lang w:eastAsia="es-CR"/>
        </w:rPr>
        <w:t xml:space="preserve"> </w:t>
      </w:r>
      <w:r w:rsidR="009E2A65" w:rsidRPr="009E2A65">
        <w:rPr>
          <w:lang w:eastAsia="es-CR"/>
        </w:rPr>
        <w:t xml:space="preserve">Se ha observado previamente </w:t>
      </w:r>
      <w:r w:rsidR="009E2A65">
        <w:rPr>
          <w:lang w:eastAsia="es-CR"/>
        </w:rPr>
        <w:t>en algunas bacterias presentes</w:t>
      </w:r>
      <w:r w:rsidR="009E2A65" w:rsidRPr="009E2A65">
        <w:rPr>
          <w:lang w:eastAsia="es-CR"/>
        </w:rPr>
        <w:t xml:space="preserve"> en alimentos, como </w:t>
      </w:r>
      <w:r w:rsidR="009E2A65" w:rsidRPr="003615FD">
        <w:rPr>
          <w:i/>
          <w:iCs/>
          <w:lang w:eastAsia="es-CR"/>
        </w:rPr>
        <w:t>Salmonella typhimurium,</w:t>
      </w:r>
      <w:r w:rsidR="009E2A65" w:rsidRPr="009E2A65">
        <w:rPr>
          <w:lang w:eastAsia="es-CR"/>
        </w:rPr>
        <w:t xml:space="preserve"> una disminución en su sensibilidad a ciertos grupos de antibióticos, como cloranfenicol, gentamicina y oxitetraciclina, cuando están expuestas a concentraciones elevadas de sal.</w:t>
      </w:r>
      <w:r w:rsidR="00AC1CB8">
        <w:t xml:space="preserve"> </w:t>
      </w:r>
      <w:r w:rsidR="00AC1CB8">
        <w:fldChar w:fldCharType="begin" w:fldLock="1"/>
      </w:r>
      <w:r w:rsidR="00264260">
        <w:instrText>ADDIN CSL_CITATION {"citationItems":[{"id":"ITEM-1","itemData":{"DOI":"10.1155/2013/274096","ISSN":"23146133","PMID":"23936782","abstract":"This study evaluated the effects of NaCl on heat resistance, antibiotic susceptibility, and Caco-2 cell invasion of Salmonella. Salmonella typhimurium NCCP10812 and Salmonella enteritidis NCCP12243 were exposed to 0, 2, and 4% NaCl and to sequential increase of NaCl concentrations from 0 to 4% NaCl for 24 h at 35°C. The strains were then investigated for heat resistance (60°C), antibiotic susceptibility to eight antibiotics, and Caco-2 cell invasion efficiency. S. typhimurium NCCP10812 showed increased thermal resistance (P&lt;0.05) after exposure to single NaCl concentrations. A sequential increase of NaCl concentration decreased (P&lt;0.05) the antibiotic sensitivities of S. typhimurium NCCP10812 to chloramphenicol, gentamicin, and oxytetracycline. NaCl exposure also increased (P&lt;0.05) Caco-2 cell invasion efficiency of S. enteritidis NCCP12243. These results indicate that NaCl in food may cause increased thermal resistance, cell invasion efficiency, and antibiotic resistance of Salmonella. © 2013 Hyunjoo Yoon et al.","author":[{"dropping-particle":"","family":"Yoon","given":"Hyunjoo","non-dropping-particle":"","parse-names":false,"suffix":""},{"dropping-particle":"","family":"Park","given":"Beom-Young","non-dropping-particle":"","parse-names":false,"suffix":""},{"dropping-particle":"","family":"Oh","given":"Mi -Hwa","non-dropping-particle":"","parse-names":false,"suffix":""},{"dropping-particle":"","family":"Choi","given":"Kyoung-Hee","non-dropping-particle":"","parse-names":false,"suffix":""},{"dropping-particle":"","family":"Yoon","given":"Yohan","non-dropping-particle":"","parse-names":false,"suffix":""}],"container-title":"BioMed Research International","id":"ITEM-1","issued":{"date-parts":[["2013"]]},"page":"1-6","title":"Effect of NaCl on heat resistance, antibiotic susceptibility, and Caco-2 cell invasion of Salmonella","type":"article-journal","volume":"2013"},"uris":["http://www.mendeley.com/documents/?uuid=cd8a1c85-652b-49c0-a43a-1220f55dfef2"]}],"mendeley":{"formattedCitation":"(Yoon, Park, Oh, Choi, &amp; Yoon, 2013)","plainTextFormattedCitation":"(Yoon, Park, Oh, Choi, &amp; Yoon, 2013)","previouslyFormattedCitation":"(Yoon, Park, Oh, Choi, &amp; Yoon, 2013)"},"properties":{"noteIndex":0},"schema":"https://github.com/citation-style-language/schema/raw/master/csl-citation.json"}</w:instrText>
      </w:r>
      <w:r w:rsidR="00AC1CB8">
        <w:fldChar w:fldCharType="separate"/>
      </w:r>
      <w:r w:rsidR="00AC1CB8" w:rsidRPr="00755888">
        <w:rPr>
          <w:noProof/>
        </w:rPr>
        <w:t>(Yoon, Park, Oh, Choi, &amp; Yoon, 2013)</w:t>
      </w:r>
      <w:r w:rsidR="00AC1CB8">
        <w:fldChar w:fldCharType="end"/>
      </w:r>
      <w:r w:rsidR="00AC1CB8">
        <w:t xml:space="preserve"> Así también, la bacteria </w:t>
      </w:r>
      <w:r w:rsidR="00AC1CB8" w:rsidRPr="00F871A1">
        <w:rPr>
          <w:i/>
          <w:iCs/>
        </w:rPr>
        <w:t>Escherichia coli</w:t>
      </w:r>
      <w:r w:rsidR="00AC1CB8">
        <w:rPr>
          <w:i/>
          <w:iCs/>
        </w:rPr>
        <w:t xml:space="preserve"> </w:t>
      </w:r>
      <w:r w:rsidR="00AC1CB8">
        <w:t>mostró cambios en la expresión de</w:t>
      </w:r>
      <w:r w:rsidR="00C65DBB">
        <w:t>l</w:t>
      </w:r>
      <w:r w:rsidR="00AC1CB8">
        <w:t xml:space="preserve"> regulador</w:t>
      </w:r>
      <w:r w:rsidR="00C65DBB">
        <w:t xml:space="preserve"> </w:t>
      </w:r>
      <w:r w:rsidR="00AC1CB8">
        <w:t>RpoS</w:t>
      </w:r>
      <w:r w:rsidR="00C65DBB">
        <w:t xml:space="preserve">, el cual le permite la regulación positiva de los genes que ayuda en la supervivencia en condiciones adversas </w:t>
      </w:r>
      <w:r w:rsidR="00AC1CB8">
        <w:t>al ser sometida a estrés osmótico</w:t>
      </w:r>
      <w:r w:rsidR="00264260">
        <w:t xml:space="preserve"> </w:t>
      </w:r>
      <w:r w:rsidR="00264260">
        <w:fldChar w:fldCharType="begin" w:fldLock="1"/>
      </w:r>
      <w:r w:rsidR="00B446F1">
        <w:instrText>ADDIN CSL_CITATION {"citationItems":[{"id":"ITEM-1","itemData":{"abstract":"The general stress response regulator σ s , commonly known as RpoS, is a sigma subunit of RNA polymerase that is up-regulated when bacteria are exposed to environmental stresses such as osmotic shock, high temperature, UV radiation, and feast-famine conditions. Current knowledge is that a single stress condition can provide stress tolerance and can also lead to cross-protection against unrelated challenges. Exposure to sublethal levels of osmotic stress has been found to increase antibiotic resistance in Escherichia coli. In this study, we sought to elucidate whether this cross-protection is conferred through an RpoS-dependent manner. Wild type (WT) and ∆rpoS E. coli strains were subjected to continuous 0.3 M NaCl osmotic shock conditions followed by subsequent exposure to either ampicillin, chloramphenicol, or rifampicin to determine the minimum inhibitory concentration (MIC) of these antibiotics. RpoS levels were determined by Western immunoblotting with a monoclonal RpoS-specific antibody, however no difference was observed between levels of RpoS induction under normal and osmotic shock conditions. RpoS was found to have some effect on antibiotic resistance as the WT strain had greater antibiotic resistance under normal M9 conditions than the ∆rpoS strain. Mechanistic differences between modes of resistance for different antibiotics may also exist. No cross-protection against antibiotics with continuous osmotic shock via RpoS-dependent mechanisms was found as osmotic shock was seen to increase antibiotic susceptibility in both the ∆rpoS and WT strains.","author":[{"dropping-particle":"","family":"Huang","given":"Ying-Min","non-dropping-particle":"","parse-names":false,"suffix":""},{"dropping-particle":"","family":"Kan","given":"Bernard","non-dropping-particle":"","parse-names":false,"suffix":""},{"dropping-particle":"","family":"Lu","given":"Yue","non-dropping-particle":"","parse-names":false,"suffix":""},{"dropping-particle":"","family":"Szeto","given":"Sharon","non-dropping-particle":"","parse-names":false,"suffix":""}],"container-title":"Journal of Experimental Microbiology and Immunology (JEMI)","id":"ITEM-1","issue":"April","issued":{"date-parts":[["2009"]]},"page":"13-17","title":"The Effect of Osmotic Shock on RpoS Expression and Antibiotic Resistance in Escherichia coli","type":"article-journal","volume":"13"},"uris":["http://www.mendeley.com/documents/?uuid=dbf3b51f-2ccd-42a5-8ee0-a4040c0c43bb"]}],"mendeley":{"formattedCitation":"(Y.-M. Huang, Kan, Lu, &amp; Szeto, 2009)","plainTextFormattedCitation":"(Y.-M. Huang, Kan, Lu, &amp; Szeto, 2009)","previouslyFormattedCitation":"(Y.-M. Huang, Kan, Lu, &amp; Szeto, 2009)"},"properties":{"noteIndex":0},"schema":"https://github.com/citation-style-language/schema/raw/master/csl-citation.json"}</w:instrText>
      </w:r>
      <w:r w:rsidR="00264260">
        <w:fldChar w:fldCharType="separate"/>
      </w:r>
      <w:r w:rsidR="00264260" w:rsidRPr="00264260">
        <w:rPr>
          <w:noProof/>
        </w:rPr>
        <w:t>(Huang, Kan, Lu, &amp; Szeto, 2009)</w:t>
      </w:r>
      <w:r w:rsidR="00264260">
        <w:fldChar w:fldCharType="end"/>
      </w:r>
      <w:r w:rsidR="00AC1CB8">
        <w:t>.</w:t>
      </w:r>
    </w:p>
    <w:p w14:paraId="478C956A" w14:textId="0C4A27C2" w:rsidR="002D53E8" w:rsidRDefault="4447C96C" w:rsidP="00474CD9">
      <w:pPr>
        <w:ind w:firstLine="708"/>
        <w:rPr>
          <w:lang w:eastAsia="es-CR"/>
        </w:rPr>
      </w:pPr>
      <w:r w:rsidRPr="4447C96C">
        <w:rPr>
          <w:lang w:eastAsia="es-CR"/>
        </w:rPr>
        <w:t>En cuanto a la disminución del efecto en la actividad antimicrobiana luego de las 48 horas en la mayoría de las repeticiones podría deberse a la capacidad de las bacterias a sobreponerse a la presencia de compuestos antibacterianos y a sus propios mecanismos de resistencia.</w:t>
      </w:r>
      <w:r w:rsidR="005032F7" w:rsidRPr="4447C96C">
        <w:rPr>
          <w:lang w:eastAsia="es-CR"/>
        </w:rPr>
        <w:fldChar w:fldCharType="begin" w:fldLock="1"/>
      </w:r>
      <w:r w:rsidR="005032F7" w:rsidRPr="4447C96C">
        <w:rPr>
          <w:lang w:eastAsia="es-CR"/>
        </w:rPr>
        <w:instrText>ADDIN CSL_CITATION {"citationItems":[{"id":"ITEM-1","itemData":{"DOI":"10.7554/eLife.38174","ISSN":"2050084X","PMID":"30560784","abstract":"Antimicrobial peptides (AMPs) are broad spectrum antibiotics that selectively target bacteria. Here we investigate the activity of human AMP LL37 against Escherichia coli by integrating quantitative, population and single-cell level experiments with theoretical modeling. We observe an unexpected, rapid absorption and retention of a large number of LL37 peptides by E. coli cells upon the inhibition of their growth, which increases population survivability. This transition occurs more likely in the late stage of cell division cycles. Cultures with high cell density exhibit two distinct subpopulations: a non-growing population that absorb peptides and a growing population that survive owing to the sequestration of the AMPs by others. A mathematical model based on this binary picture reproduces the rather surprising observations, including the increase of the minimum inhibitory concentration with cell density (even in dilute cultures) and the extensive lag in growth introduced by sub-lethal dosages of LL37 peptides.","author":[{"dropping-particle":"","family":"Snoussi","given":"Mehdi","non-dropping-particle":"","parse-names":false,"suffix":""},{"dropping-particle":"","family":"Talledo","given":"John Paul","non-dropping-particle":"","parse-names":false,"suffix":""},{"dropping-particle":"","family":"Rosario","given":"Nathan Alexander","non-dropping-particle":"Del","parse-names":false,"suffix":""},{"dropping-particle":"","family":"Mohammadi","given":"Salimeh","non-dropping-particle":"","parse-names":false,"suffix":""},{"dropping-particle":"","family":"Ha","given":"Bae-Yeun","non-dropping-particle":"","parse-names":false,"suffix":""},{"dropping-particle":"","family":"Košmrlj","given":"Andrej","non-dropping-particle":"","parse-names":false,"suffix":""},{"dropping-particle":"","family":"Taheri-Araghi","given":"Sattar","non-dropping-particle":"","parse-names":false,"suffix":""}],"container-title":"eLife","id":"ITEM-1","issued":{"date-parts":[["2018"]]},"page":"1-21","title":"Heterogeneous absorption of antimicrobial peptide LL37 in escherichia coli cells enhances population survivability","type":"article-journal","volume":"7"},"uris":["http://www.mendeley.com/documents/?uuid=b3dbbc77-ad83-4111-b9f7-5eddb4d11752"]}],"mendeley":{"formattedCitation":"(Snoussi et al., 2018)","manualFormatting":" Snoussi et al. (2018)","plainTextFormattedCitation":"(Snoussi et al., 2018)","previouslyFormattedCitation":"(Snoussi et al., 2018)"},"properties":{"noteIndex":0},"schema":"https://github.com/citation-style-language/schema/raw/master/csl-citation.json"}</w:instrText>
      </w:r>
      <w:r w:rsidR="005032F7" w:rsidRPr="4447C96C">
        <w:rPr>
          <w:lang w:eastAsia="es-CR"/>
        </w:rPr>
        <w:fldChar w:fldCharType="separate"/>
      </w:r>
      <w:r w:rsidRPr="4447C96C">
        <w:rPr>
          <w:noProof/>
          <w:lang w:eastAsia="es-CR"/>
        </w:rPr>
        <w:t xml:space="preserve"> Snoussi et al. (2018)</w:t>
      </w:r>
      <w:r w:rsidR="005032F7" w:rsidRPr="4447C96C">
        <w:rPr>
          <w:lang w:eastAsia="es-CR"/>
        </w:rPr>
        <w:fldChar w:fldCharType="end"/>
      </w:r>
      <w:r w:rsidRPr="4447C96C">
        <w:rPr>
          <w:lang w:eastAsia="es-CR"/>
        </w:rPr>
        <w:t xml:space="preserve"> reportaron como algunas bacterias de la colonia se “sacrifican” al concentrar la mayor cantidad de antibióticos dentro de su célula y así asegurar la sobrevivencia de las demás bacterias, por lo que con el paso del tiempo las bacterias que no se vieron afectadas tienen la posibilidad de multiplicarse y asegurar la supervivencia de la especie. Dos años más tarde, investigadores demostraron que algunas bacterias luego de haber muerto por la acción antibiótica liberan compuestos que promueven y estimulan mecanismos de resistencia en las bacterias que permanecen vivas </w:t>
      </w:r>
      <w:r w:rsidR="005032F7" w:rsidRPr="4447C96C">
        <w:rPr>
          <w:lang w:eastAsia="es-CR"/>
        </w:rPr>
        <w:fldChar w:fldCharType="begin" w:fldLock="1"/>
      </w:r>
      <w:r w:rsidR="005032F7" w:rsidRPr="4447C96C">
        <w:rPr>
          <w:lang w:eastAsia="es-CR"/>
        </w:rPr>
        <w:instrText>ADDIN CSL_CITATION {"citationItems":[{"id":"ITEM-1","itemData":{"DOI":"10.1038/s41467-020-17709-0","ISSN":"20411723","PMID":"32814767","abstract":"Swarming is a form of collective bacterial motion enabled by flagella on the surface of semi-solid media. Swarming populations exhibit non-genetic or adaptive resistance to antibiotics, despite sustaining considerable cell death. Here, we show that antibiotic-induced death of a sub-population benefits the swarm by enhancing adaptive resistance in the surviving cells. Killed cells release a resistance-enhancing factor that we identify as AcrA, a periplasmic component of RND efflux pumps. The released AcrA interacts on the surface of live cells with an outer membrane component of the efflux pump, TolC, stimulating drug efflux and inducing expression of other efflux pumps. This phenomenon, which we call ‘necrosignaling’, exists in other Gram-negative and Gram-positive bacteria and displays species-specificity. Given that adaptive resistance is a known incubator for evolving genetic resistance, our findings might be clinically relevant to the rise of multidrug resistance.","author":[{"dropping-particle":"","family":"Bhattacharyya","given":"Souvik","non-dropping-particle":"","parse-names":false,"suffix":""},{"dropping-particle":"","family":"Walker","given":"David M.","non-dropping-particle":"","parse-names":false,"suffix":""},{"dropping-particle":"","family":"Harshey","given":"Rasika M.","non-dropping-particle":"","parse-names":false,"suffix":""}],"container-title":"Nature Communications","id":"ITEM-1","issue":"1","issued":{"date-parts":[["2020"]]},"page":"1-12","publisher":"Springer US","title":"Dead cells release a ‘necrosignal’ that activates antibiotic survival pathways in bacterial swarms","type":"article-journal","volume":"11"},"uris":["http://www.mendeley.com/documents/?uuid=04629cd3-bbdd-449b-8461-9ad56a14bd31"]}],"mendeley":{"formattedCitation":"(Bhattacharyya, Walker, &amp; Harshey, 2020)","plainTextFormattedCitation":"(Bhattacharyya, Walker, &amp; Harshey, 2020)","previouslyFormattedCitation":"(Bhattacharyya, Walker, &amp; Harshey, 2020)"},"properties":{"noteIndex":0},"schema":"https://github.com/citation-style-language/schema/raw/master/csl-citation.json"}</w:instrText>
      </w:r>
      <w:r w:rsidR="005032F7" w:rsidRPr="4447C96C">
        <w:rPr>
          <w:lang w:eastAsia="es-CR"/>
        </w:rPr>
        <w:fldChar w:fldCharType="separate"/>
      </w:r>
      <w:r w:rsidRPr="4447C96C">
        <w:rPr>
          <w:noProof/>
          <w:lang w:eastAsia="es-CR"/>
        </w:rPr>
        <w:t>(Bhattacharyya, Walker, &amp; Harshey, 2020)</w:t>
      </w:r>
      <w:r w:rsidR="005032F7" w:rsidRPr="4447C96C">
        <w:rPr>
          <w:lang w:eastAsia="es-CR"/>
        </w:rPr>
        <w:fldChar w:fldCharType="end"/>
      </w:r>
      <w:r w:rsidRPr="4447C96C">
        <w:rPr>
          <w:lang w:eastAsia="es-CR"/>
        </w:rPr>
        <w:t>.</w:t>
      </w:r>
    </w:p>
    <w:p w14:paraId="35695E27" w14:textId="3E49024E" w:rsidR="00EE56CC" w:rsidRDefault="00EE6CEC" w:rsidP="00666608">
      <w:pPr>
        <w:ind w:firstLine="708"/>
        <w:rPr>
          <w:lang w:eastAsia="es-CR"/>
        </w:rPr>
      </w:pPr>
      <w:r>
        <w:rPr>
          <w:lang w:eastAsia="es-CR"/>
        </w:rPr>
        <w:t xml:space="preserve">En el caso de los hongos marinos que únicamente disminuyeron el crecimiento </w:t>
      </w:r>
      <w:r w:rsidR="00DF3CEF">
        <w:rPr>
          <w:lang w:eastAsia="es-CR"/>
        </w:rPr>
        <w:t xml:space="preserve">bacteriano, pero no lograron eliminar por completo la presencia de las bacterias podría deberse a varios factores. </w:t>
      </w:r>
      <w:r w:rsidR="00632D9A">
        <w:rPr>
          <w:lang w:eastAsia="es-CR"/>
        </w:rPr>
        <w:t xml:space="preserve">Si bien es cierto, en esta investigación no se identificaron y </w:t>
      </w:r>
      <w:r w:rsidR="003A3676">
        <w:rPr>
          <w:lang w:eastAsia="es-CR"/>
        </w:rPr>
        <w:t>cuantificaron</w:t>
      </w:r>
      <w:r w:rsidR="00632D9A">
        <w:rPr>
          <w:lang w:eastAsia="es-CR"/>
        </w:rPr>
        <w:t xml:space="preserve"> los metabolitos con ac</w:t>
      </w:r>
      <w:r w:rsidR="00666608">
        <w:rPr>
          <w:lang w:eastAsia="es-CR"/>
        </w:rPr>
        <w:t xml:space="preserve">tividad antimicrobiana producidos por los hongos, se debe considerar que la actividad podría ser tanto </w:t>
      </w:r>
      <w:r w:rsidR="00DF3CEF">
        <w:rPr>
          <w:lang w:eastAsia="es-CR"/>
        </w:rPr>
        <w:t xml:space="preserve">bacteriostática </w:t>
      </w:r>
      <w:r w:rsidR="00666608">
        <w:rPr>
          <w:lang w:eastAsia="es-CR"/>
        </w:rPr>
        <w:t xml:space="preserve">como </w:t>
      </w:r>
      <w:r w:rsidR="00DF3CEF">
        <w:rPr>
          <w:lang w:eastAsia="es-CR"/>
        </w:rPr>
        <w:t xml:space="preserve">bactericida, </w:t>
      </w:r>
      <w:r w:rsidR="00666608">
        <w:rPr>
          <w:lang w:eastAsia="es-CR"/>
        </w:rPr>
        <w:t xml:space="preserve">por lo que la actividad puede variar según </w:t>
      </w:r>
      <w:r w:rsidR="003C0660">
        <w:rPr>
          <w:lang w:eastAsia="es-CR"/>
        </w:rPr>
        <w:t xml:space="preserve">las </w:t>
      </w:r>
      <w:r w:rsidR="00666608">
        <w:rPr>
          <w:lang w:eastAsia="es-CR"/>
        </w:rPr>
        <w:t>moléculas</w:t>
      </w:r>
      <w:r w:rsidR="003A3676">
        <w:rPr>
          <w:lang w:eastAsia="es-CR"/>
        </w:rPr>
        <w:t xml:space="preserve"> </w:t>
      </w:r>
      <w:r w:rsidR="003A3676">
        <w:rPr>
          <w:lang w:eastAsia="es-CR"/>
        </w:rPr>
        <w:lastRenderedPageBreak/>
        <w:t>y</w:t>
      </w:r>
      <w:r w:rsidR="00666608">
        <w:rPr>
          <w:lang w:eastAsia="es-CR"/>
        </w:rPr>
        <w:t xml:space="preserve"> </w:t>
      </w:r>
      <w:r w:rsidR="003C0660">
        <w:rPr>
          <w:lang w:eastAsia="es-CR"/>
        </w:rPr>
        <w:t xml:space="preserve">su </w:t>
      </w:r>
      <w:r w:rsidR="003A3676">
        <w:rPr>
          <w:lang w:eastAsia="es-CR"/>
        </w:rPr>
        <w:t>concentración</w:t>
      </w:r>
      <w:r w:rsidR="003C0660">
        <w:rPr>
          <w:lang w:eastAsia="es-CR"/>
        </w:rPr>
        <w:t xml:space="preserve"> en</w:t>
      </w:r>
      <w:r w:rsidR="003A3676">
        <w:rPr>
          <w:lang w:eastAsia="es-CR"/>
        </w:rPr>
        <w:t xml:space="preserve"> dependiendo del patógeno utilizado</w:t>
      </w:r>
      <w:r w:rsidR="00DF3CEF">
        <w:rPr>
          <w:lang w:eastAsia="es-CR"/>
        </w:rPr>
        <w:t xml:space="preserve">. Por otro lado, podría deberse a que la cantidad de compuestos producidos por el hongo no tuvieran la concentración suficiente para eliminar todas las bacterias presentes, eliminando a unas pocas bacterias y permitiendo así que las demás </w:t>
      </w:r>
      <w:r w:rsidR="00AA7142">
        <w:rPr>
          <w:lang w:eastAsia="es-CR"/>
        </w:rPr>
        <w:t>células continuaran reproduciéndose.</w:t>
      </w:r>
      <w:r w:rsidR="0037057C">
        <w:rPr>
          <w:lang w:eastAsia="es-CR"/>
        </w:rPr>
        <w:t xml:space="preserve"> Para confirmar lo anterior sería necesario </w:t>
      </w:r>
      <w:r w:rsidR="00A71F77">
        <w:rPr>
          <w:lang w:eastAsia="es-CR"/>
        </w:rPr>
        <w:t xml:space="preserve">probar con diferentes concentraciones del extracto, e idealmente, aislar los compuestos de interés y </w:t>
      </w:r>
      <w:r w:rsidR="00984337">
        <w:rPr>
          <w:lang w:eastAsia="es-CR"/>
        </w:rPr>
        <w:t>determinar las concentraciones mínimas necesarias para que las bacterias reduzcan por completo su crecimiento.</w:t>
      </w:r>
    </w:p>
    <w:p w14:paraId="10C31F9B" w14:textId="2B8C2030" w:rsidR="00AA7142" w:rsidRDefault="00A22C16" w:rsidP="00D873E6">
      <w:pPr>
        <w:spacing w:after="0"/>
        <w:ind w:firstLine="708"/>
        <w:rPr>
          <w:lang w:eastAsia="es-CR"/>
        </w:rPr>
      </w:pPr>
      <w:r>
        <w:rPr>
          <w:lang w:eastAsia="es-CR"/>
        </w:rPr>
        <w:t xml:space="preserve"> </w:t>
      </w:r>
      <w:r w:rsidR="00EE69A8">
        <w:rPr>
          <w:lang w:eastAsia="es-CR"/>
        </w:rPr>
        <w:t xml:space="preserve"> </w:t>
      </w:r>
      <w:r w:rsidR="0065195C">
        <w:rPr>
          <w:lang w:eastAsia="es-CR"/>
        </w:rPr>
        <w:t xml:space="preserve">A pesar de tener resultados de actividad antimicrobiana al aplicar esta metodología, </w:t>
      </w:r>
      <w:r w:rsidR="00F835F7">
        <w:rPr>
          <w:lang w:eastAsia="es-CR"/>
        </w:rPr>
        <w:t xml:space="preserve">es importante destacar que no es la metodología adecuada para todas las especies de hongos, ya que algunos no lograron crecer en el medio Mueller Hinton o su crecimiento se vio </w:t>
      </w:r>
      <w:r w:rsidR="009C442B">
        <w:rPr>
          <w:lang w:eastAsia="es-CR"/>
        </w:rPr>
        <w:t>inhibido</w:t>
      </w:r>
      <w:r w:rsidR="00F835F7">
        <w:rPr>
          <w:lang w:eastAsia="es-CR"/>
        </w:rPr>
        <w:t xml:space="preserve"> por </w:t>
      </w:r>
      <w:r w:rsidR="002C5D8C">
        <w:rPr>
          <w:lang w:eastAsia="es-CR"/>
        </w:rPr>
        <w:t>el co-cultivo bacteriano.</w:t>
      </w:r>
      <w:r w:rsidR="006F4701">
        <w:rPr>
          <w:lang w:eastAsia="es-CR"/>
        </w:rPr>
        <w:t xml:space="preserve"> </w:t>
      </w:r>
      <w:r w:rsidR="009200AF">
        <w:rPr>
          <w:lang w:eastAsia="es-CR"/>
        </w:rPr>
        <w:t>En el caso</w:t>
      </w:r>
      <w:r w:rsidR="003A0C53">
        <w:rPr>
          <w:lang w:eastAsia="es-CR"/>
        </w:rPr>
        <w:t xml:space="preserve"> de los hongos que no crecieron en Mueller Hinton podría deberse</w:t>
      </w:r>
      <w:r w:rsidR="006C719B">
        <w:rPr>
          <w:lang w:eastAsia="es-CR"/>
        </w:rPr>
        <w:t xml:space="preserve"> a que este medio de cultivo</w:t>
      </w:r>
      <w:r w:rsidR="00345EFE">
        <w:rPr>
          <w:lang w:eastAsia="es-CR"/>
        </w:rPr>
        <w:t>, a pesar de ser adecuado para la difusión de metabolitos,</w:t>
      </w:r>
      <w:r w:rsidR="006C719B">
        <w:rPr>
          <w:lang w:eastAsia="es-CR"/>
        </w:rPr>
        <w:t xml:space="preserve"> no </w:t>
      </w:r>
      <w:r w:rsidR="00F7395A">
        <w:rPr>
          <w:lang w:eastAsia="es-CR"/>
        </w:rPr>
        <w:t xml:space="preserve">es el adecuado para </w:t>
      </w:r>
      <w:r w:rsidR="005E7B75">
        <w:rPr>
          <w:lang w:eastAsia="es-CR"/>
        </w:rPr>
        <w:t>el cultivo de aislamientos fúngicos debido a su composición química y pH.</w:t>
      </w:r>
    </w:p>
    <w:p w14:paraId="3D285EE7" w14:textId="77777777" w:rsidR="00A43E5D" w:rsidRDefault="00A43E5D" w:rsidP="00D873E6">
      <w:pPr>
        <w:spacing w:after="0"/>
        <w:ind w:firstLine="708"/>
        <w:rPr>
          <w:lang w:eastAsia="es-CR"/>
        </w:rPr>
      </w:pPr>
    </w:p>
    <w:p w14:paraId="342F8496" w14:textId="30C2650C" w:rsidR="00A43E5D" w:rsidRPr="00A43E5D" w:rsidRDefault="00A43E5D" w:rsidP="00874997">
      <w:pPr>
        <w:pStyle w:val="Titulo20"/>
        <w:numPr>
          <w:ilvl w:val="1"/>
          <w:numId w:val="19"/>
        </w:numPr>
        <w:spacing w:after="0"/>
        <w:rPr>
          <w:lang w:eastAsia="es-CR"/>
        </w:rPr>
      </w:pPr>
      <w:bookmarkStart w:id="136" w:name="_Toc140204089"/>
      <w:r w:rsidRPr="00A43E5D">
        <w:rPr>
          <w:lang w:eastAsia="es-CR"/>
        </w:rPr>
        <w:t>Identificación molecular</w:t>
      </w:r>
      <w:bookmarkEnd w:id="136"/>
      <w:r w:rsidRPr="00A43E5D">
        <w:rPr>
          <w:lang w:eastAsia="es-CR"/>
        </w:rPr>
        <w:t xml:space="preserve"> </w:t>
      </w:r>
    </w:p>
    <w:p w14:paraId="1DFE4C14" w14:textId="76826129" w:rsidR="00A43E5D" w:rsidRPr="004B06A0" w:rsidRDefault="00A43E5D" w:rsidP="00874997">
      <w:pPr>
        <w:spacing w:after="240"/>
        <w:ind w:firstLine="708"/>
        <w:rPr>
          <w:rFonts w:eastAsia="Times New Roman" w:cs="Times New Roman"/>
          <w:szCs w:val="24"/>
          <w:lang w:eastAsia="es-CR"/>
        </w:rPr>
      </w:pPr>
      <w:r w:rsidRPr="004B06A0">
        <w:rPr>
          <w:rFonts w:eastAsia="Times New Roman" w:cs="Times New Roman"/>
          <w:color w:val="000000"/>
          <w:szCs w:val="24"/>
          <w:lang w:eastAsia="es-CR"/>
        </w:rPr>
        <w:t xml:space="preserve">La secuenciación de las regiones </w:t>
      </w:r>
      <w:r w:rsidRPr="00630D04">
        <w:rPr>
          <w:rFonts w:eastAsia="Times New Roman" w:cs="Times New Roman"/>
          <w:i/>
          <w:iCs/>
          <w:color w:val="000000"/>
          <w:szCs w:val="24"/>
          <w:lang w:eastAsia="es-CR"/>
        </w:rPr>
        <w:t>ITS</w:t>
      </w:r>
      <w:r w:rsidRPr="004B06A0">
        <w:rPr>
          <w:rFonts w:eastAsia="Times New Roman" w:cs="Times New Roman"/>
          <w:i/>
          <w:iCs/>
          <w:color w:val="000000"/>
          <w:szCs w:val="24"/>
          <w:lang w:eastAsia="es-CR"/>
        </w:rPr>
        <w:t xml:space="preserve"> </w:t>
      </w:r>
      <w:r w:rsidRPr="004B06A0">
        <w:rPr>
          <w:rFonts w:eastAsia="Times New Roman" w:cs="Times New Roman"/>
          <w:color w:val="000000"/>
          <w:szCs w:val="24"/>
          <w:lang w:eastAsia="es-CR"/>
        </w:rPr>
        <w:t xml:space="preserve">y </w:t>
      </w:r>
      <w:r w:rsidR="00630D04" w:rsidRPr="00DF126B">
        <w:rPr>
          <w:rFonts w:ascii="Symbol" w:eastAsia="Symbol" w:hAnsi="Symbol" w:cs="Symbol"/>
          <w:i/>
          <w:iCs/>
          <w:sz w:val="22"/>
        </w:rPr>
        <w:t>b</w:t>
      </w:r>
      <w:r w:rsidR="00630D04" w:rsidRPr="00DF126B">
        <w:rPr>
          <w:rFonts w:eastAsia="Times New Roman" w:cs="Times New Roman"/>
          <w:i/>
          <w:iCs/>
          <w:color w:val="000000"/>
          <w:szCs w:val="24"/>
          <w:lang w:eastAsia="es-CR"/>
        </w:rPr>
        <w:t xml:space="preserve"> </w:t>
      </w:r>
      <w:r w:rsidRPr="00DF126B">
        <w:rPr>
          <w:rFonts w:eastAsia="Times New Roman" w:cs="Times New Roman"/>
          <w:i/>
          <w:iCs/>
          <w:color w:val="000000"/>
          <w:szCs w:val="24"/>
          <w:lang w:eastAsia="es-CR"/>
        </w:rPr>
        <w:t>-tubulina</w:t>
      </w:r>
      <w:r w:rsidRPr="004B06A0">
        <w:rPr>
          <w:rFonts w:eastAsia="Times New Roman" w:cs="Times New Roman"/>
          <w:color w:val="000000"/>
          <w:szCs w:val="24"/>
          <w:lang w:eastAsia="es-CR"/>
        </w:rPr>
        <w:t xml:space="preserve"> se realizó con el objetivo de identificar a nivel de especie los tres hongos marinos que se utilizarían en</w:t>
      </w:r>
      <w:r w:rsidR="006F392C">
        <w:rPr>
          <w:rFonts w:eastAsia="Times New Roman" w:cs="Times New Roman"/>
          <w:color w:val="000000"/>
          <w:szCs w:val="24"/>
          <w:lang w:eastAsia="es-CR"/>
        </w:rPr>
        <w:t xml:space="preserve"> el cultivo líquido</w:t>
      </w:r>
      <w:r w:rsidRPr="004B06A0">
        <w:rPr>
          <w:rFonts w:eastAsia="Times New Roman" w:cs="Times New Roman"/>
          <w:color w:val="000000"/>
          <w:szCs w:val="24"/>
          <w:lang w:eastAsia="es-CR"/>
        </w:rPr>
        <w:t>, sin embargo, a pesar de haber logrado amplificaciones específicas y de buena intensidad, las lecturas recibidas del proceso de secuenciación por parte de Macrogen fueron de mala calidad. Esto pudo deberse a un transporte inadecuado de los productos de amplificación por parte del proveedor provocando su desnaturalización. Por otro lado, esto puede también deberse a la presencia de contaminantes o amplificaciones inespecíficas que no fueran visibles en el gel. En el caso de la cepa A 4.1</w:t>
      </w:r>
      <w:r w:rsidR="00DF126B">
        <w:rPr>
          <w:rFonts w:eastAsia="Times New Roman" w:cs="Times New Roman"/>
          <w:color w:val="000000"/>
          <w:szCs w:val="24"/>
          <w:lang w:eastAsia="es-CR"/>
        </w:rPr>
        <w:t xml:space="preserve"> (</w:t>
      </w:r>
      <w:r w:rsidR="00DF126B" w:rsidRPr="00A5719A">
        <w:rPr>
          <w:i/>
          <w:iCs/>
          <w:szCs w:val="24"/>
          <w:lang w:eastAsia="es-CR"/>
        </w:rPr>
        <w:t>Paraconiothyrium sp</w:t>
      </w:r>
      <w:r w:rsidR="00DF126B">
        <w:rPr>
          <w:rFonts w:eastAsia="Times New Roman" w:cs="Times New Roman"/>
          <w:color w:val="000000"/>
          <w:szCs w:val="24"/>
          <w:lang w:eastAsia="es-CR"/>
        </w:rPr>
        <w:t>)</w:t>
      </w:r>
      <w:r w:rsidRPr="004B06A0">
        <w:rPr>
          <w:rFonts w:eastAsia="Times New Roman" w:cs="Times New Roman"/>
          <w:color w:val="000000"/>
          <w:szCs w:val="24"/>
          <w:lang w:eastAsia="es-CR"/>
        </w:rPr>
        <w:t xml:space="preserve">, la región con buena resolución que se logró rescatar mostró similitud con las secuencias </w:t>
      </w:r>
      <w:r w:rsidRPr="00630D04">
        <w:rPr>
          <w:rFonts w:eastAsia="Times New Roman" w:cs="Times New Roman"/>
          <w:i/>
          <w:iCs/>
          <w:color w:val="000000"/>
          <w:szCs w:val="24"/>
          <w:lang w:eastAsia="es-CR"/>
        </w:rPr>
        <w:t>ITS</w:t>
      </w:r>
      <w:r w:rsidRPr="004B06A0">
        <w:rPr>
          <w:rFonts w:eastAsia="Times New Roman" w:cs="Times New Roman"/>
          <w:color w:val="000000"/>
          <w:szCs w:val="24"/>
          <w:lang w:eastAsia="es-CR"/>
        </w:rPr>
        <w:t xml:space="preserve"> de diferentes especies de hongos, sin embargo, fue tan corta que no se permitió asignar con precisión un grupo de especies dentro del género identificado. Aunado a esto, las características morfológicas de esta cepa no permitieron tener una mejor aproximación taxonómica. </w:t>
      </w:r>
    </w:p>
    <w:p w14:paraId="3FB97016" w14:textId="0D891BA2" w:rsidR="00A43E5D" w:rsidRPr="004B06A0" w:rsidRDefault="00A43E5D" w:rsidP="4447C96C">
      <w:pPr>
        <w:spacing w:before="240" w:after="240"/>
        <w:ind w:firstLine="708"/>
        <w:rPr>
          <w:rFonts w:eastAsia="Times New Roman" w:cs="Times New Roman"/>
          <w:lang w:eastAsia="es-CR"/>
        </w:rPr>
      </w:pPr>
      <w:r w:rsidRPr="4447C96C">
        <w:rPr>
          <w:rFonts w:eastAsia="Times New Roman" w:cs="Times New Roman"/>
          <w:color w:val="000000"/>
          <w:lang w:eastAsia="es-CR"/>
        </w:rPr>
        <w:t xml:space="preserve">Sin embargo, a pesar de que no se logró identificar los hongos marinos a nivel de especie, es importante destacar que la identificación del género de las cepas sigue siendo un recurso muy informativo y funcional para direccionar futuros ensayos e investigaciones. Aunado a esto, nuestros registros son los primeros en su forma para especies fúngicas costarricenses aisladas de </w:t>
      </w:r>
      <w:r w:rsidRPr="4447C96C">
        <w:rPr>
          <w:rFonts w:eastAsia="Times New Roman" w:cs="Times New Roman"/>
          <w:color w:val="000000"/>
          <w:lang w:eastAsia="es-CR"/>
        </w:rPr>
        <w:lastRenderedPageBreak/>
        <w:t xml:space="preserve">manglar Es muy frecuente encontrar escenarios donde las características micro y </w:t>
      </w:r>
      <w:r w:rsidR="0059043A" w:rsidRPr="4447C96C">
        <w:rPr>
          <w:rFonts w:eastAsia="Times New Roman" w:cs="Times New Roman"/>
          <w:color w:val="000000"/>
          <w:lang w:eastAsia="es-CR"/>
        </w:rPr>
        <w:t>macro morfológicas</w:t>
      </w:r>
      <w:r w:rsidRPr="4447C96C">
        <w:rPr>
          <w:rFonts w:eastAsia="Times New Roman" w:cs="Times New Roman"/>
          <w:color w:val="000000"/>
          <w:lang w:eastAsia="es-CR"/>
        </w:rPr>
        <w:t xml:space="preserve"> de un hongo no dan ninguna pista para su identificación, por lo que conocer la aproximación taxonómica permite repetir la secuenciación con pares de </w:t>
      </w:r>
      <w:r w:rsidRPr="4447C96C">
        <w:rPr>
          <w:rFonts w:eastAsia="Times New Roman" w:cs="Times New Roman"/>
          <w:i/>
          <w:iCs/>
          <w:color w:val="000000"/>
          <w:lang w:eastAsia="es-CR"/>
        </w:rPr>
        <w:t xml:space="preserve">primers </w:t>
      </w:r>
      <w:r w:rsidRPr="4447C96C">
        <w:rPr>
          <w:rFonts w:eastAsia="Times New Roman" w:cs="Times New Roman"/>
          <w:color w:val="000000"/>
          <w:lang w:eastAsia="es-CR"/>
        </w:rPr>
        <w:t>más específicos para cada grupo</w:t>
      </w:r>
      <w:r w:rsidR="00C91154">
        <w:rPr>
          <w:rFonts w:eastAsia="Times New Roman" w:cs="Times New Roman"/>
          <w:color w:val="000000"/>
          <w:lang w:eastAsia="es-CR"/>
        </w:rPr>
        <w:t xml:space="preserve"> </w:t>
      </w:r>
      <w:r w:rsidR="00C91154" w:rsidRPr="00C91154">
        <w:rPr>
          <w:rFonts w:eastAsia="Times New Roman" w:cs="Times New Roman"/>
          <w:color w:val="000000"/>
          <w:lang w:eastAsia="es-CR"/>
        </w:rPr>
        <w:fldChar w:fldCharType="begin" w:fldLock="1"/>
      </w:r>
      <w:r w:rsidR="001C6A4C">
        <w:rPr>
          <w:rFonts w:eastAsia="Times New Roman" w:cs="Times New Roman"/>
          <w:color w:val="000000"/>
          <w:lang w:eastAsia="es-CR"/>
        </w:rPr>
        <w:instrText>ADDIN CSL_CITATION {"citationItems":[{"id":"ITEM-1","itemData":{"DOI":"10.1073/pnas.1207143109","ISSN":"00278424","PMID":"22715287","author":[{"dropping-particle":"","family":"Kiss","given":"Levente","non-dropping-particle":"","parse-names":false,"suffix":""}],"container-title":"Proceedings of the National Academy of Sciences of the United States of America","id":"ITEM-1","issue":"27","issued":{"date-parts":[["2012"]]},"page":"2012","title":"Limits of nuclear ribosomal DNA internal transcribed spacer (ITS) sequences as species barcodes for Fungi","type":"article-journal","volume":"109"},"uris":["http://www.mendeley.com/documents/?uuid=59659eed-df85-4b5f-b20f-a0efdfce30b0"]}],"mendeley":{"formattedCitation":"(Kiss, 2012)","plainTextFormattedCitation":"(Kiss, 2012)","previouslyFormattedCitation":"(Kiss, 2012)"},"properties":{"noteIndex":0},"schema":"https://github.com/citation-style-language/schema/raw/master/csl-citation.json"}</w:instrText>
      </w:r>
      <w:r w:rsidR="00C91154" w:rsidRPr="00C91154">
        <w:rPr>
          <w:rFonts w:eastAsia="Times New Roman" w:cs="Times New Roman"/>
          <w:color w:val="000000"/>
          <w:lang w:eastAsia="es-CR"/>
        </w:rPr>
        <w:fldChar w:fldCharType="separate"/>
      </w:r>
      <w:r w:rsidR="00C91154" w:rsidRPr="00C91154">
        <w:rPr>
          <w:rFonts w:eastAsia="Times New Roman" w:cs="Times New Roman"/>
          <w:noProof/>
          <w:color w:val="000000"/>
          <w:lang w:eastAsia="es-CR"/>
        </w:rPr>
        <w:t>(Kiss, 2012)</w:t>
      </w:r>
      <w:r w:rsidR="00C91154" w:rsidRPr="00C91154">
        <w:rPr>
          <w:rFonts w:eastAsia="Times New Roman" w:cs="Times New Roman"/>
          <w:color w:val="000000"/>
          <w:lang w:eastAsia="es-CR"/>
        </w:rPr>
        <w:fldChar w:fldCharType="end"/>
      </w:r>
      <w:r w:rsidR="00C91154">
        <w:rPr>
          <w:rFonts w:eastAsia="Times New Roman" w:cs="Times New Roman"/>
          <w:color w:val="000000"/>
          <w:lang w:eastAsia="es-CR"/>
        </w:rPr>
        <w:t>.</w:t>
      </w:r>
    </w:p>
    <w:p w14:paraId="480DC725" w14:textId="2D566DBD" w:rsidR="00A43E5D" w:rsidRPr="004B06A0" w:rsidRDefault="00A43E5D" w:rsidP="4447C96C">
      <w:pPr>
        <w:spacing w:before="240" w:after="240"/>
        <w:ind w:firstLine="708"/>
        <w:rPr>
          <w:rFonts w:eastAsia="Times New Roman" w:cs="Times New Roman"/>
          <w:lang w:eastAsia="es-CR"/>
        </w:rPr>
      </w:pPr>
      <w:r w:rsidRPr="4447C96C">
        <w:rPr>
          <w:rFonts w:eastAsia="Times New Roman" w:cs="Times New Roman"/>
          <w:color w:val="000000"/>
          <w:lang w:eastAsia="es-CR"/>
        </w:rPr>
        <w:t xml:space="preserve">Si bien la región </w:t>
      </w:r>
      <w:r w:rsidRPr="00DF126B">
        <w:rPr>
          <w:rFonts w:eastAsia="Times New Roman" w:cs="Times New Roman"/>
          <w:i/>
          <w:iCs/>
          <w:color w:val="000000"/>
          <w:lang w:eastAsia="es-CR"/>
        </w:rPr>
        <w:t>ITS</w:t>
      </w:r>
      <w:r w:rsidRPr="4447C96C">
        <w:rPr>
          <w:rFonts w:eastAsia="Times New Roman" w:cs="Times New Roman"/>
          <w:color w:val="000000"/>
          <w:lang w:eastAsia="es-CR"/>
        </w:rPr>
        <w:t xml:space="preserve"> es la más utilizada para la identificación de hongos ya que presenta gran cantidad de secuencias reportadas en la mayoría de bases de datos </w:t>
      </w:r>
      <w:r w:rsidR="001C6A4C">
        <w:rPr>
          <w:rFonts w:eastAsia="Times New Roman" w:cs="Times New Roman"/>
          <w:color w:val="000000"/>
          <w:lang w:eastAsia="es-CR"/>
        </w:rPr>
        <w:fldChar w:fldCharType="begin" w:fldLock="1"/>
      </w:r>
      <w:r w:rsidR="0088198E">
        <w:rPr>
          <w:rFonts w:eastAsia="Times New Roman" w:cs="Times New Roman"/>
          <w:color w:val="000000"/>
          <w:lang w:eastAsia="es-CR"/>
        </w:rPr>
        <w:instrText>ADDIN CSL_CITATION {"citationItems":[{"id":"ITEM-1","itemData":{"DOI":"https://doi.org/10.1186/1471-2180-10-189","author":[{"dropping-particle":"","family":"Bellemain","given":"Eva","non-dropping-particle":"","parse-names":false,"suffix":""},{"dropping-particle":"","family":"Carlsen","given":"Tor","non-dropping-particle":"","parse-names":false,"suffix":""},{"dropping-particle":"","family":"Brochmann","given":"Christian","non-dropping-particle":"","parse-names":false,"suffix":""},{"dropping-particle":"","family":"Coissac","given":"Eric","non-dropping-particle":"","parse-names":false,"suffix":""},{"dropping-particle":"","family":"Taberlet","given":"Pierre","non-dropping-particle":"","parse-names":false,"suffix":""},{"dropping-particle":"","family":"Kauserud","given":"Håvard","non-dropping-particle":"","parse-names":false,"suffix":""}],"container-title":"BMC Microbiology 2010,","id":"ITEM-1","issue":"109","issued":{"date-parts":[["2010"]]},"page":"1-9","title":"ITS as an environmental DNA barcode for fungi : An in silico approach reveals potential PCR biases","type":"article-journal","volume":"10"},"uris":["http://www.mendeley.com/documents/?uuid=8a588d6f-79e2-46c9-9f29-0c2871de0bf0"]},{"id":"ITEM-2","itemData":{"DOI":"10.1007/s00253-010-2585-4","ISSN":"01757598","PMID":"20405123","abstract":"Fungal research is experiencing a new wave of methodological improvements that most probably will boost mycology as profoundly as molecular phylogeny has done during the last 15 years. Especially the next generation sequencing technologies can be expected to have a tremendous effect on fungal biodiversity and ecology research. In order to realise the full potential of these exciting techniques by accelerating biodiversity assessments, identification procedures of fungi need to be adapted to the emerging demands of modern large-scale ecological studies. But how should fungal species be identified in the near future? While the answer might seem trivial to most microbiologists, taxonomists working with fungi may have other views. In the present review, we will analyse the state of the art of the so-called barcoding initiatives in the light of fungi, and we will seek to evaluate emerging trends in the field. We will furthermore demonstrate that the usability of DNA barcoding as a major tool for identification of fungi largely depends on the development of high-quality sequence databases that are thoroughly curated by taxonomists and systematists. © 2010 Springer-Verlag.","author":[{"dropping-particle":"","family":"Begerow","given":"Dominik","non-dropping-particle":"","parse-names":false,"suffix":""},{"dropping-particle":"","family":"Nilsson","given":"Henrik","non-dropping-particle":"","parse-names":false,"suffix":""},{"dropping-particle":"","family":"Unterseher","given":"Martin","non-dropping-particle":"","parse-names":false,"suffix":""},{"dropping-particle":"","family":"Maier","given":"Wolfgang","non-dropping-particle":"","parse-names":false,"suffix":""}],"container-title":"Applied Microbiology and Biotechnology","id":"ITEM-2","issue":"1","issued":{"date-parts":[["2010"]]},"page":"99-108","title":"Current state and perspectives of fungal DNA barcoding and rapid identification procedures","type":"article-journal","volume":"87"},"uris":["http://www.mendeley.com/documents/?uuid=b3eb9cce-ab94-4729-8843-3dea5ec0f88c"]},{"id":"ITEM-3","itemData":{"DOI":"10.1073/pnas.1117018109","ISSN":"00278424","PMID":"22454494","abstract":"Six DNA regions were evaluated as potential DNA barcodes for Fungi, the second largest kingdom of eukaryotic life, by a multinational, multilaboratory consortium. The region of the mitochondrial cytochrome c oxidase subunit 1 used as the animal barcode was excluded as a potential marker, because it is difficult to amplify in fungi, often includes large introns, and can be insufficiently variable. Three subunits from the nuclear ribosomal RNA cistron were compared together with regions of three representative protein-coding genes (largest subunit of RNA polymerase II, second largest subunit of RNA polymerase II, and minichromosome maintenance protein). Although the protein-coding gene regions often had a higher percent of correct identification compared with ribosomal markers, low PCR amplification and sequencing success eliminated them as candidates for a universal fungal barcode. Among the regions of the ribosomal cistron, the internal transcribed spacer (ITS) region has the highest probability of successful identification for the broadest range of fungi, with the most clearly defined barcode gap between inter- and intraspecific variation. The nuclear ribosomal large subunit, a popular phylogenetic marker in certain groups, had superior species resolution in some taxonomic groups, such as the early diverging lineages and the ascomycete yeasts, but was otherwise slightly inferior to the ITS. The nuclear ribosomal small subunit has poor species-level resolution in fungi. ITS will be formally proposed for adoption as the primary fungal barcode marker to the Consortium for the Barcode of Life, with the possibility that supplementary barcodes may be developed for particular narrowly circumscribed taxonomic groups.","author":[{"dropping-particle":"","family":"Schoch","given":"Conrad L.","non-dropping-particle":"","parse-names":false,"suffix":""},{"dropping-particle":"","family":"Seifert","given":"Keith A.","non-dropping-particle":"","parse-names":false,"suffix":""},{"dropping-particle":"","family":"Huhndorf","given":"Sabine","non-dropping-particle":"","parse-names":false,"suffix":""},{"dropping-particle":"","family":"Robert","given":"Vincent","non-dropping-particle":"","parse-names":false,"suffix":""},{"dropping-particle":"","family":"Spouge","given":"John L.","non-dropping-particle":"","parse-names":false,"suffix":""},{"dropping-particle":"","family":"Levesque","given":"C. André","non-dropping-particle":"","parse-names":false,"suffix":""},{"dropping-particle":"","family":"Chen","given":"Wen","non-dropping-particle":"","parse-names":false,"suffix":""},{"dropping-particle":"","family":"Bolchacova","given":"Elena","non-dropping-particle":"","parse-names":false,"suffix":""},{"dropping-particle":"","family":"Voigt","given":"Kerstin","non-dropping-particle":"","parse-names":false,"suffix":""},{"dropping-particle":"","family":"Crous","given":"Pedro W.","non-dropping-particle":"","parse-names":false,"suffix":""},{"dropping-particle":"","family":"Miller","given":"Andrew N.","non-dropping-particle":"","parse-names":false,"suffix":""},{"dropping-particle":"","family":"Wingfield","given":"Michael J.","non-dropping-particle":"","parse-names":false,"suffix":""},{"dropping-particle":"","family":"Aime","given":"M. Catherine","non-dropping-particle":"","parse-names":false,"suffix":""},{"dropping-particle":"","family":"An","given":"Kwang Deuk","non-dropping-particle":"","parse-names":false,"suffix":""},{"dropping-particle":"","family":"Bai","given":"Feng Yan","non-dropping-particle":"","parse-names":false,"suffix":""},{"dropping-particle":"","family":"Barreto","given":"Robert W.","non-dropping-particle":"","parse-names":false,"suffix":""},{"dropping-particle":"","family":"Begerow","given":"Dominik","non-dropping-particle":"","parse-names":false,"suffix":""},{"dropping-particle":"","family":"Bergeron","given":"Marie Josée","non-dropping-particle":"","parse-names":false,"suffix":""},{"dropping-particle":"","family":"Blackwell","given":"Meredith","non-dropping-particle":"","parse-names":false,"suffix":""},{"dropping-particle":"","family":"Boekhout","given":"Teun","non-dropping-particle":"","parse-names":false,"suffix":""},{"dropping-particle":"","family":"Bogale","given":"Mesfin","non-dropping-particle":"","parse-names":false,"suffix":""},{"dropping-particle":"","family":"Boonyuen","given":"Nattawut","non-dropping-particle":"","parse-names":false,"suffix":""},{"dropping-particle":"","family":"Burgaz","given":"Ana R.","non-dropping-particle":"","parse-names":false,"suffix":""},{"dropping-particle":"","family":"Buyck","given":"Bart","non-dropping-particle":"","parse-names":false,"suffix":""},{"dropping-particle":"","family":"Cai","given":"Lei","non-dropping-particle":"","parse-names":false,"suffix":""},{"dropping-particle":"","family":"Cai","given":"Qing","non-dropping-particle":"","parse-names":false,"suffix":""},{"dropping-particle":"","family":"Cardinali","given":"G.","non-dropping-particle":"","parse-names":false,"suffix":""},{"dropping-particle":"","family":"Chaverri","given":"Priscila","non-dropping-particle":"","parse-names":false,"suffix":""},{"dropping-particle":"","family":"Coppins","given":"Brian J.","non-dropping-particle":"","parse-names":false,"suffix":""},{"dropping-particle":"","family":"Crespo","given":"Ana","non-dropping-particle":"","parse-names":false,"suffix":""},{"dropping-particle":"","family":"Cubas","given":"Paloma","non-dropping-particle":"","parse-names":false,"suffix":""},{"dropping-particle":"","family":"Cummings","given":"Craig","non-dropping-particle":"","parse-names":false,"suffix":""},{"dropping-particle":"","family":"Damm","given":"Ulrike","non-dropping-particle":"","parse-names":false,"suffix":""},{"dropping-particle":"","family":"Beer","given":"Z. Wilhelm","non-dropping-particle":"de","parse-names":false,"suffix":""},{"dropping-particle":"","family":"Hoog","given":"G. Sybren","non-dropping-particle":"de","parse-names":false,"suffix":""},{"dropping-particle":"","family":"Del-Prado","given":"Ruth","non-dropping-particle":"","parse-names":false,"suffix":""},{"dropping-particle":"","family":"Dentinger","given":"Bryn","non-dropping-particle":"","parse-names":false,"suffix":""},{"dropping-particle":"","family":"Diéguez-Uribeondo","given":"Javier","non-dropping-particle":"","parse-names":false,"suffix":""},{"dropping-particle":"","family":"Divakar","given":"Pradeep K.","non-dropping-particle":"","parse-names":false,"suffix":""},{"dropping-particle":"","family":"Douglas","given":"Brian","non-dropping-particle":"","parse-names":false,"suffix":""},{"dropping-particle":"","family":"Dueñas","given":"Margarita","non-dropping-particle":"","parse-names":false,"suffix":""},{"dropping-particle":"","family":"Duong","given":"Tuan A.","non-dropping-particle":"","parse-names":false,"suffix":""},{"dropping-particle":"","family":"Eberhardt","given":"Ursula","non-dropping-particle":"","parse-names":false,"suffix":""},{"dropping-particle":"","family":"Edwards","given":"Joan E.","non-dropping-particle":"","parse-names":false,"suffix":""},{"dropping-particle":"","family":"Elshahed","given":"Mostafa S.","non-dropping-particle":"","parse-names":false,"suffix":""},{"dropping-particle":"","family":"Fliegerova","given":"Katerina","non-dropping-particle":"","parse-names":false,"suffix":""},{"dropping-particle":"","family":"Furtado","given":"Manohar","non-dropping-particle":"","parse-names":false,"suffix":""},{"dropping-particle":"","family":"García","given":"Miguel A.","non-dropping-particle":"","parse-names":false,"suffix":""},{"dropping-particle":"","family":"Ge","given":"Zai Wei","non-dropping-particle":"","parse-names":false,"suffix":""},{"dropping-particle":"","family":"Griffith","given":"Gareth W.","non-dropping-particle":"","parse-names":false,"suffix":""},{"dropping-particle":"","family":"Griffiths","given":"K.","non-dropping-particle":"","parse-names":false,"suffix":""},{"dropping-particle":"","family":"Groenewald","given":"Johannes Z.","non-dropping-particle":"","parse-names":false,"suffix":""},{"dropping-particle":"","family":"Groenewald","given":"Marizeth","non-dropping-particle":"","parse-names":false,"suffix":""},{"dropping-particle":"","family":"Grube","given":"Martin","non-dropping-particle":"","parse-names":false,"suffix":""},{"dropping-particle":"","family":"Gryzenhout","given":"Marieka","non-dropping-particle":"","parse-names":false,"suffix":""},{"dropping-particle":"","family":"Guo","given":"Liang Dong","non-dropping-particle":"","parse-names":false,"suffix":""},{"dropping-particle":"","family":"Hagen","given":"Ferry","non-dropping-particle":"","parse-names":false,"suffix":""},{"dropping-particle":"","family":"Hambleton","given":"Sarah","non-dropping-particle":"","parse-names":false,"suffix":""},{"dropping-particle":"","family":"Hamelin","given":"Richard C.","non-dropping-particle":"","parse-names":false,"suffix":""},{"dropping-particle":"","family":"Hansen","given":"Karen","non-dropping-particle":"","parse-names":false,"suffix":""},{"dropping-particle":"","family":"Harrold","given":"Paul","non-dropping-particle":"","parse-names":false,"suffix":""},{"dropping-particle":"","family":"Heller","given":"Gregory","non-dropping-particle":"","parse-names":false,"suffix":""},{"dropping-particle":"","family":"Herrera","given":"Cesar","non-dropping-particle":"","parse-names":false,"suffix":""},{"dropping-particle":"","family":"Hirayama","given":"Kazuyuki","non-dropping-particle":"","parse-names":false,"suffix":""},{"dropping-particle":"","family":"Hirooka","given":"Yuuri","non-dropping-particle":"","parse-names":false,"suffix":""},{"dropping-particle":"","family":"Ho","given":"Hsiao Man","non-dropping-particle":"","parse-names":false,"suffix":""},{"dropping-particle":"","family":"Hoffmann","given":"Kerstin","non-dropping-particle":"","parse-names":false,"suffix":""},{"dropping-particle":"","family":"Hofstetter","given":"Valérie","non-dropping-particle":"","parse-names":false,"suffix":""},{"dropping-particle":"","family":"Högnabba","given":"Filip","non-dropping-particle":"","parse-names":false,"suffix":""},{"dropping-particle":"","family":"Hollingsworth","given":"Peter M.","non-dropping-particle":"","parse-names":false,"suffix":""},{"dropping-particle":"","family":"Hong","given":"Seung Beom","non-dropping-particle":"","parse-names":false,"suffix":""},{"dropping-particle":"","family":"Hosaka","given":"Kentaro","non-dropping-particle":"","parse-names":false,"suffix":""},{"dropping-particle":"","family":"Houbraken","given":"Jos","non-dropping-particle":"","parse-names":false,"suffix":""},{"dropping-particle":"","family":"Hughes","given":"Karen","non-dropping-particle":"","parse-names":false,"suffix":""},{"dropping-particle":"","family":"Huhtinen","given":"Seppo","non-dropping-particle":"","parse-names":false,"suffix":""},{"dropping-particle":"","family":"Hyde","given":"Kevin D.","non-dropping-particle":"","parse-names":false,"suffix":""},{"dropping-particle":"","family":"James","given":"Timothy","non-dropping-particle":"","parse-names":false,"suffix":""},{"dropping-particle":"","family":"Johnson","given":"Eric M.","non-dropping-particle":"","parse-names":false,"suffix":""},{"dropping-particle":"","family":"Johnson","given":"Joan E.","non-dropping-particle":"","parse-names":false,"suffix":""},{"dropping-particle":"","family":"Johnston","given":"Peter R.","non-dropping-particle":"","parse-names":false,"suffix":""},{"dropping-particle":"","family":"Jones","given":"E. B.Gareth","non-dropping-particle":"","parse-names":false,"suffix":""},{"dropping-particle":"","family":"Kelly","given":"Laura J.","non-dropping-particle":"","parse-names":false,"suffix":""},{"dropping-particle":"","family":"Kirk","given":"Paul M.","non-dropping-particle":"","parse-names":false,"suffix":""},{"dropping-particle":"","family":"Knapp","given":"Dániel G.","non-dropping-particle":"","parse-names":false,"suffix":""},{"dropping-particle":"","family":"Kõljalg","given":"Urmas","non-dropping-particle":"","parse-names":false,"suffix":""},{"dropping-particle":"","family":"Kovács","given":"Gábor M.","non-dropping-particle":"","parse-names":false,"suffix":""},{"dropping-particle":"","family":"Kurtzman","given":"Cletus P.","non-dropping-particle":"","parse-names":false,"suffix":""},{"dropping-particle":"","family":"Landvik","given":"Sara","non-dropping-particle":"","parse-names":false,"suffix":""},{"dropping-particle":"","family":"Leavitt","given":"Steven D.","non-dropping-particle":"","parse-names":false,"suffix":""},{"dropping-particle":"","family":"Liggenstoffer","given":"Audra S.","non-dropping-particle":"","parse-names":false,"suffix":""},{"dropping-particle":"","family":"Liimatainen","given":"Kare","non-dropping-particle":"","parse-names":false,"suffix":""},{"dropping-particle":"","family":"Lombard","given":"Lorenzo","non-dropping-particle":"","parse-names":false,"suffix":""},{"dropping-particle":"","family":"Luangsa-ard","given":"J. Jennifer","non-dropping-particle":"","parse-names":false,"suffix":""},{"dropping-particle":"","family":"Lumbsch","given":"H. Thorsten","non-dropping-particle":"","parse-names":false,"suffix":""},{"dropping-particle":"","family":"Maganti","given":"Harinad","non-dropping-particle":"","parse-names":false,"suffix":""},{"dropping-particle":"","family":"Maharachchikumbura","given":"Sajeewa S.N.","non-dropping-particle":"","parse-names":false,"suffix":""},{"dropping-particle":"","family":"Martin","given":"María P.","non-dropping-particle":"","parse-names":false,"suffix":""},{"dropping-particle":"","family":"May","given":"Tom W.","non-dropping-particle":"","parse-names":false,"suffix":""},{"dropping-particle":"","family":"McTaggart","given":"Alistair R.","non-dropping-particle":"","parse-names":false,"suffix":""},{"dropping-particle":"","family":"Methven","given":"Andrew S.","non-dropping-particle":"","parse-names":false,"suffix":""},{"dropping-particle":"","family":"Meyer","given":"Wiel","non-dropping-particle":"","parse-names":false,"suffix":""},{"dropping-particle":"","family":"Moncalvo","given":"Jean Marc","non-dropping-particle":"","parse-names":false,"suffix":""},{"dropping-particle":"","family":"Mongkolsamrit","given":"Suchada","non-dropping-particle":"","parse-names":false,"suffix":""},{"dropping-particle":"","family":"Nagy","given":"László G.","non-dropping-particle":"","parse-names":false,"suffix":""},{"dropping-particle":"","family":"Nilsson","given":"R. Henrik","non-dropping-particle":"","parse-names":false,"suffix":""},{"dropping-particle":"","family":"Niskanen","given":"Tuula","non-dropping-particle":"","parse-names":false,"suffix":""},{"dropping-particle":"","family":"Nyilasi","given":"Ildikó","non-dropping-particle":"","parse-names":false,"suffix":""},{"dropping-particle":"","family":"Okada","given":"Gen","non-dropping-particle":"","parse-names":false,"suffix":""},{"dropping-particle":"","family":"Okane","given":"Izumi","non-dropping-particle":"","parse-names":false,"suffix":""},{"dropping-particle":"","family":"Olariaga","given":"Ibai","non-dropping-particle":"","parse-names":false,"suffix":""},{"dropping-particle":"","family":"Otte","given":"Jürgen","non-dropping-particle":"","parse-names":false,"suffix":""},{"dropping-particle":"","family":"Papp","given":"Tamás","non-dropping-particle":"","parse-names":false,"suffix":""},{"dropping-particle":"","family":"Park","given":"Duckchul","non-dropping-particle":"","parse-names":false,"suffix":""},{"dropping-particle":"","family":"Petkovits","given":"Tamás","non-dropping-particle":"","parse-names":false,"suffix":""},{"dropping-particle":"","family":"Pino-Bodas","given":"Raquel","non-dropping-particle":"","parse-names":false,"suffix":""},{"dropping-particle":"","family":"Quaedvlieg","given":"William","non-dropping-particle":"","parse-names":false,"suffix":""},{"dropping-particle":"","family":"Raja","given":"Huzefa A.","non-dropping-particle":"","parse-names":false,"suffix":""},{"dropping-particle":"","family":"Redecker","given":"Dirk","non-dropping-particle":"","parse-names":false,"suffix":""},{"dropping-particle":"","family":"Rintoul","given":"Tara L.","non-dropping-particle":"","parse-names":false,"suffix":""},{"dropping-particle":"","family":"Ruibal","given":"Constantino","non-dropping-particle":"","parse-names":false,"suffix":""},{"dropping-particle":"","family":"Sarmiento-Ramírez","given":"Jullie M.","non-dropping-particle":"","parse-names":false,"suffix":""},{"dropping-particle":"","family":"Schmitt","given":"Imke","non-dropping-particle":"","parse-names":false,"suffix":""},{"dropping-particle":"","family":"Schüßler","given":"Arthur","non-dropping-particle":"","parse-names":false,"suffix":""},{"dropping-particle":"","family":"Shearer","given":"Carol","non-dropping-particle":"","parse-names":false,"suffix":""},{"dropping-particle":"","family":"Sotome","given":"Kozue","non-dropping-particle":"","parse-names":false,"suffix":""},{"dropping-particle":"","family":"Stefani","given":"Franck O.P.","non-dropping-particle":"","parse-names":false,"suffix":""},{"dropping-particle":"","family":"Stenroos","given":"Soili","non-dropping-particle":"","parse-names":false,"suffix":""},{"dropping-particle":"","family":"Stielow","given":"Benjamin","non-dropping-particle":"","parse-names":false,"suffix":""},{"dropping-particle":"","family":"Stockinger","given":"Herbert","non-dropping-particle":"","parse-names":false,"suffix":""},{"dropping-particle":"","family":"Suetrong","given":"Satinee","non-dropping-particle":"","parse-names":false,"suffix":""},{"dropping-particle":"","family":"Suh","given":"Sung Oui","non-dropping-particle":"","parse-names":false,"suffix":""},{"dropping-particle":"","family":"Sung","given":"Gi Ho","non-dropping-particle":"","parse-names":false,"suffix":""},{"dropping-particle":"","family":"Suzuki","given":"Motofumi","non-dropping-particle":"","parse-names":false,"suffix":""},{"dropping-particle":"","family":"Tanaka","given":"Kazuaki","non-dropping-particle":"","parse-names":false,"suffix":""},{"dropping-particle":"","family":"Tedersoo","given":"Leho","non-dropping-particle":"","parse-names":false,"suffix":""},{"dropping-particle":"","family":"Telleria","given":"M. Teresa","non-dropping-particle":"","parse-names":false,"suffix":""},{"dropping-particle":"","family":"Tretter","given":"Eric","non-dropping-particle":"","parse-names":false,"suffix":""},{"dropping-particle":"","family":"Untereiner","given":"Wendy A.","non-dropping-particle":"","parse-names":false,"suffix":""},{"dropping-particle":"","family":"Urbina","given":"Hector","non-dropping-particle":"","parse-names":false,"suffix":""},{"dropping-particle":"","family":"Vágvölgyi","given":"Csaba","non-dropping-particle":"","parse-names":false,"suffix":""},{"dropping-particle":"","family":"Vialle","given":"Agathe","non-dropping-particle":"","parse-names":false,"suffix":""},{"dropping-particle":"","family":"Vu","given":"Thuy Duong","non-dropping-particle":"","parse-names":false,"suffix":""},{"dropping-particle":"","family":"Walther","given":"Grit","non-dropping-particle":"","parse-names":false,"suffix":""},{"dropping-particle":"","family":"Wang","given":"Qi Ming","non-dropping-particle":"","parse-names":false,"suffix":""},{"dropping-particle":"","family":"Wang","given":"Yan","non-dropping-particle":"","parse-names":false,"suffix":""},{"dropping-particle":"","family":"Weir","given":"Bevan S.","non-dropping-particle":"","parse-names":false,"suffix":""},{"dropping-particle":"","family":"Weiß","given":"Michael","non-dropping-particle":"","parse-names":false,"suffix":""},{"dropping-particle":"","family":"White","given":"Merlin M.","non-dropping-particle":"","parse-names":false,"suffix":""},{"dropping-particle":"","family":"Xu","given":"Jianping","non-dropping-particle":"","parse-names":false,"suffix":""},{"dropping-particle":"","family":"Yahr","given":"Rebecca","non-dropping-particle":"","parse-names":false,"suffix":""},{"dropping-particle":"","family":"Yang","given":"Zhu L.","non-dropping-particle":"","parse-names":false,"suffix":""},{"dropping-particle":"","family":"Yurkov","given":"Andrey","non-dropping-particle":"","parse-names":false,"suffix":""},{"dropping-particle":"","family":"Zamora","given":"Juan Carlos","non-dropping-particle":"","parse-names":false,"suffix":""},{"dropping-particle":"","family":"Zhang","given":"Ning","non-dropping-particle":"","parse-names":false,"suffix":""},{"dropping-particle":"","family":"Zhuang","given":"Wen Ying","non-dropping-particle":"","parse-names":false,"suffix":""},{"dropping-particle":"","family":"Schindel","given":"David","non-dropping-particle":"","parse-names":false,"suffix":""}],"container-title":"Proceedings of the National Academy of Sciences of the United States of America","id":"ITEM-3","issue":"16","issued":{"date-parts":[["2012"]]},"page":"6241-6246","title":"Nuclear ribosomal internal transcribed spacer (ITS) region as a universal DNA barcode marker for Fungi","type":"article-journal","volume":"109"},"uris":["http://www.mendeley.com/documents/?uuid=64f86ecd-08c5-41d5-b747-8a95e0493b13"]}],"mendeley":{"formattedCitation":"(Begerow, Nilsson, Unterseher, &amp; Maier, 2010; Bellemain et al., 2010; Schoch et al., 2012)","plainTextFormattedCitation":"(Begerow, Nilsson, Unterseher, &amp; Maier, 2010; Bellemain et al., 2010; Schoch et al., 2012)","previouslyFormattedCitation":"(Begerow, Nilsson, Unterseher, &amp; Maier, 2010; Bellemain et al., 2010; Schoch et al., 2012)"},"properties":{"noteIndex":0},"schema":"https://github.com/citation-style-language/schema/raw/master/csl-citation.json"}</w:instrText>
      </w:r>
      <w:r w:rsidR="001C6A4C">
        <w:rPr>
          <w:rFonts w:eastAsia="Times New Roman" w:cs="Times New Roman"/>
          <w:color w:val="000000"/>
          <w:lang w:eastAsia="es-CR"/>
        </w:rPr>
        <w:fldChar w:fldCharType="separate"/>
      </w:r>
      <w:r w:rsidR="00A1548D" w:rsidRPr="00A1548D">
        <w:rPr>
          <w:rFonts w:eastAsia="Times New Roman" w:cs="Times New Roman"/>
          <w:noProof/>
          <w:color w:val="000000"/>
          <w:lang w:eastAsia="es-CR"/>
        </w:rPr>
        <w:t>(Begerow, Nilsson, Unterseher, &amp; Maier, 2010; Bellemain et al., 2010; Schoch et al., 2012)</w:t>
      </w:r>
      <w:r w:rsidR="001C6A4C">
        <w:rPr>
          <w:rFonts w:eastAsia="Times New Roman" w:cs="Times New Roman"/>
          <w:color w:val="000000"/>
          <w:lang w:eastAsia="es-CR"/>
        </w:rPr>
        <w:fldChar w:fldCharType="end"/>
      </w:r>
      <w:r w:rsidRPr="4447C96C">
        <w:rPr>
          <w:rFonts w:eastAsia="Times New Roman" w:cs="Times New Roman"/>
          <w:color w:val="000000"/>
          <w:lang w:eastAsia="es-CR"/>
        </w:rPr>
        <w:t xml:space="preserve">, diversas investigaciones han mencionado e evidenciado que esta región no es la adecuada para identificar a nivel de especie a organismos del género </w:t>
      </w:r>
      <w:r w:rsidRPr="4447C96C">
        <w:rPr>
          <w:rFonts w:eastAsia="Times New Roman" w:cs="Times New Roman"/>
          <w:i/>
          <w:iCs/>
          <w:color w:val="000000"/>
          <w:lang w:eastAsia="es-CR"/>
        </w:rPr>
        <w:t xml:space="preserve">Aspergillus </w:t>
      </w:r>
      <w:r w:rsidRPr="4447C96C">
        <w:rPr>
          <w:rFonts w:eastAsia="Times New Roman" w:cs="Times New Roman"/>
          <w:color w:val="000000"/>
          <w:lang w:eastAsia="es-CR"/>
        </w:rPr>
        <w:t xml:space="preserve">y </w:t>
      </w:r>
      <w:r w:rsidRPr="4447C96C">
        <w:rPr>
          <w:rFonts w:eastAsia="Times New Roman" w:cs="Times New Roman"/>
          <w:i/>
          <w:iCs/>
          <w:color w:val="000000"/>
          <w:lang w:eastAsia="es-CR"/>
        </w:rPr>
        <w:t>Penicillium</w:t>
      </w:r>
      <w:r w:rsidR="0088198E">
        <w:rPr>
          <w:rFonts w:eastAsia="Times New Roman" w:cs="Times New Roman"/>
          <w:i/>
          <w:iCs/>
          <w:color w:val="000000"/>
          <w:lang w:eastAsia="es-CR"/>
        </w:rPr>
        <w:t xml:space="preserve"> </w:t>
      </w:r>
      <w:r w:rsidR="0088198E">
        <w:rPr>
          <w:rFonts w:eastAsia="Times New Roman" w:cs="Times New Roman"/>
          <w:i/>
          <w:iCs/>
          <w:color w:val="000000"/>
          <w:lang w:eastAsia="es-CR"/>
        </w:rPr>
        <w:fldChar w:fldCharType="begin" w:fldLock="1"/>
      </w:r>
      <w:r w:rsidR="00B0785E">
        <w:rPr>
          <w:rFonts w:eastAsia="Times New Roman" w:cs="Times New Roman"/>
          <w:i/>
          <w:iCs/>
          <w:color w:val="000000"/>
          <w:lang w:eastAsia="es-CR"/>
        </w:rPr>
        <w:instrText>ADDIN CSL_CITATION {"citationItems":[{"id":"ITEM-1","itemData":{"DOI":"10.1021/acs.jnatprod.6b01085","ISSN":"15206025","PMID":"28199101","abstract":"Fungi are morphologically, ecologically, metabolically, and phylogenetically diverse. They are known to produce numerous bioactive molecules, which makes them very useful for natural products researchers in their pursuit of discovering new chemical diversity with agricultural, industrial, and pharmaceutical applications. Despite their importance in natural products chemistry, identification of fungi remains a daunting task for chemists, especially those who do not work with a trained mycologist. The purpose of this review is to update natural products researchers about the tools available for molecular identification of fungi. In particular, we discuss (1) problems of using morphology alone in the identification of fungi to the species level; (2) the three nuclear ribosomal genes most commonly used in fungal identification and the potential advantages and limitations of the ITS region, which is the official DNA barcoding marker for species-level identification of fungi; (3) how to use NCBI-BLAST search for DNA barcoding, with a cautionary note regarding its limitations; (4) the numerous curated molecular databases containing fungal sequences; (5) the various protein-coding genes used to augment or supplant ITS in species-level identification of certain fungal groups; and (6) methods used in the construction of phylogenetic trees from DNA sequences to facilitate fungal species identification. We recommend that, whenever possible, both morphology and molecular data be used for fungal identification. Our goal is that this review will provide a set of standardized procedures for the molecular identification of fungi that can be utilized by the natural products research community.","author":[{"dropping-particle":"","family":"Raja","given":"Huzefa A.","non-dropping-particle":"","parse-names":false,"suffix":""},{"dropping-particle":"","family":"Miller","given":"Andrew N.","non-dropping-particle":"","parse-names":false,"suffix":""},{"dropping-particle":"","family":"Pearce","given":"Cedric J.","non-dropping-particle":"","parse-names":false,"suffix":""},{"dropping-particle":"","family":"Oberlies","given":"Nicholas H.","non-dropping-particle":"","parse-names":false,"suffix":""}],"container-title":"Journal of Natural Products","id":"ITEM-1","issue":"3","issued":{"date-parts":[["2017"]]},"page":"756-770","title":"Fungal Identification Using Molecular Tools: A Primer for the Natural Products Research Community","type":"article-journal","volume":"80"},"uris":["http://www.mendeley.com/documents/?uuid=3b186afe-6646-4af8-b652-1819a32ca5fc"]},{"id":"ITEM-2","itemData":{"DOI":"10.1128/EC.00162-06","ISSN":"15359778","PMID":"17030996","abstract":"Aspergillus fumigatus has been understood to be the most common cause of invasive aspergillosis (IA) in all epidemiological surveys. However, recent studies have uncovered a large degree of genetic heterogeneity between isolates morphologically identified as A. fumigatus, leading to the description of a new species, Aspergillus lentulus. Here, we examined the genetic diversity of clinical isolates identified as A. fumigatus using restriction enzyme polymorphism analysis and sequence-based identification. Analysis of 50 clinical isolates from geographically diverse locations recorded the presence of at least three distinct species: A. lentulus, Aspergillus udagawae, and A. fumigatus. In vitro, A. lentulus isolates demonstrated decreased susceptibility to antifungal drugs currently used for IA, including amphotericin B, voriconazole, and caspofungin; A. udagawae isolates demonstrated decreased in vitro susceptibility to amphotericin B. Results of the present study demonstrate that current phenotypic methods to identify fungi do not differentiate between genetically distinct species in the A. fumigatus group. Differential antifungal susceptibilities of these species may account for some of the reported poor outcomes of therapy in clinical studies. Copyright © 2006, American Society for Microbiology. All Rights Reserved.","author":[{"dropping-particle":"","family":"Balajee","given":"S. Arunmozhi","non-dropping-particle":"","parse-names":false,"suffix":""},{"dropping-particle":"","family":"Nickle","given":"David","non-dropping-particle":"","parse-names":false,"suffix":""},{"dropping-particle":"","family":"Varga","given":"Janos","non-dropping-particle":"","parse-names":false,"suffix":""},{"dropping-particle":"","family":"Marr","given":"Kieren A.","non-dropping-particle":"","parse-names":false,"suffix":""}],"container-title":"Eukaryotic Cell","id":"ITEM-2","issue":"10","issued":{"date-parts":[["2006"]]},"page":"1705-1712","title":"Molecular studies reveal frequent misidentification of Aspergillus fumigatus by morphotyping","type":"article-journal","volume":"5"},"uris":["http://www.mendeley.com/documents/?uuid=1ae9f994-239a-473b-af2a-b7ae527675d8"]}],"mendeley":{"formattedCitation":"(S. Arunmozhi Balajee, Nickle, Varga, &amp; Marr, 2006; Raja, Miller, Pearce, &amp; Oberlies, 2017)","plainTextFormattedCitation":"(S. Arunmozhi Balajee, Nickle, Varga, &amp; Marr, 2006; Raja, Miller, Pearce, &amp; Oberlies, 2017)","previouslyFormattedCitation":"(S. Arunmozhi Balajee, Nickle, Varga, &amp; Marr, 2006; Raja, Miller, Pearce, &amp; Oberlies, 2017)"},"properties":{"noteIndex":0},"schema":"https://github.com/citation-style-language/schema/raw/master/csl-citation.json"}</w:instrText>
      </w:r>
      <w:r w:rsidR="0088198E">
        <w:rPr>
          <w:rFonts w:eastAsia="Times New Roman" w:cs="Times New Roman"/>
          <w:i/>
          <w:iCs/>
          <w:color w:val="000000"/>
          <w:lang w:eastAsia="es-CR"/>
        </w:rPr>
        <w:fldChar w:fldCharType="separate"/>
      </w:r>
      <w:r w:rsidR="00E32F52" w:rsidRPr="00E32F52">
        <w:rPr>
          <w:rFonts w:eastAsia="Times New Roman" w:cs="Times New Roman"/>
          <w:iCs/>
          <w:noProof/>
          <w:color w:val="000000"/>
          <w:lang w:eastAsia="es-CR"/>
        </w:rPr>
        <w:t>(</w:t>
      </w:r>
      <w:r w:rsidR="00B8615F">
        <w:t xml:space="preserve">(Balajee et al., </w:t>
      </w:r>
      <w:r w:rsidR="00E32F52" w:rsidRPr="00E32F52">
        <w:rPr>
          <w:rFonts w:eastAsia="Times New Roman" w:cs="Times New Roman"/>
          <w:iCs/>
          <w:noProof/>
          <w:color w:val="000000"/>
          <w:lang w:eastAsia="es-CR"/>
        </w:rPr>
        <w:t>2006; Raja, Miller, Pearce, &amp; Oberlies, 2017)</w:t>
      </w:r>
      <w:r w:rsidR="0088198E">
        <w:rPr>
          <w:rFonts w:eastAsia="Times New Roman" w:cs="Times New Roman"/>
          <w:i/>
          <w:iCs/>
          <w:color w:val="000000"/>
          <w:lang w:eastAsia="es-CR"/>
        </w:rPr>
        <w:fldChar w:fldCharType="end"/>
      </w:r>
      <w:r w:rsidR="006F072F">
        <w:rPr>
          <w:rFonts w:eastAsia="Times New Roman" w:cs="Times New Roman"/>
          <w:i/>
          <w:iCs/>
          <w:color w:val="000000"/>
          <w:lang w:eastAsia="es-CR"/>
        </w:rPr>
        <w:t xml:space="preserve">, </w:t>
      </w:r>
      <w:r w:rsidRPr="4447C96C">
        <w:rPr>
          <w:rFonts w:eastAsia="Times New Roman" w:cs="Times New Roman"/>
          <w:color w:val="000000"/>
          <w:lang w:eastAsia="es-CR"/>
        </w:rPr>
        <w:t>e inclusive se ha mencionado que tampoco es adecuada para identificar a nivel de especie a los hongos en general (Kiss, 2012)</w:t>
      </w:r>
      <w:r w:rsidRPr="4447C96C">
        <w:rPr>
          <w:rFonts w:eastAsia="Times New Roman" w:cs="Times New Roman"/>
          <w:i/>
          <w:iCs/>
          <w:color w:val="000000"/>
          <w:lang w:eastAsia="es-CR"/>
        </w:rPr>
        <w:t xml:space="preserve">. </w:t>
      </w:r>
      <w:r w:rsidR="00E32F52">
        <w:rPr>
          <w:rFonts w:eastAsia="Times New Roman" w:cs="Times New Roman"/>
          <w:i/>
          <w:iCs/>
          <w:color w:val="000000"/>
          <w:lang w:eastAsia="es-CR"/>
        </w:rPr>
        <w:fldChar w:fldCharType="begin" w:fldLock="1"/>
      </w:r>
      <w:r w:rsidR="00B0785E">
        <w:rPr>
          <w:rFonts w:eastAsia="Times New Roman" w:cs="Times New Roman"/>
          <w:i/>
          <w:iCs/>
          <w:color w:val="000000"/>
          <w:lang w:eastAsia="es-CR"/>
        </w:rPr>
        <w:instrText>ADDIN CSL_CITATION {"citationItems":[{"id":"ITEM-1","itemData":{"DOI":"10.3114/sim.2007.59.05","ISSN":"01660616","abstract":"Multiple recent studies have demonstrated the limited utility of morphological methods used singly for species identification of clinically relevant aspergilli. It is being increasingly recognised that comparative sequence based methods used in conjunction with traditional phenotype based methods can offer better resolution of species within this genus. Recognising the growing role of molecular methods in species recognition, the recently convened international working group meeting entitled \"Aspergillus Systematics in the Genomic Era' has proposed several recommendations that will be useful in such endeavors. Specific recommendations of this working group include the use of the ITS regions for inter section level identification and the β-tubulin locus for identification of individual species within the various Aspergillus sections. Copyright 2007 CBS Fungal Biodiversity Centre.","author":[{"dropping-particle":"","family":"Balajee","given":"S. A.","non-dropping-particle":"","parse-names":false,"suffix":""},{"dropping-particle":"","family":"Houbraken","given":"J.","non-dropping-particle":"","parse-names":false,"suffix":""},{"dropping-particle":"","family":"Verweij","given":"P. E.","non-dropping-particle":"","parse-names":false,"suffix":""},{"dropping-particle":"","family":"Hong","given":"S. B.","non-dropping-particle":"","parse-names":false,"suffix":""},{"dropping-particle":"","family":"Yaghuchi","given":"T.","non-dropping-particle":"","parse-names":false,"suffix":""},{"dropping-particle":"","family":"Varga","given":"J.","non-dropping-particle":"","parse-names":false,"suffix":""},{"dropping-particle":"","family":"Samson","given":"R. A.","non-dropping-particle":"","parse-names":false,"suffix":""}],"container-title":"Studies in Mycology","id":"ITEM-1","issued":{"date-parts":[["2007"]]},"page":"39-46","title":"Aspergillus species identification in the clinical setting","type":"article-journal","volume":"59"},"uris":["http://www.mendeley.com/documents/?uuid=05e3cd51-1d97-4767-b294-26809e086941"]}],"mendeley":{"formattedCitation":"(S. A. Balajee et al., 2007)","manualFormatting":"Balajee, S.A. et al., ","plainTextFormattedCitation":"(S. A. Balajee et al., 2007)","previouslyFormattedCitation":"(S. A. Balajee et al., 2007)"},"properties":{"noteIndex":0},"schema":"https://github.com/citation-style-language/schema/raw/master/csl-citation.json"}</w:instrText>
      </w:r>
      <w:r w:rsidR="00E32F52">
        <w:rPr>
          <w:rFonts w:eastAsia="Times New Roman" w:cs="Times New Roman"/>
          <w:i/>
          <w:iCs/>
          <w:color w:val="000000"/>
          <w:lang w:eastAsia="es-CR"/>
        </w:rPr>
        <w:fldChar w:fldCharType="separate"/>
      </w:r>
      <w:r w:rsidR="00E32F52" w:rsidRPr="00E32F52">
        <w:rPr>
          <w:rFonts w:eastAsia="Times New Roman" w:cs="Times New Roman"/>
          <w:iCs/>
          <w:noProof/>
          <w:color w:val="000000"/>
          <w:lang w:eastAsia="es-CR"/>
        </w:rPr>
        <w:t>Balajee</w:t>
      </w:r>
      <w:r w:rsidR="00097852">
        <w:rPr>
          <w:rFonts w:eastAsia="Times New Roman" w:cs="Times New Roman"/>
          <w:iCs/>
          <w:noProof/>
          <w:color w:val="000000"/>
          <w:lang w:eastAsia="es-CR"/>
        </w:rPr>
        <w:t>, S.A.</w:t>
      </w:r>
      <w:r w:rsidR="00E32F52" w:rsidRPr="00E32F52">
        <w:rPr>
          <w:rFonts w:eastAsia="Times New Roman" w:cs="Times New Roman"/>
          <w:iCs/>
          <w:noProof/>
          <w:color w:val="000000"/>
          <w:lang w:eastAsia="es-CR"/>
        </w:rPr>
        <w:t xml:space="preserve"> et al., </w:t>
      </w:r>
      <w:r w:rsidR="00E32F52">
        <w:rPr>
          <w:rFonts w:eastAsia="Times New Roman" w:cs="Times New Roman"/>
          <w:i/>
          <w:iCs/>
          <w:color w:val="000000"/>
          <w:lang w:eastAsia="es-CR"/>
        </w:rPr>
        <w:fldChar w:fldCharType="end"/>
      </w:r>
      <w:r w:rsidRPr="4447C96C">
        <w:rPr>
          <w:rFonts w:eastAsia="Times New Roman" w:cs="Times New Roman"/>
          <w:color w:val="000000"/>
          <w:lang w:eastAsia="es-CR"/>
        </w:rPr>
        <w:t xml:space="preserve">desde el año 2007 realizaban la recomendación de utilizar la región </w:t>
      </w:r>
      <w:r w:rsidRPr="4447C96C">
        <w:rPr>
          <w:rFonts w:eastAsia="Times New Roman" w:cs="Times New Roman"/>
          <w:i/>
          <w:iCs/>
          <w:color w:val="000000"/>
          <w:lang w:eastAsia="es-CR"/>
        </w:rPr>
        <w:t xml:space="preserve">ITS </w:t>
      </w:r>
      <w:r w:rsidRPr="4447C96C">
        <w:rPr>
          <w:rFonts w:eastAsia="Times New Roman" w:cs="Times New Roman"/>
          <w:color w:val="000000"/>
          <w:lang w:eastAsia="es-CR"/>
        </w:rPr>
        <w:t>para identificar los organismos a niveles más detallados de variación dentro del género y complementar con otras regiones como la</w:t>
      </w:r>
      <w:r w:rsidRPr="4447C96C">
        <w:rPr>
          <w:rFonts w:eastAsia="Times New Roman" w:cs="Times New Roman"/>
          <w:i/>
          <w:iCs/>
          <w:color w:val="000000"/>
          <w:lang w:eastAsia="es-CR"/>
        </w:rPr>
        <w:t xml:space="preserve"> </w:t>
      </w:r>
      <w:r w:rsidR="00DF126B" w:rsidRPr="00DF126B">
        <w:rPr>
          <w:rFonts w:ascii="Symbol" w:eastAsia="Symbol" w:hAnsi="Symbol" w:cs="Symbol"/>
          <w:i/>
          <w:iCs/>
          <w:sz w:val="22"/>
        </w:rPr>
        <w:t>b</w:t>
      </w:r>
      <w:r w:rsidR="00DF126B" w:rsidRPr="00DF126B">
        <w:rPr>
          <w:rFonts w:eastAsia="Times New Roman" w:cs="Times New Roman"/>
          <w:i/>
          <w:iCs/>
          <w:color w:val="000000"/>
          <w:lang w:eastAsia="es-CR"/>
        </w:rPr>
        <w:t xml:space="preserve"> </w:t>
      </w:r>
      <w:r w:rsidRPr="4447C96C">
        <w:rPr>
          <w:rFonts w:eastAsia="Times New Roman" w:cs="Times New Roman"/>
          <w:i/>
          <w:iCs/>
          <w:color w:val="000000"/>
          <w:lang w:eastAsia="es-CR"/>
        </w:rPr>
        <w:t>-tubulina</w:t>
      </w:r>
      <w:r w:rsidRPr="4447C96C">
        <w:rPr>
          <w:rFonts w:eastAsia="Times New Roman" w:cs="Times New Roman"/>
          <w:color w:val="000000"/>
          <w:lang w:eastAsia="es-CR"/>
        </w:rPr>
        <w:t xml:space="preserve">, para lograr diferenciar entre especies, práctica que ha sido respaldada por otros </w:t>
      </w:r>
      <w:r w:rsidR="00FE6298" w:rsidRPr="00FE6298">
        <w:rPr>
          <w:rFonts w:eastAsia="Times New Roman" w:cs="Times New Roman"/>
          <w:color w:val="000000"/>
          <w:lang w:eastAsia="es-CR"/>
        </w:rPr>
        <w:t>autores. Así</w:t>
      </w:r>
      <w:r w:rsidRPr="00FE6298">
        <w:rPr>
          <w:rFonts w:eastAsia="Times New Roman" w:cs="Times New Roman"/>
          <w:color w:val="000000"/>
          <w:lang w:eastAsia="es-CR"/>
        </w:rPr>
        <w:t xml:space="preserve"> también</w:t>
      </w:r>
      <w:r w:rsidRPr="4447C96C">
        <w:rPr>
          <w:rFonts w:eastAsia="Times New Roman" w:cs="Times New Roman"/>
          <w:color w:val="000000"/>
          <w:lang w:eastAsia="es-CR"/>
        </w:rPr>
        <w:t xml:space="preserve">, estos autores evidencian la funcionalidad de combinar varios </w:t>
      </w:r>
      <w:r w:rsidRPr="4447C96C">
        <w:rPr>
          <w:rFonts w:eastAsia="Times New Roman" w:cs="Times New Roman"/>
          <w:i/>
          <w:iCs/>
          <w:color w:val="000000"/>
          <w:lang w:eastAsia="es-CR"/>
        </w:rPr>
        <w:t>primers</w:t>
      </w:r>
      <w:r w:rsidR="00AB0638">
        <w:rPr>
          <w:rFonts w:eastAsia="Times New Roman" w:cs="Times New Roman"/>
          <w:color w:val="000000"/>
          <w:lang w:eastAsia="es-CR"/>
        </w:rPr>
        <w:t xml:space="preserve"> y</w:t>
      </w:r>
      <w:r w:rsidRPr="4447C96C">
        <w:rPr>
          <w:rFonts w:eastAsia="Times New Roman" w:cs="Times New Roman"/>
          <w:color w:val="000000"/>
          <w:lang w:eastAsia="es-CR"/>
        </w:rPr>
        <w:t xml:space="preserve"> cómo la identificación de algunas cepas de </w:t>
      </w:r>
      <w:r w:rsidRPr="4447C96C">
        <w:rPr>
          <w:rFonts w:eastAsia="Times New Roman" w:cs="Times New Roman"/>
          <w:i/>
          <w:iCs/>
          <w:color w:val="000000"/>
          <w:lang w:eastAsia="es-CR"/>
        </w:rPr>
        <w:t xml:space="preserve">Aspergillus </w:t>
      </w:r>
      <w:r w:rsidRPr="4447C96C">
        <w:rPr>
          <w:rFonts w:eastAsia="Times New Roman" w:cs="Times New Roman"/>
          <w:color w:val="000000"/>
          <w:lang w:eastAsia="es-CR"/>
        </w:rPr>
        <w:t xml:space="preserve">a nivel de especie sí fue posible al combinar </w:t>
      </w:r>
      <w:r w:rsidRPr="4447C96C">
        <w:rPr>
          <w:rFonts w:eastAsia="Times New Roman" w:cs="Times New Roman"/>
          <w:i/>
          <w:iCs/>
          <w:color w:val="000000"/>
          <w:lang w:eastAsia="es-CR"/>
        </w:rPr>
        <w:t xml:space="preserve">ITS </w:t>
      </w:r>
      <w:r w:rsidRPr="4447C96C">
        <w:rPr>
          <w:rFonts w:eastAsia="Times New Roman" w:cs="Times New Roman"/>
          <w:color w:val="000000"/>
          <w:lang w:eastAsia="es-CR"/>
        </w:rPr>
        <w:t xml:space="preserve">con la región </w:t>
      </w:r>
      <w:r w:rsidRPr="4447C96C">
        <w:rPr>
          <w:rFonts w:eastAsia="Times New Roman" w:cs="Times New Roman"/>
          <w:i/>
          <w:iCs/>
          <w:color w:val="000000"/>
          <w:lang w:eastAsia="es-CR"/>
        </w:rPr>
        <w:t>D1/D2</w:t>
      </w:r>
      <w:r w:rsidRPr="4447C96C">
        <w:rPr>
          <w:rFonts w:eastAsia="Times New Roman" w:cs="Times New Roman"/>
          <w:color w:val="000000"/>
          <w:lang w:eastAsia="es-CR"/>
        </w:rPr>
        <w:t xml:space="preserve"> de la subunidad grande del </w:t>
      </w:r>
      <w:r w:rsidRPr="4447C96C">
        <w:rPr>
          <w:rFonts w:eastAsia="Times New Roman" w:cs="Times New Roman"/>
          <w:i/>
          <w:iCs/>
          <w:color w:val="000000"/>
          <w:lang w:eastAsia="es-CR"/>
        </w:rPr>
        <w:t>ADNr 28S</w:t>
      </w:r>
      <w:r w:rsidRPr="4447C96C">
        <w:rPr>
          <w:rFonts w:eastAsia="Times New Roman" w:cs="Times New Roman"/>
          <w:color w:val="000000"/>
          <w:lang w:eastAsia="es-CR"/>
        </w:rPr>
        <w:t>. </w:t>
      </w:r>
    </w:p>
    <w:p w14:paraId="539DB766" w14:textId="06769D61" w:rsidR="00A43E5D" w:rsidRDefault="00A43E5D" w:rsidP="00A43E5D">
      <w:pPr>
        <w:ind w:firstLine="360"/>
        <w:rPr>
          <w:rFonts w:eastAsia="Times New Roman" w:cs="Times New Roman"/>
          <w:color w:val="000000"/>
          <w:szCs w:val="24"/>
          <w:lang w:eastAsia="es-CR"/>
        </w:rPr>
      </w:pPr>
      <w:r w:rsidRPr="004B06A0">
        <w:rPr>
          <w:rFonts w:eastAsia="Times New Roman" w:cs="Times New Roman"/>
          <w:color w:val="000000"/>
          <w:szCs w:val="24"/>
          <w:lang w:eastAsia="es-CR"/>
        </w:rPr>
        <w:t xml:space="preserve">A pesar del debate en torno a la región </w:t>
      </w:r>
      <w:r w:rsidRPr="004B06A0">
        <w:rPr>
          <w:rFonts w:eastAsia="Times New Roman" w:cs="Times New Roman"/>
          <w:i/>
          <w:iCs/>
          <w:color w:val="000000"/>
          <w:szCs w:val="24"/>
          <w:lang w:eastAsia="es-CR"/>
        </w:rPr>
        <w:t>ITS</w:t>
      </w:r>
      <w:r w:rsidRPr="004B06A0">
        <w:rPr>
          <w:rFonts w:eastAsia="Times New Roman" w:cs="Times New Roman"/>
          <w:color w:val="000000"/>
          <w:szCs w:val="24"/>
          <w:lang w:eastAsia="es-CR"/>
        </w:rPr>
        <w:t xml:space="preserve">, es importante acotar que su utilización siempre será recomendada cuando no se tiene ningún conocimiento previo sobre el hongo, ya que brinda la información preliminar necesaria para direccionar la identificación mediante el uso de otras regiones específicas para cada grupo </w:t>
      </w:r>
      <w:r w:rsidR="00B0785E">
        <w:rPr>
          <w:rFonts w:eastAsia="Times New Roman" w:cs="Times New Roman"/>
          <w:color w:val="000000"/>
          <w:szCs w:val="24"/>
          <w:lang w:eastAsia="es-CR"/>
        </w:rPr>
        <w:fldChar w:fldCharType="begin" w:fldLock="1"/>
      </w:r>
      <w:r w:rsidR="00413EC4">
        <w:rPr>
          <w:rFonts w:eastAsia="Times New Roman" w:cs="Times New Roman"/>
          <w:color w:val="000000"/>
          <w:szCs w:val="24"/>
          <w:lang w:eastAsia="es-CR"/>
        </w:rPr>
        <w:instrText>ADDIN CSL_CITATION {"citationItems":[{"id":"ITEM-1","itemData":{"DOI":"10.1128/JCM.01685-08","ISSN":"00951137","PMID":"19073865","author":[{"dropping-particle":"","family":"Balajee","given":"S. A.","non-dropping-particle":"","parse-names":false,"suffix":""},{"dropping-particle":"","family":"Borman","given":"A. M.","non-dropping-particle":"","parse-names":false,"suffix":""},{"dropping-particle":"","family":"Brandt","given":"M. E.","non-dropping-particle":"","parse-names":false,"suffix":""},{"dropping-particle":"","family":"Cano","given":"J.","non-dropping-particle":"","parse-names":false,"suffix":""},{"dropping-particle":"","family":"Cuenca-Estrella","given":"M.","non-dropping-particle":"","parse-names":false,"suffix":""},{"dropping-particle":"","family":"Dannaoui","given":"E.","non-dropping-particle":"","parse-names":false,"suffix":""},{"dropping-particle":"","family":"Guarro","given":"J.","non-dropping-particle":"","parse-names":false,"suffix":""},{"dropping-particle":"","family":"Haase","given":"G.","non-dropping-particle":"","parse-names":false,"suffix":""},{"dropping-particle":"","family":"Kibbler","given":"C. C.","non-dropping-particle":"","parse-names":false,"suffix":""},{"dropping-particle":"","family":"Meyer","given":"W.","non-dropping-particle":"","parse-names":false,"suffix":""},{"dropping-particle":"","family":"O'donnell","given":"K.","non-dropping-particle":"","parse-names":false,"suffix":""},{"dropping-particle":"","family":"Petti","given":"C. A.","non-dropping-particle":"","parse-names":false,"suffix":""},{"dropping-particle":"","family":"Rodriguez-Tudela","given":"J. L.","non-dropping-particle":"","parse-names":false,"suffix":""},{"dropping-particle":"","family":"Sutton","given":"D.","non-dropping-particle":"","parse-names":false,"suffix":""},{"dropping-particle":"","family":"Velegraki","given":"A.","non-dropping-particle":"","parse-names":false,"suffix":""},{"dropping-particle":"","family":"Wickes","given":"B. L.","non-dropping-particle":"","parse-names":false,"suffix":""}],"container-title":"Journal of Clinical Microbiology","id":"ITEM-1","issue":"4","issued":{"date-parts":[["2009"]]},"page":"877-884","title":"Sequence-based identification of aspergillus, fusarium, and mucorales species in the clinical mycology laboratory: Where are we and where should we go from here?","type":"article-journal","volume":"47"},"uris":["http://www.mendeley.com/documents/?uuid=a30e8f0a-6bc9-4dee-9c8f-5276c95de761"]}],"mendeley":{"formattedCitation":"(S. A. Balajee et al., 2009)","plainTextFormattedCitation":"(S. A. Balajee et al., 2009)","previouslyFormattedCitation":"(S. A. Balajee et al., 2009)"},"properties":{"noteIndex":0},"schema":"https://github.com/citation-style-language/schema/raw/master/csl-citation.json"}</w:instrText>
      </w:r>
      <w:r w:rsidR="00B0785E">
        <w:rPr>
          <w:rFonts w:eastAsia="Times New Roman" w:cs="Times New Roman"/>
          <w:color w:val="000000"/>
          <w:szCs w:val="24"/>
          <w:lang w:eastAsia="es-CR"/>
        </w:rPr>
        <w:fldChar w:fldCharType="separate"/>
      </w:r>
      <w:r w:rsidR="00B0785E" w:rsidRPr="00B0785E">
        <w:rPr>
          <w:rFonts w:eastAsia="Times New Roman" w:cs="Times New Roman"/>
          <w:noProof/>
          <w:color w:val="000000"/>
          <w:szCs w:val="24"/>
          <w:lang w:eastAsia="es-CR"/>
        </w:rPr>
        <w:t>(S. A. Balajee et al., 2009)</w:t>
      </w:r>
      <w:r w:rsidR="00B0785E">
        <w:rPr>
          <w:rFonts w:eastAsia="Times New Roman" w:cs="Times New Roman"/>
          <w:color w:val="000000"/>
          <w:szCs w:val="24"/>
          <w:lang w:eastAsia="es-CR"/>
        </w:rPr>
        <w:fldChar w:fldCharType="end"/>
      </w:r>
      <w:r w:rsidRPr="004B06A0">
        <w:rPr>
          <w:rFonts w:eastAsia="Times New Roman" w:cs="Times New Roman"/>
          <w:color w:val="000000"/>
          <w:szCs w:val="24"/>
          <w:lang w:eastAsia="es-CR"/>
        </w:rPr>
        <w:t xml:space="preserve">Del mismo modo, la identificación morfológica preliminar también se convierte en una herramienta de gran utilidad para realizar estos direccionamientos. Si bien es cierto los hongos son organismos complejos, para los cuales su morfología puede variar según diversos factores como medios de cultivo, días de crecimiento e inclusive cantidad de repiques, es importante llevar a cabo este tipo de caracterizaciones. La identificación presuntiva guía la toma de decisiones, lo que permite ahorro de tiempo, dinero </w:t>
      </w:r>
      <w:proofErr w:type="gramStart"/>
      <w:r w:rsidRPr="004B06A0">
        <w:rPr>
          <w:rFonts w:eastAsia="Times New Roman" w:cs="Times New Roman"/>
          <w:color w:val="000000"/>
          <w:szCs w:val="24"/>
          <w:lang w:eastAsia="es-CR"/>
        </w:rPr>
        <w:t>y</w:t>
      </w:r>
      <w:proofErr w:type="gramEnd"/>
      <w:r w:rsidRPr="004B06A0">
        <w:rPr>
          <w:rFonts w:eastAsia="Times New Roman" w:cs="Times New Roman"/>
          <w:color w:val="000000"/>
          <w:szCs w:val="24"/>
          <w:lang w:eastAsia="es-CR"/>
        </w:rPr>
        <w:t xml:space="preserve"> además, identificaciones más precisas y confiables. Así también, la identificación morfológica llega a ser confirmatoria al compararse contra los datos moleculares, como bien ocurrió en este caso con la identificación de las cepas A 2.1 y B 3.2 como </w:t>
      </w:r>
      <w:r w:rsidRPr="004B06A0">
        <w:rPr>
          <w:rFonts w:eastAsia="Times New Roman" w:cs="Times New Roman"/>
          <w:i/>
          <w:iCs/>
          <w:color w:val="000000"/>
          <w:szCs w:val="24"/>
          <w:lang w:eastAsia="es-CR"/>
        </w:rPr>
        <w:t xml:space="preserve">Penicillium sp. </w:t>
      </w:r>
      <w:r w:rsidRPr="004B06A0">
        <w:rPr>
          <w:rFonts w:eastAsia="Times New Roman" w:cs="Times New Roman"/>
          <w:color w:val="000000"/>
          <w:szCs w:val="24"/>
          <w:lang w:eastAsia="es-CR"/>
        </w:rPr>
        <w:t xml:space="preserve">y </w:t>
      </w:r>
      <w:r w:rsidRPr="004B06A0">
        <w:rPr>
          <w:rFonts w:eastAsia="Times New Roman" w:cs="Times New Roman"/>
          <w:i/>
          <w:iCs/>
          <w:color w:val="000000"/>
          <w:szCs w:val="24"/>
          <w:lang w:eastAsia="es-CR"/>
        </w:rPr>
        <w:t>Aspergillus sp.</w:t>
      </w:r>
      <w:r w:rsidRPr="004B06A0">
        <w:rPr>
          <w:rFonts w:eastAsia="Times New Roman" w:cs="Times New Roman"/>
          <w:color w:val="000000"/>
          <w:szCs w:val="24"/>
          <w:lang w:eastAsia="es-CR"/>
        </w:rPr>
        <w:t>, respectivamente.</w:t>
      </w:r>
    </w:p>
    <w:p w14:paraId="2A821914" w14:textId="7C72FCB7" w:rsidR="00026254" w:rsidRDefault="4447C96C" w:rsidP="008908A4">
      <w:pPr>
        <w:spacing w:after="0"/>
        <w:ind w:firstLine="360"/>
        <w:rPr>
          <w:lang w:eastAsia="es-CR"/>
        </w:rPr>
      </w:pPr>
      <w:r w:rsidRPr="4447C96C">
        <w:rPr>
          <w:lang w:eastAsia="es-CR"/>
        </w:rPr>
        <w:lastRenderedPageBreak/>
        <w:t xml:space="preserve">Este trabajo evidencia la falta de información génica y genómica de especies fúngicas no modelo, ya que los hongos han sido organismos poco estudiados en comparación con otros microorganismos, como las bacterias, debido a la complejidad asociada a trabajar con ellos. Si bien, existe información disponible para algunas especies de los géneros evaluados en esta investigación, se encontró una notable falta de información genética en las bases de datos para el aislamiento A 4.1, perteneciente al género </w:t>
      </w:r>
      <w:r w:rsidRPr="4447C96C">
        <w:rPr>
          <w:i/>
          <w:iCs/>
          <w:lang w:eastAsia="es-CR"/>
        </w:rPr>
        <w:t>Paraconiothyrium sp.,</w:t>
      </w:r>
      <w:r w:rsidRPr="4447C96C">
        <w:rPr>
          <w:lang w:eastAsia="es-CR"/>
        </w:rPr>
        <w:t xml:space="preserve"> donde inclusive solo se describen un número limitado de especies de este género. En contraste, se observó una amplia disponibilidad de especies y genomas asociados al género </w:t>
      </w:r>
      <w:r w:rsidRPr="4447C96C">
        <w:rPr>
          <w:i/>
          <w:iCs/>
          <w:lang w:eastAsia="es-CR"/>
        </w:rPr>
        <w:t xml:space="preserve">Aspergillus sp., </w:t>
      </w:r>
      <w:r w:rsidRPr="4447C96C">
        <w:rPr>
          <w:lang w:eastAsia="es-CR"/>
        </w:rPr>
        <w:t xml:space="preserve">lo que permitió realizar análisis con los genomas de tres especies. A diferencia de </w:t>
      </w:r>
      <w:r w:rsidRPr="4447C96C">
        <w:rPr>
          <w:i/>
          <w:iCs/>
          <w:lang w:eastAsia="es-CR"/>
        </w:rPr>
        <w:t>Paraconiothyrium sp</w:t>
      </w:r>
      <w:r w:rsidRPr="4447C96C">
        <w:rPr>
          <w:lang w:eastAsia="es-CR"/>
        </w:rPr>
        <w:t xml:space="preserve">. el género </w:t>
      </w:r>
      <w:r w:rsidRPr="4447C96C">
        <w:rPr>
          <w:i/>
          <w:iCs/>
          <w:lang w:eastAsia="es-CR"/>
        </w:rPr>
        <w:t>Aspergillus sp.</w:t>
      </w:r>
      <w:r w:rsidRPr="4447C96C">
        <w:rPr>
          <w:lang w:eastAsia="es-CR"/>
        </w:rPr>
        <w:t xml:space="preserve"> ha sido ampliamente estudiado debido a su relevancia en la agricultura y medicina.</w:t>
      </w:r>
    </w:p>
    <w:p w14:paraId="1CEC84C2" w14:textId="77777777" w:rsidR="008908A4" w:rsidRDefault="008908A4" w:rsidP="00D873E6">
      <w:pPr>
        <w:spacing w:after="0" w:line="259" w:lineRule="auto"/>
        <w:rPr>
          <w:lang w:eastAsia="es-CR"/>
        </w:rPr>
      </w:pPr>
    </w:p>
    <w:p w14:paraId="233164A2" w14:textId="5DCD8F77" w:rsidR="00026254" w:rsidRDefault="009D6999" w:rsidP="00874997">
      <w:pPr>
        <w:pStyle w:val="Titulo20"/>
        <w:numPr>
          <w:ilvl w:val="1"/>
          <w:numId w:val="19"/>
        </w:numPr>
        <w:spacing w:after="0"/>
        <w:rPr>
          <w:lang w:eastAsia="es-CR"/>
        </w:rPr>
      </w:pPr>
      <w:bookmarkStart w:id="137" w:name="_Toc140204090"/>
      <w:r w:rsidRPr="00F21752">
        <w:rPr>
          <w:lang w:eastAsia="es-CR"/>
        </w:rPr>
        <w:t>Ensayo</w:t>
      </w:r>
      <w:r w:rsidRPr="000361FB">
        <w:rPr>
          <w:lang w:eastAsia="es-CR"/>
        </w:rPr>
        <w:t xml:space="preserve"> de actividad </w:t>
      </w:r>
      <w:r>
        <w:rPr>
          <w:lang w:eastAsia="es-CR"/>
        </w:rPr>
        <w:t>y</w:t>
      </w:r>
      <w:r w:rsidRPr="000361FB">
        <w:rPr>
          <w:lang w:eastAsia="es-CR"/>
        </w:rPr>
        <w:t xml:space="preserve"> </w:t>
      </w:r>
      <w:r>
        <w:rPr>
          <w:lang w:eastAsia="es-CR"/>
        </w:rPr>
        <w:t xml:space="preserve">caracterización química </w:t>
      </w:r>
      <w:r w:rsidRPr="000361FB">
        <w:rPr>
          <w:lang w:eastAsia="es-CR"/>
        </w:rPr>
        <w:t>de las fracciones</w:t>
      </w:r>
      <w:bookmarkEnd w:id="137"/>
    </w:p>
    <w:p w14:paraId="5F14C660" w14:textId="00A6BC1A" w:rsidR="00164E15" w:rsidRDefault="006F392C" w:rsidP="00264D97">
      <w:pPr>
        <w:ind w:firstLine="708"/>
        <w:rPr>
          <w:lang w:eastAsia="es-CR"/>
        </w:rPr>
      </w:pPr>
      <w:r>
        <w:rPr>
          <w:lang w:eastAsia="es-CR"/>
        </w:rPr>
        <w:t>El cultivo líquido</w:t>
      </w:r>
      <w:r w:rsidR="00720856">
        <w:rPr>
          <w:lang w:eastAsia="es-CR"/>
        </w:rPr>
        <w:t xml:space="preserve"> </w:t>
      </w:r>
      <w:r w:rsidR="008F2186">
        <w:rPr>
          <w:lang w:eastAsia="es-CR"/>
        </w:rPr>
        <w:t>en co-cultiv</w:t>
      </w:r>
      <w:r w:rsidR="001E4D1C">
        <w:rPr>
          <w:lang w:eastAsia="es-CR"/>
        </w:rPr>
        <w:t xml:space="preserve">o </w:t>
      </w:r>
      <w:r w:rsidR="003151CA">
        <w:rPr>
          <w:lang w:eastAsia="es-CR"/>
        </w:rPr>
        <w:t xml:space="preserve">pareciera haber sido el estímulo necesario para potenciar la actividad </w:t>
      </w:r>
      <w:r w:rsidR="00231C9C">
        <w:rPr>
          <w:lang w:eastAsia="es-CR"/>
        </w:rPr>
        <w:t>antimicrobiana de ciertos aislamientos fúngicos</w:t>
      </w:r>
      <w:r w:rsidR="00B03B3D">
        <w:rPr>
          <w:lang w:eastAsia="es-CR"/>
        </w:rPr>
        <w:t xml:space="preserve">, especialmente en el caso de </w:t>
      </w:r>
      <w:r w:rsidR="00B03B3D" w:rsidRPr="00CA6072">
        <w:rPr>
          <w:i/>
          <w:iCs/>
          <w:lang w:eastAsia="es-CR"/>
        </w:rPr>
        <w:t>Aspergillus</w:t>
      </w:r>
      <w:r w:rsidR="0088713E">
        <w:rPr>
          <w:i/>
          <w:iCs/>
          <w:lang w:eastAsia="es-CR"/>
        </w:rPr>
        <w:t xml:space="preserve"> </w:t>
      </w:r>
      <w:r w:rsidR="0088713E" w:rsidRPr="00CA6072">
        <w:rPr>
          <w:i/>
          <w:iCs/>
          <w:lang w:eastAsia="es-CR"/>
        </w:rPr>
        <w:t>sp</w:t>
      </w:r>
      <w:r w:rsidR="0088713E">
        <w:rPr>
          <w:lang w:eastAsia="es-CR"/>
        </w:rPr>
        <w:t xml:space="preserve">. </w:t>
      </w:r>
      <w:r w:rsidR="0088713E" w:rsidRPr="0088713E">
        <w:rPr>
          <w:lang w:eastAsia="es-CR"/>
        </w:rPr>
        <w:t>(cepa B 3.2)</w:t>
      </w:r>
      <w:r w:rsidR="00B03B3D" w:rsidRPr="00CA6072">
        <w:rPr>
          <w:i/>
          <w:iCs/>
          <w:lang w:eastAsia="es-CR"/>
        </w:rPr>
        <w:t xml:space="preserve"> </w:t>
      </w:r>
      <w:r w:rsidR="00B03B3D">
        <w:rPr>
          <w:lang w:eastAsia="es-CR"/>
        </w:rPr>
        <w:t xml:space="preserve">junto con </w:t>
      </w:r>
      <w:r w:rsidR="00B03B3D" w:rsidRPr="00CA6072">
        <w:rPr>
          <w:i/>
          <w:iCs/>
          <w:lang w:eastAsia="es-CR"/>
        </w:rPr>
        <w:t>S. aureus</w:t>
      </w:r>
      <w:r w:rsidR="00231C9C">
        <w:rPr>
          <w:lang w:eastAsia="es-CR"/>
        </w:rPr>
        <w:t xml:space="preserve">. </w:t>
      </w:r>
      <w:r w:rsidR="0072260D" w:rsidRPr="0072260D">
        <w:rPr>
          <w:lang w:eastAsia="es-CR"/>
        </w:rPr>
        <w:t xml:space="preserve">Es </w:t>
      </w:r>
      <w:r w:rsidR="007574B6">
        <w:rPr>
          <w:lang w:eastAsia="es-CR"/>
        </w:rPr>
        <w:t xml:space="preserve">muy probable que </w:t>
      </w:r>
      <w:r w:rsidR="0072260D" w:rsidRPr="0072260D">
        <w:rPr>
          <w:lang w:eastAsia="es-CR"/>
        </w:rPr>
        <w:t xml:space="preserve">el co-cultivo </w:t>
      </w:r>
      <w:r w:rsidR="00160445">
        <w:rPr>
          <w:lang w:eastAsia="es-CR"/>
        </w:rPr>
        <w:t>resultó</w:t>
      </w:r>
      <w:r w:rsidR="0072260D" w:rsidRPr="0072260D">
        <w:rPr>
          <w:lang w:eastAsia="es-CR"/>
        </w:rPr>
        <w:t xml:space="preserve"> en </w:t>
      </w:r>
      <w:r w:rsidR="00160445">
        <w:rPr>
          <w:lang w:eastAsia="es-CR"/>
        </w:rPr>
        <w:t xml:space="preserve">el incremento en la síntesis </w:t>
      </w:r>
      <w:r w:rsidR="003E2533">
        <w:rPr>
          <w:lang w:eastAsia="es-CR"/>
        </w:rPr>
        <w:t xml:space="preserve">de los metabolitos antimicrobianos o inclusive en la </w:t>
      </w:r>
      <w:r w:rsidR="0072260D" w:rsidRPr="0072260D">
        <w:rPr>
          <w:lang w:eastAsia="es-CR"/>
        </w:rPr>
        <w:t xml:space="preserve">producción de nuevas moléculas </w:t>
      </w:r>
      <w:r w:rsidR="00BC50EA">
        <w:rPr>
          <w:lang w:eastAsia="es-CR"/>
        </w:rPr>
        <w:t xml:space="preserve">con </w:t>
      </w:r>
      <w:r w:rsidR="001D76BA">
        <w:rPr>
          <w:lang w:eastAsia="es-CR"/>
        </w:rPr>
        <w:t>esa misma actividad</w:t>
      </w:r>
      <w:r w:rsidR="00237840">
        <w:rPr>
          <w:lang w:eastAsia="es-CR"/>
        </w:rPr>
        <w:t>.</w:t>
      </w:r>
      <w:r w:rsidR="001D76BA" w:rsidRPr="001D76BA">
        <w:rPr>
          <w:lang w:eastAsia="es-CR"/>
        </w:rPr>
        <w:t xml:space="preserve"> Este comportamiento ya ha sido ampliamente descrito en otras investigaciones</w:t>
      </w:r>
      <w:r w:rsidR="008610A9">
        <w:rPr>
          <w:lang w:eastAsia="es-CR"/>
        </w:rPr>
        <w:t>,</w:t>
      </w:r>
      <w:r w:rsidR="00DE642A">
        <w:rPr>
          <w:lang w:eastAsia="es-CR"/>
        </w:rPr>
        <w:t xml:space="preserve"> </w:t>
      </w:r>
      <w:r w:rsidR="008610A9">
        <w:rPr>
          <w:lang w:eastAsia="es-CR"/>
        </w:rPr>
        <w:t xml:space="preserve">tal es el caso </w:t>
      </w:r>
      <w:r w:rsidR="00DE642A">
        <w:rPr>
          <w:lang w:eastAsia="es-CR"/>
        </w:rPr>
        <w:t>del compuesto pestalona, un nuevo antibiótico que</w:t>
      </w:r>
      <w:r w:rsidR="003740BE">
        <w:rPr>
          <w:lang w:eastAsia="es-CR"/>
        </w:rPr>
        <w:t xml:space="preserve"> fue producido por </w:t>
      </w:r>
      <w:r w:rsidR="00BD755F">
        <w:rPr>
          <w:lang w:eastAsia="es-CR"/>
        </w:rPr>
        <w:t>un</w:t>
      </w:r>
      <w:r w:rsidR="003740BE">
        <w:rPr>
          <w:lang w:eastAsia="es-CR"/>
        </w:rPr>
        <w:t xml:space="preserve"> hongo</w:t>
      </w:r>
      <w:r w:rsidR="00BD755F">
        <w:rPr>
          <w:lang w:eastAsia="es-CR"/>
        </w:rPr>
        <w:t xml:space="preserve"> marino</w:t>
      </w:r>
      <w:r w:rsidR="00BD755F" w:rsidRPr="00BD755F">
        <w:rPr>
          <w:lang w:eastAsia="es-CR"/>
        </w:rPr>
        <w:t xml:space="preserve"> </w:t>
      </w:r>
      <w:r w:rsidR="00BD755F">
        <w:rPr>
          <w:lang w:eastAsia="es-CR"/>
        </w:rPr>
        <w:t xml:space="preserve">únicamente cuando fue co-cultivado </w:t>
      </w:r>
      <w:r w:rsidR="00DE642A">
        <w:rPr>
          <w:lang w:eastAsia="es-CR"/>
        </w:rPr>
        <w:t>junto con</w:t>
      </w:r>
      <w:r w:rsidR="009E1C24">
        <w:rPr>
          <w:lang w:eastAsia="es-CR"/>
        </w:rPr>
        <w:t xml:space="preserve"> una bacteria </w:t>
      </w:r>
      <w:r w:rsidR="002A6C0B">
        <w:rPr>
          <w:lang w:eastAsia="es-CR"/>
        </w:rPr>
        <w:t>en</w:t>
      </w:r>
      <w:r w:rsidR="006246FC">
        <w:rPr>
          <w:lang w:eastAsia="es-CR"/>
        </w:rPr>
        <w:t xml:space="preserve"> el</w:t>
      </w:r>
      <w:r w:rsidR="002A6C0B">
        <w:rPr>
          <w:lang w:eastAsia="es-CR"/>
        </w:rPr>
        <w:t xml:space="preserve"> </w:t>
      </w:r>
      <w:r>
        <w:rPr>
          <w:lang w:eastAsia="es-CR"/>
        </w:rPr>
        <w:t>cu</w:t>
      </w:r>
      <w:r w:rsidR="006246FC">
        <w:rPr>
          <w:lang w:eastAsia="es-CR"/>
        </w:rPr>
        <w:t>ltivo</w:t>
      </w:r>
      <w:r w:rsidR="002A6C0B">
        <w:rPr>
          <w:lang w:eastAsia="es-CR"/>
        </w:rPr>
        <w:t xml:space="preserve"> l</w:t>
      </w:r>
      <w:r w:rsidR="00245EC6">
        <w:rPr>
          <w:lang w:eastAsia="es-CR"/>
        </w:rPr>
        <w:t>í</w:t>
      </w:r>
      <w:r w:rsidR="002A6C0B">
        <w:rPr>
          <w:lang w:eastAsia="es-CR"/>
        </w:rPr>
        <w:t>quid</w:t>
      </w:r>
      <w:r w:rsidR="006246FC">
        <w:rPr>
          <w:lang w:eastAsia="es-CR"/>
        </w:rPr>
        <w:t>o</w:t>
      </w:r>
      <w:r w:rsidR="002A6C0B">
        <w:rPr>
          <w:lang w:eastAsia="es-CR"/>
        </w:rPr>
        <w:fldChar w:fldCharType="begin" w:fldLock="1"/>
      </w:r>
      <w:r w:rsidR="00504D6E">
        <w:rPr>
          <w:lang w:eastAsia="es-CR"/>
        </w:rPr>
        <w:instrText>ADDIN CSL_CITATION {"citationItems":[{"id":"ITEM-1","itemData":{"DOI":"10.1021/np0102713","ISSN":"01633864","abstract":"The isolation and structure determination of a new chlorinated benzophenone antibiotic, pestalone (1), is described. The new compound was produced by a cultured marine fungus only when a unicellular marine bacterium, strain CNJ-328, was co-cultured in the fungal fermentation. The fungus, isolated from the surface of the brown alga Rosenvingea sp. collected in the Bahamas Islands, was identified as an undescribed member of the genus Pestalotia. The structure of 1, initially assigned with only modest confidence by combined spectral and chemical data, was confirmed by single-crystal X-ray analysis. Pestalone (1) exhibits moderate in vitro cytotoxicity in the National Cancer Institute's 60 human tumor cell line screen (mean GI(50) = 6.0 microM). More importantly, pestalone shows potent antibiotic activity against methicillin-resistant Staphylococcus aureus (MIC = 37 ng/mL) and vancomycin-resistant Enterococcus faecium (MIC = 78 ng/mL), indicating that pestalone should be evaluated in advanced models of infectious disease.","author":[{"dropping-particle":"","family":"Cueto","given":"M.","non-dropping-particle":"","parse-names":false,"suffix":""},{"dropping-particle":"","family":"Jensen","given":"P. R.","non-dropping-particle":"","parse-names":false,"suffix":""},{"dropping-particle":"","family":"Kauffman","given":"C.","non-dropping-particle":"","parse-names":false,"suffix":""},{"dropping-particle":"","family":"Fenical","given":"W.","non-dropping-particle":"","parse-names":false,"suffix":""},{"dropping-particle":"","family":"Lobkovsky","given":"E.","non-dropping-particle":"","parse-names":false,"suffix":""},{"dropping-particle":"","family":"Clardy","given":"J.","non-dropping-particle":"","parse-names":false,"suffix":""}],"container-title":"Journal of Natural Products","id":"ITEM-1","issue":"11","issued":{"date-parts":[["2001"]]},"page":"1444-1446","title":"Pestalone, a new antibiotic produced by a marine fungus in response to bacterial challenge","type":"article-journal","volume":"64"},"uris":["http://www.mendeley.com/documents/?uuid=955e7297-c833-4d07-974a-273344c368bb"]}],"mendeley":{"formattedCitation":"(Cueto et al., 2001)","plainTextFormattedCitation":"(Cueto et al., 2001)","previouslyFormattedCitation":"(Cueto et al., 2001)"},"properties":{"noteIndex":0},"schema":"https://github.com/citation-style-language/schema/raw/master/csl-citation.json"}</w:instrText>
      </w:r>
      <w:r w:rsidR="002A6C0B">
        <w:rPr>
          <w:lang w:eastAsia="es-CR"/>
        </w:rPr>
        <w:fldChar w:fldCharType="separate"/>
      </w:r>
      <w:r w:rsidR="002A6C0B" w:rsidRPr="002A6C0B">
        <w:rPr>
          <w:noProof/>
          <w:lang w:eastAsia="es-CR"/>
        </w:rPr>
        <w:t>(Cueto et al., 2001)</w:t>
      </w:r>
      <w:r w:rsidR="002A6C0B">
        <w:rPr>
          <w:lang w:eastAsia="es-CR"/>
        </w:rPr>
        <w:fldChar w:fldCharType="end"/>
      </w:r>
      <w:r w:rsidR="00B95E77">
        <w:rPr>
          <w:lang w:eastAsia="es-CR"/>
        </w:rPr>
        <w:t xml:space="preserve">. </w:t>
      </w:r>
      <w:r w:rsidR="00164E15">
        <w:rPr>
          <w:lang w:eastAsia="es-CR"/>
        </w:rPr>
        <w:t xml:space="preserve">Asimismo, se ha reportado el mismo comportamiento en co-cultivos entre diversos hongos y bacterias e inclusive entre hongos y hongos </w:t>
      </w:r>
      <w:r w:rsidR="00164E15">
        <w:rPr>
          <w:lang w:eastAsia="es-CR"/>
        </w:rPr>
        <w:fldChar w:fldCharType="begin" w:fldLock="1"/>
      </w:r>
      <w:r w:rsidR="00164E15">
        <w:rPr>
          <w:lang w:eastAsia="es-CR"/>
        </w:rPr>
        <w:instrText>ADDIN CSL_CITATION {"citationItems":[{"id":"ITEM-1","itemData":{"DOI":"10.3390/microorganisms11020464","ISSN":"20762607","abstract":"Fungi are an important and prolific source of secondary metabolites (SMs) with diverse chemical structures and a wide array of biological properties. In the past two decades, however, the number of new fungal SMs by traditional monoculture method had been greatly decreasing. Fortunately, a growing number of studies have shown that co-culture strategy is an effective approach to awakening silent SM biosynthetic gene clusters (BGCs) in fungal strains to produce cryptic SMs. To enrich our knowledge of this approach and better exploit fungal biosynthetic potential for new drug discovery, this review comprehensively summarizes all fungal co-culture methods and their derived new SMs as well as bioactivities on the basis of an extensive literature search and data analysis. Future perspective on fungal co-culture study, as well as its interaction mechanism, is supplied.","author":[{"dropping-particle":"","family":"Xu","given":"Shuang","non-dropping-particle":"","parse-names":false,"suffix":""},{"dropping-particle":"","family":"Li","given":"Mengshi","non-dropping-particle":"","parse-names":false,"suffix":""},{"dropping-particle":"","family":"Hu","given":"Zhe","non-dropping-particle":"","parse-names":false,"suffix":""},{"dropping-particle":"","family":"Shao","given":"Yilan","non-dropping-particle":"","parse-names":false,"suffix":""},{"dropping-particle":"","family":"Ying","given":"Jialiang","non-dropping-particle":"","parse-names":false,"suffix":""},{"dropping-particle":"","family":"Zhang","given":"Huawei","non-dropping-particle":"","parse-names":false,"suffix":""}],"container-title":"Microorganisms","id":"ITEM-1","issue":"2","issued":{"date-parts":[["2023"]]},"title":"The Potential Use of Fungal Co-Culture Strategy for Discovery of New Secondary Metabolites","type":"article-journal","volume":"11"},"uris":["http://www.mendeley.com/documents/?uuid=3677d60f-4828-4ca6-9327-c0b68981a92d"]}],"mendeley":{"formattedCitation":"(S. Xu et al., 2023)","plainTextFormattedCitation":"(S. Xu et al., 2023)","previouslyFormattedCitation":"(S. Xu et al., 2023)"},"properties":{"noteIndex":0},"schema":"https://github.com/citation-style-language/schema/raw/master/csl-citation.json"}</w:instrText>
      </w:r>
      <w:r w:rsidR="00164E15">
        <w:rPr>
          <w:lang w:eastAsia="es-CR"/>
        </w:rPr>
        <w:fldChar w:fldCharType="separate"/>
      </w:r>
      <w:r w:rsidR="00164E15" w:rsidRPr="00843B93">
        <w:rPr>
          <w:noProof/>
          <w:lang w:eastAsia="es-CR"/>
        </w:rPr>
        <w:t>(S. Xu et al., 2023)</w:t>
      </w:r>
      <w:r w:rsidR="00164E15">
        <w:rPr>
          <w:lang w:eastAsia="es-CR"/>
        </w:rPr>
        <w:fldChar w:fldCharType="end"/>
      </w:r>
      <w:r w:rsidR="00164E15">
        <w:rPr>
          <w:lang w:eastAsia="es-CR"/>
        </w:rPr>
        <w:t>.</w:t>
      </w:r>
    </w:p>
    <w:p w14:paraId="167417B0" w14:textId="1F6556E2" w:rsidR="00212398" w:rsidRDefault="00D07743" w:rsidP="00164E15">
      <w:pPr>
        <w:ind w:firstLine="708"/>
        <w:rPr>
          <w:lang w:eastAsia="es-CR"/>
        </w:rPr>
      </w:pPr>
      <w:r w:rsidRPr="00D07743">
        <w:rPr>
          <w:lang w:eastAsia="es-CR"/>
        </w:rPr>
        <w:t xml:space="preserve">En contraste, </w:t>
      </w:r>
      <w:r w:rsidR="00084117">
        <w:rPr>
          <w:lang w:eastAsia="es-CR"/>
        </w:rPr>
        <w:t>en las ocasiones donde</w:t>
      </w:r>
      <w:r w:rsidRPr="00D07743">
        <w:rPr>
          <w:lang w:eastAsia="es-CR"/>
        </w:rPr>
        <w:t xml:space="preserve"> la actividad de los hongos se redujo al ser fermentados junto con otra bacteria podría</w:t>
      </w:r>
      <w:r>
        <w:rPr>
          <w:lang w:eastAsia="es-CR"/>
        </w:rPr>
        <w:t xml:space="preserve"> </w:t>
      </w:r>
      <w:r w:rsidRPr="00D07743">
        <w:rPr>
          <w:lang w:eastAsia="es-CR"/>
        </w:rPr>
        <w:t xml:space="preserve">atribuirse a una competencia directa entre los dos microorganismos por recursos como espacio y nutrientes. </w:t>
      </w:r>
      <w:r w:rsidR="005329BB">
        <w:rPr>
          <w:lang w:eastAsia="es-CR"/>
        </w:rPr>
        <w:t>Esto provocaría que</w:t>
      </w:r>
      <w:r w:rsidRPr="00D07743">
        <w:rPr>
          <w:lang w:eastAsia="es-CR"/>
        </w:rPr>
        <w:t xml:space="preserve"> el hongo priorice el consumo y la síntesis de compuestos necesarios para su propia supervivencia en lugar de invertir energía en la producción de compuestos que inhiban el crecimiento </w:t>
      </w:r>
      <w:r w:rsidR="003F2A1D">
        <w:rPr>
          <w:lang w:eastAsia="es-CR"/>
        </w:rPr>
        <w:t>bacteriano</w:t>
      </w:r>
      <w:r w:rsidR="00E8173A">
        <w:rPr>
          <w:lang w:eastAsia="es-CR"/>
        </w:rPr>
        <w:t>, manteniéndose dentro de un metabolismo primario</w:t>
      </w:r>
      <w:r w:rsidRPr="00D07743">
        <w:rPr>
          <w:lang w:eastAsia="es-CR"/>
        </w:rPr>
        <w:t xml:space="preserve">. </w:t>
      </w:r>
      <w:r w:rsidR="005329BB">
        <w:rPr>
          <w:lang w:eastAsia="es-CR"/>
        </w:rPr>
        <w:t>Anteriormente en un ensayo que utiliz</w:t>
      </w:r>
      <w:r w:rsidR="003F2A1D">
        <w:rPr>
          <w:lang w:eastAsia="es-CR"/>
        </w:rPr>
        <w:t>ó</w:t>
      </w:r>
      <w:r w:rsidR="001D7964">
        <w:rPr>
          <w:lang w:eastAsia="es-CR"/>
        </w:rPr>
        <w:t xml:space="preserve"> el co-cultivo para estimular la producción de metabolitos </w:t>
      </w:r>
      <w:r w:rsidR="00560F97">
        <w:rPr>
          <w:lang w:eastAsia="es-CR"/>
        </w:rPr>
        <w:t>secundarios</w:t>
      </w:r>
      <w:r w:rsidR="00FF53C4">
        <w:rPr>
          <w:lang w:eastAsia="es-CR"/>
        </w:rPr>
        <w:t xml:space="preserve"> se observó</w:t>
      </w:r>
      <w:r w:rsidR="00143C1B">
        <w:rPr>
          <w:lang w:eastAsia="es-CR"/>
        </w:rPr>
        <w:t xml:space="preserve"> </w:t>
      </w:r>
      <w:r w:rsidR="00560F97">
        <w:rPr>
          <w:lang w:eastAsia="es-CR"/>
        </w:rPr>
        <w:t>igualmente</w:t>
      </w:r>
      <w:r w:rsidR="00FF53C4">
        <w:rPr>
          <w:lang w:eastAsia="es-CR"/>
        </w:rPr>
        <w:t xml:space="preserve"> como un hongo marino tuvo menores valores de </w:t>
      </w:r>
      <w:r w:rsidR="00B2612E">
        <w:rPr>
          <w:lang w:eastAsia="es-CR"/>
        </w:rPr>
        <w:t>actividad</w:t>
      </w:r>
      <w:r w:rsidR="00143C1B">
        <w:rPr>
          <w:lang w:eastAsia="es-CR"/>
        </w:rPr>
        <w:t xml:space="preserve"> inhibitoria</w:t>
      </w:r>
      <w:r w:rsidR="00FF53C4">
        <w:rPr>
          <w:lang w:eastAsia="es-CR"/>
        </w:rPr>
        <w:t xml:space="preserve"> cuando se </w:t>
      </w:r>
      <w:r w:rsidR="00560F97">
        <w:rPr>
          <w:lang w:eastAsia="es-CR"/>
        </w:rPr>
        <w:t xml:space="preserve">creció en </w:t>
      </w:r>
      <w:r w:rsidR="00143C1B">
        <w:rPr>
          <w:lang w:eastAsia="es-CR"/>
        </w:rPr>
        <w:t>co-cultiv</w:t>
      </w:r>
      <w:r w:rsidR="00560F97">
        <w:rPr>
          <w:lang w:eastAsia="es-CR"/>
        </w:rPr>
        <w:t>o</w:t>
      </w:r>
      <w:r w:rsidR="00504D6E">
        <w:rPr>
          <w:lang w:eastAsia="es-CR"/>
        </w:rPr>
        <w:t xml:space="preserve"> </w:t>
      </w:r>
      <w:r w:rsidR="00504D6E">
        <w:rPr>
          <w:lang w:eastAsia="es-CR"/>
        </w:rPr>
        <w:fldChar w:fldCharType="begin" w:fldLock="1"/>
      </w:r>
      <w:r w:rsidR="00413D7B">
        <w:rPr>
          <w:lang w:eastAsia="es-CR"/>
        </w:rPr>
        <w:instrText>ADDIN CSL_CITATION {"citationItems":[{"id":"ITEM-1","itemData":{"DOI":"10.3390/md18020073","ISSN":"16603397","PMID":"31979232","abstract":"Microbial co-cultivation is employed for awakening silent biosynthetic gene clusters (BGCs) to enhance chemical diversity. However, the selection of appropriate partners for co-cultivation remains a challenge. Furthermore, competitive interactions involving the suppression of BGCs or upregulation of known, functional metabolite(s) during co-cultivation efforts is also common. Herein, we performed an alternative approach for targeted selection of the best co-cultivation pair. Eight marine sediment-derived fungi were classified as strong or weak, based on their anti-phytopathogenic potency. The fungi were co-cultured systematically and analyzed for their chemical profiles and anti-phytopathogenic activity. Based on enhanced bioactivity and a significantly different metabolite profile including the appearance of a co-culture specific cluster, the co-culture of Plenodomus influorescens (strong) and Pyrenochaeta nobilis (weak) was prioritized for chemical investigation. Large-scale co-cultivation resulted in isolation of five polyketide type compounds: two 12-membered macrolides, dendrodolide E (1) and its new analog dendrodolide N (2), as well as two rare azaphilones spiciferinone (3) and its new analog 8a-hydroxy-spiciferinone (4). A well-known bis-naphtho-γpyrone type mycotoxin, cephalochromin (5), whose production was specifically enhanced in the coculture, was also isolated. Chemical structures of compounds 1–5 were elucidated by NMR, HRMS and [α] 20D analyses. Compound 5 showed the strongest anti-phytopathogenic activity against Xanthomonas campestris and Phytophthora infestans with IC50 values of 0.9 and 1.7 µg/mL, respectively.","author":[{"dropping-particle":"","family":"Oppong-Danquah","given":"Ernest","non-dropping-particle":"","parse-names":false,"suffix":""},{"dropping-particle":"","family":"Budnicka","given":"Paulina","non-dropping-particle":"","parse-names":false,"suffix":""},{"dropping-particle":"","family":"Blümel","given":"Martina","non-dropping-particle":"","parse-names":false,"suffix":""},{"dropping-particle":"","family":"Tasdemir","given":"Deniz","non-dropping-particle":"","parse-names":false,"suffix":""}],"container-title":"Marine Drugs","id":"ITEM-1","issue":"2","issued":{"date-parts":[["2020"]]},"title":"Design of fungal co-cultivation based on comparative metabolomics and bioactivity for discovery of marine fungal agrochemicals","type":"article-journal","volume":"18"},"uris":["http://www.mendeley.com/documents/?uuid=738e0658-81d4-4d39-8671-a8bad4b3e2ef"]}],"mendeley":{"formattedCitation":"(Oppong-Danquah, Budnicka, Blümel, &amp; Tasdemir, 2020)","plainTextFormattedCitation":"(Oppong-Danquah, Budnicka, Blümel, &amp; Tasdemir, 2020)","previouslyFormattedCitation":"(Oppong-Danquah, Budnicka, Blümel, &amp; Tasdemir, 2020)"},"properties":{"noteIndex":0},"schema":"https://github.com/citation-style-language/schema/raw/master/csl-citation.json"}</w:instrText>
      </w:r>
      <w:r w:rsidR="00504D6E">
        <w:rPr>
          <w:lang w:eastAsia="es-CR"/>
        </w:rPr>
        <w:fldChar w:fldCharType="separate"/>
      </w:r>
      <w:r w:rsidR="00504D6E" w:rsidRPr="00504D6E">
        <w:rPr>
          <w:noProof/>
          <w:lang w:eastAsia="es-CR"/>
        </w:rPr>
        <w:t>(Oppong-Danquah, Budnicka, Blümel, &amp; Tasdemir, 2020)</w:t>
      </w:r>
      <w:r w:rsidR="00504D6E">
        <w:rPr>
          <w:lang w:eastAsia="es-CR"/>
        </w:rPr>
        <w:fldChar w:fldCharType="end"/>
      </w:r>
      <w:r w:rsidR="00504D6E">
        <w:rPr>
          <w:lang w:eastAsia="es-CR"/>
        </w:rPr>
        <w:t>.</w:t>
      </w:r>
    </w:p>
    <w:p w14:paraId="0E42843B" w14:textId="0018C028" w:rsidR="008F5003" w:rsidRDefault="00362BCF" w:rsidP="008F5003">
      <w:pPr>
        <w:ind w:firstLine="708"/>
        <w:rPr>
          <w:lang w:eastAsia="es-CR"/>
        </w:rPr>
      </w:pPr>
      <w:r w:rsidRPr="00362BCF">
        <w:rPr>
          <w:lang w:eastAsia="es-CR"/>
        </w:rPr>
        <w:lastRenderedPageBreak/>
        <w:t>Además, es importante destacar que a pesar de que algunos de los extractos fúngicos presentaron diámetros de inhibición menores en comparación con los controles</w:t>
      </w:r>
      <w:r w:rsidR="00487D73">
        <w:rPr>
          <w:lang w:eastAsia="es-CR"/>
        </w:rPr>
        <w:t xml:space="preserve"> positivos</w:t>
      </w:r>
      <w:r w:rsidRPr="00362BCF">
        <w:rPr>
          <w:lang w:eastAsia="es-CR"/>
        </w:rPr>
        <w:t xml:space="preserve">, esto no indica directamente que los compuestos sintetizados por </w:t>
      </w:r>
      <w:r w:rsidR="00CA7C7F">
        <w:rPr>
          <w:lang w:eastAsia="es-CR"/>
        </w:rPr>
        <w:t>los</w:t>
      </w:r>
      <w:r w:rsidRPr="00362BCF">
        <w:rPr>
          <w:lang w:eastAsia="es-CR"/>
        </w:rPr>
        <w:t xml:space="preserve"> hongos sean menos efectivos. La diferencia en los resultados podría deberse a variaciones en las concentraciones de las moléculas presentes en los extractos</w:t>
      </w:r>
      <w:r w:rsidR="00CA7C7F">
        <w:rPr>
          <w:lang w:eastAsia="es-CR"/>
        </w:rPr>
        <w:t>.</w:t>
      </w:r>
      <w:r w:rsidR="0070122B">
        <w:rPr>
          <w:lang w:eastAsia="es-CR"/>
        </w:rPr>
        <w:t xml:space="preserve"> </w:t>
      </w:r>
      <w:r w:rsidR="009938C6" w:rsidRPr="009938C6">
        <w:rPr>
          <w:lang w:eastAsia="es-CR"/>
        </w:rPr>
        <w:t xml:space="preserve">Para obtener una comparación más precisa, </w:t>
      </w:r>
      <w:r w:rsidR="00D4047E">
        <w:rPr>
          <w:lang w:eastAsia="es-CR"/>
        </w:rPr>
        <w:t>sería necesario</w:t>
      </w:r>
      <w:r w:rsidR="00843B1F">
        <w:rPr>
          <w:lang w:eastAsia="es-CR"/>
        </w:rPr>
        <w:t xml:space="preserve"> aislar </w:t>
      </w:r>
      <w:r w:rsidR="00843B1F" w:rsidRPr="009938C6">
        <w:rPr>
          <w:lang w:eastAsia="es-CR"/>
        </w:rPr>
        <w:t xml:space="preserve">cada metabolito </w:t>
      </w:r>
      <w:r w:rsidR="00843B1F">
        <w:rPr>
          <w:lang w:eastAsia="es-CR"/>
        </w:rPr>
        <w:t xml:space="preserve">para poder </w:t>
      </w:r>
      <w:r w:rsidR="009938C6" w:rsidRPr="009938C6">
        <w:rPr>
          <w:lang w:eastAsia="es-CR"/>
        </w:rPr>
        <w:t xml:space="preserve">cuantificar </w:t>
      </w:r>
      <w:r w:rsidR="00235D44">
        <w:rPr>
          <w:lang w:eastAsia="es-CR"/>
        </w:rPr>
        <w:t>y estandarizar l</w:t>
      </w:r>
      <w:r w:rsidR="009938C6" w:rsidRPr="009938C6">
        <w:rPr>
          <w:lang w:eastAsia="es-CR"/>
        </w:rPr>
        <w:t xml:space="preserve">a cantidad </w:t>
      </w:r>
      <w:r w:rsidR="00235D44">
        <w:rPr>
          <w:lang w:eastAsia="es-CR"/>
        </w:rPr>
        <w:t>utilizada, permitiendo así</w:t>
      </w:r>
      <w:r w:rsidR="009938C6" w:rsidRPr="009938C6">
        <w:rPr>
          <w:lang w:eastAsia="es-CR"/>
        </w:rPr>
        <w:t xml:space="preserve"> evaluar ambos compuestos en condiciones idénticas. Esta cuantificación no solo permitirá una comparación objetiva, sino que también abrir</w:t>
      </w:r>
      <w:r w:rsidR="00F335F6">
        <w:rPr>
          <w:lang w:eastAsia="es-CR"/>
        </w:rPr>
        <w:t>ía</w:t>
      </w:r>
      <w:r w:rsidR="009938C6" w:rsidRPr="009938C6">
        <w:rPr>
          <w:lang w:eastAsia="es-CR"/>
        </w:rPr>
        <w:t xml:space="preserve"> la posibilidad de determinar las concentraciones mínimas </w:t>
      </w:r>
      <w:r w:rsidR="00F335F6">
        <w:rPr>
          <w:lang w:eastAsia="es-CR"/>
        </w:rPr>
        <w:t>inhibitorias de los metabolitos fúngicos</w:t>
      </w:r>
      <w:r w:rsidR="009938C6" w:rsidRPr="009938C6">
        <w:rPr>
          <w:lang w:eastAsia="es-CR"/>
        </w:rPr>
        <w:t>.</w:t>
      </w:r>
    </w:p>
    <w:p w14:paraId="3F641141" w14:textId="23988AA4" w:rsidR="00F11CF5" w:rsidRDefault="0057007B" w:rsidP="00EE07F4">
      <w:pPr>
        <w:ind w:firstLine="708"/>
        <w:rPr>
          <w:lang w:eastAsia="es-CR"/>
        </w:rPr>
      </w:pPr>
      <w:r>
        <w:rPr>
          <w:lang w:eastAsia="es-CR"/>
        </w:rPr>
        <w:t xml:space="preserve">En </w:t>
      </w:r>
      <w:r w:rsidR="00127749">
        <w:rPr>
          <w:lang w:eastAsia="es-CR"/>
        </w:rPr>
        <w:t xml:space="preserve">relación con </w:t>
      </w:r>
      <w:r>
        <w:rPr>
          <w:lang w:eastAsia="es-CR"/>
        </w:rPr>
        <w:t xml:space="preserve">la actividad inhibitoria </w:t>
      </w:r>
      <w:r w:rsidR="008F7444">
        <w:rPr>
          <w:lang w:eastAsia="es-CR"/>
        </w:rPr>
        <w:t xml:space="preserve">de </w:t>
      </w:r>
      <w:r>
        <w:rPr>
          <w:lang w:eastAsia="es-CR"/>
        </w:rPr>
        <w:t xml:space="preserve">los aislamientos </w:t>
      </w:r>
      <w:r w:rsidR="007E25E9">
        <w:rPr>
          <w:lang w:eastAsia="es-CR"/>
        </w:rPr>
        <w:t>fúngicos</w:t>
      </w:r>
      <w:r w:rsidR="008F7444">
        <w:rPr>
          <w:lang w:eastAsia="es-CR"/>
        </w:rPr>
        <w:t xml:space="preserve">, </w:t>
      </w:r>
      <w:r w:rsidR="00B11971">
        <w:rPr>
          <w:lang w:eastAsia="es-CR"/>
        </w:rPr>
        <w:t>se encontró correspondencia con la actividad reportada en otras investigaciones.</w:t>
      </w:r>
      <w:r>
        <w:rPr>
          <w:lang w:eastAsia="es-CR"/>
        </w:rPr>
        <w:t xml:space="preserve"> </w:t>
      </w:r>
      <w:r w:rsidR="008174FD">
        <w:rPr>
          <w:lang w:eastAsia="es-CR"/>
        </w:rPr>
        <w:t xml:space="preserve">En el caso de </w:t>
      </w:r>
      <w:r w:rsidR="008174FD" w:rsidRPr="001D4F85">
        <w:rPr>
          <w:i/>
          <w:iCs/>
          <w:lang w:eastAsia="es-CR"/>
        </w:rPr>
        <w:t>Aspergillus sp</w:t>
      </w:r>
      <w:r w:rsidR="008174FD">
        <w:rPr>
          <w:lang w:eastAsia="es-CR"/>
        </w:rPr>
        <w:t>.</w:t>
      </w:r>
      <w:r w:rsidR="001D4F85">
        <w:rPr>
          <w:lang w:eastAsia="es-CR"/>
        </w:rPr>
        <w:t xml:space="preserve"> </w:t>
      </w:r>
      <w:r w:rsidR="0005278B">
        <w:rPr>
          <w:lang w:eastAsia="es-CR"/>
        </w:rPr>
        <w:t xml:space="preserve">anteriormente </w:t>
      </w:r>
      <w:r w:rsidR="00AE1DBA" w:rsidRPr="00AE1DBA">
        <w:rPr>
          <w:lang w:eastAsia="es-CR"/>
        </w:rPr>
        <w:t xml:space="preserve">se ha observado su capacidad para inhibir el crecimiento de </w:t>
      </w:r>
      <w:r w:rsidR="00C16BB5">
        <w:rPr>
          <w:lang w:eastAsia="es-CR"/>
        </w:rPr>
        <w:t>los patógenos</w:t>
      </w:r>
      <w:r w:rsidR="00AE1DBA" w:rsidRPr="00AE1DBA">
        <w:rPr>
          <w:lang w:eastAsia="es-CR"/>
        </w:rPr>
        <w:t xml:space="preserve"> </w:t>
      </w:r>
      <w:r w:rsidR="000426F6">
        <w:rPr>
          <w:lang w:eastAsia="es-CR"/>
        </w:rPr>
        <w:t>utilizados en esta investigación</w:t>
      </w:r>
      <w:r w:rsidR="00AE1DBA" w:rsidRPr="00AE1DBA">
        <w:rPr>
          <w:lang w:eastAsia="es-CR"/>
        </w:rPr>
        <w:t xml:space="preserve">, </w:t>
      </w:r>
      <w:r w:rsidR="00B24968">
        <w:rPr>
          <w:lang w:eastAsia="es-CR"/>
        </w:rPr>
        <w:t xml:space="preserve">por ejemplo, </w:t>
      </w:r>
      <w:r w:rsidR="0005278B">
        <w:rPr>
          <w:lang w:eastAsia="es-CR"/>
        </w:rPr>
        <w:t>diferentes especies del género</w:t>
      </w:r>
      <w:r w:rsidR="00853C86">
        <w:rPr>
          <w:lang w:eastAsia="es-CR"/>
        </w:rPr>
        <w:t xml:space="preserve"> </w:t>
      </w:r>
      <w:r w:rsidR="00897EAF">
        <w:rPr>
          <w:lang w:eastAsia="es-CR"/>
        </w:rPr>
        <w:t xml:space="preserve">aislados de ambientes marinos de </w:t>
      </w:r>
      <w:r w:rsidR="000731E6">
        <w:rPr>
          <w:lang w:eastAsia="es-CR"/>
        </w:rPr>
        <w:t xml:space="preserve">China </w:t>
      </w:r>
      <w:r w:rsidR="000426F6">
        <w:rPr>
          <w:lang w:eastAsia="es-CR"/>
        </w:rPr>
        <w:t>produj</w:t>
      </w:r>
      <w:r w:rsidR="00344888">
        <w:rPr>
          <w:lang w:eastAsia="es-CR"/>
        </w:rPr>
        <w:t>eron</w:t>
      </w:r>
      <w:r w:rsidR="000426F6">
        <w:rPr>
          <w:lang w:eastAsia="es-CR"/>
        </w:rPr>
        <w:t xml:space="preserve"> compuestos con la capacidad de inhibir</w:t>
      </w:r>
      <w:r w:rsidR="0008438B">
        <w:rPr>
          <w:lang w:eastAsia="es-CR"/>
        </w:rPr>
        <w:t xml:space="preserve"> </w:t>
      </w:r>
      <w:r w:rsidR="00897EAF">
        <w:rPr>
          <w:lang w:eastAsia="es-CR"/>
        </w:rPr>
        <w:t>l</w:t>
      </w:r>
      <w:r w:rsidR="0008438B">
        <w:rPr>
          <w:lang w:eastAsia="es-CR"/>
        </w:rPr>
        <w:t>a</w:t>
      </w:r>
      <w:r w:rsidR="00897EAF">
        <w:rPr>
          <w:lang w:eastAsia="es-CR"/>
        </w:rPr>
        <w:t xml:space="preserve"> bacteria</w:t>
      </w:r>
      <w:r w:rsidR="0008438B">
        <w:rPr>
          <w:lang w:eastAsia="es-CR"/>
        </w:rPr>
        <w:t xml:space="preserve"> </w:t>
      </w:r>
      <w:r w:rsidR="0008438B" w:rsidRPr="00E76ED2">
        <w:rPr>
          <w:i/>
          <w:iCs/>
          <w:lang w:eastAsia="es-CR"/>
        </w:rPr>
        <w:t>A. baumannii</w:t>
      </w:r>
      <w:r w:rsidR="00E76ED2">
        <w:rPr>
          <w:lang w:eastAsia="es-CR"/>
        </w:rPr>
        <w:t xml:space="preserve"> y</w:t>
      </w:r>
      <w:r w:rsidR="003E4157">
        <w:rPr>
          <w:lang w:eastAsia="es-CR"/>
        </w:rPr>
        <w:t xml:space="preserve"> </w:t>
      </w:r>
      <w:r w:rsidR="00E76ED2">
        <w:rPr>
          <w:lang w:eastAsia="es-CR"/>
        </w:rPr>
        <w:t>una</w:t>
      </w:r>
      <w:r w:rsidR="00403B76">
        <w:rPr>
          <w:lang w:eastAsia="es-CR"/>
        </w:rPr>
        <w:t xml:space="preserve"> cepa</w:t>
      </w:r>
      <w:r w:rsidR="00626BCC">
        <w:rPr>
          <w:lang w:eastAsia="es-CR"/>
        </w:rPr>
        <w:t xml:space="preserve"> de</w:t>
      </w:r>
      <w:r w:rsidR="00E76ED2">
        <w:rPr>
          <w:lang w:eastAsia="es-CR"/>
        </w:rPr>
        <w:t xml:space="preserve"> </w:t>
      </w:r>
      <w:r w:rsidR="0008438B" w:rsidRPr="00E76ED2">
        <w:rPr>
          <w:i/>
          <w:iCs/>
          <w:lang w:eastAsia="es-CR"/>
        </w:rPr>
        <w:t>S. aureus</w:t>
      </w:r>
      <w:r w:rsidR="0008438B">
        <w:rPr>
          <w:lang w:eastAsia="es-CR"/>
        </w:rPr>
        <w:t xml:space="preserve"> </w:t>
      </w:r>
      <w:r w:rsidR="00E76ED2">
        <w:rPr>
          <w:lang w:eastAsia="es-CR"/>
        </w:rPr>
        <w:t>multirresistente</w:t>
      </w:r>
      <w:r w:rsidR="003E4157">
        <w:rPr>
          <w:lang w:eastAsia="es-CR"/>
        </w:rPr>
        <w:t xml:space="preserve"> (</w:t>
      </w:r>
      <w:r w:rsidR="003E4157" w:rsidRPr="00B32895">
        <w:rPr>
          <w:noProof/>
          <w:lang w:eastAsia="es-CR"/>
        </w:rPr>
        <w:t>Gao, Du, Li, &amp; Wang, 2020</w:t>
      </w:r>
      <w:r w:rsidR="00F11CF5">
        <w:rPr>
          <w:noProof/>
          <w:lang w:eastAsia="es-CR"/>
        </w:rPr>
        <w:t xml:space="preserve">; </w:t>
      </w:r>
      <w:r w:rsidR="00F11CF5" w:rsidRPr="00B32895">
        <w:rPr>
          <w:noProof/>
          <w:lang w:eastAsia="es-CR"/>
        </w:rPr>
        <w:t>H. Li, Du, Chen, Qi, &amp; Wang, 2022)</w:t>
      </w:r>
      <w:r w:rsidR="00E76ED2">
        <w:rPr>
          <w:lang w:eastAsia="es-CR"/>
        </w:rPr>
        <w:t xml:space="preserve">. </w:t>
      </w:r>
      <w:r w:rsidR="00372374">
        <w:rPr>
          <w:lang w:eastAsia="es-CR"/>
        </w:rPr>
        <w:t>Por otro lado, aislamiento</w:t>
      </w:r>
      <w:r w:rsidR="009B16D8">
        <w:rPr>
          <w:lang w:eastAsia="es-CR"/>
        </w:rPr>
        <w:t>s</w:t>
      </w:r>
      <w:r w:rsidR="00372374">
        <w:rPr>
          <w:lang w:eastAsia="es-CR"/>
        </w:rPr>
        <w:t xml:space="preserve"> de </w:t>
      </w:r>
      <w:r w:rsidR="00372374" w:rsidRPr="00C83514">
        <w:rPr>
          <w:i/>
          <w:iCs/>
          <w:lang w:eastAsia="es-CR"/>
        </w:rPr>
        <w:t>Aspergillus tamarii</w:t>
      </w:r>
      <w:r w:rsidR="00372374">
        <w:rPr>
          <w:lang w:eastAsia="es-CR"/>
        </w:rPr>
        <w:t xml:space="preserve"> </w:t>
      </w:r>
      <w:r w:rsidR="00AF0A07">
        <w:rPr>
          <w:lang w:eastAsia="es-CR"/>
        </w:rPr>
        <w:t>mostr</w:t>
      </w:r>
      <w:r w:rsidR="009F0973">
        <w:rPr>
          <w:lang w:eastAsia="es-CR"/>
        </w:rPr>
        <w:t xml:space="preserve">aron </w:t>
      </w:r>
      <w:r w:rsidR="00AF0A07">
        <w:rPr>
          <w:lang w:eastAsia="es-CR"/>
        </w:rPr>
        <w:t xml:space="preserve">importante actividad antimicrobiana contra </w:t>
      </w:r>
      <w:r w:rsidR="00AF0A07" w:rsidRPr="00A324B4">
        <w:rPr>
          <w:i/>
          <w:iCs/>
          <w:lang w:eastAsia="es-CR"/>
        </w:rPr>
        <w:t xml:space="preserve">S. aureus, P. aeruginosa </w:t>
      </w:r>
      <w:r w:rsidR="00AF0A07" w:rsidRPr="00A324B4">
        <w:rPr>
          <w:lang w:eastAsia="es-CR"/>
        </w:rPr>
        <w:t>y</w:t>
      </w:r>
      <w:r w:rsidR="00AF0A07" w:rsidRPr="00A324B4">
        <w:rPr>
          <w:i/>
          <w:iCs/>
          <w:lang w:eastAsia="es-CR"/>
        </w:rPr>
        <w:t xml:space="preserve"> </w:t>
      </w:r>
      <w:r w:rsidR="00A324B4" w:rsidRPr="00A324B4">
        <w:rPr>
          <w:i/>
          <w:iCs/>
          <w:lang w:eastAsia="es-CR"/>
        </w:rPr>
        <w:t>C.</w:t>
      </w:r>
      <w:r w:rsidR="00A324B4">
        <w:rPr>
          <w:i/>
          <w:iCs/>
          <w:lang w:eastAsia="es-CR"/>
        </w:rPr>
        <w:t xml:space="preserve"> </w:t>
      </w:r>
      <w:r w:rsidR="00A324B4" w:rsidRPr="00A324B4">
        <w:rPr>
          <w:i/>
          <w:iCs/>
          <w:lang w:eastAsia="es-CR"/>
        </w:rPr>
        <w:t>albicans</w:t>
      </w:r>
      <w:r w:rsidR="001D4F85">
        <w:rPr>
          <w:i/>
          <w:iCs/>
          <w:lang w:eastAsia="es-CR"/>
        </w:rPr>
        <w:t xml:space="preserve"> </w:t>
      </w:r>
      <w:r w:rsidR="00A324B4">
        <w:rPr>
          <w:i/>
          <w:iCs/>
          <w:lang w:eastAsia="es-CR"/>
        </w:rPr>
        <w:fldChar w:fldCharType="begin" w:fldLock="1"/>
      </w:r>
      <w:r w:rsidR="00B32895">
        <w:rPr>
          <w:i/>
          <w:iCs/>
          <w:lang w:eastAsia="es-CR"/>
        </w:rPr>
        <w:instrText>ADDIN CSL_CITATION {"citationItems":[{"id":"ITEM-1","itemData":{"DOI":"10.1021/acs.jafc.6b01051","ISSN":"15205118","PMID":"27147299","abstract":"A new cyclic pentapeptide, disulfide cyclo-(Leu-Val-Ile-Cys-Cys) (1), named malformin E, together with 13 known cyclic dipeptides, was isolated from the culture broth of endophytic fungus FR02 from the roots of Ficus carica. The strain FR02 was identified as Aspergillus tamarii on the basis of morphological characteristics and molecular analyses of internal transcribed spacer (ITS). Their structures were determined by the combination of 1D and 2D NMR spectroscopy, HRMS (ESI), UV, and Marfeys analysis. Compound 1 exhibited strong cytotoxic activities against human cancer cell strains MCF-7 and A549 with IC50 values of 0.65 and 2.42 μM, respectively. It also displayed remarkable antimicrobial activities against Bacillus subtilis, Staphylococcus aureus, Pseudomonas aeruginosa, Escherichia coli, Penicillium chrysogenum, Candida albicans, and Fusarium solani with MIC values of 0.91, 0.45, 1.82, 0.91, 3.62, 7.24, and 7.24 μM, respectively.","author":[{"dropping-particle":"","family":"Ma","given":"Yang Min","non-dropping-particle":"","parse-names":false,"suffix":""},{"dropping-particle":"","family":"Liang","given":"Xi Ai","non-dropping-particle":"","parse-names":false,"suffix":""},{"dropping-particle":"","family":"Zhang","given":"Hong Chi","non-dropping-particle":"","parse-names":false,"suffix":""},{"dropping-particle":"","family":"Liu","given":"Rui","non-dropping-particle":"","parse-names":false,"suffix":""}],"container-title":"Journal of Agricultural and Food Chemistry","id":"ITEM-1","issue":"19","issued":{"date-parts":[["2016"]]},"page":"3789-3793","title":"Cytotoxic and Antibiotic Cyclic Pentapeptide from an Endophytic Aspergillus tamarii of Ficus carica","type":"article-journal","volume":"64"},"uris":["http://www.mendeley.com/documents/?uuid=65d33a46-bd95-45ef-bb3b-7b8189bf7864"]}],"mendeley":{"formattedCitation":"(Ma, Liang, Zhang, &amp; Liu, 2016)","plainTextFormattedCitation":"(Ma, Liang, Zhang, &amp; Liu, 2016)","previouslyFormattedCitation":"(Ma, Liang, Zhang, &amp; Liu, 2016)"},"properties":{"noteIndex":0},"schema":"https://github.com/citation-style-language/schema/raw/master/csl-citation.json"}</w:instrText>
      </w:r>
      <w:r w:rsidR="00A324B4">
        <w:rPr>
          <w:i/>
          <w:iCs/>
          <w:lang w:eastAsia="es-CR"/>
        </w:rPr>
        <w:fldChar w:fldCharType="separate"/>
      </w:r>
      <w:r w:rsidR="00A324B4" w:rsidRPr="00A324B4">
        <w:rPr>
          <w:iCs/>
          <w:noProof/>
          <w:lang w:eastAsia="es-CR"/>
        </w:rPr>
        <w:t>(Ma, Liang, Zhang, &amp; Liu, 2016)</w:t>
      </w:r>
      <w:r w:rsidR="00A324B4">
        <w:rPr>
          <w:i/>
          <w:iCs/>
          <w:lang w:eastAsia="es-CR"/>
        </w:rPr>
        <w:fldChar w:fldCharType="end"/>
      </w:r>
      <w:r w:rsidR="00E06D7B">
        <w:rPr>
          <w:lang w:eastAsia="es-CR"/>
        </w:rPr>
        <w:t xml:space="preserve">. </w:t>
      </w:r>
      <w:r w:rsidR="000510A1">
        <w:rPr>
          <w:lang w:eastAsia="es-CR"/>
        </w:rPr>
        <w:t xml:space="preserve">De igual manera, especies de </w:t>
      </w:r>
      <w:r w:rsidR="000510A1" w:rsidRPr="000510A1">
        <w:rPr>
          <w:i/>
          <w:iCs/>
          <w:lang w:eastAsia="es-CR"/>
        </w:rPr>
        <w:t>Aspergillus</w:t>
      </w:r>
      <w:r w:rsidR="000510A1">
        <w:rPr>
          <w:i/>
          <w:iCs/>
          <w:lang w:eastAsia="es-CR"/>
        </w:rPr>
        <w:t xml:space="preserve"> </w:t>
      </w:r>
      <w:r w:rsidR="000510A1">
        <w:rPr>
          <w:lang w:eastAsia="es-CR"/>
        </w:rPr>
        <w:t xml:space="preserve">aislados de ambientes terrestres </w:t>
      </w:r>
      <w:r w:rsidR="00177388">
        <w:rPr>
          <w:lang w:eastAsia="es-CR"/>
        </w:rPr>
        <w:t xml:space="preserve">también </w:t>
      </w:r>
      <w:r w:rsidR="000510A1">
        <w:rPr>
          <w:lang w:eastAsia="es-CR"/>
        </w:rPr>
        <w:t xml:space="preserve">han mostrado actividad contra </w:t>
      </w:r>
      <w:r w:rsidR="000510A1" w:rsidRPr="007C58EC">
        <w:rPr>
          <w:i/>
          <w:iCs/>
          <w:lang w:eastAsia="es-CR"/>
        </w:rPr>
        <w:t>E. f</w:t>
      </w:r>
      <w:r w:rsidR="00715644" w:rsidRPr="007C58EC">
        <w:rPr>
          <w:i/>
          <w:iCs/>
          <w:lang w:eastAsia="es-CR"/>
        </w:rPr>
        <w:t>aecium</w:t>
      </w:r>
      <w:r w:rsidR="00715644">
        <w:rPr>
          <w:lang w:eastAsia="es-CR"/>
        </w:rPr>
        <w:t xml:space="preserve">, </w:t>
      </w:r>
      <w:r w:rsidR="00177388" w:rsidRPr="007C58EC">
        <w:rPr>
          <w:i/>
          <w:iCs/>
          <w:lang w:eastAsia="es-CR"/>
        </w:rPr>
        <w:t>S. aureus</w:t>
      </w:r>
      <w:r w:rsidR="00177388">
        <w:rPr>
          <w:lang w:eastAsia="es-CR"/>
        </w:rPr>
        <w:t xml:space="preserve"> multirresistentes</w:t>
      </w:r>
      <w:r w:rsidR="00BE4567">
        <w:rPr>
          <w:lang w:eastAsia="es-CR"/>
        </w:rPr>
        <w:t xml:space="preserve">, </w:t>
      </w:r>
      <w:r w:rsidR="00BE4567" w:rsidRPr="007C58EC">
        <w:rPr>
          <w:i/>
          <w:iCs/>
          <w:lang w:eastAsia="es-CR"/>
        </w:rPr>
        <w:t>A. baumannii</w:t>
      </w:r>
      <w:r w:rsidR="007C58EC" w:rsidRPr="007C58EC">
        <w:rPr>
          <w:i/>
          <w:iCs/>
          <w:lang w:eastAsia="es-CR"/>
        </w:rPr>
        <w:t xml:space="preserve"> </w:t>
      </w:r>
      <w:r w:rsidR="007C58EC">
        <w:rPr>
          <w:lang w:eastAsia="es-CR"/>
        </w:rPr>
        <w:t xml:space="preserve">y </w:t>
      </w:r>
      <w:r w:rsidR="00BE4567" w:rsidRPr="007C58EC">
        <w:rPr>
          <w:i/>
          <w:iCs/>
          <w:lang w:eastAsia="es-CR"/>
        </w:rPr>
        <w:t>P. aeruginosa</w:t>
      </w:r>
      <w:r w:rsidR="00BE4567">
        <w:rPr>
          <w:lang w:eastAsia="es-CR"/>
        </w:rPr>
        <w:t xml:space="preserve"> </w:t>
      </w:r>
      <w:r w:rsidR="00292DE4">
        <w:rPr>
          <w:lang w:eastAsia="es-CR"/>
        </w:rPr>
        <w:fldChar w:fldCharType="begin" w:fldLock="1"/>
      </w:r>
      <w:r w:rsidR="0061487B">
        <w:rPr>
          <w:lang w:eastAsia="es-CR"/>
        </w:rPr>
        <w:instrText>ADDIN CSL_CITATION {"citationItems":[{"id":"ITEM-1","itemData":{"DOI":"10.1021/acs.jnatprod.0c00910","ISSN":"15206025","PMID":"33346651","abstract":"Bioactivity-guided isolation of Aspergillus ustus led to the discovery of five new drimane sesquiterpenes, named ustusal A, ustusolate F and G, and ustusoic acid A and B, 1-5 respectively. Structural elucidation of these fungal terpenes relied on 1D and 2D NMR techniques, high-resolution mass spectrometry, and chiroptical properties. Their relative configurations were determined by NMR methods, while the absolute configurations were established using comparative analyses of computed and experimental NMR chemical shifts and ECD spectra. The sesquiterpenes exhibited weak activity against the clinically relevant pathogens vancomycin-resistant Enterococcus faecium and multidrug-resistant Staphylococcus aureus; however, the activity of 5 was drastically enhanced when equal amounts of stromemycin (6), a known metabolite coisolated from the same fraction from A. ustus, was added.","author":[{"dropping-particle":"","family":"Neuhaus","given":"George F.","non-dropping-particle":"","parse-names":false,"suffix":""},{"dropping-particle":"","family":"Loesgen","given":"Sandra","non-dropping-particle":"","parse-names":false,"suffix":""}],"container-title":"Journal of Natural Products","id":"ITEM-1","issue":"1","issued":{"date-parts":[["2021"]]},"page":"37-45","title":"Antibacterial Drimane Sesquiterpenes from Aspergillus ustus","type":"article-journal","volume":"84"},"uris":["http://www.mendeley.com/documents/?uuid=6c365032-039e-44d6-a9bd-409f7355794d"]},{"id":"ITEM-2","itemData":{"DOI":"10.3390/microorganisms11030590","ISSN":"20762607","abstract":"Fungi produce numerous secondary metabolites with intriguing biological properties for the health, industrial, and agricultural sectors. Herein, we report the high-yield isolation of phenolic natural products, N-formyl-4-hydroxyphenyl-acetamide 1 (~117 mg/L) and atraric acid 2 (~18 mg/L), from the ethyl acetate extract of the soil-derived fungus, Aspergillus fumigatus. The structures of compounds 1 and 2 were elucidated through the detailed spectroscopic analysis of NMR and LCMS data. These compounds were assayed for their antimicrobial activities. It was observed that compounds 1 and 2 exhibited strong inhibition against a series of fungal strains but only weak antibacterial properties against multi-drug-resistant strains. More significantly, this is the first known instance of the isolation of atraric acid 2 from a non-lichen fungal strain. We suggest the optimization of this fungal strain may exhibit elevated production of compounds 1 and 2, potentially rendering it a valuable source for the industrial-scale production of these natural antimicrobial compounds. Further investigation is necessary to establish the veracity of this hypothesis.","author":[{"dropping-particle":"","family":"Gill","given":"Harman","non-dropping-particle":"","parse-names":false,"suffix":""},{"dropping-particle":"","family":"Sykes","given":"Ellen M. E.","non-dropping-particle":"","parse-names":false,"suffix":""},{"dropping-particle":"","family":"Kumar","given":"Ayush","non-dropping-particle":"","parse-names":false,"suffix":""},{"dropping-particle":"","family":"Sorensen","given":"John L.","non-dropping-particle":"","parse-names":false,"suffix":""}],"container-title":"Microorganisms","id":"ITEM-2","issue":"3","issued":{"date-parts":[["2023"]]},"page":"590","title":"Isolation of Bioactive Metabolites from Soil Derived Fungus-Aspergillus fumigatus","type":"article-journal","volume":"11"},"uris":["http://www.mendeley.com/documents/?uuid=9d73b25b-5e23-4240-bfa5-45ca0080b190"]}],"mendeley":{"formattedCitation":"(Gill, Sykes, Kumar, &amp; Sorensen, 2023; Neuhaus &amp; Loesgen, 2021)","plainTextFormattedCitation":"(Gill, Sykes, Kumar, &amp; Sorensen, 2023; Neuhaus &amp; Loesgen, 2021)","previouslyFormattedCitation":"(Gill, Sykes, Kumar, &amp; Sorensen, 2023; Neuhaus &amp; Loesgen, 2021)"},"properties":{"noteIndex":0},"schema":"https://github.com/citation-style-language/schema/raw/master/csl-citation.json"}</w:instrText>
      </w:r>
      <w:r w:rsidR="00292DE4">
        <w:rPr>
          <w:lang w:eastAsia="es-CR"/>
        </w:rPr>
        <w:fldChar w:fldCharType="separate"/>
      </w:r>
      <w:r w:rsidR="00292DE4" w:rsidRPr="00292DE4">
        <w:rPr>
          <w:noProof/>
          <w:lang w:eastAsia="es-CR"/>
        </w:rPr>
        <w:t>(Gill, Sykes, Kumar, &amp; Sorensen, 2023; Neuhaus &amp; Loesgen, 2021)</w:t>
      </w:r>
      <w:r w:rsidR="00292DE4">
        <w:rPr>
          <w:lang w:eastAsia="es-CR"/>
        </w:rPr>
        <w:fldChar w:fldCharType="end"/>
      </w:r>
      <w:r w:rsidR="00F11CF5">
        <w:rPr>
          <w:lang w:eastAsia="es-CR"/>
        </w:rPr>
        <w:t>.</w:t>
      </w:r>
    </w:p>
    <w:p w14:paraId="35B49815" w14:textId="3EE817A6" w:rsidR="005034DF" w:rsidRDefault="005D48CB" w:rsidP="00EE07F4">
      <w:pPr>
        <w:ind w:firstLine="708"/>
        <w:rPr>
          <w:lang w:eastAsia="es-CR"/>
        </w:rPr>
      </w:pPr>
      <w:r>
        <w:rPr>
          <w:lang w:eastAsia="es-CR"/>
        </w:rPr>
        <w:t>Por otro lado, también hay reportes</w:t>
      </w:r>
      <w:r w:rsidR="00125FB6">
        <w:rPr>
          <w:lang w:eastAsia="es-CR"/>
        </w:rPr>
        <w:t xml:space="preserve"> </w:t>
      </w:r>
      <w:r w:rsidR="00502BE6">
        <w:rPr>
          <w:lang w:eastAsia="es-CR"/>
        </w:rPr>
        <w:t>de</w:t>
      </w:r>
      <w:r w:rsidR="005034DF">
        <w:rPr>
          <w:lang w:eastAsia="es-CR"/>
        </w:rPr>
        <w:t xml:space="preserve"> </w:t>
      </w:r>
      <w:r w:rsidR="005034DF" w:rsidRPr="00490238">
        <w:rPr>
          <w:i/>
          <w:iCs/>
          <w:lang w:eastAsia="es-CR"/>
        </w:rPr>
        <w:t>Penicillium sp.</w:t>
      </w:r>
      <w:r w:rsidR="00502BE6" w:rsidRPr="00490238">
        <w:rPr>
          <w:i/>
          <w:iCs/>
          <w:lang w:eastAsia="es-CR"/>
        </w:rPr>
        <w:t xml:space="preserve"> </w:t>
      </w:r>
      <w:r w:rsidR="00502BE6">
        <w:rPr>
          <w:lang w:eastAsia="es-CR"/>
        </w:rPr>
        <w:t>aislados de ambientes marinos</w:t>
      </w:r>
      <w:r w:rsidR="005034DF">
        <w:rPr>
          <w:lang w:eastAsia="es-CR"/>
        </w:rPr>
        <w:t xml:space="preserve"> </w:t>
      </w:r>
      <w:r w:rsidR="000545B4">
        <w:rPr>
          <w:lang w:eastAsia="es-CR"/>
        </w:rPr>
        <w:t>con</w:t>
      </w:r>
      <w:r w:rsidR="00F07DD5">
        <w:rPr>
          <w:lang w:eastAsia="es-CR"/>
        </w:rPr>
        <w:t xml:space="preserve"> capacidad de producir metabolitos </w:t>
      </w:r>
      <w:r w:rsidR="00C1681D">
        <w:rPr>
          <w:lang w:eastAsia="es-CR"/>
        </w:rPr>
        <w:t xml:space="preserve">que inhiben el crecimiento de </w:t>
      </w:r>
      <w:r w:rsidRPr="00490238">
        <w:rPr>
          <w:i/>
          <w:iCs/>
          <w:lang w:eastAsia="es-CR"/>
        </w:rPr>
        <w:t>S. aureus,</w:t>
      </w:r>
      <w:r>
        <w:rPr>
          <w:lang w:eastAsia="es-CR"/>
        </w:rPr>
        <w:t xml:space="preserve"> </w:t>
      </w:r>
      <w:r w:rsidR="00B36141">
        <w:rPr>
          <w:lang w:eastAsia="es-CR"/>
        </w:rPr>
        <w:fldChar w:fldCharType="begin" w:fldLock="1"/>
      </w:r>
      <w:r w:rsidR="000D2567">
        <w:rPr>
          <w:lang w:eastAsia="es-CR"/>
        </w:rPr>
        <w:instrText>ADDIN CSL_CITATION {"citationItems":[{"id":"ITEM-1","itemData":{"DOI":"10.1021/acs.jnatprod.6b01179","ISSN":"15206025","PMID":"28248508","abstract":"Four new azaphilones, penicilones A-D (1-4), were isolated from the mangrove rhizosphere soil-derived fungus Penicillium janthinellum HK1-6. Their planar structures and absolute configurations were determined by extensive analysis of NMR spectroscopic data, ECD spectra, the modified Mosher’s method, and chemical conversions. Interestingly, 1 and 2 had the opposite configuration at C-7 compared to the closely related chloro analogues 3 and 4. Ester hydrolysis of 2 and 4 afforded their parental azaphilones, named penicilones E (5) and F (6). Compounds 1-6 were evaluated for their antibacterial activities in vitro. Penicilones B-D (2-4) showed potent anti-MRSA (Staphylococcus aureus ATCC 43300, ATCC 33591) activities with MIC values ranging from 3.13 to 6.25 μg/mL.","author":[{"dropping-particle":"","family":"Chen","given":"Min","non-dropping-particle":"","parse-names":false,"suffix":""},{"dropping-particle":"","family":"Shen","given":"Nan Xing","non-dropping-particle":"","parse-names":false,"suffix":""},{"dropping-particle":"","family":"Chen","given":"Zhi Qi","non-dropping-particle":"","parse-names":false,"suffix":""},{"dropping-particle":"","family":"Zhang","given":"Feng Min","non-dropping-particle":"","parse-names":false,"suffix":""},{"dropping-particle":"","family":"Chen","given":"Yang","non-dropping-particle":"","parse-names":false,"suffix":""}],"container-title":"Journal of Natural Products","id":"ITEM-1","issue":"4","issued":{"date-parts":[["2017"]]},"page":"1081-1086","title":"Penicilones A-D, Anti-MRSA Azaphilones from the Marine-Derived Fungus Penicillium janthinellum HK1-6","type":"article-journal","volume":"80"},"uris":["http://www.mendeley.com/documents/?uuid=575208cc-d64d-44d8-814d-5d5539bf3f74"]}],"mendeley":{"formattedCitation":"(Chen, Shen, Chen, Zhang, &amp; Chen, 2017)","manualFormatting":"Chen, Shen, Chen, Zhang, &amp; Chen en el año 2017","plainTextFormattedCitation":"(Chen, Shen, Chen, Zhang, &amp; Chen, 2017)","previouslyFormattedCitation":"(Chen, Shen, Chen, Zhang, &amp; Chen, 2017)"},"properties":{"noteIndex":0},"schema":"https://github.com/citation-style-language/schema/raw/master/csl-citation.json"}</w:instrText>
      </w:r>
      <w:r w:rsidR="00B36141">
        <w:rPr>
          <w:lang w:eastAsia="es-CR"/>
        </w:rPr>
        <w:fldChar w:fldCharType="separate"/>
      </w:r>
      <w:r w:rsidR="00B36141" w:rsidRPr="00B36141">
        <w:rPr>
          <w:noProof/>
          <w:lang w:eastAsia="es-CR"/>
        </w:rPr>
        <w:t>Chen, Shen, Chen, Zhang, &amp; Chen</w:t>
      </w:r>
      <w:r w:rsidR="00FF3BB4">
        <w:rPr>
          <w:noProof/>
          <w:lang w:eastAsia="es-CR"/>
        </w:rPr>
        <w:t xml:space="preserve"> en el año </w:t>
      </w:r>
      <w:r w:rsidR="00B36141" w:rsidRPr="00B36141">
        <w:rPr>
          <w:noProof/>
          <w:lang w:eastAsia="es-CR"/>
        </w:rPr>
        <w:t>2017</w:t>
      </w:r>
      <w:r w:rsidR="00B36141">
        <w:rPr>
          <w:lang w:eastAsia="es-CR"/>
        </w:rPr>
        <w:fldChar w:fldCharType="end"/>
      </w:r>
      <w:r w:rsidR="00FF3BB4">
        <w:rPr>
          <w:lang w:eastAsia="es-CR"/>
        </w:rPr>
        <w:t xml:space="preserve">, </w:t>
      </w:r>
      <w:r w:rsidR="00195231">
        <w:rPr>
          <w:lang w:eastAsia="es-CR"/>
        </w:rPr>
        <w:t>recuperaron</w:t>
      </w:r>
      <w:r w:rsidR="00FF3BB4">
        <w:rPr>
          <w:lang w:eastAsia="es-CR"/>
        </w:rPr>
        <w:t xml:space="preserve"> moléculas de un </w:t>
      </w:r>
      <w:r w:rsidR="00C1681D" w:rsidRPr="00A81A02">
        <w:rPr>
          <w:i/>
          <w:iCs/>
          <w:lang w:eastAsia="es-CR"/>
        </w:rPr>
        <w:t>Penicillium sp.</w:t>
      </w:r>
      <w:r w:rsidR="00C1681D">
        <w:rPr>
          <w:lang w:eastAsia="es-CR"/>
        </w:rPr>
        <w:t xml:space="preserve"> </w:t>
      </w:r>
      <w:r w:rsidR="00FF3BB4">
        <w:rPr>
          <w:lang w:eastAsia="es-CR"/>
        </w:rPr>
        <w:t>aislado</w:t>
      </w:r>
      <w:r w:rsidR="00C1681D">
        <w:rPr>
          <w:lang w:eastAsia="es-CR"/>
        </w:rPr>
        <w:t xml:space="preserve"> de las rizóforas de un manglar</w:t>
      </w:r>
      <w:r w:rsidR="00A81A02">
        <w:rPr>
          <w:lang w:eastAsia="es-CR"/>
        </w:rPr>
        <w:t>, las cuales mostraron actividad inhibitoria de</w:t>
      </w:r>
      <w:r w:rsidR="008008FE">
        <w:rPr>
          <w:lang w:eastAsia="es-CR"/>
        </w:rPr>
        <w:t xml:space="preserve"> cepas resistentes y susceptibles de </w:t>
      </w:r>
      <w:r w:rsidR="008008FE" w:rsidRPr="00D37C3E">
        <w:rPr>
          <w:i/>
          <w:iCs/>
          <w:lang w:eastAsia="es-CR"/>
        </w:rPr>
        <w:t>S. aure</w:t>
      </w:r>
      <w:r w:rsidR="00261D13" w:rsidRPr="00D37C3E">
        <w:rPr>
          <w:i/>
          <w:iCs/>
          <w:lang w:eastAsia="es-CR"/>
        </w:rPr>
        <w:t>us</w:t>
      </w:r>
      <w:r w:rsidR="00540830">
        <w:rPr>
          <w:lang w:eastAsia="es-CR"/>
        </w:rPr>
        <w:t xml:space="preserve">. </w:t>
      </w:r>
      <w:r w:rsidR="00674491">
        <w:rPr>
          <w:lang w:eastAsia="es-CR"/>
        </w:rPr>
        <w:t xml:space="preserve">Asimismo, </w:t>
      </w:r>
      <w:r w:rsidR="00D37C3E">
        <w:rPr>
          <w:lang w:eastAsia="es-CR"/>
        </w:rPr>
        <w:t xml:space="preserve">de </w:t>
      </w:r>
      <w:r w:rsidR="00674491">
        <w:rPr>
          <w:lang w:eastAsia="es-CR"/>
        </w:rPr>
        <w:t xml:space="preserve">un </w:t>
      </w:r>
      <w:r w:rsidR="00674491" w:rsidRPr="00D37C3E">
        <w:rPr>
          <w:i/>
          <w:iCs/>
          <w:lang w:eastAsia="es-CR"/>
        </w:rPr>
        <w:t>Penicillium</w:t>
      </w:r>
      <w:r w:rsidR="00D37C3E">
        <w:rPr>
          <w:i/>
          <w:iCs/>
          <w:lang w:eastAsia="es-CR"/>
        </w:rPr>
        <w:t xml:space="preserve"> sp.</w:t>
      </w:r>
      <w:r w:rsidR="00674491">
        <w:rPr>
          <w:lang w:eastAsia="es-CR"/>
        </w:rPr>
        <w:t xml:space="preserve"> aislado de lodo </w:t>
      </w:r>
      <w:r w:rsidR="000D2567">
        <w:rPr>
          <w:lang w:eastAsia="es-CR"/>
        </w:rPr>
        <w:t xml:space="preserve">marino se obtuvieron moléculas con actividad contra </w:t>
      </w:r>
      <w:r w:rsidR="00D37C3E" w:rsidRPr="00D37C3E">
        <w:rPr>
          <w:i/>
          <w:iCs/>
          <w:lang w:eastAsia="es-CR"/>
        </w:rPr>
        <w:t>C.</w:t>
      </w:r>
      <w:r w:rsidR="003D4E37">
        <w:rPr>
          <w:i/>
          <w:iCs/>
          <w:lang w:eastAsia="es-CR"/>
        </w:rPr>
        <w:t xml:space="preserve"> </w:t>
      </w:r>
      <w:r w:rsidR="00D37C3E" w:rsidRPr="00D37C3E">
        <w:rPr>
          <w:i/>
          <w:iCs/>
          <w:lang w:eastAsia="es-CR"/>
        </w:rPr>
        <w:t>albicans</w:t>
      </w:r>
      <w:r w:rsidR="00D37C3E">
        <w:rPr>
          <w:lang w:eastAsia="es-CR"/>
        </w:rPr>
        <w:t xml:space="preserve">  y una cepa de </w:t>
      </w:r>
      <w:r w:rsidR="000D2567" w:rsidRPr="00D37C3E">
        <w:rPr>
          <w:i/>
          <w:iCs/>
          <w:lang w:eastAsia="es-CR"/>
        </w:rPr>
        <w:t>S. aureus</w:t>
      </w:r>
      <w:r w:rsidR="000D2567">
        <w:rPr>
          <w:lang w:eastAsia="es-CR"/>
        </w:rPr>
        <w:t xml:space="preserve"> multirresistente </w:t>
      </w:r>
      <w:r w:rsidR="000D2567">
        <w:rPr>
          <w:lang w:eastAsia="es-CR"/>
        </w:rPr>
        <w:fldChar w:fldCharType="begin" w:fldLock="1"/>
      </w:r>
      <w:r w:rsidR="0085708A">
        <w:rPr>
          <w:lang w:eastAsia="es-CR"/>
        </w:rPr>
        <w:instrText>ADDIN CSL_CITATION {"citationItems":[{"id":"ITEM-1","itemData":{"DOI":"10.1016/j.tetlet.2021.153354","ISSN":"18733581","abstract":"Five polyhydroxanthones, including new natural product ergochrome C (1) and new compounds ergochromes D–G (2–5), together with 11 known compounds (6–16), were isolated from the marine-associated fungus Penicillium sp. ZZ1750. Structures of the polyhydroxanthones were determined based on their HRESIMS data, extensive NMR spectroscopic analyses, the results from single crystal X-ray diffraction, 13C NMR and ECD calculations. All isolated compounds were assayed for their antiproliferative activity against human glioma U87MG and U251 cells and antimicrobial activities in inhibiting the growth of methicillin-resistant Staphylococcus aureus (MRSA), Escherichia coli, and Candida albicans. The five polyhydroxanthones of ergochromes C–G (1–5) had moderate antimicrobial activities against MRSA and C. albicans with MIC values of 16–36 μg/mL. Only known compound calyxanthone (9) showed weak antiproliferative activity (IC50: 46.6 μM) against glioma U87MG cells.","author":[{"dropping-particle":"","family":"Yong","given":"Kuo","non-dropping-particle":"","parse-names":false,"suffix":""},{"dropping-particle":"","family":"Kaleem","given":"Sidra","non-dropping-particle":"","parse-names":false,"suffix":""},{"dropping-particle":"","family":"Yi","given":"Wenwen","non-dropping-particle":"","parse-names":false,"suffix":""},{"dropping-particle":"","family":"Wu","given":"Bin","non-dropping-particle":"","parse-names":false,"suffix":""},{"dropping-particle":"","family":"Zhang","given":"Zhizhen","non-dropping-particle":"","parse-names":false,"suffix":""}],"container-title":"Tetrahedron Letters","id":"ITEM-1","issue":"xxxx","issued":{"date-parts":[["2021"]]},"page":"153354","publisher":"Elsevier Ltd","title":"New polyhydroxanthones from the marine-associated fungus Penicillium sp. ZZ1750","type":"article-journal","volume":"81"},"uris":["http://www.mendeley.com/documents/?uuid=09ae1c81-fc82-4623-99aa-3668e92afd4f"]}],"mendeley":{"formattedCitation":"(Yong, Kaleem, Yi, Wu, &amp; Zhang, 2021)","plainTextFormattedCitation":"(Yong, Kaleem, Yi, Wu, &amp; Zhang, 2021)","previouslyFormattedCitation":"(Yong, Kaleem, Yi, Wu, &amp; Zhang, 2021)"},"properties":{"noteIndex":0},"schema":"https://github.com/citation-style-language/schema/raw/master/csl-citation.json"}</w:instrText>
      </w:r>
      <w:r w:rsidR="000D2567">
        <w:rPr>
          <w:lang w:eastAsia="es-CR"/>
        </w:rPr>
        <w:fldChar w:fldCharType="separate"/>
      </w:r>
      <w:r w:rsidR="000D2567" w:rsidRPr="000D2567">
        <w:rPr>
          <w:noProof/>
          <w:lang w:eastAsia="es-CR"/>
        </w:rPr>
        <w:t>(Yong, Kaleem, Yi, Wu, &amp; Zhang, 2021)</w:t>
      </w:r>
      <w:r w:rsidR="000D2567">
        <w:rPr>
          <w:lang w:eastAsia="es-CR"/>
        </w:rPr>
        <w:fldChar w:fldCharType="end"/>
      </w:r>
      <w:r w:rsidR="00D37C3E">
        <w:rPr>
          <w:lang w:eastAsia="es-CR"/>
        </w:rPr>
        <w:t>.</w:t>
      </w:r>
    </w:p>
    <w:p w14:paraId="59B29BD7" w14:textId="49B55DB9" w:rsidR="00DB674C" w:rsidRDefault="00971C98" w:rsidP="00BF3C7B">
      <w:pPr>
        <w:ind w:firstLine="708"/>
        <w:rPr>
          <w:i/>
          <w:iCs/>
          <w:lang w:eastAsia="es-CR"/>
        </w:rPr>
      </w:pPr>
      <w:r>
        <w:rPr>
          <w:lang w:eastAsia="es-CR"/>
        </w:rPr>
        <w:t xml:space="preserve">En el caso de </w:t>
      </w:r>
      <w:r w:rsidR="00DB674C" w:rsidRPr="001D5B89">
        <w:rPr>
          <w:i/>
          <w:iCs/>
          <w:lang w:eastAsia="es-CR"/>
        </w:rPr>
        <w:t>Paraconiothyrium sp</w:t>
      </w:r>
      <w:r w:rsidR="00942435" w:rsidRPr="001D5B89">
        <w:rPr>
          <w:i/>
          <w:iCs/>
          <w:lang w:eastAsia="es-CR"/>
        </w:rPr>
        <w:t>.</w:t>
      </w:r>
      <w:r w:rsidR="003D58AD">
        <w:rPr>
          <w:i/>
          <w:iCs/>
          <w:lang w:eastAsia="es-CR"/>
        </w:rPr>
        <w:t xml:space="preserve"> </w:t>
      </w:r>
      <w:r w:rsidR="003D58AD">
        <w:rPr>
          <w:lang w:eastAsia="es-CR"/>
        </w:rPr>
        <w:t>(cepa A 4.1)</w:t>
      </w:r>
      <w:r w:rsidR="005A303E" w:rsidRPr="001D5B89">
        <w:rPr>
          <w:i/>
          <w:iCs/>
          <w:lang w:eastAsia="es-CR"/>
        </w:rPr>
        <w:t>,</w:t>
      </w:r>
      <w:r w:rsidR="005A303E">
        <w:rPr>
          <w:lang w:eastAsia="es-CR"/>
        </w:rPr>
        <w:t xml:space="preserve"> </w:t>
      </w:r>
      <w:r w:rsidR="00125650">
        <w:rPr>
          <w:lang w:eastAsia="es-CR"/>
        </w:rPr>
        <w:t>tambi</w:t>
      </w:r>
      <w:r w:rsidR="00CF183C">
        <w:rPr>
          <w:lang w:eastAsia="es-CR"/>
        </w:rPr>
        <w:t>én</w:t>
      </w:r>
      <w:r w:rsidR="00A87FD6">
        <w:rPr>
          <w:lang w:eastAsia="es-CR"/>
        </w:rPr>
        <w:t xml:space="preserve"> ha demostrado tener actividad antimicrobiana y antifúngica </w:t>
      </w:r>
      <w:r w:rsidR="00A87FD6">
        <w:rPr>
          <w:lang w:eastAsia="es-CR"/>
        </w:rPr>
        <w:fldChar w:fldCharType="begin" w:fldLock="1"/>
      </w:r>
      <w:r w:rsidR="004627ED">
        <w:rPr>
          <w:lang w:eastAsia="es-CR"/>
        </w:rPr>
        <w:instrText>ADDIN CSL_CITATION {"citationItems":[{"id":"ITEM-1","itemData":{"DOI":"10.1080/1040841X.2021.1933898","ISSN":"15497828","PMID":"34214001","abstract":"The genus Paraconiothyrium has worldwide distribution with diverse host habitats and exhibits potential utilisation as biocontrol agent, bioreactor and antibiotic producer. In this review, we firstly comprehensively summarise the current taxonomic status of Paraconiothyrium species, including their category names, morphological features, habitats, and multigene phylogenetic relationships. Some Paraconiothyrium species possess vital biological functions and potential applications in medicine, agriculture, industry, and environmental protection. A total of 147 secondary metabolites have been reported so far from Paraconiothyrium, among which 95 are novel. This paper serves to provide an overview of their diverse structures with chemical classification and biological activities. To date, 27 species of Paraconiothyrium have been documented; however, only seven have been investigated for their secondary metabolites or biological functions. Our review is expected to draw more attention to this genus for providing a taxonomic reference, discovering extensive biological functions, and searching in-depth for new bioactive natural products.","author":[{"dropping-particle":"","family":"Wang","given":"Junfei","non-dropping-particle":"","parse-names":false,"suffix":""},{"dropping-particle":"","family":"Shao","given":"Shicheng","non-dropping-particle":"","parse-names":false,"suffix":""},{"dropping-particle":"","family":"Liu","given":"Chuansheng","non-dropping-particle":"","parse-names":false,"suffix":""},{"dropping-particle":"","family":"Song","given":"Zhiqiang","non-dropping-particle":"","parse-names":false,"suffix":""},{"dropping-particle":"","family":"Liu","given":"Sisi","non-dropping-particle":"","parse-names":false,"suffix":""},{"dropping-particle":"","family":"Wu","given":"Shaohua","non-dropping-particle":"","parse-names":false,"suffix":""}],"container-title":"Critical Reviews in Microbiology","id":"ITEM-1","issue":"6","issued":{"date-parts":[["2021"]]},"page":"781-810","publisher":"Taylor &amp; Francis","title":"The genus Paraconiothyrium: species concepts, biological functions, and secondary metabolites","type":"article-journal","volume":"47"},"uris":["http://www.mendeley.com/documents/?uuid=447e7b80-a85a-4e2d-a0b7-b9cff5a32eec"]}],"mendeley":{"formattedCitation":"(J. Wang et al., 2021)","plainTextFormattedCitation":"(J. Wang et al., 2021)","previouslyFormattedCitation":"(J. Wang et al., 2021)"},"properties":{"noteIndex":0},"schema":"https://github.com/citation-style-language/schema/raw/master/csl-citation.json"}</w:instrText>
      </w:r>
      <w:r w:rsidR="00A87FD6">
        <w:rPr>
          <w:lang w:eastAsia="es-CR"/>
        </w:rPr>
        <w:fldChar w:fldCharType="separate"/>
      </w:r>
      <w:r w:rsidR="00A87FD6" w:rsidRPr="00A87FD6">
        <w:rPr>
          <w:noProof/>
          <w:lang w:eastAsia="es-CR"/>
        </w:rPr>
        <w:t>(J. Wang et al., 2021)</w:t>
      </w:r>
      <w:r w:rsidR="00A87FD6">
        <w:rPr>
          <w:lang w:eastAsia="es-CR"/>
        </w:rPr>
        <w:fldChar w:fldCharType="end"/>
      </w:r>
      <w:r w:rsidR="004627ED">
        <w:rPr>
          <w:lang w:eastAsia="es-CR"/>
        </w:rPr>
        <w:t>, como por ejemplo produciendo compuestos que inhiben el crecimiento de</w:t>
      </w:r>
      <w:r w:rsidR="003B7008">
        <w:rPr>
          <w:lang w:eastAsia="es-CR"/>
        </w:rPr>
        <w:t xml:space="preserve"> una especie del género</w:t>
      </w:r>
      <w:r w:rsidR="004627ED">
        <w:rPr>
          <w:lang w:eastAsia="es-CR"/>
        </w:rPr>
        <w:t xml:space="preserve"> </w:t>
      </w:r>
      <w:r w:rsidR="004627ED" w:rsidRPr="00343463">
        <w:rPr>
          <w:i/>
          <w:iCs/>
          <w:lang w:eastAsia="es-CR"/>
        </w:rPr>
        <w:t xml:space="preserve">Aspergillus </w:t>
      </w:r>
      <w:r w:rsidR="003B7008">
        <w:rPr>
          <w:i/>
          <w:iCs/>
          <w:lang w:eastAsia="es-CR"/>
        </w:rPr>
        <w:t xml:space="preserve">sp. </w:t>
      </w:r>
      <w:r w:rsidR="004627ED">
        <w:rPr>
          <w:i/>
          <w:iCs/>
          <w:lang w:eastAsia="es-CR"/>
        </w:rPr>
        <w:t xml:space="preserve"> </w:t>
      </w:r>
      <w:r w:rsidR="004627ED">
        <w:rPr>
          <w:i/>
          <w:iCs/>
          <w:lang w:eastAsia="es-CR"/>
        </w:rPr>
        <w:fldChar w:fldCharType="begin" w:fldLock="1"/>
      </w:r>
      <w:r w:rsidR="004627ED">
        <w:rPr>
          <w:i/>
          <w:iCs/>
          <w:lang w:eastAsia="es-CR"/>
        </w:rPr>
        <w:instrText>ADDIN CSL_CITATION {"citationItems":[{"id":"ITEM-1","itemData":{"ISSN":"01660616","abstract":"Coniothyrium-like coelomycetes are drawing attention as biological control agents, potential bioremediators, and producers of antibiotics. Four genera are currently used to classify such anamorphs, namely, Coniothyrium, Microsphaeropsis, Cyclothyrium, and Cytoplea. The morphological plasticity of these fungi, however, makes it difficult to ascertain their best generic disposition in many cases. A new genus, Paraconiothyrium is here proposed to accommodate four new species, P. estuarinum, P. brasiliense, P. cyclothyrioides, and P. fungicola. Their formal descriptions are based on anamorphic characters as seen in vitro. The teleomorphs of these species are unknown, but maximum parsimony analysis of ITS and partial SSU nrDNA sequences showed that they belong in the Pleosporales and group in a clade including Paraphaeosphaeria s. str., the biocontrol agent Coniothyrium minitans, and the ubiquitous soil fungus Coniothyrium sporulosum. Coniothyrium minitans and C. sporulosum are therefore also combined into the genus Paraconiothyrium. The anamorphs of Paraphaeosphaeria michotii and Paraphaeosphaeria pilleata are regarded representative of Paraconiothyrium, but remain formally unnamed. Paraconiothyrium species are phylogenetically distant from typical members of the other coelomycete genera mentioned above.","author":[{"dropping-particle":"","family":"Verkley","given":"Gerard J.M.","non-dropping-particle":"","parse-names":false,"suffix":""},{"dropping-particle":"","family":"Silva","given":"Manuela","non-dropping-particle":"Da","parse-names":false,"suffix":""},{"dropping-particle":"","family":"Wicklow","given":"Donald T.","non-dropping-particle":"","parse-names":false,"suffix":""},{"dropping-particle":"","family":"Crous","given":"Pedro W.","non-dropping-particle":"","parse-names":false,"suffix":""}],"container-title":"Studies in Mycology","id":"ITEM-1","issue":"2","issued":{"date-parts":[["2004"]]},"page":"323-335","title":"Paraconiothyrium, a new genus to accommodate the mycoparasite Coniothyrium minitans, anamorphs of Paraphaeosphaeria, and four new species","type":"article-journal","volume":"50"},"uris":["http://www.mendeley.com/documents/?uuid=3793bf76-e839-4c5a-8de1-f3efc7d76972"]}],"mendeley":{"formattedCitation":"(Verkley, Da Silva, Wicklow, &amp; Crous, 2004)","plainTextFormattedCitation":"(Verkley, Da Silva, Wicklow, &amp; Crous, 2004)","previouslyFormattedCitation":"(Verkley, Da Silva, Wicklow, &amp; Crous, 2004)"},"properties":{"noteIndex":0},"schema":"https://github.com/citation-style-language/schema/raw/master/csl-citation.json"}</w:instrText>
      </w:r>
      <w:r w:rsidR="004627ED">
        <w:rPr>
          <w:i/>
          <w:iCs/>
          <w:lang w:eastAsia="es-CR"/>
        </w:rPr>
        <w:fldChar w:fldCharType="separate"/>
      </w:r>
      <w:r w:rsidR="004627ED" w:rsidRPr="0085708A">
        <w:rPr>
          <w:iCs/>
          <w:noProof/>
          <w:lang w:eastAsia="es-CR"/>
        </w:rPr>
        <w:t>(Verkley, Da Silva, Wicklow, &amp; Crous, 2004)</w:t>
      </w:r>
      <w:r w:rsidR="004627ED">
        <w:rPr>
          <w:i/>
          <w:iCs/>
          <w:lang w:eastAsia="es-CR"/>
        </w:rPr>
        <w:fldChar w:fldCharType="end"/>
      </w:r>
      <w:r w:rsidR="004627ED">
        <w:rPr>
          <w:i/>
          <w:iCs/>
          <w:lang w:eastAsia="es-CR"/>
        </w:rPr>
        <w:t xml:space="preserve">. </w:t>
      </w:r>
      <w:r w:rsidR="00A87FD6">
        <w:rPr>
          <w:lang w:eastAsia="es-CR"/>
        </w:rPr>
        <w:t xml:space="preserve"> En cuanto a aislamientos marinos, un </w:t>
      </w:r>
      <w:r w:rsidR="00A87FD6" w:rsidRPr="001D5B89">
        <w:rPr>
          <w:i/>
          <w:iCs/>
          <w:lang w:eastAsia="es-CR"/>
        </w:rPr>
        <w:t>Paraconiothyrium sp</w:t>
      </w:r>
      <w:r w:rsidR="00A87FD6">
        <w:rPr>
          <w:i/>
          <w:iCs/>
          <w:lang w:eastAsia="es-CR"/>
        </w:rPr>
        <w:t xml:space="preserve">. </w:t>
      </w:r>
      <w:r w:rsidR="004627ED">
        <w:rPr>
          <w:lang w:eastAsia="es-CR"/>
        </w:rPr>
        <w:t xml:space="preserve">aislado de raíces de </w:t>
      </w:r>
      <w:r w:rsidR="004627ED">
        <w:rPr>
          <w:lang w:eastAsia="es-CR"/>
        </w:rPr>
        <w:lastRenderedPageBreak/>
        <w:t>manglar y otro aislado de</w:t>
      </w:r>
      <w:r w:rsidR="004627ED" w:rsidRPr="004627ED">
        <w:rPr>
          <w:lang w:eastAsia="es-CR"/>
        </w:rPr>
        <w:t xml:space="preserve"> </w:t>
      </w:r>
      <w:r w:rsidR="004627ED">
        <w:rPr>
          <w:lang w:eastAsia="es-CR"/>
        </w:rPr>
        <w:t xml:space="preserve">una esponja marina mostraron tener actividad inhibitoria contra </w:t>
      </w:r>
      <w:r w:rsidR="004627ED" w:rsidRPr="004627ED">
        <w:rPr>
          <w:i/>
          <w:iCs/>
          <w:lang w:eastAsia="es-CR"/>
        </w:rPr>
        <w:t>S. aureus</w:t>
      </w:r>
      <w:r w:rsidR="004627ED">
        <w:rPr>
          <w:lang w:eastAsia="es-CR"/>
        </w:rPr>
        <w:t xml:space="preserve"> </w:t>
      </w:r>
      <w:r w:rsidR="004627ED">
        <w:rPr>
          <w:lang w:eastAsia="es-CR"/>
        </w:rPr>
        <w:fldChar w:fldCharType="begin" w:fldLock="1"/>
      </w:r>
      <w:r w:rsidR="00B5108E">
        <w:rPr>
          <w:lang w:eastAsia="es-CR"/>
        </w:rPr>
        <w:instrText>ADDIN CSL_CITATION {"citationItems":[{"id":"ITEM-1","itemData":{"DOI":"10.1080/21501203.2021.1895347","ISSN":"21501211","abstract":"Purpose of the study: Marine fungi of Mauritius have been poorly studied. There are numerous reports on the bioactive secondary metabolites that are produced by fungi around the world. Yet, research on the molecular characterisation and the pharmaceutical potential of marine fungi in Mauritius is rather scanty. Method: The samples, which consisted of three sponges Haliclona sp., Iotrochota sp. and Biemna sp. and two brown algae Turbinaria conoides and Sargassum portierianum, were collected in the North of Mauritius during winter. No sporulating structures were observed from the fungal cultures making morphological analysis impossible. The molecular characterisation of the selected isolates was carried out by the amplification of the ITS regions and phylogenetic analysis. The antimicrobial properties were then determined using the disc diffusion and the minimum inhibitory concentration (MIC) assay. Results: Genus level identification was made from molecular data and for some isolates, species-level identification was even possible. Twelve fungi that showed the best antimicrobial properties were identified as Peniophora sp., Aspergillus cristatus, Acremonium sp., Cordyceps memorabilis, Aspergillus ochraceus, Biscogniauxia sp., Aspergillus keratitidis, Exserohilum rostratum, Chromocleista sp., Nigrospora oryzae, Aspergillus flavipes and Mycosphaerella. The lowest MIC result of 0.0098 mg/mL was obtained with Chromocleista sp. mycelium extract against Staphylococcus aureus. The MIC of the mycelium extracts was lower than the broth extracts for most isolates indicating that the antimicrobial compounds are not secreted. Conclusion: Marine fungi from the Mauritian waters have immense potential in the search for natural products against antibiotic-resistant bacteria.","author":[{"dropping-particle":"","family":"Wong Chin","given":"Jessica Mélanie","non-dropping-particle":"","parse-names":false,"suffix":""},{"dropping-particle":"","family":"Puchooa","given":"Daneshwar","non-dropping-particle":"","parse-names":false,"suffix":""},{"dropping-particle":"","family":"Bahorun","given":"Theeshan","non-dropping-particle":"","parse-names":false,"suffix":""},{"dropping-particle":"","family":"Jeewon","given":"Rajesh","non-dropping-particle":"","parse-names":false,"suffix":""}],"container-title":"Mycology","id":"ITEM-1","issue":"4","issued":{"date-parts":[["2021"]]},"page":"231-244","publisher":"Taylor &amp; Francis","title":"Antimicrobial properties of marine fungi from sponges and brown algae of Mauritius","type":"article-journal","volume":"12"},"uris":["http://www.mendeley.com/documents/?uuid=e0973ff3-2915-4dcb-9e05-783d7dbb4829"]},{"id":"ITEM-2","itemData":{"DOI":"10.1080/1040841X.2021.1933898","ISSN":"15497828","PMID":"34214001","abstract":"The genus Paraconiothyrium has worldwide distribution with diverse host habitats and exhibits potential utilisation as biocontrol agent, bioreactor and antibiotic producer. In this review, we firstly comprehensively summarise the current taxonomic status of Paraconiothyrium species, including their category names, morphological features, habitats, and multigene phylogenetic relationships. Some Paraconiothyrium species possess vital biological functions and potential applications in medicine, agriculture, industry, and environmental protection. A total of 147 secondary metabolites have been reported so far from Paraconiothyrium, among which 95 are novel. This paper serves to provide an overview of their diverse structures with chemical classification and biological activities. To date, 27 species of Paraconiothyrium have been documented; however, only seven have been investigated for their secondary metabolites or biological functions. Our review is expected to draw more attention to this genus for providing a taxonomic reference, discovering extensive biological functions, and searching in-depth for new bioactive natural products.","author":[{"dropping-particle":"","family":"Wang","given":"Junfei","non-dropping-particle":"","parse-names":false,"suffix":""},{"dropping-particle":"","family":"Shao","given":"Shicheng","non-dropping-particle":"","parse-names":false,"suffix":""},{"dropping-particle":"","family":"Liu","given":"Chuansheng","non-dropping-particle":"","parse-names":false,"suffix":""},{"dropping-particle":"","family":"Song","given":"Zhiqiang","non-dropping-particle":"","parse-names":false,"suffix":""},{"dropping-particle":"","family":"Liu","given":"Sisi","non-dropping-particle":"","parse-names":false,"suffix":""},{"dropping-particle":"","family":"Wu","given":"Shaohua","non-dropping-particle":"","parse-names":false,"suffix":""}],"container-title":"Critical Reviews in Microbiology","id":"ITEM-2","issue":"6","issued":{"date-parts":[["2021"]]},"page":"781-810","publisher":"Taylor &amp; Francis","title":"The genus Paraconiothyrium: species concepts, biological functions, and secondary metabolites","type":"article-journal","volume":"47"},"uris":["http://www.mendeley.com/documents/?uuid=447e7b80-a85a-4e2d-a0b7-b9cff5a32eec"]}],"mendeley":{"formattedCitation":"(J. Wang et al., 2021; Wong Chin, Puchooa, Bahorun, &amp; Jeewon, 2021)","plainTextFormattedCitation":"(J. Wang et al., 2021; Wong Chin, Puchooa, Bahorun, &amp; Jeewon, 2021)","previouslyFormattedCitation":"(J. Wang et al., 2021; Wong Chin, Puchooa, Bahorun, &amp; Jeewon, 2021)"},"properties":{"noteIndex":0},"schema":"https://github.com/citation-style-language/schema/raw/master/csl-citation.json"}</w:instrText>
      </w:r>
      <w:r w:rsidR="004627ED">
        <w:rPr>
          <w:lang w:eastAsia="es-CR"/>
        </w:rPr>
        <w:fldChar w:fldCharType="separate"/>
      </w:r>
      <w:r w:rsidR="004627ED" w:rsidRPr="004627ED">
        <w:rPr>
          <w:noProof/>
          <w:lang w:eastAsia="es-CR"/>
        </w:rPr>
        <w:t>(J. Wang et al., 2021; Wong Chin, Puchooa, Bahorun, &amp; Jeewon, 2021)</w:t>
      </w:r>
      <w:r w:rsidR="004627ED">
        <w:rPr>
          <w:lang w:eastAsia="es-CR"/>
        </w:rPr>
        <w:fldChar w:fldCharType="end"/>
      </w:r>
      <w:r w:rsidR="004627ED">
        <w:rPr>
          <w:lang w:eastAsia="es-CR"/>
        </w:rPr>
        <w:t>.</w:t>
      </w:r>
      <w:r w:rsidR="00B5108E">
        <w:rPr>
          <w:lang w:eastAsia="es-CR"/>
        </w:rPr>
        <w:t xml:space="preserve"> </w:t>
      </w:r>
      <w:r w:rsidR="00E66F90" w:rsidRPr="00E66F90">
        <w:rPr>
          <w:lang w:eastAsia="es-CR"/>
        </w:rPr>
        <w:t xml:space="preserve">A diferencia de otras investigaciones que evaluaron varias especies de </w:t>
      </w:r>
      <w:r w:rsidR="00E66F90" w:rsidRPr="00BF3C7B">
        <w:rPr>
          <w:i/>
          <w:iCs/>
          <w:lang w:eastAsia="es-CR"/>
        </w:rPr>
        <w:t>Paraconiothyrium sp.</w:t>
      </w:r>
      <w:r w:rsidR="00E66F90" w:rsidRPr="00E66F90">
        <w:rPr>
          <w:lang w:eastAsia="es-CR"/>
        </w:rPr>
        <w:t xml:space="preserve"> marino para determinar su capacidad de inhibir el crecimiento de la levadura </w:t>
      </w:r>
      <w:r w:rsidR="00E66F90" w:rsidRPr="00BF3C7B">
        <w:rPr>
          <w:i/>
          <w:iCs/>
          <w:lang w:eastAsia="es-CR"/>
        </w:rPr>
        <w:t>C. albicans</w:t>
      </w:r>
      <w:r w:rsidR="00E66F90" w:rsidRPr="00E66F90">
        <w:rPr>
          <w:lang w:eastAsia="es-CR"/>
        </w:rPr>
        <w:t>, ninguna de ellas mostró actividad antimicrobiana</w:t>
      </w:r>
      <w:r w:rsidR="00E66F90">
        <w:rPr>
          <w:lang w:eastAsia="es-CR"/>
        </w:rPr>
        <w:t xml:space="preserve"> </w:t>
      </w:r>
      <w:r w:rsidR="00E66F90">
        <w:rPr>
          <w:lang w:eastAsia="es-CR"/>
        </w:rPr>
        <w:fldChar w:fldCharType="begin" w:fldLock="1"/>
      </w:r>
      <w:r w:rsidR="00E14A2A">
        <w:rPr>
          <w:lang w:eastAsia="es-CR"/>
        </w:rPr>
        <w:instrText>ADDIN CSL_CITATION {"citationItems":[{"id":"ITEM-1","itemData":{"DOI":"10.1080/1040841X.2021.1933898","ISSN":"15497828","PMID":"34214001","abstract":"The genus Paraconiothyrium has worldwide distribution with diverse host habitats and exhibits potential utilisation as biocontrol agent, bioreactor and antibiotic producer. In this review, we firstly comprehensively summarise the current taxonomic status of Paraconiothyrium species, including their category names, morphological features, habitats, and multigene phylogenetic relationships. Some Paraconiothyrium species possess vital biological functions and potential applications in medicine, agriculture, industry, and environmental protection. A total of 147 secondary metabolites have been reported so far from Paraconiothyrium, among which 95 are novel. This paper serves to provide an overview of their diverse structures with chemical classification and biological activities. To date, 27 species of Paraconiothyrium have been documented; however, only seven have been investigated for their secondary metabolites or biological functions. Our review is expected to draw more attention to this genus for providing a taxonomic reference, discovering extensive biological functions, and searching in-depth for new bioactive natural products.","author":[{"dropping-particle":"","family":"Wang","given":"Junfei","non-dropping-particle":"","parse-names":false,"suffix":""},{"dropping-particle":"","family":"Shao","given":"Shicheng","non-dropping-particle":"","parse-names":false,"suffix":""},{"dropping-particle":"","family":"Liu","given":"Chuansheng","non-dropping-particle":"","parse-names":false,"suffix":""},{"dropping-particle":"","family":"Song","given":"Zhiqiang","non-dropping-particle":"","parse-names":false,"suffix":""},{"dropping-particle":"","family":"Liu","given":"Sisi","non-dropping-particle":"","parse-names":false,"suffix":""},{"dropping-particle":"","family":"Wu","given":"Shaohua","non-dropping-particle":"","parse-names":false,"suffix":""}],"container-title":"Critical Reviews in Microbiology","id":"ITEM-1","issue":"6","issued":{"date-parts":[["2021"]]},"page":"781-810","publisher":"Taylor &amp; Francis","title":"The genus Paraconiothyrium: species concepts, biological functions, and secondary metabolites","type":"article-journal","volume":"47"},"uris":["http://www.mendeley.com/documents/?uuid=447e7b80-a85a-4e2d-a0b7-b9cff5a32eec"]},{"id":"ITEM-2","itemData":{"DOI":"10.1016/j.cclet.2019.01.034","ISSN":"10018417","abstract":"Pafuranones A (1) and B (2), a pair of new epimeric polyketide dimers, were isolated from the fungus Paraconiothyrium sp. OUCMDZ-3316 associated with the marine algae Enteromorpha prolifera. Their structures, including absolute configurations, were fully elucidated based on spectroscopic analysis, calculated ECD, and chemical methods. Pafuranones A (1) and B (2) possess a rare dimeric furanone skeleton, which might be formed through a conjugate addition of the monomeric units followed by an intramolecular cyclization.","author":[{"dropping-particle":"","family":"Du","given":"Yuqi","non-dropping-particle":"","parse-names":false,"suffix":""},{"dropping-particle":"","family":"Chen","given":"Zhengbo","non-dropping-particle":"","parse-names":false,"suffix":""},{"dropping-particle":"","family":"Li","given":"Hao","non-dropping-particle":"","parse-names":false,"suffix":""},{"dropping-particle":"","family":"Wang","given":"Yi","non-dropping-particle":"","parse-names":false,"suffix":""},{"dropping-particle":"","family":"Fu","given":"Peng","non-dropping-particle":"","parse-names":false,"suffix":""},{"dropping-particle":"","family":"Zhu","given":"Weiming","non-dropping-particle":"","parse-names":false,"suffix":""}],"container-title":"Chinese Chemical Letters","id":"ITEM-2","issue":"5","issued":{"date-parts":[["2019"]]},"page":"981-984","publisher":"Chinese Chemical Society","title":"Pafuranones A and B, two dimeric polyketides from a rare marine algae-derived fungus Paraconiothyrium sp.","type":"article-journal","volume":"30"},"uris":["http://www.mendeley.com/documents/?uuid=7c0fa900-c018-4eec-9f51-a118efc6e571"]},{"id":"ITEM-3","itemData":{"DOI":"10.1016/j.fitote.2018.11.017","ISSN":"18736971","PMID":"30496810","abstract":"Five polyketides, paralactonic acids A-E (1–5) were isolated from Paraconiothyrium sp. SW-B-1, an endophytic fungus isolated from the seaweed, Chondrus ocellatus Holmes. Their structures were determined by various spectroscopic methods, predominantly by 2D NMR spectroscopic analyses. The absolute configurations of compounds 1–5 were determined by comparison of the experimental and calculated ECD spectra. Compound 5 showed moderate antibacterial activity and restored the growth of a mutant yeast strain inhibited by hyperactivated Ca2+-signaling.","author":[{"dropping-particle":"","family":"Suzuki","given":"Takuma","non-dropping-particle":"","parse-names":false,"suffix":""},{"dropping-particle":"","family":"Ariefta","given":"Nanang Rudianto","non-dropping-particle":"","parse-names":false,"suffix":""},{"dropping-particle":"","family":"Koseki","given":"Takuya","non-dropping-particle":"","parse-names":false,"suffix":""},{"dropping-particle":"","family":"Furuno","given":"Hiroshi","non-dropping-particle":"","parse-names":false,"suffix":""},{"dropping-particle":"","family":"Kwon","given":"Eunsang","non-dropping-particle":"","parse-names":false,"suffix":""},{"dropping-particle":"","family":"Momma","given":"Hiroyuki","non-dropping-particle":"","parse-names":false,"suffix":""},{"dropping-particle":"","family":"Harneti","given":"Desi","non-dropping-particle":"","parse-names":false,"suffix":""},{"dropping-particle":"","family":"Maharani","given":"Rani","non-dropping-particle":"","parse-names":false,"suffix":""},{"dropping-particle":"","family":"Supratman","given":"Unang","non-dropping-particle":"","parse-names":false,"suffix":""},{"dropping-particle":"","family":"Kimura","given":"Ken ichi","non-dropping-particle":"","parse-names":false,"suffix":""},{"dropping-particle":"","family":"Shiono","given":"Yoshihito","non-dropping-particle":"","parse-names":false,"suffix":""}],"container-title":"Fitoterapia","id":"ITEM-3","issue":"September 2018","issued":{"date-parts":[["2019"]]},"page":"75-81","publisher":"Elsevier","title":"New polyketides, paralactonic acids A–E produced by Paraconiothyrium sp. SW-B-1, an endophytic fungus associated with a seaweed, Chondrus ocellatus Holmes","type":"article-journal","volume":"132"},"uris":["http://www.mendeley.com/documents/?uuid=080e97a0-7009-4861-b81d-ce4749a18d0d"]}],"mendeley":{"formattedCitation":"(Du et al., 2019; Suzuki et al., 2019; J. Wang et al., 2021)","plainTextFormattedCitation":"(Du et al., 2019; Suzuki et al., 2019; J. Wang et al., 2021)","previouslyFormattedCitation":"(Du et al., 2019; Suzuki et al., 2019; J. Wang et al., 2021)"},"properties":{"noteIndex":0},"schema":"https://github.com/citation-style-language/schema/raw/master/csl-citation.json"}</w:instrText>
      </w:r>
      <w:r w:rsidR="00E66F90">
        <w:rPr>
          <w:lang w:eastAsia="es-CR"/>
        </w:rPr>
        <w:fldChar w:fldCharType="separate"/>
      </w:r>
      <w:r w:rsidR="00070258" w:rsidRPr="00070258">
        <w:rPr>
          <w:noProof/>
          <w:lang w:eastAsia="es-CR"/>
        </w:rPr>
        <w:t>(Du et al., 2019; Suzuki et al., 2019; J. Wang et al., 2021)</w:t>
      </w:r>
      <w:r w:rsidR="00E66F90">
        <w:rPr>
          <w:lang w:eastAsia="es-CR"/>
        </w:rPr>
        <w:fldChar w:fldCharType="end"/>
      </w:r>
      <w:r w:rsidR="00E66F90" w:rsidRPr="00E66F90">
        <w:rPr>
          <w:lang w:eastAsia="es-CR"/>
        </w:rPr>
        <w:t xml:space="preserve">. Por lo tanto, el aislamiento obtenido en este estudio representa un hallazgo significativo, ya que podría ser el primer reporte de un </w:t>
      </w:r>
      <w:r w:rsidR="00E66F90" w:rsidRPr="00BF3C7B">
        <w:rPr>
          <w:i/>
          <w:iCs/>
          <w:lang w:eastAsia="es-CR"/>
        </w:rPr>
        <w:t>Paraconiothyrium</w:t>
      </w:r>
      <w:r w:rsidR="00BF3C7B" w:rsidRPr="00BF3C7B">
        <w:rPr>
          <w:i/>
          <w:iCs/>
          <w:lang w:eastAsia="es-CR"/>
        </w:rPr>
        <w:t xml:space="preserve"> sp.</w:t>
      </w:r>
      <w:r w:rsidR="00E66F90" w:rsidRPr="00E66F90">
        <w:rPr>
          <w:lang w:eastAsia="es-CR"/>
        </w:rPr>
        <w:t xml:space="preserve"> marino con una actividad inhibitoria evidente contra </w:t>
      </w:r>
      <w:r w:rsidR="00E66F90" w:rsidRPr="00AB0638">
        <w:rPr>
          <w:i/>
          <w:iCs/>
          <w:lang w:eastAsia="es-CR"/>
        </w:rPr>
        <w:t>C. albicans.</w:t>
      </w:r>
    </w:p>
    <w:p w14:paraId="06BBD715" w14:textId="2C554C5E" w:rsidR="003B7008" w:rsidRPr="003B7008" w:rsidRDefault="003B7008" w:rsidP="00D2676A">
      <w:pPr>
        <w:ind w:firstLine="708"/>
        <w:rPr>
          <w:lang w:eastAsia="es-CR"/>
        </w:rPr>
      </w:pPr>
      <w:r>
        <w:rPr>
          <w:lang w:eastAsia="es-CR"/>
        </w:rPr>
        <w:t xml:space="preserve">Por otro lado, no se encontraron reportes de actividad </w:t>
      </w:r>
      <w:r w:rsidR="00912694">
        <w:rPr>
          <w:lang w:eastAsia="es-CR"/>
        </w:rPr>
        <w:t>en</w:t>
      </w:r>
      <w:r>
        <w:rPr>
          <w:lang w:eastAsia="es-CR"/>
        </w:rPr>
        <w:t xml:space="preserve"> aislamientos de </w:t>
      </w:r>
      <w:r w:rsidRPr="001D5B89">
        <w:rPr>
          <w:i/>
          <w:iCs/>
          <w:lang w:eastAsia="es-CR"/>
        </w:rPr>
        <w:t>Paraconiothyrium sp</w:t>
      </w:r>
      <w:r w:rsidR="005451D1">
        <w:rPr>
          <w:i/>
          <w:iCs/>
          <w:lang w:eastAsia="es-CR"/>
        </w:rPr>
        <w:t>.</w:t>
      </w:r>
      <w:r>
        <w:rPr>
          <w:lang w:eastAsia="es-CR"/>
        </w:rPr>
        <w:t xml:space="preserve"> contra </w:t>
      </w:r>
      <w:r>
        <w:rPr>
          <w:i/>
          <w:iCs/>
          <w:lang w:eastAsia="es-CR"/>
        </w:rPr>
        <w:t xml:space="preserve">E. faecium, E. hormaechei, A. baumannii </w:t>
      </w:r>
      <w:r>
        <w:rPr>
          <w:lang w:eastAsia="es-CR"/>
        </w:rPr>
        <w:t xml:space="preserve">y </w:t>
      </w:r>
      <w:r>
        <w:rPr>
          <w:i/>
          <w:iCs/>
          <w:lang w:eastAsia="es-CR"/>
        </w:rPr>
        <w:t>A. niger.</w:t>
      </w:r>
      <w:r w:rsidR="00833803" w:rsidRPr="00833803">
        <w:t xml:space="preserve"> </w:t>
      </w:r>
      <w:r w:rsidR="00833803" w:rsidRPr="00833803">
        <w:rPr>
          <w:lang w:eastAsia="es-CR"/>
        </w:rPr>
        <w:t>Esta falta de información requiere una investigación más exhaustiva para confirmar la ausencia de actividad antimicrobiana en estas especies</w:t>
      </w:r>
      <w:r w:rsidR="00CB2F05">
        <w:rPr>
          <w:lang w:eastAsia="es-CR"/>
        </w:rPr>
        <w:t>. Esta</w:t>
      </w:r>
      <w:r>
        <w:rPr>
          <w:lang w:eastAsia="es-CR"/>
        </w:rPr>
        <w:t xml:space="preserve"> situación permitiría evidenciar nuevamente que el aislamiento de </w:t>
      </w:r>
      <w:r w:rsidRPr="001D5B89">
        <w:rPr>
          <w:i/>
          <w:iCs/>
          <w:lang w:eastAsia="es-CR"/>
        </w:rPr>
        <w:t>Paraconiothyrium sp</w:t>
      </w:r>
      <w:r>
        <w:rPr>
          <w:i/>
          <w:iCs/>
          <w:lang w:eastAsia="es-CR"/>
        </w:rPr>
        <w:t xml:space="preserve"> </w:t>
      </w:r>
      <w:r>
        <w:rPr>
          <w:lang w:eastAsia="es-CR"/>
        </w:rPr>
        <w:t>del manglar de Puntarenas presenta actividad antimicrobiana antes desconocida para el género.</w:t>
      </w:r>
    </w:p>
    <w:p w14:paraId="248233A5" w14:textId="34116C69" w:rsidR="007B7B6E" w:rsidRDefault="003B130D" w:rsidP="00EE07F4">
      <w:pPr>
        <w:ind w:firstLine="708"/>
        <w:rPr>
          <w:lang w:eastAsia="es-CR"/>
        </w:rPr>
      </w:pPr>
      <w:r>
        <w:rPr>
          <w:lang w:eastAsia="es-CR"/>
        </w:rPr>
        <w:t>Con respecto a</w:t>
      </w:r>
      <w:r w:rsidR="00902F78">
        <w:rPr>
          <w:lang w:eastAsia="es-CR"/>
        </w:rPr>
        <w:t xml:space="preserve">l screening de metabolitos secundarios en los extractos crudos, </w:t>
      </w:r>
      <w:r w:rsidR="00AC1794">
        <w:rPr>
          <w:lang w:eastAsia="es-CR"/>
        </w:rPr>
        <w:t xml:space="preserve">no se podría asegurar </w:t>
      </w:r>
      <w:r w:rsidR="00995412">
        <w:rPr>
          <w:lang w:eastAsia="es-CR"/>
        </w:rPr>
        <w:t>que los compuestos obtenidos a partir del metabolismo fúngico</w:t>
      </w:r>
      <w:r w:rsidR="00DA2CC2">
        <w:rPr>
          <w:lang w:eastAsia="es-CR"/>
        </w:rPr>
        <w:t xml:space="preserve"> detectados por la</w:t>
      </w:r>
      <w:r w:rsidR="00FE267F">
        <w:rPr>
          <w:lang w:eastAsia="es-CR"/>
        </w:rPr>
        <w:t>s pruebas químicas sean los responsables de la actividad antimicrobiana. No obstante</w:t>
      </w:r>
      <w:r w:rsidR="005044EF">
        <w:rPr>
          <w:lang w:eastAsia="es-CR"/>
        </w:rPr>
        <w:t xml:space="preserve">, </w:t>
      </w:r>
      <w:r w:rsidR="007B7B6E">
        <w:rPr>
          <w:lang w:eastAsia="es-CR"/>
        </w:rPr>
        <w:t>e</w:t>
      </w:r>
      <w:r w:rsidR="007B7B6E" w:rsidRPr="007B7B6E">
        <w:rPr>
          <w:lang w:eastAsia="es-CR"/>
        </w:rPr>
        <w:t>stos compuestos han sido objeto de amplio estudio debido a su</w:t>
      </w:r>
      <w:r w:rsidR="007B7B6E">
        <w:rPr>
          <w:lang w:eastAsia="es-CR"/>
        </w:rPr>
        <w:t xml:space="preserve"> actividad antimicrobiana, por ejemplo, </w:t>
      </w:r>
      <w:r w:rsidR="0037131D">
        <w:rPr>
          <w:lang w:eastAsia="es-CR"/>
        </w:rPr>
        <w:t>los f</w:t>
      </w:r>
      <w:r w:rsidR="00C75E06">
        <w:rPr>
          <w:lang w:eastAsia="es-CR"/>
        </w:rPr>
        <w:t>l</w:t>
      </w:r>
      <w:r w:rsidR="0037131D">
        <w:rPr>
          <w:lang w:eastAsia="es-CR"/>
        </w:rPr>
        <w:t>avonoides han ganado gran interés científico como alternativa para combatir la resistencia antimicrobiana</w:t>
      </w:r>
      <w:r w:rsidR="0061487B">
        <w:rPr>
          <w:lang w:eastAsia="es-CR"/>
        </w:rPr>
        <w:t xml:space="preserve"> </w:t>
      </w:r>
      <w:r w:rsidR="0061487B">
        <w:rPr>
          <w:lang w:eastAsia="es-CR"/>
        </w:rPr>
        <w:fldChar w:fldCharType="begin" w:fldLock="1"/>
      </w:r>
      <w:r w:rsidR="00586C22">
        <w:rPr>
          <w:lang w:eastAsia="es-CR"/>
        </w:rPr>
        <w:instrText>ADDIN CSL_CITATION {"citationItems":[{"id":"ITEM-1","itemData":{"DOI":"10.1007/s11101-018-9591-z","ISBN":"0123456789","ISSN":"1572980X","abstract":"Flavonoids are one of the largest classes of small molecular secondary metabolites produced in different parts of the plant. They display a wide range of pharmacological and beneficial health effects for humans, which include, among others, antioxidative activity, free radical scavenging capacity, coronary heart disease prevention and antiatherosclerotic, hepatoprotective, anti-inflammatory, and anticancer activities. Hence, flavonoids are gaining high attention from the pharmaceutical and healthcare industries. Notably, plants synthesize flavonoids in response to microbial infection, and these compounds have been found to be a potent antimicrobial agent against a wide range of pathogenic microorganisms in vitro. Antimicrobial action of flavonoids results from their various biological activities, which may not seem very specific at first. There are, however, promising antibacterial flavonoids that are able not only to selectively target bacterial cells, but also to inhibit virulence factors, as well as other forms of microbial threats, e.g. biofilm formation. Moreover, some plant flavonoids manifest ability to reverse the antibiotic resistance and enhance action of the current antibiotic drugs. Hence, the development and application of flavonoid-based drugs could be a promising approach for antibiotic-resistant infections. This review aims to improve our understanding of the biological and molecular roles of plant flavonoids, focusing mostly on their antimicrobial activities.","author":[{"dropping-particle":"","family":"Górniak","given":"Ireneusz","non-dropping-particle":"","parse-names":false,"suffix":""},{"dropping-particle":"","family":"Bartoszewski","given":"Rafał","non-dropping-particle":"","parse-names":false,"suffix":""},{"dropping-particle":"","family":"Króliczewski","given":"Jarosław","non-dropping-particle":"","parse-names":false,"suffix":""}],"container-title":"Phytochemistry Reviews","id":"ITEM-1","issue":"1","issued":{"date-parts":[["2019"]]},"number-of-pages":"241-272","title":"Comprehensive review of antimicrobial activities of plant flavonoids","type":"book","volume":"18"},"uris":["http://www.mendeley.com/documents/?uuid=83336339-f436-4b9b-87ec-573e260e3dd0"]},{"id":"ITEM-2","itemData":{"DOI":"10.1016/j.fitote.2020.104720","ISSN":"18736971","PMID":"32910994","abstract":"Background: Infectious diseases are the leading cause of death in 21st century due to antimicrobial resistance and scarcity of new molecules to undertake rising infections. There could be a multiple reasons behind antimicrobial resistance whether it is increased drug metabolism or bacterial endotoxins. The demand of effective medication is increasing day by day to treat microbial infections and combat antimicrobial resistance. In recent years most of the synthetic antimicrobials developed resistance so natural products could provide better options to fulfill this demand. There has been increasing interest in the research on flavonoids because various flavonoids were found to be effective against pathogenic microorganisms. Objective: The objective of this article will be to explore antimicrobial activity of flavonoids with special focus on their possible mechanism of action. Methods: The article reviewed recent literature related to flavonoids with antimicrobial activity, which were isolated from various sources and the compounds showing fairly good activity against tested microbial species were discussed. Results: By throughout literature review it has been found that flavonoids show antimicrobial effect by inhibiting virulence factors, efflux pump, biofilm formation, membrane disruption, cell envelop synthesis, nucleic acid synthesis, and bacterial motility inhibition. Conclusion: Most of the antimicrobial drugs available now a days are ineffective due to development of resistance to them. Flavonoids have the potential to overcome this emerging crisis as this class of natural products showed the antimicrobial activity by different mechanisms than those of conventional drugs, so flavonoid could be an effective treatment of pathogenic infections.","author":[{"dropping-particle":"","family":"Biharee","given":"Avadh","non-dropping-particle":"","parse-names":false,"suffix":""},{"dropping-particle":"","family":"Sharma","given":"Aditi","non-dropping-particle":"","parse-names":false,"suffix":""},{"dropping-particle":"","family":"Kumar","given":"Amit","non-dropping-particle":"","parse-names":false,"suffix":""},{"dropping-particle":"","family":"Jaitak","given":"Vikas","non-dropping-particle":"","parse-names":false,"suffix":""}],"container-title":"Fitoterapia","id":"ITEM-2","issue":"June","issued":{"date-parts":[["2020"]]},"page":"104720","publisher":"Elsevier","title":"Antimicrobial flavonoids as a potential substitute for overcoming antimicrobial resistance","type":"article-journal","volume":"146"},"uris":["http://www.mendeley.com/documents/?uuid=2a3e2555-6862-4db5-bea9-5ec4c66527fe"]},{"id":"ITEM-3","itemData":{"DOI":"10.3389/fphar.2022.873374","ISSN":"16639812","abstract":"The increasing dissemination of multidrug resistant (MDR) bacterial infections endangers global public health. How to develop effective antibacterial agents against resistant bacteria is becoming one of the most urgent demands to solve the drug resistance crisis. Traditional Chinese medicine (TCM) with multi-target antibacterial actions are emerging as an effective way to combat the antibacterial resistance. Based on the innovative concept of organic wholeness and syndrome differentiation, TCM use in antibacterial therapies is encouraging. Herein, advances on flavonoid compounds of heat-clearing Chinese medicine exhibit their potential for the therapy of resistant bacteria. In this review, we focus on the antibacterial modes of herbal flavonoids. Additionally, we overview the targets of flavonoid compounds and divide them into direct-acting antibacterial compounds (DACs) and host-acting antibacterial compounds (HACs) based on their modes of action. We also discuss the associated functional groups of flavonoid compounds and highlight recent pharmacological activities against diverse resistant bacteria to provide the candidate drugs for the clinical infection.","author":[{"dropping-particle":"","family":"Song","given":"Lianyu","non-dropping-particle":"","parse-names":false,"suffix":""},{"dropping-particle":"","family":"Hu","given":"Xin","non-dropping-particle":"","parse-names":false,"suffix":""},{"dropping-particle":"","family":"Ren","given":"Xiaomin","non-dropping-particle":"","parse-names":false,"suffix":""},{"dropping-particle":"","family":"Liu","given":"Jing","non-dropping-particle":"","parse-names":false,"suffix":""},{"dropping-particle":"","family":"Liu","given":"Xiaoye","non-dropping-particle":"","parse-names":false,"suffix":""}],"container-title":"Frontiers in Pharmacology","id":"ITEM-3","issue":"June","issued":{"date-parts":[["2022"]]},"page":"1-11","title":"Antibacterial Modes of Herbal Flavonoids Combat Resistant Bacteria","type":"article-journal","volume":"13"},"uris":["http://www.mendeley.com/documents/?uuid=4720b2dc-1051-4728-b69c-2f4bfdcc8421"]}],"mendeley":{"formattedCitation":"(Biharee, Sharma, Kumar, &amp; Jaitak, 2020; Górniak, Bartoszewski, &amp; Króliczewski, 2019; Song, Hu, Ren, Liu, &amp; Liu, 2022)","plainTextFormattedCitation":"(Biharee, Sharma, Kumar, &amp; Jaitak, 2020; Górniak, Bartoszewski, &amp; Króliczewski, 2019; Song, Hu, Ren, Liu, &amp; Liu, 2022)","previouslyFormattedCitation":"(Biharee, Sharma, Kumar, &amp; Jaitak, 2020; Górniak, Bartoszewski, &amp; Króliczewski, 2019; Song, Hu, Ren, Liu, &amp; Liu, 2022)"},"properties":{"noteIndex":0},"schema":"https://github.com/citation-style-language/schema/raw/master/csl-citation.json"}</w:instrText>
      </w:r>
      <w:r w:rsidR="0061487B">
        <w:rPr>
          <w:lang w:eastAsia="es-CR"/>
        </w:rPr>
        <w:fldChar w:fldCharType="separate"/>
      </w:r>
      <w:r w:rsidR="00361618" w:rsidRPr="00361618">
        <w:rPr>
          <w:noProof/>
          <w:lang w:eastAsia="es-CR"/>
        </w:rPr>
        <w:t>(Biharee, Sharma, Kumar, &amp; Jaitak, 2020; Górniak, Bartoszewski, &amp; Króliczewski, 2019; Song, Hu, Ren, Liu, &amp; Liu, 2022)</w:t>
      </w:r>
      <w:r w:rsidR="0061487B">
        <w:rPr>
          <w:lang w:eastAsia="es-CR"/>
        </w:rPr>
        <w:fldChar w:fldCharType="end"/>
      </w:r>
      <w:r w:rsidR="00894A9B">
        <w:rPr>
          <w:lang w:eastAsia="es-CR"/>
        </w:rPr>
        <w:t xml:space="preserve">. Por su parte, los fenoles </w:t>
      </w:r>
      <w:r w:rsidR="00E909B2">
        <w:rPr>
          <w:lang w:eastAsia="es-CR"/>
        </w:rPr>
        <w:t>han demostrado su capacidad inhibitoria contra bacterias patógenas</w:t>
      </w:r>
      <w:r w:rsidR="00586C22">
        <w:rPr>
          <w:lang w:eastAsia="es-CR"/>
        </w:rPr>
        <w:t xml:space="preserve"> </w:t>
      </w:r>
      <w:r w:rsidR="00586C22">
        <w:rPr>
          <w:lang w:eastAsia="es-CR"/>
        </w:rPr>
        <w:fldChar w:fldCharType="begin" w:fldLock="1"/>
      </w:r>
      <w:r w:rsidR="006436B1">
        <w:rPr>
          <w:lang w:eastAsia="es-CR"/>
        </w:rPr>
        <w:instrText>ADDIN CSL_CITATION {"citationItems":[{"id":"ITEM-1","itemData":{"DOI":"10.1016/j.micpath.2019.03.025","ISSN":"10961208","PMID":"30917922","abstract":"Fruits are among the main natural sources of phenolic compounds (PC). These compounds exert important antioxidant properties primarily associated with the presence of hydroxyl groups in their molecular structure. Additionally, the antibacterial effects of fruit phenolic-rich extracts or individual PC commonly found in fruits have been an emerging research focus in recent years. This review discusses by first time the available literature regarding the inhibitory effects of fruit PC on pathogenic bacteria, including not only their direct effects on bacterial growth and survival, but also their effects on virulence factors and antibiotic resistance, as well as the possible mechanism underlying these inhibitory properties. The results of the retrieved studies show overall that the antibacterial effects of fruit PC vary with the target bacteria, type of PC and length of exposure to these compounds. The type of solvent and procedures used for extraction and fruit cultivar also seem to influence the antibacterial effects of phenolic-rich fruit extracts. Fruit PC have shown wide-spectrum antibacterial properties besides being effective antibiotic resistance modifying agents in pathogenic bacteria and these effects have shown to be associated with interruption of efflux pump expression/function. Furthermore, fruit PC can cause down regulation of a variety of genes associated with virulence features in pathogenic bacteria. Results of available studies indicate the depolarization and alteration of membrane fluidity as mechanisms underlying the inhibition of pathogenic bacteria by fruit PC. These data reveal fruit PC have potential antimicrobial properties, which should be rationally exploited in solutions to control pathogenic bacteria.","author":[{"dropping-particle":"","family":"Lima","given":"M. C.","non-dropping-particle":"","parse-names":false,"suffix":""},{"dropping-particle":"","family":"Paiva de Sousa","given":"C.","non-dropping-particle":"","parse-names":false,"suffix":""},{"dropping-particle":"","family":"Fernandez-Prada","given":"C.","non-dropping-particle":"","parse-names":false,"suffix":""},{"dropping-particle":"","family":"Harel","given":"J.","non-dropping-particle":"","parse-names":false,"suffix":""},{"dropping-particle":"","family":"Dubreuil","given":"J. D.","non-dropping-particle":"","parse-names":false,"suffix":""},{"dropping-particle":"","family":"Souza","given":"E. L.","non-dropping-particle":"de","parse-names":false,"suffix":""}],"container-title":"Microbial Pathogenesis","id":"ITEM-1","issue":"December 2018","issued":{"date-parts":[["2019"]]},"page":"259-270","publisher":"Elsevier Ltd","title":"A review of the current evidence of fruit phenolic compounds as potential antimicrobials against pathogenic bacteria","type":"article-journal","volume":"130"},"uris":["http://www.mendeley.com/documents/?uuid=8f7b9407-1098-44a9-b9a9-b1d505e754c4"]},{"id":"ITEM-2","itemData":{"DOI":"10.18805/ajdfr.DR-240","ISSN":"09760563","abstract":"Background: Olive leaves are of great interest, especially in traditional medicine. The polyphenols contained in olive leaves play an important role in this respect, as they have anti-carcinogenic, anti-inflammatory and anti-microbial properties. Olive leaves share phenolic compounds with other plants, but they also contain phenolic compounds belonging to the Oleaceae family. Methods: We report the determination of phenolic compounds in olive leaves by HPLC and the evaluation of their in vitro activity against several microorganisms that may be causal agents of human intestinal and respiratory tract infections, Staphylococcus aureus, Bacillus cereus, Escherichia coli, Pseudomonas aeruginosa, Klebsiella pneumonia, Enterobacter cloacae, Proteus mirabilis and Salmonella typhimurium. Result: The results reveal that the olive leaves may constitute a good source of antimicrobial agents. The high performance liquid chromatography (HPLC) analysis showed the presence of five phenolic compounds: oleuropein, ascorbic acid, rutin, catechinand verbascoside and for the first time ascorbic acid. At low concentrations, olive leaf extracts showed an unusual antibacterial action, which suggests their great potential as nutraceuticals, particularly as a source of phenolic compounds.","author":[{"dropping-particle":"","family":"Bensehaila","given":"S.","non-dropping-particle":"","parse-names":false,"suffix":""},{"dropping-particle":"","family":"Ilias","given":"F.","non-dropping-particle":"","parse-names":false,"suffix":""},{"dropping-particle":"","family":"Saadi","given":"F.","non-dropping-particle":"","parse-names":false,"suffix":""},{"dropping-particle":"","family":"Zaouadi","given":"N.","non-dropping-particle":"","parse-names":false,"suffix":""}],"container-title":"Asian Journal of Dairy and Food Research","id":"ITEM-2","issue":"2","issued":{"date-parts":[["2022"]]},"page":"237-241","title":"Phenolic Compounds and Antimicrobial Activity of Olive (Olea europaea L.) Leaves","type":"article-journal","volume":"41"},"uris":["http://www.mendeley.com/documents/?uuid=10f4e327-b47e-4e2d-807b-d6cb18c271d0"]},{"id":"ITEM-3","itemData":{"DOI":"10.1016/j.jfda.2016.04.001","ISSN":"10219498","PMID":"28911677","abstract":"The antioxidant and antibacterial activities of phenolic compounds from cultivated and wild Tunisian Ruta chalepensis L. leaves, stems, and flowers were assessed. The leaves and the flowers exhibited high but similar total polyphenol, flavonoid, and tannin content. Moreover, two organs showed strong, although not significantly different, total antioxidant activity, 2,2-diphenyl-1-picrylhydrazyl scavenging ability, and reducing power. Investigation of the phenolic composition showed that vanillic acid and coumarin were the major compounds in the two organs, with higher percentages in the cultivated organs than in the spontaneous organs. Furthermore, R. chalepensis extracts showed marked antibacterial properties against human pathogen strains, and the activity was organ- and origin-dependent. Spontaneous stems had the strongest activity against Pseudomonas aeruginosa. From these results, it was concluded that domestication of Ruta did not significantly affect its chemical composition and consequently the possibility of using R. chalpensis organs as a potential source of natural antioxidants and as an antimicrobial agent in the food industry.","author":[{"dropping-particle":"","family":"Ouerghemmi","given":"Ines","non-dropping-particle":"","parse-names":false,"suffix":""},{"dropping-particle":"","family":"Bettaieb Rebey","given":"Iness","non-dropping-particle":"","parse-names":false,"suffix":""},{"dropping-particle":"","family":"Rahali","given":"Fatma Zohra","non-dropping-particle":"","parse-names":false,"suffix":""},{"dropping-particle":"","family":"Bourgou","given":"Soumaya","non-dropping-particle":"","parse-names":false,"suffix":""},{"dropping-particle":"","family":"Pistelli","given":"Luisa","non-dropping-particle":"","parse-names":false,"suffix":""},{"dropping-particle":"","family":"Ksouri","given":"Riadh","non-dropping-particle":"","parse-names":false,"suffix":""},{"dropping-particle":"","family":"Marzouk","given":"Brahim","non-dropping-particle":"","parse-names":false,"suffix":""},{"dropping-particle":"","family":"Saidani Tounsi","given":"Moufida","non-dropping-particle":"","parse-names":false,"suffix":""}],"container-title":"Journal of Food and Drug Analysis","id":"ITEM-3","issue":"2","issued":{"date-parts":[["2017"]]},"page":"350-359","publisher":"Elsevier Ltd","title":"Antioxidant and antimicrobial phenolic compounds from extracts of cultivated and wild-grown Tunisian Ruta chalepensis","type":"article-journal","volume":"25"},"uris":["http://www.mendeley.com/documents/?uuid=9238ecdf-f320-4be2-ae5a-2ddd9c8e16ff"]}],"mendeley":{"formattedCitation":"(Bensehaila, Ilias, Saadi, &amp; Zaouadi, 2022; Lima et al., 2019; Ouerghemmi et al., 2017)","plainTextFormattedCitation":"(Bensehaila, Ilias, Saadi, &amp; Zaouadi, 2022; Lima et al., 2019; Ouerghemmi et al., 2017)","previouslyFormattedCitation":"(Bensehaila, Ilias, Saadi, &amp; Zaouadi, 2022; Lima et al., 2019; Ouerghemmi et al., 2017)"},"properties":{"noteIndex":0},"schema":"https://github.com/citation-style-language/schema/raw/master/csl-citation.json"}</w:instrText>
      </w:r>
      <w:r w:rsidR="00586C22">
        <w:rPr>
          <w:lang w:eastAsia="es-CR"/>
        </w:rPr>
        <w:fldChar w:fldCharType="separate"/>
      </w:r>
      <w:r w:rsidR="00586C22" w:rsidRPr="00586C22">
        <w:rPr>
          <w:noProof/>
          <w:lang w:eastAsia="es-CR"/>
        </w:rPr>
        <w:t>(Bensehaila, Ilias, Saadi, &amp; Zaouadi, 2022; Lima et al., 2019; Ouerghemmi et al., 2017)</w:t>
      </w:r>
      <w:r w:rsidR="00586C22">
        <w:rPr>
          <w:lang w:eastAsia="es-CR"/>
        </w:rPr>
        <w:fldChar w:fldCharType="end"/>
      </w:r>
      <w:r w:rsidR="009D5021">
        <w:rPr>
          <w:lang w:eastAsia="es-CR"/>
        </w:rPr>
        <w:t xml:space="preserve"> e inclusive se han aislado compuestos fenólicos</w:t>
      </w:r>
      <w:r w:rsidR="00755C12">
        <w:rPr>
          <w:lang w:eastAsia="es-CR"/>
        </w:rPr>
        <w:t xml:space="preserve"> con actividad antimicrobiana de</w:t>
      </w:r>
      <w:r w:rsidR="009D5021">
        <w:rPr>
          <w:lang w:eastAsia="es-CR"/>
        </w:rPr>
        <w:t xml:space="preserve"> </w:t>
      </w:r>
      <w:r w:rsidR="009D5021" w:rsidRPr="00755C12">
        <w:rPr>
          <w:i/>
          <w:iCs/>
          <w:lang w:eastAsia="es-CR"/>
        </w:rPr>
        <w:t>Aspergillus</w:t>
      </w:r>
      <w:r w:rsidR="00755C12" w:rsidRPr="00755C12">
        <w:rPr>
          <w:i/>
          <w:iCs/>
          <w:lang w:eastAsia="es-CR"/>
        </w:rPr>
        <w:t xml:space="preserve"> fumigatus</w:t>
      </w:r>
      <w:r w:rsidR="009D5021">
        <w:rPr>
          <w:lang w:eastAsia="es-CR"/>
        </w:rPr>
        <w:t xml:space="preserve"> </w:t>
      </w:r>
      <w:r w:rsidR="006436B1">
        <w:rPr>
          <w:lang w:eastAsia="es-CR"/>
        </w:rPr>
        <w:fldChar w:fldCharType="begin" w:fldLock="1"/>
      </w:r>
      <w:r w:rsidR="00482473">
        <w:rPr>
          <w:lang w:eastAsia="es-CR"/>
        </w:rPr>
        <w:instrText>ADDIN CSL_CITATION {"citationItems":[{"id":"ITEM-1","itemData":{"DOI":"10.3390/microorganisms11030590","ISSN":"20762607","abstract":"Fungi produce numerous secondary metabolites with intriguing biological properties for the health, industrial, and agricultural sectors. Herein, we report the high-yield isolation of phenolic natural products, N-formyl-4-hydroxyphenyl-acetamide 1 (~117 mg/L) and atraric acid 2 (~18 mg/L), from the ethyl acetate extract of the soil-derived fungus, Aspergillus fumigatus. The structures of compounds 1 and 2 were elucidated through the detailed spectroscopic analysis of NMR and LCMS data. These compounds were assayed for their antimicrobial activities. It was observed that compounds 1 and 2 exhibited strong inhibition against a series of fungal strains but only weak antibacterial properties against multi-drug-resistant strains. More significantly, this is the first known instance of the isolation of atraric acid 2 from a non-lichen fungal strain. We suggest the optimization of this fungal strain may exhibit elevated production of compounds 1 and 2, potentially rendering it a valuable source for the industrial-scale production of these natural antimicrobial compounds. Further investigation is necessary to establish the veracity of this hypothesis.","author":[{"dropping-particle":"","family":"Gill","given":"Harman","non-dropping-particle":"","parse-names":false,"suffix":""},{"dropping-particle":"","family":"Sykes","given":"Ellen M. E.","non-dropping-particle":"","parse-names":false,"suffix":""},{"dropping-particle":"","family":"Kumar","given":"Ayush","non-dropping-particle":"","parse-names":false,"suffix":""},{"dropping-particle":"","family":"Sorensen","given":"John L.","non-dropping-particle":"","parse-names":false,"suffix":""}],"container-title":"Microorganisms","id":"ITEM-1","issue":"3","issued":{"date-parts":[["2023"]]},"page":"590","title":"Isolation of Bioactive Metabolites from Soil Derived Fungus-Aspergillus fumigatus","type":"article-journal","volume":"11"},"uris":["http://www.mendeley.com/documents/?uuid=9d73b25b-5e23-4240-bfa5-45ca0080b190"]}],"mendeley":{"formattedCitation":"(Gill et al., 2023)","plainTextFormattedCitation":"(Gill et al., 2023)","previouslyFormattedCitation":"(Gill et al., 2023)"},"properties":{"noteIndex":0},"schema":"https://github.com/citation-style-language/schema/raw/master/csl-citation.json"}</w:instrText>
      </w:r>
      <w:r w:rsidR="006436B1">
        <w:rPr>
          <w:lang w:eastAsia="es-CR"/>
        </w:rPr>
        <w:fldChar w:fldCharType="separate"/>
      </w:r>
      <w:r w:rsidR="006436B1" w:rsidRPr="006436B1">
        <w:rPr>
          <w:noProof/>
          <w:lang w:eastAsia="es-CR"/>
        </w:rPr>
        <w:t>(Gill et al., 2023)</w:t>
      </w:r>
      <w:r w:rsidR="006436B1">
        <w:rPr>
          <w:lang w:eastAsia="es-CR"/>
        </w:rPr>
        <w:fldChar w:fldCharType="end"/>
      </w:r>
      <w:r w:rsidR="00755C12">
        <w:rPr>
          <w:lang w:eastAsia="es-CR"/>
        </w:rPr>
        <w:t>.</w:t>
      </w:r>
    </w:p>
    <w:p w14:paraId="1BFCF12B" w14:textId="770DC915" w:rsidR="00AB0638" w:rsidRDefault="00813E54" w:rsidP="00AB0638">
      <w:pPr>
        <w:spacing w:after="0"/>
        <w:ind w:firstLine="708"/>
        <w:rPr>
          <w:lang w:eastAsia="es-CR"/>
        </w:rPr>
      </w:pPr>
      <w:r>
        <w:rPr>
          <w:lang w:eastAsia="es-CR"/>
        </w:rPr>
        <w:t xml:space="preserve">Continuando </w:t>
      </w:r>
      <w:r w:rsidR="00C326BD">
        <w:rPr>
          <w:lang w:eastAsia="es-CR"/>
        </w:rPr>
        <w:t>con este punto</w:t>
      </w:r>
      <w:r w:rsidR="00755C12">
        <w:rPr>
          <w:lang w:eastAsia="es-CR"/>
        </w:rPr>
        <w:t xml:space="preserve">, </w:t>
      </w:r>
      <w:r w:rsidR="00315AE1">
        <w:rPr>
          <w:lang w:eastAsia="es-CR"/>
        </w:rPr>
        <w:t xml:space="preserve">moléculas dentro de la </w:t>
      </w:r>
      <w:r w:rsidR="002726D3">
        <w:rPr>
          <w:lang w:eastAsia="es-CR"/>
        </w:rPr>
        <w:t>familia de los taninos han sido foco de investigación por su actividad antimicrobiana</w:t>
      </w:r>
      <w:r w:rsidR="00657689">
        <w:rPr>
          <w:lang w:eastAsia="es-CR"/>
        </w:rPr>
        <w:t xml:space="preserve"> </w:t>
      </w:r>
      <w:r w:rsidR="002726D3">
        <w:rPr>
          <w:lang w:eastAsia="es-CR"/>
        </w:rPr>
        <w:t xml:space="preserve">décadas atrás, </w:t>
      </w:r>
      <w:r w:rsidR="00482473">
        <w:rPr>
          <w:lang w:eastAsia="es-CR"/>
        </w:rPr>
        <w:t xml:space="preserve">desde el año 1991 </w:t>
      </w:r>
      <w:r w:rsidR="00482473">
        <w:rPr>
          <w:lang w:eastAsia="es-CR"/>
        </w:rPr>
        <w:fldChar w:fldCharType="begin" w:fldLock="1"/>
      </w:r>
      <w:r w:rsidR="00557EC0">
        <w:rPr>
          <w:lang w:eastAsia="es-CR"/>
        </w:rPr>
        <w:instrText>ADDIN CSL_CITATION {"citationItems":[{"id":"ITEM-1","itemData":{"DOI":"10.1016/0031-9422(91)83426-L","ISSN":"00319422","abstract":"Tannin toxicity for fungi, bacteria and yeasts is reviewed and compared to toxicity of related lower molecular weight phenols. The dependence of toxicity on tannin structure is examined. The different mechanisms proposed so far to explain tannin antimicrobial activity include inhibition of extracellular microbial enzymes, deprivation of the substrates required for microbial growth or direct action on microbial metabolism through inhibition of oxidative phosphorylation. A further mechanism involving iron deprivation is proposed. Many microorganisms can overcome plant defences based on tannins. They may detoxify tannins through synthesis of tannin- complexing polymers, oxidation, tannin biodegradation or synthesis of siderophores. © 1992.","author":[{"dropping-particle":"","family":"Scalbert","given":"Augustin","non-dropping-particle":"","parse-names":false,"suffix":""}],"container-title":"Phytochemistry","id":"ITEM-1","issue":"12","issued":{"date-parts":[["1991"]]},"page":"3875-3883","title":"Antimicrobial properties of tannins","type":"article-journal","volume":"30"},"uris":["http://www.mendeley.com/documents/?uuid=77c72b61-6224-449c-a61d-afdd3b7be46e"]}],"mendeley":{"formattedCitation":"(Scalbert, 1991)","manualFormatting":"Scalbert","plainTextFormattedCitation":"(Scalbert, 1991)","previouslyFormattedCitation":"(Scalbert, 1991)"},"properties":{"noteIndex":0},"schema":"https://github.com/citation-style-language/schema/raw/master/csl-citation.json"}</w:instrText>
      </w:r>
      <w:r w:rsidR="00482473">
        <w:rPr>
          <w:lang w:eastAsia="es-CR"/>
        </w:rPr>
        <w:fldChar w:fldCharType="separate"/>
      </w:r>
      <w:r w:rsidR="00482473" w:rsidRPr="00482473">
        <w:rPr>
          <w:noProof/>
          <w:lang w:eastAsia="es-CR"/>
        </w:rPr>
        <w:t>Scalbert</w:t>
      </w:r>
      <w:r w:rsidR="00482473">
        <w:rPr>
          <w:lang w:eastAsia="es-CR"/>
        </w:rPr>
        <w:fldChar w:fldCharType="end"/>
      </w:r>
      <w:r w:rsidR="002A7DEB">
        <w:rPr>
          <w:lang w:eastAsia="es-CR"/>
        </w:rPr>
        <w:t xml:space="preserve"> realizó una descripción de la actividad de </w:t>
      </w:r>
      <w:r w:rsidR="002B7CC8">
        <w:rPr>
          <w:lang w:eastAsia="es-CR"/>
        </w:rPr>
        <w:t>taninos contra hongos, bacterias y levaduras</w:t>
      </w:r>
      <w:r w:rsidR="009F242B">
        <w:rPr>
          <w:lang w:eastAsia="es-CR"/>
        </w:rPr>
        <w:t xml:space="preserve">, </w:t>
      </w:r>
      <w:r w:rsidR="00007032">
        <w:rPr>
          <w:lang w:eastAsia="es-CR"/>
        </w:rPr>
        <w:t>exploraciones</w:t>
      </w:r>
      <w:r w:rsidR="009F242B">
        <w:rPr>
          <w:lang w:eastAsia="es-CR"/>
        </w:rPr>
        <w:t xml:space="preserve"> que </w:t>
      </w:r>
      <w:r w:rsidR="00E57234">
        <w:rPr>
          <w:lang w:eastAsia="es-CR"/>
        </w:rPr>
        <w:t xml:space="preserve">han continuado </w:t>
      </w:r>
      <w:r w:rsidR="00557EC0">
        <w:rPr>
          <w:lang w:eastAsia="es-CR"/>
        </w:rPr>
        <w:t xml:space="preserve">de la mano de otros investigadores con el paso de los años </w:t>
      </w:r>
      <w:r w:rsidR="00557EC0">
        <w:rPr>
          <w:lang w:eastAsia="es-CR"/>
        </w:rPr>
        <w:fldChar w:fldCharType="begin" w:fldLock="1"/>
      </w:r>
      <w:r w:rsidR="00DB33FE">
        <w:rPr>
          <w:lang w:eastAsia="es-CR"/>
        </w:rPr>
        <w:instrText>ADDIN CSL_CITATION {"citationItems":[{"id":"ITEM-1","itemData":{"ISSN":"18164978","abstract":"In the present study, tannin content was investigated in three Sudanese sorghum cultivars. In addition, the inhibitory effect of natural tannins isolated from sorghum grains as well as that of commercial tannins was detected against Escherichia coli, Staphylococcus aureus, Salmonella typhimurium (bacteria), Aspergillus niger, Aspergillus flavous (mould) and Saccharumyces cerivisae (yeast). The results indicated that natural tannin from sorghum has a notable antimicrobial activity against most of the examined microorganisms, the higher antimicrobial activity among all examined organisms was found against Salmonella typhymurium and Saccharomyces cerivisae. The results also indicated that commercial tannins are more effective than natural tannins. This study has shown the importance of commercial tannins and sorghum tannins as antimicrobial and preservative agents. © 2007 Academic Journals.","author":[{"dropping-particle":"","family":"Sulieman","given":"Abdel Moneim E.","non-dropping-particle":"","parse-names":false,"suffix":""},{"dropping-particle":"","family":"Issa","given":"Fatima M.","non-dropping-particle":"","parse-names":false,"suffix":""},{"dropping-particle":"","family":"Elkhalifa","given":"Elamin A.","non-dropping-particle":"","parse-names":false,"suffix":""}],"container-title":"Research Journal of Microbiology","id":"ITEM-1","issue":"3","issued":{"date-parts":[["2007"]]},"page":"284-288","title":"Quantitative determination of tannin content in some sorghum cultivars and evaluation of its antimicrobial activity","type":"article-journal","volume":"2"},"uris":["http://www.mendeley.com/documents/?uuid=f70217fb-7fce-4cb3-bc49-5f18823c7c6b"]}],"mendeley":{"formattedCitation":"(Sulieman, Issa, &amp; Elkhalifa, 2007)","plainTextFormattedCitation":"(Sulieman, Issa, &amp; Elkhalifa, 2007)","previouslyFormattedCitation":"(Sulieman, Issa, &amp; Elkhalifa, 2007)"},"properties":{"noteIndex":0},"schema":"https://github.com/citation-style-language/schema/raw/master/csl-citation.json"}</w:instrText>
      </w:r>
      <w:r w:rsidR="00557EC0">
        <w:rPr>
          <w:lang w:eastAsia="es-CR"/>
        </w:rPr>
        <w:fldChar w:fldCharType="separate"/>
      </w:r>
      <w:r w:rsidR="00557EC0" w:rsidRPr="00557EC0">
        <w:rPr>
          <w:noProof/>
          <w:lang w:eastAsia="es-CR"/>
        </w:rPr>
        <w:t>(Sulieman, Issa, &amp; Elkhalifa, 2007)</w:t>
      </w:r>
      <w:r w:rsidR="00557EC0">
        <w:rPr>
          <w:lang w:eastAsia="es-CR"/>
        </w:rPr>
        <w:fldChar w:fldCharType="end"/>
      </w:r>
      <w:r w:rsidR="009B6662">
        <w:rPr>
          <w:lang w:eastAsia="es-CR"/>
        </w:rPr>
        <w:t>. Finalmente</w:t>
      </w:r>
      <w:r w:rsidR="002B5EC7">
        <w:rPr>
          <w:lang w:eastAsia="es-CR"/>
        </w:rPr>
        <w:t xml:space="preserve">, las antraquinonas también han mostrado amplia actividad antimicrobiana </w:t>
      </w:r>
      <w:r w:rsidR="00B85BBB">
        <w:rPr>
          <w:lang w:eastAsia="es-CR"/>
        </w:rPr>
        <w:t>contra microorganismos patógenos</w:t>
      </w:r>
      <w:r w:rsidR="00FA0ADD">
        <w:rPr>
          <w:lang w:eastAsia="es-CR"/>
        </w:rPr>
        <w:t xml:space="preserve"> </w:t>
      </w:r>
      <w:r w:rsidR="00DB33FE">
        <w:rPr>
          <w:lang w:eastAsia="es-CR"/>
        </w:rPr>
        <w:fldChar w:fldCharType="begin" w:fldLock="1"/>
      </w:r>
      <w:r w:rsidR="00575314">
        <w:rPr>
          <w:lang w:eastAsia="es-CR"/>
        </w:rPr>
        <w:instrText>ADDIN CSL_CITATION {"citationItems":[{"id":"ITEM-1","itemData":{"DOI":"10.1016/j.jphotobiol.2010.09.009","ISSN":"1011-1344","author":[{"dropping-particle":"","family":"Comini","given":"L R","non-dropping-particle":"","parse-names":false,"suffix":""},{"dropping-particle":"","family":"Montoya","given":"S C Núñez","non-dropping-particle":"","parse-names":false,"suffix":""},{"dropping-particle":"","family":"Páez","given":"P L","non-dropping-particle":"","parse-names":false,"suffix":""},{"dropping-particle":"","family":"Argüello","given":"Gustavo A","non-dropping-particle":"","parse-names":false,"suffix":""},{"dropping-particle":"","family":"Albesa","given":"I","non-dropping-particle":"","parse-names":false,"suffix":""},{"dropping-particle":"","family":"Cabrera","given":"J L","non-dropping-particle":"","parse-names":false,"suffix":""}],"container-title":"Journal of Photochemistry &amp; Photobiology, B: Biology","id":"ITEM-1","issue":"2","issued":{"date-parts":[["2011"]]},"page":"108-114","publisher":"Elsevier B.V.","title":"Antibacterial activity of anthraquinone derivatives from Heterophyllaea pustulata (Rubiaceae)","type":"article-journal","volume":"102"},"uris":["http://www.mendeley.com/documents/?uuid=888c5cec-0bb1-47d7-a9c8-707e4002b7ec"]},{"id":"ITEM-2","itemData":{"DOI":"10.1186/s12866-017-0954-1","author":[{"dropping-particle":"","family":"Kemegne","given":"Gislaine Aurelie","non-dropping-particle":"","parse-names":false,"suffix":""},{"dropping-particle":"","family":"Mkounga","given":"Pierre","non-dropping-particle":"","parse-names":false,"suffix":""},{"dropping-particle":"","family":"Justin","given":"Jean","non-dropping-particle":"","parse-names":false,"suffix":""},{"dropping-particle":"","family":"Ngang","given":"Essia","non-dropping-particle":"","parse-names":false,"suffix":""},{"dropping-particle":"","family":"Leroy","given":"Sylvain","non-dropping-particle":"","parse-names":false,"suffix":""},{"dropping-particle":"","family":"Kamdem","given":"Sado","non-dropping-particle":"","parse-names":false,"suffix":""},{"dropping-particle":"","family":"Nkengfack","given":"Augustin Ephrem","non-dropping-particle":"","parse-names":false,"suffix":""}],"id":"ITEM-2","issued":{"date-parts":[["2017"]]},"page":"1-8","publisher":"BMC Microbiology","title":"Antimicrobial structure activity relationship of five anthraquinones of emodine type isolated from Vismia laurentii","type":"article-journal"},"uris":["http://www.mendeley.com/documents/?uuid=eb74a7b7-0074-43ed-8f50-87d6042c85aa"]}],"mendeley":{"formattedCitation":"(Comini et al., 2011; Kemegne et al., 2017)","plainTextFormattedCitation":"(Comini et al., 2011; Kemegne et al., 2017)","previouslyFormattedCitation":"(Comini et al., 2011; Kemegne et al., 2017)"},"properties":{"noteIndex":0},"schema":"https://github.com/citation-style-language/schema/raw/master/csl-citation.json"}</w:instrText>
      </w:r>
      <w:r w:rsidR="00DB33FE">
        <w:rPr>
          <w:lang w:eastAsia="es-CR"/>
        </w:rPr>
        <w:fldChar w:fldCharType="separate"/>
      </w:r>
      <w:r w:rsidR="00DC5A8D" w:rsidRPr="00DC5A8D">
        <w:rPr>
          <w:noProof/>
          <w:lang w:eastAsia="es-CR"/>
        </w:rPr>
        <w:t>(Comini et al., 2011; Kemegne et al., 2017)</w:t>
      </w:r>
      <w:r w:rsidR="00DB33FE">
        <w:rPr>
          <w:lang w:eastAsia="es-CR"/>
        </w:rPr>
        <w:fldChar w:fldCharType="end"/>
      </w:r>
      <w:r w:rsidR="00511CC6">
        <w:rPr>
          <w:lang w:eastAsia="es-CR"/>
        </w:rPr>
        <w:t xml:space="preserve"> </w:t>
      </w:r>
      <w:r w:rsidR="00A10F26">
        <w:rPr>
          <w:lang w:eastAsia="es-CR"/>
        </w:rPr>
        <w:t>e inclusive</w:t>
      </w:r>
      <w:r w:rsidR="00511CC6">
        <w:rPr>
          <w:lang w:eastAsia="es-CR"/>
        </w:rPr>
        <w:t xml:space="preserve"> se han utilizado como base para sintetizar conjugados </w:t>
      </w:r>
      <w:r w:rsidR="00575314">
        <w:rPr>
          <w:lang w:eastAsia="es-CR"/>
        </w:rPr>
        <w:t xml:space="preserve">como antibióticos de uso clínico </w:t>
      </w:r>
      <w:r w:rsidR="00575314">
        <w:rPr>
          <w:lang w:eastAsia="es-CR"/>
        </w:rPr>
        <w:fldChar w:fldCharType="begin" w:fldLock="1"/>
      </w:r>
      <w:r w:rsidR="00C94DFE">
        <w:rPr>
          <w:lang w:eastAsia="es-CR"/>
        </w:rPr>
        <w:instrText>ADDIN CSL_CITATION {"citationItems":[{"id":"ITEM-1","itemData":{"DOI":"10.1021/acsinfecdis.6b00176","author":[{"dropping-particle":"","family":"Degtyareva","given":"Natalya N","non-dropping-particle":"","parse-names":false,"suffix":""},{"dropping-particle":"","family":"Gong","given":"Changjun","non-dropping-particle":"","parse-names":false,"suffix":""},{"dropping-particle":"","family":"Story","given":"Sandra","non-dropping-particle":"","parse-names":false,"suffix":""},{"dropping-particle":"","family":"Levinson","given":"Nathanael","non-dropping-particle":"","parse-names":false,"suffix":""},{"dropping-particle":"","family":"Oyelere","given":"Adegboyega K","non-dropping-particle":"","parse-names":false,"suffix":""},{"dropping-particle":"","family":"Green","given":"Keith D","non-dropping-particle":"","parse-names":false,"suffix":""},{"dropping-particle":"","family":"Garneau-tsodikova","given":"Sylvie","non-dropping-particle":"","parse-names":false,"suffix":""},{"dropping-particle":"","family":"Arya","given":"Dev Priya","non-dropping-particle":"","parse-names":false,"suffix":""}],"id":"ITEM-1","issued":{"date-parts":[["2017"]]},"title":"Antimicrobial Activity , AME Resistance and Translation Inhibition Studies of Anthraquinone-Neomycin Conjugates","type":"article-journal"},"uris":["http://www.mendeley.com/documents/?uuid=4a068fc1-2360-4162-b4fd-a0d048d0c201"]}],"mendeley":{"formattedCitation":"(Degtyareva et al., 2017)","plainTextFormattedCitation":"(Degtyareva et al., 2017)","previouslyFormattedCitation":"(Degtyareva et al., 2017)"},"properties":{"noteIndex":0},"schema":"https://github.com/citation-style-language/schema/raw/master/csl-citation.json"}</w:instrText>
      </w:r>
      <w:r w:rsidR="00575314">
        <w:rPr>
          <w:lang w:eastAsia="es-CR"/>
        </w:rPr>
        <w:fldChar w:fldCharType="separate"/>
      </w:r>
      <w:r w:rsidR="00575314" w:rsidRPr="00575314">
        <w:rPr>
          <w:noProof/>
          <w:lang w:eastAsia="es-CR"/>
        </w:rPr>
        <w:t>(Degtyareva et al., 2017)</w:t>
      </w:r>
      <w:r w:rsidR="00575314">
        <w:rPr>
          <w:lang w:eastAsia="es-CR"/>
        </w:rPr>
        <w:fldChar w:fldCharType="end"/>
      </w:r>
      <w:r w:rsidR="00633EEE">
        <w:rPr>
          <w:lang w:eastAsia="es-CR"/>
        </w:rPr>
        <w:t>.</w:t>
      </w:r>
      <w:r w:rsidR="00FF7FCF">
        <w:rPr>
          <w:lang w:eastAsia="es-CR"/>
        </w:rPr>
        <w:t xml:space="preserve"> </w:t>
      </w:r>
      <w:r w:rsidR="00A10F26">
        <w:rPr>
          <w:lang w:eastAsia="es-CR"/>
        </w:rPr>
        <w:t>Sin embargo, a</w:t>
      </w:r>
      <w:r w:rsidR="00FF7FCF">
        <w:rPr>
          <w:lang w:eastAsia="es-CR"/>
        </w:rPr>
        <w:t xml:space="preserve"> pesar de que esta información sugiera que </w:t>
      </w:r>
      <w:r w:rsidR="00EE0DF4">
        <w:rPr>
          <w:lang w:eastAsia="es-CR"/>
        </w:rPr>
        <w:t xml:space="preserve">las moléculas </w:t>
      </w:r>
      <w:r w:rsidR="00EE0DF4">
        <w:rPr>
          <w:lang w:eastAsia="es-CR"/>
        </w:rPr>
        <w:lastRenderedPageBreak/>
        <w:t>con actividad antimicrobiana</w:t>
      </w:r>
      <w:r w:rsidR="00FF7FCF">
        <w:rPr>
          <w:lang w:eastAsia="es-CR"/>
        </w:rPr>
        <w:t xml:space="preserve"> </w:t>
      </w:r>
      <w:r w:rsidR="002F7C67">
        <w:rPr>
          <w:lang w:eastAsia="es-CR"/>
        </w:rPr>
        <w:t xml:space="preserve">detectadas en esta investigación y que son </w:t>
      </w:r>
      <w:r w:rsidR="000A7C60">
        <w:rPr>
          <w:lang w:eastAsia="es-CR"/>
        </w:rPr>
        <w:t xml:space="preserve">producidos por los hongos marinos pertenezcan a estas familias de </w:t>
      </w:r>
      <w:r w:rsidR="00EE0DF4">
        <w:rPr>
          <w:lang w:eastAsia="es-CR"/>
        </w:rPr>
        <w:t xml:space="preserve">compuestos, </w:t>
      </w:r>
      <w:r w:rsidR="00EE0DF4" w:rsidRPr="00EE0DF4">
        <w:rPr>
          <w:lang w:eastAsia="es-CR"/>
        </w:rPr>
        <w:t>es importante realizar estudios adicionales para caracterizar en detalle los compuestos presentes en nuestros extractos y evaluar su actividad antimicrobiana de manera individual.</w:t>
      </w:r>
    </w:p>
    <w:p w14:paraId="02BE38B7" w14:textId="77777777" w:rsidR="00AB0638" w:rsidRDefault="00AB0638" w:rsidP="00AB0638">
      <w:pPr>
        <w:spacing w:after="0"/>
        <w:ind w:firstLine="708"/>
        <w:rPr>
          <w:lang w:eastAsia="es-CR"/>
        </w:rPr>
      </w:pPr>
    </w:p>
    <w:p w14:paraId="3C0098E0" w14:textId="7F7456E4" w:rsidR="00095536" w:rsidRDefault="00D2144C" w:rsidP="00874997">
      <w:pPr>
        <w:pStyle w:val="Titulo20"/>
        <w:numPr>
          <w:ilvl w:val="1"/>
          <w:numId w:val="19"/>
        </w:numPr>
        <w:spacing w:after="0"/>
        <w:rPr>
          <w:lang w:eastAsia="es-CR"/>
        </w:rPr>
      </w:pPr>
      <w:bookmarkStart w:id="138" w:name="_Toc140204091"/>
      <w:r w:rsidRPr="007F11D5">
        <w:rPr>
          <w:lang w:eastAsia="es-CR"/>
        </w:rPr>
        <w:t>Purificación e identificación parcial de las fracciones</w:t>
      </w:r>
      <w:bookmarkEnd w:id="138"/>
      <w:r w:rsidRPr="007F11D5">
        <w:rPr>
          <w:lang w:eastAsia="es-CR"/>
        </w:rPr>
        <w:t xml:space="preserve"> </w:t>
      </w:r>
      <w:r>
        <w:rPr>
          <w:lang w:eastAsia="es-CR"/>
        </w:rPr>
        <w:t xml:space="preserve"> </w:t>
      </w:r>
    </w:p>
    <w:p w14:paraId="31039BA2" w14:textId="046DCBEA" w:rsidR="00AF2D82" w:rsidRDefault="00CA38CB" w:rsidP="00B608A2">
      <w:pPr>
        <w:rPr>
          <w:lang w:eastAsia="es-CR"/>
        </w:rPr>
      </w:pPr>
      <w:r>
        <w:rPr>
          <w:lang w:eastAsia="es-CR"/>
        </w:rPr>
        <w:tab/>
      </w:r>
      <w:r w:rsidR="002F7EA2" w:rsidRPr="003504F4">
        <w:rPr>
          <w:rFonts w:cs="Times New Roman"/>
          <w:szCs w:val="24"/>
        </w:rPr>
        <w:t>No se puede descartar que alguno de los picos</w:t>
      </w:r>
      <w:r w:rsidR="002F7EA2">
        <w:rPr>
          <w:rFonts w:cs="Times New Roman"/>
          <w:szCs w:val="24"/>
        </w:rPr>
        <w:t xml:space="preserve"> de absorbancia</w:t>
      </w:r>
      <w:r w:rsidR="002F7EA2" w:rsidRPr="003504F4">
        <w:rPr>
          <w:rFonts w:cs="Times New Roman"/>
          <w:szCs w:val="24"/>
        </w:rPr>
        <w:t xml:space="preserve"> observados en las corridas</w:t>
      </w:r>
      <w:r w:rsidR="002F7EA2">
        <w:rPr>
          <w:rFonts w:cs="Times New Roman"/>
          <w:szCs w:val="24"/>
        </w:rPr>
        <w:t xml:space="preserve"> cromatográficas</w:t>
      </w:r>
      <w:r w:rsidR="002F7EA2" w:rsidRPr="003504F4">
        <w:rPr>
          <w:rFonts w:cs="Times New Roman"/>
          <w:szCs w:val="24"/>
        </w:rPr>
        <w:t xml:space="preserve"> que no mostraron posterior actividad en placa fueran los responsables de la actividad antimicrobiana</w:t>
      </w:r>
      <w:r w:rsidR="002F7EA2">
        <w:rPr>
          <w:rFonts w:cs="Times New Roman"/>
          <w:szCs w:val="24"/>
        </w:rPr>
        <w:t xml:space="preserve"> previamente detectada en los extractos crudos</w:t>
      </w:r>
      <w:r w:rsidR="002F7EA2" w:rsidRPr="003504F4">
        <w:rPr>
          <w:rFonts w:cs="Times New Roman"/>
          <w:szCs w:val="24"/>
        </w:rPr>
        <w:t xml:space="preserve">, ya que existen factores involucrados en el fraccionamiento que implican eliminar las condiciones con las que se trabajaron los extractos en el inicio. Uno de ellos puede ser el contacto de los metabolitos con el acetonitrilo, lo que podría provocar cambios estructurales o interacciones moleculares que afecten la actividad. Asimismo, </w:t>
      </w:r>
      <w:r w:rsidR="002F7EA2">
        <w:rPr>
          <w:rFonts w:cs="Times New Roman"/>
          <w:szCs w:val="24"/>
        </w:rPr>
        <w:t>el tratamiento térmico aplicado para concentrar</w:t>
      </w:r>
      <w:r w:rsidR="002F7EA2" w:rsidRPr="003504F4">
        <w:rPr>
          <w:rFonts w:cs="Times New Roman"/>
          <w:szCs w:val="24"/>
        </w:rPr>
        <w:t xml:space="preserve"> las fracciones del extracto también puede ser un factor que considerar. </w:t>
      </w:r>
      <w:r w:rsidR="002F7EA2" w:rsidRPr="00BD55BB">
        <w:rPr>
          <w:rFonts w:cs="Times New Roman"/>
          <w:szCs w:val="24"/>
        </w:rPr>
        <w:t xml:space="preserve">Esto se deduce en el caso específico de los extractos de </w:t>
      </w:r>
      <w:r w:rsidR="002F7EA2" w:rsidRPr="00BD55BB">
        <w:rPr>
          <w:rFonts w:cs="Times New Roman"/>
          <w:i/>
          <w:iCs/>
          <w:szCs w:val="24"/>
        </w:rPr>
        <w:t>Aspergillus sp</w:t>
      </w:r>
      <w:r w:rsidR="002F7EA2" w:rsidRPr="00BD55BB">
        <w:rPr>
          <w:rFonts w:cs="Times New Roman"/>
          <w:szCs w:val="24"/>
        </w:rPr>
        <w:t>., donde la actividad antimicrobiana era observable antes y después del fraccionamiento, pero no después de la concentración. Esto sugiere que las moléculas responsables de la actividad antimicrobiana podrían ser termolábiles y perdieron su actividad durante el proceso de concentración o también que producto del concentrado dichas moléculas pudieron agregar afectando su actividad biológica.</w:t>
      </w:r>
    </w:p>
    <w:p w14:paraId="588BDB4F" w14:textId="224314DC" w:rsidR="00016F59" w:rsidRDefault="009B4B38" w:rsidP="00A43E5D">
      <w:pPr>
        <w:spacing w:after="0"/>
        <w:ind w:firstLine="708"/>
        <w:rPr>
          <w:lang w:eastAsia="es-CR"/>
        </w:rPr>
      </w:pPr>
      <w:r w:rsidRPr="003504F4">
        <w:rPr>
          <w:rFonts w:cs="Times New Roman"/>
          <w:szCs w:val="24"/>
        </w:rPr>
        <w:t>En ocasiones, se observó una disminución en la actividad antimicrobiana después del fraccionamiento en comparación con el extracto crudo,</w:t>
      </w:r>
      <w:r>
        <w:rPr>
          <w:rFonts w:cs="Times New Roman"/>
          <w:szCs w:val="24"/>
        </w:rPr>
        <w:t xml:space="preserve"> sin embargo, debido a que no se aislaron los metabolitos y cuantificaron sus concentraciones antes y después del fraccionamiento no es posible determinar la razón de este comportamiento. No obstante, se podría hipotetizar una pérdida de actividad debido a modificaciones en la estructura original</w:t>
      </w:r>
      <w:r w:rsidRPr="003504F4">
        <w:rPr>
          <w:rFonts w:cs="Times New Roman"/>
          <w:szCs w:val="24"/>
        </w:rPr>
        <w:t xml:space="preserve"> de los compuestos</w:t>
      </w:r>
      <w:r>
        <w:rPr>
          <w:rFonts w:cs="Times New Roman"/>
          <w:szCs w:val="24"/>
        </w:rPr>
        <w:t xml:space="preserve">, así también, como una posible interacción sinérgica </w:t>
      </w:r>
      <w:r w:rsidRPr="003504F4">
        <w:rPr>
          <w:rFonts w:cs="Times New Roman"/>
          <w:szCs w:val="24"/>
        </w:rPr>
        <w:t>entre varios compuestos presentes en el extracto</w:t>
      </w:r>
      <w:r>
        <w:rPr>
          <w:rFonts w:cs="Times New Roman"/>
          <w:szCs w:val="24"/>
        </w:rPr>
        <w:t xml:space="preserve">. </w:t>
      </w:r>
      <w:r w:rsidR="0035157D">
        <w:rPr>
          <w:lang w:eastAsia="es-CR"/>
        </w:rPr>
        <w:t xml:space="preserve">Investigaciones anteriores </w:t>
      </w:r>
      <w:r w:rsidR="007E6952">
        <w:rPr>
          <w:lang w:eastAsia="es-CR"/>
        </w:rPr>
        <w:t xml:space="preserve">han demostrado como la acción en conjunto de varias </w:t>
      </w:r>
      <w:r w:rsidR="00E6595C">
        <w:rPr>
          <w:lang w:eastAsia="es-CR"/>
        </w:rPr>
        <w:t>moléculas</w:t>
      </w:r>
      <w:r w:rsidR="00896A2A">
        <w:rPr>
          <w:lang w:eastAsia="es-CR"/>
        </w:rPr>
        <w:t xml:space="preserve"> provoca un aumento en la actividad antimicrobiana, </w:t>
      </w:r>
      <w:r w:rsidR="00E6595C">
        <w:rPr>
          <w:lang w:eastAsia="es-CR"/>
        </w:rPr>
        <w:t>por ejemplo</w:t>
      </w:r>
      <w:r w:rsidR="006D281F">
        <w:rPr>
          <w:lang w:eastAsia="es-CR"/>
        </w:rPr>
        <w:t xml:space="preserve">, </w:t>
      </w:r>
      <w:r w:rsidR="003658F7" w:rsidRPr="003658F7">
        <w:rPr>
          <w:lang w:eastAsia="es-CR"/>
        </w:rPr>
        <w:t xml:space="preserve">la combinación de péptidos antimicrobianos y otras moléculas junto con antibióticos convencionales puede potenciar la inhibición de patógenos bacterianos, incluyendo cepas multirresistentes </w:t>
      </w:r>
      <w:r w:rsidR="00413D7B">
        <w:rPr>
          <w:lang w:eastAsia="es-CR"/>
        </w:rPr>
        <w:fldChar w:fldCharType="begin" w:fldLock="1"/>
      </w:r>
      <w:r w:rsidR="00ED5B85">
        <w:rPr>
          <w:lang w:eastAsia="es-CR"/>
        </w:rPr>
        <w:instrText>ADDIN CSL_CITATION {"citationItems":[{"id":"ITEM-1","itemData":{"DOI":"10.3389/fmicb.2019.02719","ISSN":"1664302X","abstract":"Multidrug resistance among various bacterial strains is leading to worldwide resistance to a wide range of antibiotics. Combination therapy involving current antibiotics and other biological or chemical molecules represents an attractive novel strategy. In this study, we investigated the synergistic antibacterial activity of a series of Trp-containing antimicrobial peptides (AMPs) with four classes of traditional chemical antibiotics that are inactive against multidrug-resistant Staphylococcus epidermidis (MRSE) in vitro and in vivo. Among the antibiotics that we studied, penicillin, ampicillin and erythromycin showed a distinct synergistic effect in combination with all of the Trp-containing AMPs, represented by a fractional inhibitory concentration index (FICI) of &lt;0.5. The antibacterial activities were noticeably improved, with 32-to 64-fold reductions in the MIC values for ampicillin and 16- to 32-fold reductions in the MIC values for erythromycin and penicillin. Tetracycline showed synergistic activity with only I1WL5W but additive activity with L11W, L12W, and I4WL5W. Ceftazidime exhibited additive activity with the Trp-containing peptides. In addition, the antibiotics in combination with the peptide significantly inhibited biofilm formation by MRSE 1208. A mechanistic study demonstrated that the Trp-containing peptides, especially I1WL5W and I4WL5W, which contain two tryptophan residues, disrupted bacterial inner and outer membranes, which promoted antibiotic delivery into the cytoplasm and access to cytoplasmic targets; however, L11W and L12W may have increased intracellular antibiotic concentrations by decreasing blaZ, tet(m) and msrA expression. Importantly, strong synergistic activity against the MRSE 1208 strain was observed for the combination of I1WL5W and penicillin in a mouse infection model. Thus, the combination of AMPs and traditional antibiotics could be a promising option for the prevention of acute and chronic infections caused by MRSE.","author":[{"dropping-particle":"","family":"Shang","given":"Dejing","non-dropping-particle":"","parse-names":false,"suffix":""},{"dropping-particle":"","family":"Liu","given":"Yue","non-dropping-particle":"","parse-names":false,"suffix":""},{"dropping-particle":"","family":"Jiang","given":"Fengquan","non-dropping-particle":"","parse-names":false,"suffix":""},{"dropping-particle":"","family":"Ji","given":"Fangyu","non-dropping-particle":"","parse-names":false,"suffix":""},{"dropping-particle":"","family":"Wang","given":"He","non-dropping-particle":"","parse-names":false,"suffix":""},{"dropping-particle":"","family":"Han","given":"Xue","non-dropping-particle":"","parse-names":false,"suffix":""}],"container-title":"Frontiers in Microbiology","id":"ITEM-1","issue":"November","issued":{"date-parts":[["2019"]]},"page":"1-15","title":"Synergistic Antibacterial Activity of Designed Trp-Containing Antibacterial Peptides in Combination With Antibiotics Against Multidrug-Resistant Staphylococcus epidermidis","type":"article-journal","volume":"10"},"uris":["http://www.mendeley.com/documents/?uuid=1002d84f-f1c5-46a9-9c5d-125f2bb896fc"]},{"id":"ITEM-2","itemData":{"DOI":"10.3389/fmicb.2022.953720","ISSN":"1664302X","abstract":"With the increasing bacterial resistance to traditional antibiotics, there is an urgent need for the development of alternative drugs or adjuvants of antibiotics to enhance antibacterial efficiency. The combination of antimicrobial peptides (AMPs) and traditional antibiotics is a potential alternative to enhance antibacterial efficiency. In this study, we investigated the synergistic bactericidal effect of AMPs, including chicken (CATH-1,−2,−3, and -B1), mice (CRAMP), and porcine (PMAP-36 and PR-39) in combination with conventional antibiotics containing ampicillin, tetracycline, gentamicin, and erythromycin against Staphylococcus aureus, Salmonella enteritidis, and Escherichia coli. The results showed that the minimum bactericidal concentration (MBC) of CATH-1,−3 and PMAP-36 was lower than 10 μM, indicating that these three AMPs had good bacterial activity against S. aureus, S. enteritidis, and E. coli. Then, the synergistic antibacterial activity of AMPs and antibiotics combination was determined by the fractional bactericidal concentration index (FBCI). The results showed that the FBCI of AMPs (CATH-1,−3 and PMAP-36) and erythromycin was lower than 0.5 against bacterial pathogens, demonstrating that they had a synergistic bactericidal effect. Furthermore, the time-killing kinetics of AMPs (CATH-1,−3 and PMAP-36) in combination with erythromycin showed that they had a continuous killing effect on bacteria within 3 h. Notably, the combination showed lower hemolytic activity and cytotoxicity to mammal cells compared to erythromycin and peptide alone treatment. In addition, the antibacterial mechanism of CATH-1 and erythromycin combination against E. coli was studied. The results of the scanning electron microscope showed that CATH-1 enhanced the antibacterial activity of erythromycin by increasing the permeability of bacterial cell membrane. Moreover, the results of bacterial migration movement showed that the combination of CATH-1 and erythromycin significantly inhibits the migration of E. coli. Finally, drug resistance analysis was performed and the results showed that CATH-1 delayed the emergence of E. coli resistance to erythromycin. In conclusion, the combination of CATH-1 and erythromycin has synergistic antibacterial activity and reduces the emergence of bacterial drug resistance. Our study provides valuable information to develop AMPs as potential substitutes or adjuvants for traditional antibiotics.","author":[{"dropping-particle":"","family":"Lu","given":"Yi","non-dropping-particle":"","parse-names":false,"suffix":""},{"dropping-particle":"","family":"Tian","given":"Hongliang","non-dropping-particle":"","parse-names":false,"suffix":""},{"dropping-particle":"","family":"Chen","given":"Runqiu","non-dropping-particle":"","parse-names":false,"suffix":""},{"dropping-particle":"","family":"Liu","given":"Qian","non-dropping-particle":"","parse-names":false,"suffix":""},{"dropping-particle":"","family":"Jia","given":"Kaixiang","non-dropping-particle":"","parse-names":false,"suffix":""},{"dropping-particle":"","family":"Hu","given":"Dong Liang","non-dropping-particle":"","parse-names":false,"suffix":""},{"dropping-particle":"","family":"Chen","given":"Hongwei","non-dropping-particle":"","parse-names":false,"suffix":""},{"dropping-particle":"","family":"Ye","given":"Chao","non-dropping-particle":"","parse-names":false,"suffix":""},{"dropping-particle":"","family":"Peng","given":"Lianci","non-dropping-particle":"","parse-names":false,"suffix":""},{"dropping-particle":"","family":"Fang","given":"Rendong","non-dropping-particle":"","parse-names":false,"suffix":""}],"container-title":"Frontiers in Microbiology","id":"ITEM-2","issue":"July","issued":{"date-parts":[["2022"]]},"page":"1-12","title":"Synergistic Antimicrobial Effect of Antimicrobial Peptides CATH-1, CATH-3, and PMAP-36 With Erythromycin Against Bacterial Pathogens","type":"article-journal","volume":"13"},"uris":["http://www.mendeley.com/documents/?uuid=f48423fa-d54c-4e79-8cfb-52d8700c35ed"]},{"id":"ITEM-3","itemData":{"DOI":"10.1093/jac/dkf211","ISSN":"03057453","PMID":"12461031","abstract":"Owing to increasing resistance in Pseudomonas aeruginosa, empirical drug regimens may include agents to which some strains maybe resistant. The purpose of this study was to evaluate the in vitro activities of different combinations of cephalosporin plus fluoroquinolone against P. aeruginosa isolates with varying susceptibility to the study drugs. Broth microdilution susceptibility testing was performed with 10 clinical isolates of P. aeruginosa. The bactericidal activity of cefepime or ceftazidime alone and in combination with ciprofloxacin, levofloxacin, gatifloxacin or moxifloxacin was evaluated using time-kill methods. Colony counts were determined at 0, 4, 8 and 24 h, using antimicrobial concentrations of 0.5 x MIC. All procedures were performed in duplicate. Synergy was defined as a &gt;2-log decrease in cfu/mL at 24 h compared with the single most active agent. The MICs for tested strains were: ceftazidime 0.75-32, cefepime 0.125-8, ciprofloxacin 0.0078-8, levofloxacin 0.023-16, gatifloxacin 0.023-16 and moxifloxacin 0.0521-32 mg/L. Four strains were susceptible to all drugs, two strains were cephalosporin susceptible and fluoroquinolone resistant, and two strains were cephalosporin resistant and fluoroquinolone susceptible. Two strains were resistant or intermediately susceptible to all drugs. Various cephalosporin and fluoroquinolone combinations were synergic against P. aeruginosa, including strains resistant to one or both agents in combination. No synergy was observed in two strains susceptible to all drugs. There were no differences noted between different cephalosporin and fluoroquinolone combinations. Concentrations used in this study are clinically achievable with recommended regimens in most cases.","author":[{"dropping-particle":"","family":"Fish","given":"Douglas N.","non-dropping-particle":"","parse-names":false,"suffix":""},{"dropping-particle":"","family":"Choi","given":"Michael K.","non-dropping-particle":"","parse-names":false,"suffix":""},{"dropping-particle":"","family":"Jung","given":"Rose","non-dropping-particle":"","parse-names":false,"suffix":""}],"container-title":"Journal of Antimicrobial Chemotherapy","id":"ITEM-3","issue":"6","issued":{"date-parts":[["2002"]]},"page":"1045-1049","title":"Synergic activity of cephalosporins plus fluoroquinolones against Pseudomonas aeruginosa with resistance to one or both drugs","type":"article-journal","volume":"50"},"uris":["http://www.mendeley.com/documents/?uuid=96c45587-2b3d-46d4-8710-f88f40a8cf1e"]}],"mendeley":{"formattedCitation":"(Fish, Choi, &amp; Jung, 2002; Lu et al., 2022; Shang et al., 2019)","plainTextFormattedCitation":"(Fish, Choi, &amp; Jung, 2002; Lu et al., 2022; Shang et al., 2019)","previouslyFormattedCitation":"(Fish, Choi, &amp; Jung, 2002; Lu et al., 2022; Shang et al., 2019)"},"properties":{"noteIndex":0},"schema":"https://github.com/citation-style-language/schema/raw/master/csl-citation.json"}</w:instrText>
      </w:r>
      <w:r w:rsidR="00413D7B">
        <w:rPr>
          <w:lang w:eastAsia="es-CR"/>
        </w:rPr>
        <w:fldChar w:fldCharType="separate"/>
      </w:r>
      <w:r w:rsidR="00DA2BC4" w:rsidRPr="00DA2BC4">
        <w:rPr>
          <w:noProof/>
          <w:lang w:eastAsia="es-CR"/>
        </w:rPr>
        <w:t>(Fish, Choi, &amp; Jung, 2002; Lu et al., 2022; Shang et al., 2019)</w:t>
      </w:r>
      <w:r w:rsidR="00413D7B">
        <w:rPr>
          <w:lang w:eastAsia="es-CR"/>
        </w:rPr>
        <w:fldChar w:fldCharType="end"/>
      </w:r>
      <w:r w:rsidR="00842566">
        <w:rPr>
          <w:lang w:eastAsia="es-CR"/>
        </w:rPr>
        <w:t>.</w:t>
      </w:r>
      <w:r w:rsidR="00772B79">
        <w:rPr>
          <w:lang w:eastAsia="es-CR"/>
        </w:rPr>
        <w:t xml:space="preserve"> De igual manera, esta estrategia se ha utilizado para incrementar la actividad o ampliar </w:t>
      </w:r>
      <w:r w:rsidR="001627B2">
        <w:rPr>
          <w:lang w:eastAsia="es-CR"/>
        </w:rPr>
        <w:t xml:space="preserve">espectros de inhibición </w:t>
      </w:r>
      <w:r w:rsidR="001627B2">
        <w:rPr>
          <w:lang w:eastAsia="es-CR"/>
        </w:rPr>
        <w:fldChar w:fldCharType="begin" w:fldLock="1"/>
      </w:r>
      <w:r w:rsidR="002C0FBC">
        <w:rPr>
          <w:lang w:eastAsia="es-CR"/>
        </w:rPr>
        <w:instrText>ADDIN CSL_CITATION {"citationItems":[{"id":"ITEM-1","itemData":{"DOI":"10.1128/spectrum.00406-21","ISSN":"21650497","PMID":"35170996","abstract":"Reuterin and bacteriocins, including microcin J25, pediocin PA-1, nisin were produced and purified with &gt;90% purity. Using the broth-based checkerboard assay the interaction between these compounds (synergetic, additive, or antagonistic) was assessed. Bacteria-derived natural antimicrobial compounds such as bacteriocins, reruterin, and organic acids have recently received substantial attention as food preservatives or therapeutic alternatives in human or animal sectors. This study aimed to evaluate the antimicrobial activity of different bacteria-derived antimicrobials, alone or in combination, against a large panel of Gram-negative and Gram-positive bacteria. Bacteriocins, including microcin J25, pediocin PA-1, nisin Z, and reuterin, were investigated alone or in combination with lactic acid and citric acid, using a checkerboard assay. Concentrations were selected based on predetermined MICs against Salmonella enterica subsp. enterica serovar Newport ATCC 6962 and Listeria ivanovii HPB28 as Gram-negative and Gram-positive indicator strains, respectively. The results demonstrated that the combination of microcin J25 + citric acid + lactic acid; microcin J25 + reuterin + citric acid; and microcin J25 + reuterin + lactic acid tested against S. Newport ATCC 6962 showed synergistic effects (FIC index = 0.5). Moreover, a combination of pediocin PA-1 + citric acid + lactic acid; and reuterin + citric acid + lactic acid against L. ivanovii HPB28 showed a partially synergistic interactions (FIC index = 0.75). Nisin Z exerted a partially synergistic effect in combination with acids (FIC index = 0.625 -0.75), whereas when it was combined with reuterin or pediocin PA-1, it showed additive effects (FIC index = 1) against L. ivanovii HPB28. The inhibitory activity of synergetic consortia were tested against a large panel of Gram-positive and Gram-negative bacteria. According to our results, combining different antimicrobials with different mechanisms of action led to higher potency and a broad spectrum of inhibition, including multidrug-resistance pathogens.  IMPORTANCE Reuterin and bacteriocins, including microcin J25, pediocin PA-1, nisin were produced and purified with &gt;90% purity. Using the broth-based checkerboard assay the interaction between these compounds (synergetic, additive, or antagonistic) was assessed. By combining different natural antimicrobials with different modes of action and structure (reuteirn, microcin J25, pediocin PA-1, and organic acids), …","author":[{"dropping-particle":"","family":"Soltani","given":"Samira","non-dropping-particle":"","parse-names":false,"suffix":""},{"dropping-particle":"","family":"Biron","given":"Eric","non-dropping-particle":"","parse-names":false,"suffix":""},{"dropping-particle":"","family":"Said","given":"Laila","non-dropping-particle":"Ben","parse-names":false,"suffix":""},{"dropping-particle":"","family":"Subirade","given":"Muriel","non-dropping-particle":"","parse-names":false,"suffix":""},{"dropping-particle":"","family":"Fliss","given":"Ismail","non-dropping-particle":"","parse-names":false,"suffix":""}],"container-title":"Microbiology Spectrum","id":"ITEM-1","issue":"1","issued":{"date-parts":[["2022"]]},"publisher":"American Society for Microbiology","title":"Bacteriocin-Based Synergetic Consortia: a Promising Strategy to Enhance Antimicrobial Activity and Broaden the Spectrum of Inhibition","type":"article-journal","volume":"10"},"uris":["http://www.mendeley.com/documents/?uuid=fb4bb230-399f-4e07-bb25-8d301f84ed5d"]}],"mendeley":{"formattedCitation":"(Soltani, Biron, Ben Said, Subirade, &amp; Fliss, 2022)","plainTextFormattedCitation":"(Soltani, Biron, Ben Said, Subirade, &amp; Fliss, 2022)","previouslyFormattedCitation":"(Soltani, Biron, Ben Said, Subirade, &amp; Fliss, 2022)"},"properties":{"noteIndex":0},"schema":"https://github.com/citation-style-language/schema/raw/master/csl-citation.json"}</w:instrText>
      </w:r>
      <w:r w:rsidR="001627B2">
        <w:rPr>
          <w:lang w:eastAsia="es-CR"/>
        </w:rPr>
        <w:fldChar w:fldCharType="separate"/>
      </w:r>
      <w:r w:rsidR="001627B2" w:rsidRPr="001627B2">
        <w:rPr>
          <w:noProof/>
          <w:lang w:eastAsia="es-CR"/>
        </w:rPr>
        <w:t xml:space="preserve">(Soltani, Biron, Ben Said, Subirade, &amp; </w:t>
      </w:r>
      <w:r w:rsidR="001627B2" w:rsidRPr="001627B2">
        <w:rPr>
          <w:noProof/>
          <w:lang w:eastAsia="es-CR"/>
        </w:rPr>
        <w:lastRenderedPageBreak/>
        <w:t>Fliss, 2022)</w:t>
      </w:r>
      <w:r w:rsidR="001627B2">
        <w:rPr>
          <w:lang w:eastAsia="es-CR"/>
        </w:rPr>
        <w:fldChar w:fldCharType="end"/>
      </w:r>
      <w:r w:rsidR="00016F59">
        <w:rPr>
          <w:lang w:eastAsia="es-CR"/>
        </w:rPr>
        <w:t>. Sin embargo, para</w:t>
      </w:r>
      <w:r w:rsidR="0039083D">
        <w:rPr>
          <w:lang w:eastAsia="es-CR"/>
        </w:rPr>
        <w:t xml:space="preserve"> comprobar </w:t>
      </w:r>
      <w:r w:rsidR="00016F59">
        <w:rPr>
          <w:lang w:eastAsia="es-CR"/>
        </w:rPr>
        <w:t xml:space="preserve">que </w:t>
      </w:r>
      <w:r w:rsidR="002048EF">
        <w:rPr>
          <w:lang w:eastAsia="es-CR"/>
        </w:rPr>
        <w:t>este fenómeno está ocurriendo con los extractos de esta investigación es necesario realizar más ensayos</w:t>
      </w:r>
      <w:r w:rsidR="008D46BF">
        <w:rPr>
          <w:lang w:eastAsia="es-CR"/>
        </w:rPr>
        <w:t>.</w:t>
      </w:r>
    </w:p>
    <w:p w14:paraId="011A957B" w14:textId="77777777" w:rsidR="00AB0638" w:rsidRDefault="00AB0638" w:rsidP="00A43E5D">
      <w:pPr>
        <w:spacing w:after="0"/>
        <w:ind w:firstLine="708"/>
        <w:rPr>
          <w:lang w:eastAsia="es-CR"/>
        </w:rPr>
      </w:pPr>
    </w:p>
    <w:p w14:paraId="031F6471" w14:textId="1A0D8584" w:rsidR="004B06A0" w:rsidRPr="00874997" w:rsidRDefault="004B06A0" w:rsidP="00874997">
      <w:pPr>
        <w:pStyle w:val="Prrafodelista"/>
        <w:numPr>
          <w:ilvl w:val="1"/>
          <w:numId w:val="19"/>
        </w:numPr>
        <w:spacing w:after="0"/>
        <w:rPr>
          <w:rFonts w:eastAsia="Times New Roman" w:cs="Times New Roman"/>
          <w:b/>
          <w:bCs/>
          <w:color w:val="000000"/>
          <w:szCs w:val="24"/>
          <w:lang w:eastAsia="es-CR"/>
        </w:rPr>
      </w:pPr>
      <w:r w:rsidRPr="00A43E5D">
        <w:rPr>
          <w:rFonts w:eastAsia="Times New Roman" w:cs="Times New Roman"/>
          <w:b/>
          <w:bCs/>
          <w:color w:val="000000"/>
          <w:szCs w:val="24"/>
          <w:lang w:eastAsia="es-CR"/>
        </w:rPr>
        <w:t xml:space="preserve"> </w:t>
      </w:r>
      <w:r w:rsidR="00A43E5D" w:rsidRPr="00A43E5D">
        <w:rPr>
          <w:rFonts w:eastAsia="Times New Roman" w:cs="Times New Roman"/>
          <w:b/>
          <w:bCs/>
          <w:color w:val="000000"/>
          <w:szCs w:val="24"/>
          <w:lang w:eastAsia="es-CR"/>
        </w:rPr>
        <w:t>Análisis de genómica comparativa</w:t>
      </w:r>
    </w:p>
    <w:p w14:paraId="665CF6C0" w14:textId="12B97087" w:rsidR="004B06A0" w:rsidRPr="004B06A0" w:rsidRDefault="4447C96C" w:rsidP="4447C96C">
      <w:pPr>
        <w:spacing w:after="0"/>
        <w:ind w:firstLine="720"/>
        <w:rPr>
          <w:rFonts w:eastAsia="Times New Roman" w:cs="Times New Roman"/>
          <w:lang w:eastAsia="es-CR"/>
        </w:rPr>
      </w:pPr>
      <w:r w:rsidRPr="4447C96C">
        <w:rPr>
          <w:rFonts w:eastAsia="Times New Roman" w:cs="Times New Roman"/>
          <w:color w:val="000000" w:themeColor="text1"/>
          <w:lang w:eastAsia="es-CR"/>
        </w:rPr>
        <w:t xml:space="preserve">El análisis bioinformático de las tres cepas de </w:t>
      </w:r>
      <w:r w:rsidRPr="4447C96C">
        <w:rPr>
          <w:rFonts w:eastAsia="Times New Roman" w:cs="Times New Roman"/>
          <w:i/>
          <w:iCs/>
          <w:color w:val="000000" w:themeColor="text1"/>
          <w:lang w:eastAsia="es-CR"/>
        </w:rPr>
        <w:t>Aspergillus sp</w:t>
      </w:r>
      <w:r w:rsidRPr="4447C96C">
        <w:rPr>
          <w:rFonts w:eastAsia="Times New Roman" w:cs="Times New Roman"/>
          <w:color w:val="000000" w:themeColor="text1"/>
          <w:lang w:eastAsia="es-CR"/>
        </w:rPr>
        <w:t xml:space="preserve">., taxonómicamente relacionadas con el aislamiento B 3.2, generó un perfil metabólico consistente y con una alta correspondencia entre sí, lo cual valida tanto la identificación molecular, como la información extraída de las bases de datos que permitieron generar este perfil. Estas cepas presentan genes codificantes para moléculas con actividad antimicrobiana reportada (Cuadro5 y Figura 6), contra los mismos patógenos analizados en esta investigación, para los cuales el aislamiento B 3.2 también presentó inhibición ya fuera en los ensayos de actividad preliminar o utilizando los extractos </w:t>
      </w:r>
      <w:r w:rsidR="006246FC">
        <w:rPr>
          <w:rFonts w:eastAsia="Times New Roman" w:cs="Times New Roman"/>
          <w:color w:val="000000" w:themeColor="text1"/>
          <w:lang w:eastAsia="es-CR"/>
        </w:rPr>
        <w:t xml:space="preserve">del </w:t>
      </w:r>
      <w:r w:rsidR="006246FC">
        <w:rPr>
          <w:lang w:eastAsia="es-CR"/>
        </w:rPr>
        <w:t>cultivo líquido</w:t>
      </w:r>
      <w:r w:rsidRPr="4447C96C">
        <w:rPr>
          <w:rFonts w:eastAsia="Times New Roman" w:cs="Times New Roman"/>
          <w:color w:val="000000" w:themeColor="text1"/>
          <w:lang w:eastAsia="es-CR"/>
        </w:rPr>
        <w:t xml:space="preserve">.  Para los compuestos obtenidos mediante el análisis de CGB (Cuadro 5), investigaciones previas han reportado actividad inhibitoria contra la bacteria </w:t>
      </w:r>
      <w:r w:rsidRPr="4447C96C">
        <w:rPr>
          <w:rFonts w:eastAsia="Times New Roman" w:cs="Times New Roman"/>
          <w:i/>
          <w:iCs/>
          <w:color w:val="000000" w:themeColor="text1"/>
          <w:lang w:eastAsia="es-CR"/>
        </w:rPr>
        <w:t>S. aureus</w:t>
      </w:r>
      <w:r w:rsidRPr="4447C96C">
        <w:rPr>
          <w:rFonts w:eastAsia="Times New Roman" w:cs="Times New Roman"/>
          <w:color w:val="000000" w:themeColor="text1"/>
          <w:lang w:eastAsia="es-CR"/>
        </w:rPr>
        <w:t>, entre ellas: el ácido aspergílico (Kavanagh, 1947), la asp</w:t>
      </w:r>
      <w:r w:rsidR="003D4E37">
        <w:rPr>
          <w:rFonts w:eastAsia="Times New Roman" w:cs="Times New Roman"/>
          <w:color w:val="000000" w:themeColor="text1"/>
          <w:lang w:eastAsia="es-CR"/>
        </w:rPr>
        <w:t>i</w:t>
      </w:r>
      <w:r w:rsidRPr="4447C96C">
        <w:rPr>
          <w:rFonts w:eastAsia="Times New Roman" w:cs="Times New Roman"/>
          <w:color w:val="000000" w:themeColor="text1"/>
          <w:lang w:eastAsia="es-CR"/>
        </w:rPr>
        <w:t>r</w:t>
      </w:r>
      <w:r w:rsidR="001E01F3">
        <w:rPr>
          <w:rFonts w:eastAsia="Times New Roman" w:cs="Times New Roman"/>
          <w:color w:val="000000" w:themeColor="text1"/>
          <w:lang w:eastAsia="es-CR"/>
        </w:rPr>
        <w:t>i</w:t>
      </w:r>
      <w:r w:rsidRPr="4447C96C">
        <w:rPr>
          <w:rFonts w:eastAsia="Times New Roman" w:cs="Times New Roman"/>
          <w:color w:val="000000" w:themeColor="text1"/>
          <w:lang w:eastAsia="es-CR"/>
        </w:rPr>
        <w:t xml:space="preserve">clorina (Monti et al., 1999), la colina (Siopa et al., 2016), la piperazina (Li et al., 2011; Jalageri et al., 2021), la aspulvinona H y la </w:t>
      </w:r>
      <w:r w:rsidR="008824C5" w:rsidRPr="4447C96C">
        <w:rPr>
          <w:rFonts w:eastAsia="Times New Roman" w:cs="Times New Roman"/>
          <w:color w:val="000000" w:themeColor="text1"/>
          <w:lang w:eastAsia="es-CR"/>
        </w:rPr>
        <w:t>aspulvinona B</w:t>
      </w:r>
      <w:r w:rsidRPr="4447C96C">
        <w:rPr>
          <w:rFonts w:eastAsia="Times New Roman" w:cs="Times New Roman"/>
          <w:color w:val="000000" w:themeColor="text1"/>
          <w:lang w:eastAsia="es-CR"/>
        </w:rPr>
        <w:t>1 (Machado et al., 2021b). </w:t>
      </w:r>
    </w:p>
    <w:p w14:paraId="17730A55" w14:textId="77777777" w:rsidR="004B06A0" w:rsidRPr="004B06A0" w:rsidRDefault="004B06A0" w:rsidP="004B06A0">
      <w:pPr>
        <w:spacing w:after="0"/>
        <w:rPr>
          <w:rFonts w:eastAsia="Times New Roman" w:cs="Times New Roman"/>
          <w:szCs w:val="24"/>
          <w:lang w:eastAsia="es-CR"/>
        </w:rPr>
      </w:pPr>
    </w:p>
    <w:p w14:paraId="33601C8C" w14:textId="4681437E" w:rsidR="004B06A0" w:rsidRPr="004B06A0" w:rsidRDefault="004B06A0" w:rsidP="004B06A0">
      <w:pPr>
        <w:spacing w:after="0"/>
        <w:ind w:firstLine="720"/>
        <w:rPr>
          <w:rFonts w:eastAsia="Times New Roman" w:cs="Times New Roman"/>
          <w:szCs w:val="24"/>
          <w:lang w:eastAsia="es-CR"/>
        </w:rPr>
      </w:pPr>
      <w:r w:rsidRPr="004B06A0">
        <w:rPr>
          <w:rFonts w:eastAsia="Times New Roman" w:cs="Times New Roman"/>
          <w:color w:val="000000"/>
          <w:szCs w:val="24"/>
          <w:lang w:eastAsia="es-CR"/>
        </w:rPr>
        <w:t xml:space="preserve">Por otro lado, la </w:t>
      </w:r>
      <w:r w:rsidR="001E01F3" w:rsidRPr="004B06A0">
        <w:rPr>
          <w:rFonts w:eastAsia="Times New Roman" w:cs="Times New Roman"/>
          <w:color w:val="000000"/>
          <w:szCs w:val="24"/>
          <w:lang w:eastAsia="es-CR"/>
        </w:rPr>
        <w:t>aspiriclorina</w:t>
      </w:r>
      <w:r w:rsidRPr="004B06A0">
        <w:rPr>
          <w:rFonts w:eastAsia="Times New Roman" w:cs="Times New Roman"/>
          <w:color w:val="000000"/>
          <w:szCs w:val="24"/>
          <w:lang w:eastAsia="es-CR"/>
        </w:rPr>
        <w:t xml:space="preserve"> también ha demostrado tener actividad inhibitoria contra la levadura </w:t>
      </w:r>
      <w:r w:rsidRPr="004B06A0">
        <w:rPr>
          <w:rFonts w:eastAsia="Times New Roman" w:cs="Times New Roman"/>
          <w:i/>
          <w:iCs/>
          <w:color w:val="000000"/>
          <w:szCs w:val="24"/>
          <w:lang w:eastAsia="es-CR"/>
        </w:rPr>
        <w:t xml:space="preserve">C. albicans </w:t>
      </w:r>
      <w:r w:rsidRPr="004B06A0">
        <w:rPr>
          <w:rFonts w:eastAsia="Times New Roman" w:cs="Times New Roman"/>
          <w:color w:val="000000"/>
          <w:szCs w:val="24"/>
          <w:lang w:eastAsia="es-CR"/>
        </w:rPr>
        <w:t xml:space="preserve">(Klausmeyer et al., 2005), mientras que el compuesto </w:t>
      </w:r>
      <w:proofErr w:type="spellStart"/>
      <w:r w:rsidRPr="004B06A0">
        <w:rPr>
          <w:rFonts w:eastAsia="Times New Roman" w:cs="Times New Roman"/>
          <w:color w:val="000000"/>
          <w:szCs w:val="24"/>
          <w:lang w:eastAsia="es-CR"/>
        </w:rPr>
        <w:t>monascorubrina</w:t>
      </w:r>
      <w:proofErr w:type="spellEnd"/>
      <w:r w:rsidRPr="004B06A0">
        <w:rPr>
          <w:rFonts w:eastAsia="Times New Roman" w:cs="Times New Roman"/>
          <w:color w:val="000000"/>
          <w:szCs w:val="24"/>
          <w:lang w:eastAsia="es-CR"/>
        </w:rPr>
        <w:t xml:space="preserve">, sintetizada desde el </w:t>
      </w:r>
      <w:r w:rsidR="00D45549" w:rsidRPr="004B06A0">
        <w:rPr>
          <w:rFonts w:eastAsia="Times New Roman" w:cs="Times New Roman"/>
          <w:color w:val="000000"/>
          <w:szCs w:val="24"/>
          <w:lang w:eastAsia="es-CR"/>
        </w:rPr>
        <w:t>clúster</w:t>
      </w:r>
      <w:r w:rsidRPr="004B06A0">
        <w:rPr>
          <w:rFonts w:eastAsia="Times New Roman" w:cs="Times New Roman"/>
          <w:color w:val="000000"/>
          <w:szCs w:val="24"/>
          <w:lang w:eastAsia="es-CR"/>
        </w:rPr>
        <w:t xml:space="preserve"> tipo T1PKS, presentó actividad antifúngica contra otra </w:t>
      </w:r>
      <w:r w:rsidRPr="004B06A0">
        <w:rPr>
          <w:rFonts w:eastAsia="Times New Roman" w:cs="Times New Roman"/>
          <w:i/>
          <w:iCs/>
          <w:color w:val="000000"/>
          <w:szCs w:val="24"/>
          <w:lang w:eastAsia="es-CR"/>
        </w:rPr>
        <w:t xml:space="preserve">Candida pseudotropicalis </w:t>
      </w:r>
      <w:r w:rsidRPr="004B06A0">
        <w:rPr>
          <w:rFonts w:eastAsia="Times New Roman" w:cs="Times New Roman"/>
          <w:color w:val="000000"/>
          <w:szCs w:val="24"/>
          <w:lang w:eastAsia="es-CR"/>
        </w:rPr>
        <w:t>(Martínková et al., 1999)</w:t>
      </w:r>
      <w:r w:rsidRPr="004B06A0">
        <w:rPr>
          <w:rFonts w:eastAsia="Times New Roman" w:cs="Times New Roman"/>
          <w:i/>
          <w:iCs/>
          <w:color w:val="000000"/>
          <w:szCs w:val="24"/>
          <w:lang w:eastAsia="es-CR"/>
        </w:rPr>
        <w:t xml:space="preserve">. </w:t>
      </w:r>
      <w:r w:rsidRPr="004B06A0">
        <w:rPr>
          <w:rFonts w:eastAsia="Times New Roman" w:cs="Times New Roman"/>
          <w:color w:val="000000"/>
          <w:szCs w:val="24"/>
          <w:lang w:eastAsia="es-CR"/>
        </w:rPr>
        <w:t xml:space="preserve">En 1947, Kavanagh demostró en su investigación que el ácido aspergílico también es capaz de inhibir el crecimiento de bacterias como </w:t>
      </w:r>
      <w:r w:rsidRPr="004B06A0">
        <w:rPr>
          <w:rFonts w:eastAsia="Times New Roman" w:cs="Times New Roman"/>
          <w:i/>
          <w:iCs/>
          <w:color w:val="000000"/>
          <w:szCs w:val="24"/>
          <w:lang w:eastAsia="es-CR"/>
        </w:rPr>
        <w:t>K. pneumoniae</w:t>
      </w:r>
      <w:r w:rsidRPr="004B06A0">
        <w:rPr>
          <w:rFonts w:eastAsia="Times New Roman" w:cs="Times New Roman"/>
          <w:color w:val="000000"/>
          <w:szCs w:val="24"/>
          <w:lang w:eastAsia="es-CR"/>
        </w:rPr>
        <w:t xml:space="preserve"> y </w:t>
      </w:r>
      <w:r w:rsidRPr="004B06A0">
        <w:rPr>
          <w:rFonts w:eastAsia="Times New Roman" w:cs="Times New Roman"/>
          <w:i/>
          <w:iCs/>
          <w:color w:val="000000"/>
          <w:szCs w:val="24"/>
          <w:lang w:eastAsia="es-CR"/>
        </w:rPr>
        <w:t>P. aeruginosa</w:t>
      </w:r>
      <w:r w:rsidRPr="004B06A0">
        <w:rPr>
          <w:rFonts w:eastAsia="Times New Roman" w:cs="Times New Roman"/>
          <w:color w:val="000000"/>
          <w:szCs w:val="24"/>
          <w:lang w:eastAsia="es-CR"/>
        </w:rPr>
        <w:t xml:space="preserve">. Mientras que Siopa et al. (2016) lograron incrementar la actividad inhibitoria de la colina mediante la síntesis de variantes químicas, las cuales generaron resultados positivos contra diversas cepas, incluyendo una cepa de </w:t>
      </w:r>
      <w:r w:rsidRPr="004B06A0">
        <w:rPr>
          <w:rFonts w:eastAsia="Times New Roman" w:cs="Times New Roman"/>
          <w:i/>
          <w:iCs/>
          <w:color w:val="000000"/>
          <w:szCs w:val="24"/>
          <w:lang w:eastAsia="es-CR"/>
        </w:rPr>
        <w:t xml:space="preserve">S. aureus </w:t>
      </w:r>
      <w:r w:rsidRPr="004B06A0">
        <w:rPr>
          <w:rFonts w:eastAsia="Times New Roman" w:cs="Times New Roman"/>
          <w:color w:val="000000"/>
          <w:szCs w:val="24"/>
          <w:lang w:eastAsia="es-CR"/>
        </w:rPr>
        <w:t xml:space="preserve">resistente a la </w:t>
      </w:r>
      <w:proofErr w:type="spellStart"/>
      <w:r w:rsidRPr="004B06A0">
        <w:rPr>
          <w:rFonts w:eastAsia="Times New Roman" w:cs="Times New Roman"/>
          <w:color w:val="000000"/>
          <w:szCs w:val="24"/>
          <w:lang w:eastAsia="es-CR"/>
        </w:rPr>
        <w:t>meticilina</w:t>
      </w:r>
      <w:proofErr w:type="spellEnd"/>
      <w:r w:rsidRPr="004B06A0">
        <w:rPr>
          <w:rFonts w:eastAsia="Times New Roman" w:cs="Times New Roman"/>
          <w:color w:val="000000"/>
          <w:szCs w:val="24"/>
          <w:lang w:eastAsia="es-CR"/>
        </w:rPr>
        <w:t xml:space="preserve">, </w:t>
      </w:r>
      <w:r w:rsidRPr="004B06A0">
        <w:rPr>
          <w:rFonts w:eastAsia="Times New Roman" w:cs="Times New Roman"/>
          <w:i/>
          <w:iCs/>
          <w:color w:val="000000"/>
          <w:szCs w:val="24"/>
          <w:lang w:eastAsia="es-CR"/>
        </w:rPr>
        <w:t>S. aureus, K. pneumoniae, P. aeruginosa</w:t>
      </w:r>
      <w:r w:rsidRPr="004B06A0">
        <w:rPr>
          <w:rFonts w:eastAsia="Times New Roman" w:cs="Times New Roman"/>
          <w:color w:val="000000"/>
          <w:szCs w:val="24"/>
          <w:lang w:eastAsia="es-CR"/>
        </w:rPr>
        <w:t xml:space="preserve"> y la levadura </w:t>
      </w:r>
      <w:r w:rsidRPr="004B06A0">
        <w:rPr>
          <w:rFonts w:eastAsia="Times New Roman" w:cs="Times New Roman"/>
          <w:i/>
          <w:iCs/>
          <w:color w:val="000000"/>
          <w:szCs w:val="24"/>
          <w:lang w:eastAsia="es-CR"/>
        </w:rPr>
        <w:t>C. albicans</w:t>
      </w:r>
      <w:r w:rsidRPr="004B06A0">
        <w:rPr>
          <w:rFonts w:eastAsia="Times New Roman" w:cs="Times New Roman"/>
          <w:color w:val="000000"/>
          <w:szCs w:val="24"/>
          <w:lang w:eastAsia="es-CR"/>
        </w:rPr>
        <w:t>.</w:t>
      </w:r>
    </w:p>
    <w:p w14:paraId="0933ED25" w14:textId="77777777" w:rsidR="004B06A0" w:rsidRPr="004B06A0" w:rsidRDefault="004B06A0" w:rsidP="004B06A0">
      <w:pPr>
        <w:spacing w:after="0"/>
        <w:rPr>
          <w:rFonts w:eastAsia="Times New Roman" w:cs="Times New Roman"/>
          <w:szCs w:val="24"/>
          <w:lang w:eastAsia="es-CR"/>
        </w:rPr>
      </w:pPr>
    </w:p>
    <w:p w14:paraId="71B6C95A" w14:textId="77777777" w:rsidR="00AB0638" w:rsidRDefault="004B06A0" w:rsidP="00AB0638">
      <w:pPr>
        <w:spacing w:after="0"/>
        <w:ind w:firstLine="720"/>
        <w:rPr>
          <w:rFonts w:eastAsia="Times New Roman" w:cs="Times New Roman"/>
          <w:color w:val="000000"/>
          <w:szCs w:val="24"/>
          <w:lang w:eastAsia="es-CR"/>
        </w:rPr>
      </w:pPr>
      <w:r w:rsidRPr="004B06A0">
        <w:rPr>
          <w:rFonts w:eastAsia="Times New Roman" w:cs="Times New Roman"/>
          <w:color w:val="000000"/>
          <w:szCs w:val="24"/>
          <w:lang w:eastAsia="es-CR"/>
        </w:rPr>
        <w:t>En el caso de los aislamientos A 2.1 y A 4.1</w:t>
      </w:r>
      <w:r w:rsidR="00BD15DC">
        <w:rPr>
          <w:rFonts w:eastAsia="Times New Roman" w:cs="Times New Roman"/>
          <w:color w:val="000000"/>
          <w:szCs w:val="24"/>
          <w:lang w:eastAsia="es-CR"/>
        </w:rPr>
        <w:t xml:space="preserve"> (</w:t>
      </w:r>
      <w:r w:rsidR="00BD15DC">
        <w:rPr>
          <w:rFonts w:eastAsia="Times New Roman" w:cs="Times New Roman"/>
          <w:i/>
          <w:iCs/>
          <w:color w:val="000000"/>
          <w:szCs w:val="24"/>
          <w:lang w:eastAsia="es-CR"/>
        </w:rPr>
        <w:t xml:space="preserve">Penicillium sp. </w:t>
      </w:r>
      <w:r w:rsidR="00BD15DC">
        <w:rPr>
          <w:rFonts w:eastAsia="Times New Roman" w:cs="Times New Roman"/>
          <w:color w:val="000000"/>
          <w:szCs w:val="24"/>
          <w:lang w:eastAsia="es-CR"/>
        </w:rPr>
        <w:t xml:space="preserve">y </w:t>
      </w:r>
      <w:r w:rsidR="00BD15DC" w:rsidRPr="00BF3C7B">
        <w:rPr>
          <w:i/>
          <w:iCs/>
          <w:lang w:eastAsia="es-CR"/>
        </w:rPr>
        <w:t>Paraconiothyrium sp</w:t>
      </w:r>
      <w:r w:rsidR="00BD15DC">
        <w:rPr>
          <w:rFonts w:eastAsia="Times New Roman" w:cs="Times New Roman"/>
          <w:color w:val="000000"/>
          <w:szCs w:val="24"/>
          <w:lang w:eastAsia="es-CR"/>
        </w:rPr>
        <w:t>)</w:t>
      </w:r>
      <w:r w:rsidRPr="004B06A0">
        <w:rPr>
          <w:rFonts w:eastAsia="Times New Roman" w:cs="Times New Roman"/>
          <w:color w:val="000000"/>
          <w:szCs w:val="24"/>
          <w:lang w:eastAsia="es-CR"/>
        </w:rPr>
        <w:t xml:space="preserve">, el análisis se vio restringido debido a la falta de bases de datos genéticas disponibles para estos organismos. </w:t>
      </w:r>
      <w:r w:rsidR="00505A0A" w:rsidRPr="004B06A0">
        <w:rPr>
          <w:rFonts w:eastAsia="Times New Roman" w:cs="Times New Roman"/>
          <w:color w:val="000000"/>
          <w:szCs w:val="24"/>
          <w:lang w:eastAsia="es-CR"/>
        </w:rPr>
        <w:t>A pesar de que</w:t>
      </w:r>
      <w:r w:rsidRPr="004B06A0">
        <w:rPr>
          <w:rFonts w:eastAsia="Times New Roman" w:cs="Times New Roman"/>
          <w:color w:val="000000"/>
          <w:szCs w:val="24"/>
          <w:lang w:eastAsia="es-CR"/>
        </w:rPr>
        <w:t xml:space="preserve"> desde la identificación molecular se encontraron las primeras dificultades para conseguir una aproximación a un potencial perfil metabólico para estas especies, la falta de genomas fue un obstáculo adicional. Aunque las plataformas bioinformáticas, como </w:t>
      </w:r>
      <w:r w:rsidRPr="004B06A0">
        <w:rPr>
          <w:rFonts w:eastAsia="Times New Roman" w:cs="Times New Roman"/>
          <w:color w:val="000000"/>
          <w:szCs w:val="24"/>
          <w:lang w:eastAsia="es-CR"/>
        </w:rPr>
        <w:lastRenderedPageBreak/>
        <w:t xml:space="preserve">ANTISMASH, son herramientas valiosas para explorar el potencial biosintético de metabolitos secundarios con actividad antimicrobiana, su utilidad se puede ver limitada por la ausencia de información disponible para realizar comparaciones. Esta situación es común en investigaciones que involucran aislamientos </w:t>
      </w:r>
      <w:r w:rsidR="00505A0A" w:rsidRPr="004B06A0">
        <w:rPr>
          <w:rFonts w:eastAsia="Times New Roman" w:cs="Times New Roman"/>
          <w:color w:val="000000"/>
          <w:szCs w:val="24"/>
          <w:lang w:eastAsia="es-CR"/>
        </w:rPr>
        <w:t>fúngicos ambientales</w:t>
      </w:r>
      <w:r w:rsidRPr="004B06A0">
        <w:rPr>
          <w:rFonts w:eastAsia="Times New Roman" w:cs="Times New Roman"/>
          <w:color w:val="000000"/>
          <w:szCs w:val="24"/>
          <w:lang w:eastAsia="es-CR"/>
        </w:rPr>
        <w:t xml:space="preserve"> poco estudiados, como lo son los manglares. Para abordar esta restricción, se podría considerar la secuenciación completa del genoma de los aislamientos en cuestión, lo que permitiría un análisis más exhaustivo y específico.</w:t>
      </w:r>
    </w:p>
    <w:p w14:paraId="18C06AFC" w14:textId="5A1BA5DC" w:rsidR="00AB0638" w:rsidRPr="00AB0638" w:rsidRDefault="004B06A0" w:rsidP="00AB0638">
      <w:pPr>
        <w:spacing w:after="0"/>
        <w:ind w:firstLine="720"/>
        <w:rPr>
          <w:rFonts w:eastAsia="Times New Roman" w:cs="Times New Roman"/>
          <w:color w:val="000000"/>
          <w:szCs w:val="24"/>
          <w:lang w:eastAsia="es-CR"/>
        </w:rPr>
      </w:pPr>
      <w:r w:rsidRPr="004B06A0">
        <w:rPr>
          <w:rFonts w:eastAsia="Times New Roman" w:cs="Times New Roman"/>
          <w:color w:val="000000"/>
          <w:szCs w:val="24"/>
          <w:lang w:eastAsia="es-CR"/>
        </w:rPr>
        <w:t xml:space="preserve"> </w:t>
      </w:r>
      <w:bookmarkStart w:id="139" w:name="_Toc24018786"/>
    </w:p>
    <w:p w14:paraId="74FBB2F7" w14:textId="40690A64" w:rsidR="4447C96C" w:rsidRDefault="4447C96C" w:rsidP="00BD15DC">
      <w:pPr>
        <w:pStyle w:val="Titulo10"/>
        <w:rPr>
          <w:lang w:eastAsia="es-CR"/>
        </w:rPr>
      </w:pPr>
      <w:bookmarkStart w:id="140" w:name="_Toc140204092"/>
      <w:r w:rsidRPr="4447C96C">
        <w:rPr>
          <w:lang w:eastAsia="es-CR"/>
        </w:rPr>
        <w:t>6. Conclusiones</w:t>
      </w:r>
      <w:bookmarkEnd w:id="139"/>
      <w:bookmarkEnd w:id="140"/>
    </w:p>
    <w:p w14:paraId="29FB2535" w14:textId="77777777" w:rsidR="00BD15DC" w:rsidRPr="00BD15DC" w:rsidRDefault="00BD15DC" w:rsidP="00BD15DC">
      <w:pPr>
        <w:pStyle w:val="Prrafodelista"/>
        <w:spacing w:after="0"/>
        <w:rPr>
          <w:rFonts w:eastAsia="Calibri"/>
          <w:szCs w:val="24"/>
          <w:lang w:eastAsia="es-CR"/>
        </w:rPr>
      </w:pPr>
    </w:p>
    <w:p w14:paraId="18FC06C1" w14:textId="11815734" w:rsidR="00360514" w:rsidRDefault="4447C96C" w:rsidP="4447C96C">
      <w:pPr>
        <w:pStyle w:val="Prrafodelista"/>
        <w:numPr>
          <w:ilvl w:val="0"/>
          <w:numId w:val="1"/>
        </w:numPr>
        <w:spacing w:after="0"/>
        <w:rPr>
          <w:rFonts w:eastAsia="Calibri"/>
          <w:szCs w:val="24"/>
          <w:lang w:eastAsia="es-CR"/>
        </w:rPr>
      </w:pPr>
      <w:r w:rsidRPr="4447C96C">
        <w:rPr>
          <w:rFonts w:cs="Times New Roman"/>
          <w:lang w:eastAsia="es-CR"/>
        </w:rPr>
        <w:t xml:space="preserve">Este estudio representa el primer reporte actualizado sobre hongos marinos con actividad antimicrobiana aislados de ecosistemas de manglar en Costa Rica. </w:t>
      </w:r>
    </w:p>
    <w:p w14:paraId="1A4FB2AD" w14:textId="19843CF0" w:rsidR="00360514" w:rsidRDefault="4447C96C" w:rsidP="4447C96C">
      <w:pPr>
        <w:pStyle w:val="Prrafodelista"/>
        <w:numPr>
          <w:ilvl w:val="0"/>
          <w:numId w:val="1"/>
        </w:numPr>
        <w:spacing w:after="0"/>
        <w:rPr>
          <w:rFonts w:eastAsia="Calibri"/>
          <w:szCs w:val="24"/>
          <w:lang w:eastAsia="es-CR"/>
        </w:rPr>
      </w:pPr>
      <w:r w:rsidRPr="4447C96C">
        <w:rPr>
          <w:rFonts w:cs="Times New Roman"/>
          <w:lang w:eastAsia="es-CR"/>
        </w:rPr>
        <w:t xml:space="preserve">El número de aislamientos, el tamaño de la muestra, las distintas morfologías macro y microscópicas de las cepas y los resultados obtenidos evidencian que los sedimentos del manglar de Puntarenas, Costa Rica, son un reservorio de gran diversidad fúngica con alto potencial biotecnológico. </w:t>
      </w:r>
    </w:p>
    <w:p w14:paraId="7E776CAB" w14:textId="5830FB14" w:rsidR="00360514" w:rsidRDefault="4447C96C" w:rsidP="4447C96C">
      <w:pPr>
        <w:pStyle w:val="Prrafodelista"/>
        <w:numPr>
          <w:ilvl w:val="0"/>
          <w:numId w:val="1"/>
        </w:numPr>
        <w:spacing w:after="0"/>
        <w:rPr>
          <w:rFonts w:eastAsia="Calibri"/>
          <w:szCs w:val="24"/>
          <w:lang w:eastAsia="es-CR"/>
        </w:rPr>
      </w:pPr>
      <w:r w:rsidRPr="4447C96C">
        <w:rPr>
          <w:rFonts w:cs="Times New Roman"/>
          <w:lang w:eastAsia="es-CR"/>
        </w:rPr>
        <w:t xml:space="preserve">Las metodologías diseñadas permitieron estimular la producción de metabolitos con actividad antimicrobiana de las cepas de hongos marinos aislados contra bacterias ESKAPE y hongos patógenos.  </w:t>
      </w:r>
    </w:p>
    <w:p w14:paraId="42D51F84" w14:textId="31F9DE5F" w:rsidR="00360514" w:rsidRDefault="4447C96C" w:rsidP="4447C96C">
      <w:pPr>
        <w:pStyle w:val="Prrafodelista"/>
        <w:numPr>
          <w:ilvl w:val="0"/>
          <w:numId w:val="1"/>
        </w:numPr>
        <w:spacing w:after="0"/>
        <w:rPr>
          <w:rFonts w:eastAsia="Calibri"/>
          <w:szCs w:val="24"/>
          <w:lang w:eastAsia="es-CR"/>
        </w:rPr>
      </w:pPr>
      <w:r w:rsidRPr="4447C96C">
        <w:rPr>
          <w:rFonts w:cs="Times New Roman"/>
          <w:lang w:eastAsia="es-CR"/>
        </w:rPr>
        <w:t xml:space="preserve">La ausencia de sal y el co-cultivo resultaron ser dos factores promotores de la producción de metabolitos secundarios con actividad antimicrobiana en los hongos marinos aislados, representando un enfoque prometedor para el descubrimiento de nuevos compuestos bioactivos.  </w:t>
      </w:r>
    </w:p>
    <w:p w14:paraId="54A06D79" w14:textId="346C8706" w:rsidR="00360514" w:rsidRDefault="4447C96C" w:rsidP="4447C96C">
      <w:pPr>
        <w:pStyle w:val="Prrafodelista"/>
        <w:numPr>
          <w:ilvl w:val="0"/>
          <w:numId w:val="1"/>
        </w:numPr>
        <w:spacing w:after="0"/>
        <w:rPr>
          <w:rFonts w:eastAsia="Calibri"/>
          <w:szCs w:val="24"/>
          <w:lang w:eastAsia="es-CR"/>
        </w:rPr>
      </w:pPr>
      <w:r w:rsidRPr="4447C96C">
        <w:rPr>
          <w:rFonts w:cs="Times New Roman"/>
          <w:lang w:eastAsia="es-CR"/>
        </w:rPr>
        <w:t xml:space="preserve">Las cepas aisladas con mayor actividad antimicrobiana en los extractos crudos y en los fraccionamientos </w:t>
      </w:r>
      <w:r w:rsidR="009775BE">
        <w:rPr>
          <w:rFonts w:cs="Times New Roman"/>
          <w:lang w:eastAsia="es-CR"/>
        </w:rPr>
        <w:t>de los cultivos líquidos</w:t>
      </w:r>
      <w:r w:rsidRPr="4447C96C">
        <w:rPr>
          <w:rFonts w:cs="Times New Roman"/>
          <w:lang w:eastAsia="es-CR"/>
        </w:rPr>
        <w:t xml:space="preserve"> se identificaron molecularmente en los géneros Penicillium, Aspergillus y Paraconiothyrium. </w:t>
      </w:r>
    </w:p>
    <w:p w14:paraId="1A49C1BD" w14:textId="0314E16A" w:rsidR="00360514" w:rsidRDefault="4447C96C" w:rsidP="4447C96C">
      <w:pPr>
        <w:pStyle w:val="Prrafodelista"/>
        <w:numPr>
          <w:ilvl w:val="0"/>
          <w:numId w:val="1"/>
        </w:numPr>
        <w:rPr>
          <w:rFonts w:eastAsia="Calibri"/>
          <w:szCs w:val="24"/>
        </w:rPr>
      </w:pPr>
      <w:r>
        <w:t>Los análisis bioinformáticos permitieron evidenciar una vez más la escasa información disponible acerca de hongos marinos, situación que refleja la necesidad de realizar más investigación en torno a este grupo de microorganismos. Así también. evidencia la importancia de este tipo de investigaciones, que sí bien conllevan un desarrollo metodológico sencillo, aportan gran cantidad de información y permiten ampliar horizontes para futuras investigaciones.</w:t>
      </w:r>
    </w:p>
    <w:p w14:paraId="2D8EE750" w14:textId="77777777" w:rsidR="00CA6072" w:rsidRDefault="00CA6072" w:rsidP="00CA6072">
      <w:pPr>
        <w:ind w:firstLine="360"/>
        <w:rPr>
          <w:rFonts w:cs="Times New Roman"/>
          <w:szCs w:val="24"/>
          <w:lang w:eastAsia="es-CR"/>
        </w:rPr>
      </w:pPr>
    </w:p>
    <w:p w14:paraId="12CED583" w14:textId="77777777" w:rsidR="00AB0638" w:rsidRPr="00CA6072" w:rsidRDefault="00AB0638" w:rsidP="00CA6072">
      <w:pPr>
        <w:ind w:firstLine="360"/>
        <w:rPr>
          <w:rFonts w:cs="Times New Roman"/>
          <w:szCs w:val="24"/>
          <w:lang w:eastAsia="es-CR"/>
        </w:rPr>
      </w:pPr>
    </w:p>
    <w:p w14:paraId="188CB96B" w14:textId="38087507" w:rsidR="003D6EA6" w:rsidRPr="003E141C" w:rsidRDefault="4447C96C" w:rsidP="009F69A4">
      <w:pPr>
        <w:pStyle w:val="Titulo10"/>
        <w:numPr>
          <w:ilvl w:val="0"/>
          <w:numId w:val="37"/>
        </w:numPr>
        <w:spacing w:before="0" w:after="240"/>
        <w:rPr>
          <w:lang w:eastAsia="es-CR"/>
        </w:rPr>
      </w:pPr>
      <w:bookmarkStart w:id="141" w:name="_Toc24018787"/>
      <w:bookmarkStart w:id="142" w:name="_Toc140204093"/>
      <w:r w:rsidRPr="4447C96C">
        <w:rPr>
          <w:lang w:eastAsia="es-CR"/>
        </w:rPr>
        <w:t>Recomendaciones</w:t>
      </w:r>
      <w:bookmarkEnd w:id="141"/>
      <w:bookmarkEnd w:id="142"/>
    </w:p>
    <w:p w14:paraId="5BD72654" w14:textId="4DDB4F0C" w:rsidR="00226111" w:rsidRDefault="4447C96C" w:rsidP="009F69A4">
      <w:pPr>
        <w:pStyle w:val="Prrafodelista"/>
        <w:numPr>
          <w:ilvl w:val="0"/>
          <w:numId w:val="38"/>
        </w:numPr>
        <w:spacing w:before="240"/>
        <w:rPr>
          <w:rFonts w:eastAsia="Calibri"/>
          <w:color w:val="000000" w:themeColor="text1"/>
          <w:szCs w:val="24"/>
        </w:rPr>
      </w:pPr>
      <w:r w:rsidRPr="4447C96C">
        <w:rPr>
          <w:rFonts w:eastAsia="Times New Roman" w:cs="Times New Roman"/>
          <w:color w:val="000000" w:themeColor="text1"/>
          <w:szCs w:val="24"/>
        </w:rPr>
        <w:t>Se requieren investigaciones adicionales para comprender los mecanismos metabólicos subyacentes de los hongos marinos para optimizar las condiciones de cultivo con el fin de mejorar los rendimientos en la producción de metabolitos con actividad antimicrobiana.</w:t>
      </w:r>
    </w:p>
    <w:p w14:paraId="27BB51E5" w14:textId="6DE61388" w:rsidR="00226111" w:rsidRDefault="4447C96C" w:rsidP="006B4E53">
      <w:pPr>
        <w:pStyle w:val="Prrafodelista"/>
        <w:numPr>
          <w:ilvl w:val="0"/>
          <w:numId w:val="38"/>
        </w:numPr>
        <w:rPr>
          <w:rFonts w:eastAsia="Calibri"/>
          <w:color w:val="000000" w:themeColor="text1"/>
          <w:szCs w:val="24"/>
        </w:rPr>
      </w:pPr>
      <w:r w:rsidRPr="4447C96C">
        <w:rPr>
          <w:rFonts w:eastAsia="Times New Roman" w:cs="Times New Roman"/>
          <w:color w:val="000000" w:themeColor="text1"/>
          <w:szCs w:val="24"/>
        </w:rPr>
        <w:t>Identificar cuáles son los estímulos adecuados que activan las rutas biosintéticas de metabolitos secundarios de cada grupo específico de hongos según las moléculas dianas de interés.</w:t>
      </w:r>
    </w:p>
    <w:p w14:paraId="3952F7B0" w14:textId="104CAEDA" w:rsidR="00226111" w:rsidRDefault="4447C96C" w:rsidP="006B4E53">
      <w:pPr>
        <w:pStyle w:val="Prrafodelista"/>
        <w:numPr>
          <w:ilvl w:val="0"/>
          <w:numId w:val="38"/>
        </w:numPr>
        <w:rPr>
          <w:rFonts w:eastAsia="Calibri"/>
          <w:color w:val="000000" w:themeColor="text1"/>
          <w:szCs w:val="24"/>
        </w:rPr>
      </w:pPr>
      <w:r w:rsidRPr="4447C96C">
        <w:rPr>
          <w:rFonts w:eastAsia="Times New Roman" w:cs="Times New Roman"/>
          <w:color w:val="000000" w:themeColor="text1"/>
          <w:szCs w:val="24"/>
        </w:rPr>
        <w:t>Realizar curvas de crecimiento de los hongos marinos para determinar la fase estacionaria y establecer una mejor relación entre los tiempos de incubación y co-cultivo y la producción de metabolitos secundarios.</w:t>
      </w:r>
    </w:p>
    <w:p w14:paraId="59CBCC8F" w14:textId="5DD37443" w:rsidR="00226111" w:rsidRDefault="4447C96C" w:rsidP="006B4E53">
      <w:pPr>
        <w:pStyle w:val="Prrafodelista"/>
        <w:numPr>
          <w:ilvl w:val="0"/>
          <w:numId w:val="38"/>
        </w:numPr>
        <w:rPr>
          <w:rFonts w:eastAsia="Calibri"/>
          <w:color w:val="000000" w:themeColor="text1"/>
          <w:szCs w:val="24"/>
        </w:rPr>
      </w:pPr>
      <w:r w:rsidRPr="4447C96C">
        <w:rPr>
          <w:rFonts w:eastAsia="Times New Roman" w:cs="Times New Roman"/>
          <w:color w:val="000000" w:themeColor="text1"/>
          <w:szCs w:val="24"/>
        </w:rPr>
        <w:t xml:space="preserve">Emplear solventes orgánicos </w:t>
      </w:r>
      <w:r w:rsidR="009775BE">
        <w:rPr>
          <w:rFonts w:eastAsia="Times New Roman" w:cs="Times New Roman"/>
          <w:color w:val="000000" w:themeColor="text1"/>
          <w:szCs w:val="24"/>
        </w:rPr>
        <w:t>para ejecutar una extracción líquido-líquido y</w:t>
      </w:r>
      <w:r w:rsidRPr="4447C96C">
        <w:rPr>
          <w:rFonts w:eastAsia="Times New Roman" w:cs="Times New Roman"/>
          <w:color w:val="000000" w:themeColor="text1"/>
          <w:szCs w:val="24"/>
        </w:rPr>
        <w:t xml:space="preserve"> lograr un aislamiento y concentración más eficiente de los metabolitos. </w:t>
      </w:r>
    </w:p>
    <w:p w14:paraId="74B4B8AF" w14:textId="03EF0076" w:rsidR="00226111" w:rsidRDefault="4447C96C" w:rsidP="006B4E53">
      <w:pPr>
        <w:pStyle w:val="Prrafodelista"/>
        <w:numPr>
          <w:ilvl w:val="0"/>
          <w:numId w:val="38"/>
        </w:numPr>
        <w:rPr>
          <w:rFonts w:eastAsia="Calibri"/>
          <w:color w:val="000000" w:themeColor="text1"/>
          <w:szCs w:val="24"/>
        </w:rPr>
      </w:pPr>
      <w:r w:rsidRPr="4447C96C">
        <w:rPr>
          <w:rFonts w:eastAsia="Times New Roman" w:cs="Times New Roman"/>
          <w:color w:val="000000" w:themeColor="text1"/>
          <w:szCs w:val="24"/>
        </w:rPr>
        <w:t xml:space="preserve">Realizar la identificación molecular preliminar con la región </w:t>
      </w:r>
      <w:r w:rsidRPr="4447C96C">
        <w:rPr>
          <w:rFonts w:eastAsia="Times New Roman" w:cs="Times New Roman"/>
          <w:i/>
          <w:iCs/>
          <w:color w:val="000000" w:themeColor="text1"/>
          <w:szCs w:val="24"/>
        </w:rPr>
        <w:t>ITS</w:t>
      </w:r>
      <w:r w:rsidRPr="4447C96C">
        <w:rPr>
          <w:rFonts w:eastAsia="Times New Roman" w:cs="Times New Roman"/>
          <w:color w:val="000000" w:themeColor="text1"/>
          <w:szCs w:val="24"/>
        </w:rPr>
        <w:t xml:space="preserve"> y, con la información obtenida, escoger </w:t>
      </w:r>
      <w:r w:rsidRPr="4447C96C">
        <w:rPr>
          <w:rFonts w:eastAsia="Times New Roman" w:cs="Times New Roman"/>
          <w:i/>
          <w:iCs/>
          <w:color w:val="000000" w:themeColor="text1"/>
          <w:szCs w:val="24"/>
        </w:rPr>
        <w:t xml:space="preserve">primers </w:t>
      </w:r>
      <w:r w:rsidRPr="4447C96C">
        <w:rPr>
          <w:rFonts w:eastAsia="Times New Roman" w:cs="Times New Roman"/>
          <w:color w:val="000000" w:themeColor="text1"/>
          <w:szCs w:val="24"/>
        </w:rPr>
        <w:t>más específicos para la identificación a nivel de especie.</w:t>
      </w:r>
    </w:p>
    <w:p w14:paraId="675EDAAC" w14:textId="506428CE" w:rsidR="00226111" w:rsidRPr="00B43FF1" w:rsidRDefault="4447C96C" w:rsidP="006B4E53">
      <w:pPr>
        <w:pStyle w:val="Prrafodelista"/>
        <w:numPr>
          <w:ilvl w:val="0"/>
          <w:numId w:val="38"/>
        </w:numPr>
        <w:rPr>
          <w:rFonts w:eastAsia="Calibri"/>
          <w:color w:val="000000" w:themeColor="text1"/>
          <w:szCs w:val="24"/>
        </w:rPr>
      </w:pPr>
      <w:r w:rsidRPr="4447C96C">
        <w:rPr>
          <w:rFonts w:eastAsia="Times New Roman" w:cs="Times New Roman"/>
          <w:color w:val="000000" w:themeColor="text1"/>
          <w:szCs w:val="24"/>
        </w:rPr>
        <w:t>Promover la bioprospección de microorganismos marinos con potencial biotecnológico para la I+D+i (investigación, desarrollo e innovación) y el Desarrollo Sostenible de las zonas marino-costeras.</w:t>
      </w:r>
    </w:p>
    <w:p w14:paraId="7F504895" w14:textId="307BB0B3" w:rsidR="00B43FF1" w:rsidRDefault="00B43FF1" w:rsidP="006B4E53">
      <w:pPr>
        <w:pStyle w:val="Prrafodelista"/>
        <w:numPr>
          <w:ilvl w:val="0"/>
          <w:numId w:val="38"/>
        </w:numPr>
        <w:rPr>
          <w:rFonts w:eastAsia="Calibri"/>
          <w:color w:val="000000" w:themeColor="text1"/>
          <w:szCs w:val="24"/>
        </w:rPr>
      </w:pPr>
      <w:r>
        <w:rPr>
          <w:rFonts w:eastAsia="Times New Roman" w:cs="Times New Roman"/>
          <w:color w:val="000000" w:themeColor="text1"/>
          <w:szCs w:val="24"/>
        </w:rPr>
        <w:t>Secuenciar</w:t>
      </w:r>
      <w:r w:rsidR="002F6E53">
        <w:rPr>
          <w:rFonts w:eastAsia="Times New Roman" w:cs="Times New Roman"/>
          <w:color w:val="000000" w:themeColor="text1"/>
          <w:szCs w:val="24"/>
        </w:rPr>
        <w:t xml:space="preserve"> </w:t>
      </w:r>
      <w:r w:rsidR="00D24134">
        <w:rPr>
          <w:rFonts w:cs="Times New Roman"/>
          <w:szCs w:val="24"/>
          <w:lang w:eastAsia="es-CR"/>
        </w:rPr>
        <w:t>genomas completos de aislamientos ambientales costarricenses que faciliten a futuro abordajes computacionales de genómica comparativa.</w:t>
      </w:r>
    </w:p>
    <w:p w14:paraId="0600557B" w14:textId="289FA850" w:rsidR="00226111" w:rsidRDefault="00226111" w:rsidP="009F69A4">
      <w:pPr>
        <w:spacing w:after="0"/>
        <w:jc w:val="left"/>
        <w:rPr>
          <w:rFonts w:cs="Times New Roman"/>
          <w:lang w:eastAsia="es-CR"/>
        </w:rPr>
      </w:pPr>
    </w:p>
    <w:p w14:paraId="0BC4A3AA" w14:textId="606E635E" w:rsidR="003D6EA6" w:rsidRPr="009F69A4" w:rsidRDefault="00082753" w:rsidP="009F69A4">
      <w:pPr>
        <w:pStyle w:val="Titulo10"/>
        <w:numPr>
          <w:ilvl w:val="0"/>
          <w:numId w:val="38"/>
        </w:numPr>
        <w:spacing w:before="0"/>
        <w:rPr>
          <w:lang w:eastAsia="es-CR"/>
        </w:rPr>
      </w:pPr>
      <w:bookmarkStart w:id="143" w:name="_Toc140204094"/>
      <w:r>
        <w:rPr>
          <w:lang w:eastAsia="es-CR"/>
        </w:rPr>
        <w:t>Fuentes de Financiamiento</w:t>
      </w:r>
      <w:bookmarkEnd w:id="143"/>
    </w:p>
    <w:p w14:paraId="20ACA0CE" w14:textId="0492B8B5" w:rsidR="00082753" w:rsidRDefault="00082753" w:rsidP="009F69A4">
      <w:pPr>
        <w:spacing w:before="240" w:after="0"/>
        <w:ind w:firstLine="708"/>
        <w:rPr>
          <w:rFonts w:cs="Times New Roman"/>
          <w:szCs w:val="24"/>
        </w:rPr>
      </w:pPr>
      <w:r>
        <w:rPr>
          <w:rFonts w:cs="Times New Roman"/>
          <w:szCs w:val="24"/>
        </w:rPr>
        <w:t xml:space="preserve">Esta investigación contó con el financiamiento del </w:t>
      </w:r>
      <w:bookmarkStart w:id="144" w:name="_Hlk138639476"/>
      <w:r>
        <w:rPr>
          <w:rFonts w:cs="Times New Roman"/>
          <w:szCs w:val="24"/>
        </w:rPr>
        <w:t>Fondo Especial para la Educación Superior (FEES) y del</w:t>
      </w:r>
      <w:r w:rsidRPr="00FC45BF">
        <w:rPr>
          <w:rFonts w:cs="Times New Roman"/>
          <w:szCs w:val="24"/>
        </w:rPr>
        <w:t xml:space="preserve"> Fondo para el Fortalecimiento de las Capacidades Estudiantiles (FOCAES)</w:t>
      </w:r>
      <w:r>
        <w:rPr>
          <w:rFonts w:cs="Times New Roman"/>
          <w:szCs w:val="24"/>
        </w:rPr>
        <w:t xml:space="preserve"> de la Universidad Nacional de Costa Rica.</w:t>
      </w:r>
      <w:bookmarkEnd w:id="144"/>
    </w:p>
    <w:p w14:paraId="2BE6C63E" w14:textId="77777777" w:rsidR="003D6EA6" w:rsidRDefault="003D6EA6" w:rsidP="003E141C">
      <w:pPr>
        <w:ind w:firstLine="708"/>
        <w:rPr>
          <w:lang w:eastAsia="es-CR"/>
        </w:rPr>
      </w:pPr>
    </w:p>
    <w:p w14:paraId="09BC87A6" w14:textId="40274238" w:rsidR="00082753" w:rsidRDefault="00082753" w:rsidP="003D6EA6">
      <w:pPr>
        <w:pStyle w:val="Titulo10"/>
        <w:numPr>
          <w:ilvl w:val="0"/>
          <w:numId w:val="38"/>
        </w:numPr>
        <w:spacing w:before="0"/>
        <w:rPr>
          <w:lang w:eastAsia="es-CR"/>
        </w:rPr>
      </w:pPr>
      <w:bookmarkStart w:id="145" w:name="_Toc140204095"/>
      <w:r>
        <w:rPr>
          <w:lang w:eastAsia="es-CR"/>
        </w:rPr>
        <w:lastRenderedPageBreak/>
        <w:t>Conflictos de intereses</w:t>
      </w:r>
      <w:bookmarkEnd w:id="145"/>
    </w:p>
    <w:p w14:paraId="56211058" w14:textId="079EE169" w:rsidR="00915053" w:rsidRDefault="008F213E" w:rsidP="009F69A4">
      <w:pPr>
        <w:spacing w:before="240" w:after="0"/>
        <w:ind w:firstLine="708"/>
        <w:rPr>
          <w:lang w:eastAsia="es-CR"/>
        </w:rPr>
      </w:pPr>
      <w:r>
        <w:rPr>
          <w:lang w:eastAsia="es-CR"/>
        </w:rPr>
        <w:t>Los participantes de esta investigación decl</w:t>
      </w:r>
      <w:r w:rsidR="00746070">
        <w:rPr>
          <w:lang w:eastAsia="es-CR"/>
        </w:rPr>
        <w:t>aran que no existe conflicto de intereses en desarrollo de esta investigación.</w:t>
      </w:r>
    </w:p>
    <w:p w14:paraId="39500CD5" w14:textId="3D9BF437" w:rsidR="00DC6E9A" w:rsidRDefault="4447C96C" w:rsidP="006B4E53">
      <w:pPr>
        <w:pStyle w:val="Titulo10"/>
        <w:numPr>
          <w:ilvl w:val="0"/>
          <w:numId w:val="38"/>
        </w:numPr>
        <w:spacing w:before="0"/>
      </w:pPr>
      <w:bookmarkStart w:id="146" w:name="_Toc24018788"/>
      <w:bookmarkStart w:id="147" w:name="_Toc140204096"/>
      <w:r>
        <w:t>Referencias</w:t>
      </w:r>
      <w:bookmarkEnd w:id="146"/>
      <w:bookmarkEnd w:id="147"/>
    </w:p>
    <w:p w14:paraId="596AE366" w14:textId="77777777" w:rsidR="00413EC4" w:rsidRDefault="00413EC4" w:rsidP="00413EC4">
      <w:pPr>
        <w:pStyle w:val="Titulo10"/>
        <w:spacing w:before="0"/>
        <w:ind w:left="1080"/>
        <w:jc w:val="both"/>
      </w:pPr>
    </w:p>
    <w:p w14:paraId="6D23139F"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fldChar w:fldCharType="begin" w:fldLock="1"/>
      </w:r>
      <w:r>
        <w:instrText xml:space="preserve">ADDIN Mendeley Bibliography CSL_BIBLIOGRAPHY </w:instrText>
      </w:r>
      <w:r>
        <w:fldChar w:fldCharType="separate"/>
      </w:r>
      <w:r w:rsidRPr="00413EC4">
        <w:rPr>
          <w:rFonts w:cs="Times New Roman"/>
          <w:noProof/>
          <w:szCs w:val="24"/>
        </w:rPr>
        <w:t xml:space="preserve">Abdelmohsen, U. R., Balasubramanian, S., Oelschlaeger, T. A., Grkovic, T., Pham, N. B., Quinn, R. J., &amp; Hentschel, U. (2017). </w:t>
      </w:r>
      <w:r w:rsidRPr="00971EDD">
        <w:rPr>
          <w:rFonts w:cs="Times New Roman"/>
          <w:noProof/>
          <w:szCs w:val="24"/>
          <w:lang w:val="en-US"/>
        </w:rPr>
        <w:t xml:space="preserve">Potential of marine natural products against drug-resistant fungal, viral, and parasitic infections. </w:t>
      </w:r>
      <w:r w:rsidRPr="00971EDD">
        <w:rPr>
          <w:rFonts w:cs="Times New Roman"/>
          <w:i/>
          <w:iCs/>
          <w:noProof/>
          <w:szCs w:val="24"/>
          <w:lang w:val="en-US"/>
        </w:rPr>
        <w:t>The Lancet Infectious Diseases</w:t>
      </w:r>
      <w:r w:rsidRPr="00971EDD">
        <w:rPr>
          <w:rFonts w:cs="Times New Roman"/>
          <w:noProof/>
          <w:szCs w:val="24"/>
          <w:lang w:val="en-US"/>
        </w:rPr>
        <w:t xml:space="preserve">, </w:t>
      </w:r>
      <w:r w:rsidRPr="00971EDD">
        <w:rPr>
          <w:rFonts w:cs="Times New Roman"/>
          <w:i/>
          <w:iCs/>
          <w:noProof/>
          <w:szCs w:val="24"/>
          <w:lang w:val="en-US"/>
        </w:rPr>
        <w:t>17</w:t>
      </w:r>
      <w:r w:rsidRPr="00971EDD">
        <w:rPr>
          <w:rFonts w:cs="Times New Roman"/>
          <w:noProof/>
          <w:szCs w:val="24"/>
          <w:lang w:val="en-US"/>
        </w:rPr>
        <w:t>(2), e30–e41. https://doi.org/10.1016/s1473-3099(16)30323-1</w:t>
      </w:r>
    </w:p>
    <w:p w14:paraId="75B4AFB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Balajee, S. A., Borman, A. M., Brandt, M. E., Cano, J., Cuenca-Estrella, M., Dannaoui, E., … </w:t>
      </w:r>
      <w:r w:rsidRPr="00971EDD">
        <w:rPr>
          <w:rFonts w:cs="Times New Roman"/>
          <w:noProof/>
          <w:szCs w:val="24"/>
          <w:lang w:val="en-US"/>
        </w:rPr>
        <w:t xml:space="preserve">Wickes, B. L. (2009). Sequence-based identification of aspergillus, fusarium, and mucorales species in the clinical mycology laboratory: Where are we and where should we go from here? </w:t>
      </w:r>
      <w:r w:rsidRPr="00971EDD">
        <w:rPr>
          <w:rFonts w:cs="Times New Roman"/>
          <w:i/>
          <w:iCs/>
          <w:noProof/>
          <w:szCs w:val="24"/>
          <w:lang w:val="en-US"/>
        </w:rPr>
        <w:t>Journal of Clinical Microbiology</w:t>
      </w:r>
      <w:r w:rsidRPr="00971EDD">
        <w:rPr>
          <w:rFonts w:cs="Times New Roman"/>
          <w:noProof/>
          <w:szCs w:val="24"/>
          <w:lang w:val="en-US"/>
        </w:rPr>
        <w:t xml:space="preserve">, </w:t>
      </w:r>
      <w:r w:rsidRPr="00971EDD">
        <w:rPr>
          <w:rFonts w:cs="Times New Roman"/>
          <w:i/>
          <w:iCs/>
          <w:noProof/>
          <w:szCs w:val="24"/>
          <w:lang w:val="en-US"/>
        </w:rPr>
        <w:t>47</w:t>
      </w:r>
      <w:r w:rsidRPr="00971EDD">
        <w:rPr>
          <w:rFonts w:cs="Times New Roman"/>
          <w:noProof/>
          <w:szCs w:val="24"/>
          <w:lang w:val="en-US"/>
        </w:rPr>
        <w:t>(4), 877–884. https://doi.org/10.1128/JCM.01685-08</w:t>
      </w:r>
    </w:p>
    <w:p w14:paraId="2FC63AE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Balajee, S. A., Houbraken, J., Verweij, P. E., Hong, S. B., Yaghuchi, T., Varga, J., &amp; Samson, R. A. (2007). Aspergillus species identification in the clinical setting. </w:t>
      </w:r>
      <w:r w:rsidRPr="00971EDD">
        <w:rPr>
          <w:rFonts w:cs="Times New Roman"/>
          <w:i/>
          <w:iCs/>
          <w:noProof/>
          <w:szCs w:val="24"/>
          <w:lang w:val="en-US"/>
        </w:rPr>
        <w:t>Studies in Mycology</w:t>
      </w:r>
      <w:r w:rsidRPr="00971EDD">
        <w:rPr>
          <w:rFonts w:cs="Times New Roman"/>
          <w:noProof/>
          <w:szCs w:val="24"/>
          <w:lang w:val="en-US"/>
        </w:rPr>
        <w:t xml:space="preserve">, </w:t>
      </w:r>
      <w:r w:rsidRPr="00971EDD">
        <w:rPr>
          <w:rFonts w:cs="Times New Roman"/>
          <w:i/>
          <w:iCs/>
          <w:noProof/>
          <w:szCs w:val="24"/>
          <w:lang w:val="en-US"/>
        </w:rPr>
        <w:t>59</w:t>
      </w:r>
      <w:r w:rsidRPr="00971EDD">
        <w:rPr>
          <w:rFonts w:cs="Times New Roman"/>
          <w:noProof/>
          <w:szCs w:val="24"/>
          <w:lang w:val="en-US"/>
        </w:rPr>
        <w:t>, 39–46. https://doi.org/10.3114/sim.2007.59.05</w:t>
      </w:r>
    </w:p>
    <w:p w14:paraId="62CD882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Balajee, S. Arunmozhi, Nickle, D., Varga, J., &amp; Marr, K. A. (2006). Molecular studies reveal frequent misidentification of Aspergillus fumigatus by morphotyping. </w:t>
      </w:r>
      <w:r w:rsidRPr="00971EDD">
        <w:rPr>
          <w:rFonts w:cs="Times New Roman"/>
          <w:i/>
          <w:iCs/>
          <w:noProof/>
          <w:szCs w:val="24"/>
          <w:lang w:val="en-US"/>
        </w:rPr>
        <w:t>Eukaryotic Cell</w:t>
      </w:r>
      <w:r w:rsidRPr="00971EDD">
        <w:rPr>
          <w:rFonts w:cs="Times New Roman"/>
          <w:noProof/>
          <w:szCs w:val="24"/>
          <w:lang w:val="en-US"/>
        </w:rPr>
        <w:t xml:space="preserve">, </w:t>
      </w:r>
      <w:r w:rsidRPr="00971EDD">
        <w:rPr>
          <w:rFonts w:cs="Times New Roman"/>
          <w:i/>
          <w:iCs/>
          <w:noProof/>
          <w:szCs w:val="24"/>
          <w:lang w:val="en-US"/>
        </w:rPr>
        <w:t>5</w:t>
      </w:r>
      <w:r w:rsidRPr="00971EDD">
        <w:rPr>
          <w:rFonts w:cs="Times New Roman"/>
          <w:noProof/>
          <w:szCs w:val="24"/>
          <w:lang w:val="en-US"/>
        </w:rPr>
        <w:t>(10), 1705–1712. https://doi.org/10.1128/EC.00162-06</w:t>
      </w:r>
    </w:p>
    <w:p w14:paraId="01ED25C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Begerow, D., Nilsson, H., Unterseher, M., &amp; Maier, W. (2010). Current state and perspectives of fungal DNA barcoding and rapid identification procedures. </w:t>
      </w:r>
      <w:r w:rsidRPr="00971EDD">
        <w:rPr>
          <w:rFonts w:cs="Times New Roman"/>
          <w:i/>
          <w:iCs/>
          <w:noProof/>
          <w:szCs w:val="24"/>
          <w:lang w:val="en-US"/>
        </w:rPr>
        <w:t>Applied Microbiology and Biotechnology</w:t>
      </w:r>
      <w:r w:rsidRPr="00971EDD">
        <w:rPr>
          <w:rFonts w:cs="Times New Roman"/>
          <w:noProof/>
          <w:szCs w:val="24"/>
          <w:lang w:val="en-US"/>
        </w:rPr>
        <w:t xml:space="preserve">, </w:t>
      </w:r>
      <w:r w:rsidRPr="00971EDD">
        <w:rPr>
          <w:rFonts w:cs="Times New Roman"/>
          <w:i/>
          <w:iCs/>
          <w:noProof/>
          <w:szCs w:val="24"/>
          <w:lang w:val="en-US"/>
        </w:rPr>
        <w:t>87</w:t>
      </w:r>
      <w:r w:rsidRPr="00971EDD">
        <w:rPr>
          <w:rFonts w:cs="Times New Roman"/>
          <w:noProof/>
          <w:szCs w:val="24"/>
          <w:lang w:val="en-US"/>
        </w:rPr>
        <w:t>(1), 99–108. https://doi.org/10.1007/s00253-010-2585-4</w:t>
      </w:r>
    </w:p>
    <w:p w14:paraId="01CEDC1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Bellemain, E., Carlsen, T., Brochmann, C., Coissac, E., Taberlet, P., &amp; Kauserud, H. (2010). ITS as an environmental DNA barcode for fungi : An in silico approach reveals potential PCR biases. </w:t>
      </w:r>
      <w:r w:rsidRPr="00971EDD">
        <w:rPr>
          <w:rFonts w:cs="Times New Roman"/>
          <w:i/>
          <w:iCs/>
          <w:noProof/>
          <w:szCs w:val="24"/>
          <w:lang w:val="en-US"/>
        </w:rPr>
        <w:t>BMC Microbiology 2010,</w:t>
      </w:r>
      <w:r w:rsidRPr="00971EDD">
        <w:rPr>
          <w:rFonts w:cs="Times New Roman"/>
          <w:noProof/>
          <w:szCs w:val="24"/>
          <w:lang w:val="en-US"/>
        </w:rPr>
        <w:t xml:space="preserve"> </w:t>
      </w:r>
      <w:r w:rsidRPr="00971EDD">
        <w:rPr>
          <w:rFonts w:cs="Times New Roman"/>
          <w:i/>
          <w:iCs/>
          <w:noProof/>
          <w:szCs w:val="24"/>
          <w:lang w:val="en-US"/>
        </w:rPr>
        <w:t>10</w:t>
      </w:r>
      <w:r w:rsidRPr="00971EDD">
        <w:rPr>
          <w:rFonts w:cs="Times New Roman"/>
          <w:noProof/>
          <w:szCs w:val="24"/>
          <w:lang w:val="en-US"/>
        </w:rPr>
        <w:t>(109), 1–9. https://doi.org/https://doi.org/10.1186/1471-2180-10-189</w:t>
      </w:r>
    </w:p>
    <w:p w14:paraId="77DE634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Bensehaila, S., Ilias, F., Saadi, F., &amp; Zaouadi, N. (2022). Phenolic Compounds and Antimicrobial </w:t>
      </w:r>
      <w:r w:rsidRPr="00971EDD">
        <w:rPr>
          <w:rFonts w:cs="Times New Roman"/>
          <w:noProof/>
          <w:szCs w:val="24"/>
          <w:lang w:val="en-US"/>
        </w:rPr>
        <w:lastRenderedPageBreak/>
        <w:t xml:space="preserve">Activity of Olive (Olea europaea L.) Leaves. </w:t>
      </w:r>
      <w:r w:rsidRPr="00971EDD">
        <w:rPr>
          <w:rFonts w:cs="Times New Roman"/>
          <w:i/>
          <w:iCs/>
          <w:noProof/>
          <w:szCs w:val="24"/>
          <w:lang w:val="en-US"/>
        </w:rPr>
        <w:t>Asian Journal of Dairy and Food Research</w:t>
      </w:r>
      <w:r w:rsidRPr="00971EDD">
        <w:rPr>
          <w:rFonts w:cs="Times New Roman"/>
          <w:noProof/>
          <w:szCs w:val="24"/>
          <w:lang w:val="en-US"/>
        </w:rPr>
        <w:t xml:space="preserve">, </w:t>
      </w:r>
      <w:r w:rsidRPr="00971EDD">
        <w:rPr>
          <w:rFonts w:cs="Times New Roman"/>
          <w:i/>
          <w:iCs/>
          <w:noProof/>
          <w:szCs w:val="24"/>
          <w:lang w:val="en-US"/>
        </w:rPr>
        <w:t>41</w:t>
      </w:r>
      <w:r w:rsidRPr="00971EDD">
        <w:rPr>
          <w:rFonts w:cs="Times New Roman"/>
          <w:noProof/>
          <w:szCs w:val="24"/>
          <w:lang w:val="en-US"/>
        </w:rPr>
        <w:t>(2), 237–241. https://doi.org/10.18805/ajdfr.DR-240</w:t>
      </w:r>
    </w:p>
    <w:p w14:paraId="2993947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Bertrand, S., Bohni, N., Schnee, S., Schumpp, O., Gindro, K., &amp; Wolfender, J. L. (2014). Metabolite induction via microorganism co-culture: A potential way to enhance chemical diversity for drug discovery. </w:t>
      </w:r>
      <w:r w:rsidRPr="00971EDD">
        <w:rPr>
          <w:rFonts w:cs="Times New Roman"/>
          <w:i/>
          <w:iCs/>
          <w:noProof/>
          <w:szCs w:val="24"/>
          <w:lang w:val="en-US"/>
        </w:rPr>
        <w:t>Biotechnology Advances</w:t>
      </w:r>
      <w:r w:rsidRPr="00971EDD">
        <w:rPr>
          <w:rFonts w:cs="Times New Roman"/>
          <w:noProof/>
          <w:szCs w:val="24"/>
          <w:lang w:val="en-US"/>
        </w:rPr>
        <w:t xml:space="preserve">, </w:t>
      </w:r>
      <w:r w:rsidRPr="00971EDD">
        <w:rPr>
          <w:rFonts w:cs="Times New Roman"/>
          <w:i/>
          <w:iCs/>
          <w:noProof/>
          <w:szCs w:val="24"/>
          <w:lang w:val="en-US"/>
        </w:rPr>
        <w:t>32</w:t>
      </w:r>
      <w:r w:rsidRPr="00971EDD">
        <w:rPr>
          <w:rFonts w:cs="Times New Roman"/>
          <w:noProof/>
          <w:szCs w:val="24"/>
          <w:lang w:val="en-US"/>
        </w:rPr>
        <w:t>(6), 1180–1204. https://doi.org/10.1016/j.biotechadv.2014.03.001</w:t>
      </w:r>
    </w:p>
    <w:p w14:paraId="1DB3B7B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Bhattacharyya, S., Walker, D. M., &amp; Harshey, R. M. (2020). Dead cells release a ‘necrosignal’ that activates antibiotic survival pathways in bacterial swarms. </w:t>
      </w:r>
      <w:r w:rsidRPr="00971EDD">
        <w:rPr>
          <w:rFonts w:cs="Times New Roman"/>
          <w:i/>
          <w:iCs/>
          <w:noProof/>
          <w:szCs w:val="24"/>
          <w:lang w:val="en-US"/>
        </w:rPr>
        <w:t>Nature Communications</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(1), 1–12. https://doi.org/10.1038/s41467-020-17709-0</w:t>
      </w:r>
    </w:p>
    <w:p w14:paraId="129B54C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Biharee, A., Sharma, A., Kumar, A., &amp; Jaitak, V. (2020). Antimicrobial flavonoids as a potential substitute for overcoming antimicrobial resistance. </w:t>
      </w:r>
      <w:r w:rsidRPr="00971EDD">
        <w:rPr>
          <w:rFonts w:cs="Times New Roman"/>
          <w:i/>
          <w:iCs/>
          <w:noProof/>
          <w:szCs w:val="24"/>
          <w:lang w:val="en-US"/>
        </w:rPr>
        <w:t>Fitoterapia</w:t>
      </w:r>
      <w:r w:rsidRPr="00971EDD">
        <w:rPr>
          <w:rFonts w:cs="Times New Roman"/>
          <w:noProof/>
          <w:szCs w:val="24"/>
          <w:lang w:val="en-US"/>
        </w:rPr>
        <w:t xml:space="preserve">, </w:t>
      </w:r>
      <w:r w:rsidRPr="00971EDD">
        <w:rPr>
          <w:rFonts w:cs="Times New Roman"/>
          <w:i/>
          <w:iCs/>
          <w:noProof/>
          <w:szCs w:val="24"/>
          <w:lang w:val="en-US"/>
        </w:rPr>
        <w:t>146</w:t>
      </w:r>
      <w:r w:rsidRPr="00971EDD">
        <w:rPr>
          <w:rFonts w:cs="Times New Roman"/>
          <w:noProof/>
          <w:szCs w:val="24"/>
          <w:lang w:val="en-US"/>
        </w:rPr>
        <w:t>(June), 104720. https://doi.org/10.1016/j.fitote.2020.104720</w:t>
      </w:r>
    </w:p>
    <w:p w14:paraId="6C0F13D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Blair, J. M. A., Webber, M. A., Baylay, A. J., Ogbolu, D. O., &amp; Piddock, L. J. V. (2015). Molecular mechanisms of antibiotic resistance. </w:t>
      </w:r>
      <w:r w:rsidRPr="00971EDD">
        <w:rPr>
          <w:rFonts w:cs="Times New Roman"/>
          <w:i/>
          <w:iCs/>
          <w:noProof/>
          <w:szCs w:val="24"/>
          <w:lang w:val="en-US"/>
        </w:rPr>
        <w:t>Nature Reviews Microbiology</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(1), 42–51. https://doi.org/10.1038/nrmicro3380</w:t>
      </w:r>
    </w:p>
    <w:p w14:paraId="197984B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Blunt, J. W., Copp, B. R., Keyzers, R. A., Munro, M. H. ., &amp; Prinsep, M. R. (2015). Marine natural products. </w:t>
      </w:r>
      <w:r w:rsidRPr="00971EDD">
        <w:rPr>
          <w:rFonts w:cs="Times New Roman"/>
          <w:i/>
          <w:iCs/>
          <w:noProof/>
          <w:szCs w:val="24"/>
          <w:lang w:val="en-US"/>
        </w:rPr>
        <w:t>Natural Product Reports</w:t>
      </w:r>
      <w:r w:rsidRPr="00971EDD">
        <w:rPr>
          <w:rFonts w:cs="Times New Roman"/>
          <w:noProof/>
          <w:szCs w:val="24"/>
          <w:lang w:val="en-US"/>
        </w:rPr>
        <w:t xml:space="preserve">, </w:t>
      </w:r>
      <w:r w:rsidRPr="00971EDD">
        <w:rPr>
          <w:rFonts w:cs="Times New Roman"/>
          <w:i/>
          <w:iCs/>
          <w:noProof/>
          <w:szCs w:val="24"/>
          <w:lang w:val="en-US"/>
        </w:rPr>
        <w:t>36</w:t>
      </w:r>
      <w:r w:rsidRPr="00971EDD">
        <w:rPr>
          <w:rFonts w:cs="Times New Roman"/>
          <w:noProof/>
          <w:szCs w:val="24"/>
          <w:lang w:val="en-US"/>
        </w:rPr>
        <w:t>(1), 122–173. https://doi.org/10.1039/c8np00092a</w:t>
      </w:r>
    </w:p>
    <w:p w14:paraId="65E41C6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Bonugli-Santos, R. C., dos Santos Vasconcelos, M. R., Passarini, M. R. Z., Vieira, G. A. L., Lopes, V. C. P., Mainardi, P. H., … Sette, L. D. (2015). Marine-derived fungi: diversity of enzymes and biotechnological applications. </w:t>
      </w:r>
      <w:r w:rsidRPr="00971EDD">
        <w:rPr>
          <w:rFonts w:cs="Times New Roman"/>
          <w:i/>
          <w:iCs/>
          <w:noProof/>
          <w:szCs w:val="24"/>
          <w:lang w:val="en-US"/>
        </w:rPr>
        <w:t>Frontiers in Microbiology</w:t>
      </w:r>
      <w:r w:rsidRPr="00971EDD">
        <w:rPr>
          <w:rFonts w:cs="Times New Roman"/>
          <w:noProof/>
          <w:szCs w:val="24"/>
          <w:lang w:val="en-US"/>
        </w:rPr>
        <w:t xml:space="preserve">, </w:t>
      </w:r>
      <w:r w:rsidRPr="00971EDD">
        <w:rPr>
          <w:rFonts w:cs="Times New Roman"/>
          <w:i/>
          <w:iCs/>
          <w:noProof/>
          <w:szCs w:val="24"/>
          <w:lang w:val="en-US"/>
        </w:rPr>
        <w:t>6</w:t>
      </w:r>
      <w:r w:rsidRPr="00971EDD">
        <w:rPr>
          <w:rFonts w:cs="Times New Roman"/>
          <w:noProof/>
          <w:szCs w:val="24"/>
          <w:lang w:val="en-US"/>
        </w:rPr>
        <w:t>(April). https://doi.org/10.3389/fmicb.2015.00269</w:t>
      </w:r>
    </w:p>
    <w:p w14:paraId="7B221AF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Borbón, H., Alvarado-Mesén, J., Soto, R., &amp; Vega, I. (2015). Antimicrobial Properties and Screening of Secondary Metabolites Extracted from Sea Anemone </w:t>
      </w:r>
      <w:r w:rsidRPr="00971EDD">
        <w:rPr>
          <w:rFonts w:cs="Times New Roman"/>
          <w:i/>
          <w:iCs/>
          <w:noProof/>
          <w:szCs w:val="24"/>
          <w:lang w:val="en-US"/>
        </w:rPr>
        <w:t xml:space="preserve"> Anthopleura nigrescens </w:t>
      </w:r>
      <w:r w:rsidRPr="00971EDD">
        <w:rPr>
          <w:rFonts w:cs="Times New Roman"/>
          <w:noProof/>
          <w:szCs w:val="24"/>
          <w:lang w:val="en-US"/>
        </w:rPr>
        <w:t xml:space="preserve"> ( Cnidaria : Actiniaria : Actiniidae ) on the Pacific Coast of Costa Rica, </w:t>
      </w:r>
      <w:r w:rsidRPr="00971EDD">
        <w:rPr>
          <w:rFonts w:cs="Times New Roman"/>
          <w:i/>
          <w:iCs/>
          <w:noProof/>
          <w:szCs w:val="24"/>
          <w:lang w:val="en-US"/>
        </w:rPr>
        <w:t>134</w:t>
      </w:r>
      <w:r w:rsidRPr="00971EDD">
        <w:rPr>
          <w:rFonts w:cs="Times New Roman"/>
          <w:noProof/>
          <w:szCs w:val="24"/>
          <w:lang w:val="en-US"/>
        </w:rPr>
        <w:t>(2), 212–221.</w:t>
      </w:r>
    </w:p>
    <w:p w14:paraId="6671727C" w14:textId="77777777" w:rsidR="00FC7620" w:rsidRPr="00413EC4" w:rsidRDefault="00FC7620" w:rsidP="00FC7620">
      <w:pPr>
        <w:widowControl w:val="0"/>
        <w:autoSpaceDE w:val="0"/>
        <w:autoSpaceDN w:val="0"/>
        <w:adjustRightInd w:val="0"/>
        <w:ind w:left="480" w:hanging="480"/>
        <w:rPr>
          <w:rFonts w:cs="Times New Roman"/>
          <w:noProof/>
          <w:szCs w:val="24"/>
        </w:rPr>
      </w:pPr>
      <w:r w:rsidRPr="00413EC4">
        <w:rPr>
          <w:rFonts w:cs="Times New Roman"/>
          <w:noProof/>
          <w:szCs w:val="24"/>
        </w:rPr>
        <w:t xml:space="preserve">Calderón-Hernández, A. M. (2017). </w:t>
      </w:r>
      <w:r w:rsidRPr="00413EC4">
        <w:rPr>
          <w:rFonts w:cs="Times New Roman"/>
          <w:i/>
          <w:iCs/>
          <w:noProof/>
          <w:szCs w:val="24"/>
        </w:rPr>
        <w:t>Aislamiento e identificación de hongos en octocorales del Caribe de Costa Rica durante el Niño 2015-2016</w:t>
      </w:r>
      <w:r w:rsidRPr="00413EC4">
        <w:rPr>
          <w:rFonts w:cs="Times New Roman"/>
          <w:noProof/>
          <w:szCs w:val="24"/>
        </w:rPr>
        <w:t xml:space="preserve">. </w:t>
      </w:r>
      <w:r w:rsidRPr="00413EC4">
        <w:rPr>
          <w:rFonts w:cs="Times New Roman"/>
          <w:i/>
          <w:iCs/>
          <w:noProof/>
          <w:szCs w:val="24"/>
        </w:rPr>
        <w:t>Posgrado Regional de Ciencias Veterinarias Tropicales</w:t>
      </w:r>
      <w:r w:rsidRPr="00413EC4">
        <w:rPr>
          <w:rFonts w:cs="Times New Roman"/>
          <w:noProof/>
          <w:szCs w:val="24"/>
        </w:rPr>
        <w:t>. Universidad Nacional de Costa Rica.</w:t>
      </w:r>
    </w:p>
    <w:p w14:paraId="2941E98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Carroll, A. R., Copp, B. R., Davis, R. A., Keyzers, R. A., &amp; Prinsep, M. R. (2017). Marine natural </w:t>
      </w:r>
      <w:r w:rsidRPr="00971EDD">
        <w:rPr>
          <w:rFonts w:cs="Times New Roman"/>
          <w:noProof/>
          <w:szCs w:val="24"/>
          <w:lang w:val="en-US"/>
        </w:rPr>
        <w:lastRenderedPageBreak/>
        <w:t xml:space="preserve">products. </w:t>
      </w:r>
      <w:r w:rsidRPr="00971EDD">
        <w:rPr>
          <w:rFonts w:cs="Times New Roman"/>
          <w:i/>
          <w:iCs/>
          <w:noProof/>
          <w:szCs w:val="24"/>
          <w:lang w:val="en-US"/>
        </w:rPr>
        <w:t>Natural Product Reports</w:t>
      </w:r>
      <w:r w:rsidRPr="00971EDD">
        <w:rPr>
          <w:rFonts w:cs="Times New Roman"/>
          <w:noProof/>
          <w:szCs w:val="24"/>
          <w:lang w:val="en-US"/>
        </w:rPr>
        <w:t xml:space="preserve">, </w:t>
      </w:r>
      <w:r w:rsidRPr="00971EDD">
        <w:rPr>
          <w:rFonts w:cs="Times New Roman"/>
          <w:i/>
          <w:iCs/>
          <w:noProof/>
          <w:szCs w:val="24"/>
          <w:lang w:val="en-US"/>
        </w:rPr>
        <w:t>36</w:t>
      </w:r>
      <w:r w:rsidRPr="00971EDD">
        <w:rPr>
          <w:rFonts w:cs="Times New Roman"/>
          <w:noProof/>
          <w:szCs w:val="24"/>
          <w:lang w:val="en-US"/>
        </w:rPr>
        <w:t>(1), 122–173. https://doi.org/10.1039/c8np00092a</w:t>
      </w:r>
    </w:p>
    <w:p w14:paraId="60A8716D"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Chávez, R., Fierro, F., García-Rico, R. O., &amp; Vaca, I. (2015). Filamentous fungi from extreme environments as a promising source of novel bioactive secondary metabolites. </w:t>
      </w:r>
      <w:r w:rsidRPr="00971EDD">
        <w:rPr>
          <w:rFonts w:cs="Times New Roman"/>
          <w:i/>
          <w:iCs/>
          <w:noProof/>
          <w:szCs w:val="24"/>
          <w:lang w:val="en-US"/>
        </w:rPr>
        <w:t>Frontiers in Microbiology</w:t>
      </w:r>
      <w:r w:rsidRPr="00971EDD">
        <w:rPr>
          <w:rFonts w:cs="Times New Roman"/>
          <w:noProof/>
          <w:szCs w:val="24"/>
          <w:lang w:val="en-US"/>
        </w:rPr>
        <w:t xml:space="preserve">, </w:t>
      </w:r>
      <w:r w:rsidRPr="00971EDD">
        <w:rPr>
          <w:rFonts w:cs="Times New Roman"/>
          <w:i/>
          <w:iCs/>
          <w:noProof/>
          <w:szCs w:val="24"/>
          <w:lang w:val="en-US"/>
        </w:rPr>
        <w:t>6</w:t>
      </w:r>
      <w:r w:rsidRPr="00971EDD">
        <w:rPr>
          <w:rFonts w:cs="Times New Roman"/>
          <w:noProof/>
          <w:szCs w:val="24"/>
          <w:lang w:val="en-US"/>
        </w:rPr>
        <w:t>(SEP), 1–7. https://doi.org/10.3389/fmicb.2015.00903</w:t>
      </w:r>
    </w:p>
    <w:p w14:paraId="391441D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Chellat, M. F., Raguž, L., &amp; Riedl, R. (2016). Targeting Antibiotic Resistance. </w:t>
      </w:r>
      <w:r w:rsidRPr="00971EDD">
        <w:rPr>
          <w:rFonts w:cs="Times New Roman"/>
          <w:i/>
          <w:iCs/>
          <w:noProof/>
          <w:szCs w:val="24"/>
          <w:lang w:val="en-US"/>
        </w:rPr>
        <w:t>Angewandte Chemie - International Edition</w:t>
      </w:r>
      <w:r w:rsidRPr="00971EDD">
        <w:rPr>
          <w:rFonts w:cs="Times New Roman"/>
          <w:noProof/>
          <w:szCs w:val="24"/>
          <w:lang w:val="en-US"/>
        </w:rPr>
        <w:t xml:space="preserve">, </w:t>
      </w:r>
      <w:r w:rsidRPr="00971EDD">
        <w:rPr>
          <w:rFonts w:cs="Times New Roman"/>
          <w:i/>
          <w:iCs/>
          <w:noProof/>
          <w:szCs w:val="24"/>
          <w:lang w:val="en-US"/>
        </w:rPr>
        <w:t>55</w:t>
      </w:r>
      <w:r w:rsidRPr="00971EDD">
        <w:rPr>
          <w:rFonts w:cs="Times New Roman"/>
          <w:noProof/>
          <w:szCs w:val="24"/>
          <w:lang w:val="en-US"/>
        </w:rPr>
        <w:t>(23), 6600–6626. https://doi.org/10.1002/anie.201506818</w:t>
      </w:r>
    </w:p>
    <w:p w14:paraId="592E5D0C"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Chen, M., Shen, N. X., Chen, Z. Q., Zhang, F. M., &amp; Chen, Y. (2017). Penicilones A-D, Anti-MRSA Azaphilones from the Marine-Derived Fungus Penicillium janthinellum HK1-6. </w:t>
      </w:r>
      <w:r w:rsidRPr="00971EDD">
        <w:rPr>
          <w:rFonts w:cs="Times New Roman"/>
          <w:i/>
          <w:iCs/>
          <w:noProof/>
          <w:szCs w:val="24"/>
          <w:lang w:val="en-US"/>
        </w:rPr>
        <w:t>Journal of Natural Products</w:t>
      </w:r>
      <w:r w:rsidRPr="00971EDD">
        <w:rPr>
          <w:rFonts w:cs="Times New Roman"/>
          <w:noProof/>
          <w:szCs w:val="24"/>
          <w:lang w:val="en-US"/>
        </w:rPr>
        <w:t xml:space="preserve">, </w:t>
      </w:r>
      <w:r w:rsidRPr="00971EDD">
        <w:rPr>
          <w:rFonts w:cs="Times New Roman"/>
          <w:i/>
          <w:iCs/>
          <w:noProof/>
          <w:szCs w:val="24"/>
          <w:lang w:val="en-US"/>
        </w:rPr>
        <w:t>80</w:t>
      </w:r>
      <w:r w:rsidRPr="00971EDD">
        <w:rPr>
          <w:rFonts w:cs="Times New Roman"/>
          <w:noProof/>
          <w:szCs w:val="24"/>
          <w:lang w:val="en-US"/>
        </w:rPr>
        <w:t>(4), 1081–1086. https://doi.org/10.1021/acs.jnatprod.6b01179</w:t>
      </w:r>
    </w:p>
    <w:p w14:paraId="62B478F0"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t xml:space="preserve">Cheung, R. C. F., Ng, T. B., &amp; Wong, J. H. (2015). </w:t>
      </w:r>
      <w:r w:rsidRPr="00971EDD">
        <w:rPr>
          <w:rFonts w:cs="Times New Roman"/>
          <w:i/>
          <w:iCs/>
          <w:noProof/>
          <w:szCs w:val="24"/>
          <w:lang w:val="en-US"/>
        </w:rPr>
        <w:t>Marine peptides: Bioactivities and applications</w:t>
      </w:r>
      <w:r w:rsidRPr="00971EDD">
        <w:rPr>
          <w:rFonts w:cs="Times New Roman"/>
          <w:noProof/>
          <w:szCs w:val="24"/>
          <w:lang w:val="en-US"/>
        </w:rPr>
        <w:t xml:space="preserve">. </w:t>
      </w:r>
      <w:r w:rsidRPr="00413EC4">
        <w:rPr>
          <w:rFonts w:cs="Times New Roman"/>
          <w:i/>
          <w:iCs/>
          <w:noProof/>
          <w:szCs w:val="24"/>
        </w:rPr>
        <w:t>Marine Drugs</w:t>
      </w:r>
      <w:r w:rsidRPr="00413EC4">
        <w:rPr>
          <w:rFonts w:cs="Times New Roman"/>
          <w:noProof/>
          <w:szCs w:val="24"/>
        </w:rPr>
        <w:t xml:space="preserve"> (Vol. 13). https://doi.org/10.3390/md13074006</w:t>
      </w:r>
    </w:p>
    <w:p w14:paraId="40907863"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Comini, L. R., Montoya, S. C. N., Páez, P. L., Argüello, G. A., Albesa, I., &amp; Cabrera, J. L. (2011). </w:t>
      </w:r>
      <w:r w:rsidRPr="00971EDD">
        <w:rPr>
          <w:rFonts w:cs="Times New Roman"/>
          <w:noProof/>
          <w:szCs w:val="24"/>
          <w:lang w:val="en-US"/>
        </w:rPr>
        <w:t xml:space="preserve">Antibacterial activity of anthraquinone derivatives from Heterophyllaea pustulata (Rubiaceae). </w:t>
      </w:r>
      <w:r w:rsidRPr="00971EDD">
        <w:rPr>
          <w:rFonts w:cs="Times New Roman"/>
          <w:i/>
          <w:iCs/>
          <w:noProof/>
          <w:szCs w:val="24"/>
          <w:lang w:val="en-US"/>
        </w:rPr>
        <w:t>Journal of Photochemistry &amp; Photobiology, B: Biology</w:t>
      </w:r>
      <w:r w:rsidRPr="00971EDD">
        <w:rPr>
          <w:rFonts w:cs="Times New Roman"/>
          <w:noProof/>
          <w:szCs w:val="24"/>
          <w:lang w:val="en-US"/>
        </w:rPr>
        <w:t xml:space="preserve">, </w:t>
      </w:r>
      <w:r w:rsidRPr="00971EDD">
        <w:rPr>
          <w:rFonts w:cs="Times New Roman"/>
          <w:i/>
          <w:iCs/>
          <w:noProof/>
          <w:szCs w:val="24"/>
          <w:lang w:val="en-US"/>
        </w:rPr>
        <w:t>102</w:t>
      </w:r>
      <w:r w:rsidRPr="00971EDD">
        <w:rPr>
          <w:rFonts w:cs="Times New Roman"/>
          <w:noProof/>
          <w:szCs w:val="24"/>
          <w:lang w:val="en-US"/>
        </w:rPr>
        <w:t>(2), 108–114. https://doi.org/10.1016/j.jphotobiol.2010.09.009</w:t>
      </w:r>
    </w:p>
    <w:p w14:paraId="016748B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Cueto, M., Jensen, P. R., Kauffman, C., Fenical, W., Lobkovsky, E., &amp; Clardy, J. (2001). Pestalone, a new antibiotic produced by a marine fungus in response to bacterial challenge. </w:t>
      </w:r>
      <w:r w:rsidRPr="00971EDD">
        <w:rPr>
          <w:rFonts w:cs="Times New Roman"/>
          <w:i/>
          <w:iCs/>
          <w:noProof/>
          <w:szCs w:val="24"/>
          <w:lang w:val="en-US"/>
        </w:rPr>
        <w:t>Journal of Natural Products</w:t>
      </w:r>
      <w:r w:rsidRPr="00971EDD">
        <w:rPr>
          <w:rFonts w:cs="Times New Roman"/>
          <w:noProof/>
          <w:szCs w:val="24"/>
          <w:lang w:val="en-US"/>
        </w:rPr>
        <w:t xml:space="preserve">, </w:t>
      </w:r>
      <w:r w:rsidRPr="00971EDD">
        <w:rPr>
          <w:rFonts w:cs="Times New Roman"/>
          <w:i/>
          <w:iCs/>
          <w:noProof/>
          <w:szCs w:val="24"/>
          <w:lang w:val="en-US"/>
        </w:rPr>
        <w:t>64</w:t>
      </w:r>
      <w:r w:rsidRPr="00971EDD">
        <w:rPr>
          <w:rFonts w:cs="Times New Roman"/>
          <w:noProof/>
          <w:szCs w:val="24"/>
          <w:lang w:val="en-US"/>
        </w:rPr>
        <w:t>(11), 1444–1446. https://doi.org/10.1021/np0102713</w:t>
      </w:r>
    </w:p>
    <w:p w14:paraId="15E0E650" w14:textId="77777777" w:rsidR="00200992" w:rsidRDefault="00200992" w:rsidP="00FC7620">
      <w:pPr>
        <w:widowControl w:val="0"/>
        <w:autoSpaceDE w:val="0"/>
        <w:autoSpaceDN w:val="0"/>
        <w:adjustRightInd w:val="0"/>
        <w:ind w:left="480" w:hanging="480"/>
        <w:rPr>
          <w:rFonts w:cs="Times New Roman"/>
          <w:noProof/>
          <w:szCs w:val="24"/>
          <w:lang w:val="en-US"/>
        </w:rPr>
      </w:pPr>
      <w:r w:rsidRPr="00917819">
        <w:rPr>
          <w:rFonts w:cs="Times New Roman"/>
          <w:noProof/>
          <w:szCs w:val="24"/>
          <w:lang w:val="en-US"/>
        </w:rPr>
        <w:t xml:space="preserve">Cuomo, V., Palomba, I., Perretti, A., Guerriero, A., D'Ambrosio, M., &amp; Pietra, F. (1995). </w:t>
      </w:r>
      <w:r w:rsidRPr="00200992">
        <w:rPr>
          <w:rFonts w:cs="Times New Roman"/>
          <w:noProof/>
          <w:szCs w:val="24"/>
          <w:lang w:val="en-US"/>
        </w:rPr>
        <w:t>Antimicrobial activities from marine fungi. THE JOURNAL OF MARINE BIOTECHNOLOGY, 199-204.</w:t>
      </w:r>
    </w:p>
    <w:p w14:paraId="73EDFA4D" w14:textId="6D815684" w:rsidR="00FC7620" w:rsidRPr="00971EDD" w:rsidRDefault="00FC7620" w:rsidP="00FC7620">
      <w:pPr>
        <w:widowControl w:val="0"/>
        <w:autoSpaceDE w:val="0"/>
        <w:autoSpaceDN w:val="0"/>
        <w:adjustRightInd w:val="0"/>
        <w:ind w:left="480" w:hanging="480"/>
        <w:rPr>
          <w:rFonts w:cs="Times New Roman"/>
          <w:noProof/>
          <w:szCs w:val="24"/>
          <w:lang w:val="en-US"/>
        </w:rPr>
      </w:pPr>
      <w:r w:rsidRPr="00200992">
        <w:rPr>
          <w:rFonts w:cs="Times New Roman"/>
          <w:noProof/>
          <w:szCs w:val="24"/>
        </w:rPr>
        <w:t xml:space="preserve">De la Fuente-Salcido, N. M., Villarreal-Prieto, J. M., Díaz, M. A., &amp; García, A. P. (2015). </w:t>
      </w:r>
      <w:r w:rsidRPr="00971EDD">
        <w:rPr>
          <w:rFonts w:cs="Times New Roman"/>
          <w:noProof/>
          <w:szCs w:val="24"/>
          <w:lang w:val="en-US"/>
        </w:rPr>
        <w:t xml:space="preserve">Evaluation of the activity of antimicrobial agents against the challenge of bacterial resistance. </w:t>
      </w:r>
      <w:r w:rsidRPr="00971EDD">
        <w:rPr>
          <w:rFonts w:cs="Times New Roman"/>
          <w:i/>
          <w:iCs/>
          <w:noProof/>
          <w:szCs w:val="24"/>
          <w:lang w:val="en-US"/>
        </w:rPr>
        <w:t>Rev Mex Cienc Farm</w:t>
      </w:r>
      <w:r w:rsidRPr="00971EDD">
        <w:rPr>
          <w:rFonts w:cs="Times New Roman"/>
          <w:noProof/>
          <w:szCs w:val="24"/>
          <w:lang w:val="en-US"/>
        </w:rPr>
        <w:t xml:space="preserve">, </w:t>
      </w:r>
      <w:r w:rsidRPr="00971EDD">
        <w:rPr>
          <w:rFonts w:cs="Times New Roman"/>
          <w:i/>
          <w:iCs/>
          <w:noProof/>
          <w:szCs w:val="24"/>
          <w:lang w:val="en-US"/>
        </w:rPr>
        <w:t>46</w:t>
      </w:r>
      <w:r w:rsidRPr="00971EDD">
        <w:rPr>
          <w:rFonts w:cs="Times New Roman"/>
          <w:noProof/>
          <w:szCs w:val="24"/>
          <w:lang w:val="en-US"/>
        </w:rPr>
        <w:t>(2), 7–16. Retrieved from http://www.scielo.org.mx/pdf/rmcf/v46n2/1870-0195-rmcf-46-02-00007.pdf</w:t>
      </w:r>
    </w:p>
    <w:p w14:paraId="0BA860AD"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Degtyareva, N. N., Gong, C., Story, S., Levinson, N., Oyelere, A. K., Green, K. D., … Arya, D. P. (2017). Antimicrobial Activity , AME Resistance and Translation Inhibition Studies of </w:t>
      </w:r>
      <w:r w:rsidRPr="00971EDD">
        <w:rPr>
          <w:rFonts w:cs="Times New Roman"/>
          <w:noProof/>
          <w:szCs w:val="24"/>
          <w:lang w:val="en-US"/>
        </w:rPr>
        <w:lastRenderedPageBreak/>
        <w:t>Anthraquinone-Neomycin Conjugates. https://doi.org/10.1021/acsinfecdis.6b00176</w:t>
      </w:r>
    </w:p>
    <w:p w14:paraId="5591745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Demain, A. L. (2014). Importance of microbial natural products and the need to revitalize their discovery. </w:t>
      </w:r>
      <w:r w:rsidRPr="00971EDD">
        <w:rPr>
          <w:rFonts w:cs="Times New Roman"/>
          <w:i/>
          <w:iCs/>
          <w:noProof/>
          <w:szCs w:val="24"/>
          <w:lang w:val="en-US"/>
        </w:rPr>
        <w:t>Journal of Industrial Microbiology and Biotechnology</w:t>
      </w:r>
      <w:r w:rsidRPr="00971EDD">
        <w:rPr>
          <w:rFonts w:cs="Times New Roman"/>
          <w:noProof/>
          <w:szCs w:val="24"/>
          <w:lang w:val="en-US"/>
        </w:rPr>
        <w:t xml:space="preserve">, </w:t>
      </w:r>
      <w:r w:rsidRPr="00971EDD">
        <w:rPr>
          <w:rFonts w:cs="Times New Roman"/>
          <w:i/>
          <w:iCs/>
          <w:noProof/>
          <w:szCs w:val="24"/>
          <w:lang w:val="en-US"/>
        </w:rPr>
        <w:t>41</w:t>
      </w:r>
      <w:r w:rsidRPr="00971EDD">
        <w:rPr>
          <w:rFonts w:cs="Times New Roman"/>
          <w:noProof/>
          <w:szCs w:val="24"/>
          <w:lang w:val="en-US"/>
        </w:rPr>
        <w:t>(2), 185–201. https://doi.org/10.1007/s10295-013-1325-z</w:t>
      </w:r>
    </w:p>
    <w:p w14:paraId="4828D68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Di Luca, M., Maccari, G., &amp; Nifosí, R. (2014). </w:t>
      </w:r>
      <w:r w:rsidRPr="00971EDD">
        <w:rPr>
          <w:rFonts w:cs="Times New Roman"/>
          <w:noProof/>
          <w:szCs w:val="24"/>
          <w:lang w:val="en-US"/>
        </w:rPr>
        <w:t xml:space="preserve">Treatment of microbial biofilms in the post-antibiotic era: Prophylactic and therapeutic use of antimicrobial peptides and their design by bioinformatics tools. </w:t>
      </w:r>
      <w:r w:rsidRPr="00971EDD">
        <w:rPr>
          <w:rFonts w:cs="Times New Roman"/>
          <w:i/>
          <w:iCs/>
          <w:noProof/>
          <w:szCs w:val="24"/>
          <w:lang w:val="en-US"/>
        </w:rPr>
        <w:t>Pathogens and Disease</w:t>
      </w:r>
      <w:r w:rsidRPr="00971EDD">
        <w:rPr>
          <w:rFonts w:cs="Times New Roman"/>
          <w:noProof/>
          <w:szCs w:val="24"/>
          <w:lang w:val="en-US"/>
        </w:rPr>
        <w:t xml:space="preserve">, </w:t>
      </w:r>
      <w:r w:rsidRPr="00971EDD">
        <w:rPr>
          <w:rFonts w:cs="Times New Roman"/>
          <w:i/>
          <w:iCs/>
          <w:noProof/>
          <w:szCs w:val="24"/>
          <w:lang w:val="en-US"/>
        </w:rPr>
        <w:t>70</w:t>
      </w:r>
      <w:r w:rsidRPr="00971EDD">
        <w:rPr>
          <w:rFonts w:cs="Times New Roman"/>
          <w:noProof/>
          <w:szCs w:val="24"/>
          <w:lang w:val="en-US"/>
        </w:rPr>
        <w:t>(3), 257–270. https://doi.org/10.1111/2049-632X.12151</w:t>
      </w:r>
    </w:p>
    <w:p w14:paraId="61BA6689"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t xml:space="preserve">Du, Y., Chen, Z., Li, H., Wang, Y., Fu, P., &amp; Zhu, W. (2019). Pafuranones A and B, two dimeric polyketides from a rare marine algae-derived fungus Paraconiothyrium sp. </w:t>
      </w:r>
      <w:r w:rsidRPr="00413EC4">
        <w:rPr>
          <w:rFonts w:cs="Times New Roman"/>
          <w:i/>
          <w:iCs/>
          <w:noProof/>
          <w:szCs w:val="24"/>
        </w:rPr>
        <w:t>Chinese Chemical Letters</w:t>
      </w:r>
      <w:r w:rsidRPr="00413EC4">
        <w:rPr>
          <w:rFonts w:cs="Times New Roman"/>
          <w:noProof/>
          <w:szCs w:val="24"/>
        </w:rPr>
        <w:t xml:space="preserve">, </w:t>
      </w:r>
      <w:r w:rsidRPr="00413EC4">
        <w:rPr>
          <w:rFonts w:cs="Times New Roman"/>
          <w:i/>
          <w:iCs/>
          <w:noProof/>
          <w:szCs w:val="24"/>
        </w:rPr>
        <w:t>30</w:t>
      </w:r>
      <w:r w:rsidRPr="00413EC4">
        <w:rPr>
          <w:rFonts w:cs="Times New Roman"/>
          <w:noProof/>
          <w:szCs w:val="24"/>
        </w:rPr>
        <w:t>(5), 981–984. https://doi.org/10.1016/j.cclet.2019.01.034</w:t>
      </w:r>
    </w:p>
    <w:p w14:paraId="46FC74C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Espinoza, C., Martín-Rodríguez, A., Fernández, J., Pérez-Yépez, J., Norte, M., León-Barrios, M., … </w:t>
      </w:r>
      <w:r w:rsidRPr="00971EDD">
        <w:rPr>
          <w:rFonts w:cs="Times New Roman"/>
          <w:noProof/>
          <w:szCs w:val="24"/>
          <w:lang w:val="en-US"/>
        </w:rPr>
        <w:t xml:space="preserve">Reyes, F. (2014). Inhibition of Bacterial Quorum Sensing by Extracts from Aquatic Fungi: First Report from Marine Endophytes.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12</w:t>
      </w:r>
      <w:r w:rsidRPr="00971EDD">
        <w:rPr>
          <w:rFonts w:cs="Times New Roman"/>
          <w:noProof/>
          <w:szCs w:val="24"/>
          <w:lang w:val="en-US"/>
        </w:rPr>
        <w:t>(11), 5503–5526. https://doi.org/10.3390/md12115503</w:t>
      </w:r>
    </w:p>
    <w:p w14:paraId="5E18DC6B"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Fish, D. N., Choi, M. K., &amp; Jung, R. (2002). Synergic activity of cephalosporins plus fluoroquinolones against Pseudomonas aeruginosa with resistance to one or both drugs. </w:t>
      </w:r>
      <w:r w:rsidRPr="00971EDD">
        <w:rPr>
          <w:rFonts w:cs="Times New Roman"/>
          <w:i/>
          <w:iCs/>
          <w:noProof/>
          <w:szCs w:val="24"/>
          <w:lang w:val="en-US"/>
        </w:rPr>
        <w:t>Journal of Antimicrobial Chemotherapy</w:t>
      </w:r>
      <w:r w:rsidRPr="00971EDD">
        <w:rPr>
          <w:rFonts w:cs="Times New Roman"/>
          <w:noProof/>
          <w:szCs w:val="24"/>
          <w:lang w:val="en-US"/>
        </w:rPr>
        <w:t xml:space="preserve">, </w:t>
      </w:r>
      <w:r w:rsidRPr="00971EDD">
        <w:rPr>
          <w:rFonts w:cs="Times New Roman"/>
          <w:i/>
          <w:iCs/>
          <w:noProof/>
          <w:szCs w:val="24"/>
          <w:lang w:val="en-US"/>
        </w:rPr>
        <w:t>50</w:t>
      </w:r>
      <w:r w:rsidRPr="00971EDD">
        <w:rPr>
          <w:rFonts w:cs="Times New Roman"/>
          <w:noProof/>
          <w:szCs w:val="24"/>
          <w:lang w:val="en-US"/>
        </w:rPr>
        <w:t>(6), 1045–1049. https://doi.org/10.1093/jac/dkf211</w:t>
      </w:r>
    </w:p>
    <w:p w14:paraId="7ACCE4D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Food and Agriculture Organization of the United Nations. (2016). The FAO Action Plan on Antimicrobial Resistance 2016-2020. </w:t>
      </w:r>
      <w:r w:rsidRPr="00971EDD">
        <w:rPr>
          <w:rFonts w:cs="Times New Roman"/>
          <w:i/>
          <w:iCs/>
          <w:noProof/>
          <w:szCs w:val="24"/>
          <w:lang w:val="en-US"/>
        </w:rPr>
        <w:t>FOOD AND AGRICULTURE ORGANIZATION OF THE UNITED NATIONS</w:t>
      </w:r>
      <w:r w:rsidRPr="00971EDD">
        <w:rPr>
          <w:rFonts w:cs="Times New Roman"/>
          <w:noProof/>
          <w:szCs w:val="24"/>
          <w:lang w:val="en-US"/>
        </w:rPr>
        <w:t xml:space="preserve">, </w:t>
      </w:r>
      <w:r w:rsidRPr="00971EDD">
        <w:rPr>
          <w:rFonts w:cs="Times New Roman"/>
          <w:i/>
          <w:iCs/>
          <w:noProof/>
          <w:szCs w:val="24"/>
          <w:lang w:val="en-US"/>
        </w:rPr>
        <w:t>317</w:t>
      </w:r>
      <w:r w:rsidRPr="00971EDD">
        <w:rPr>
          <w:rFonts w:cs="Times New Roman"/>
          <w:noProof/>
          <w:szCs w:val="24"/>
          <w:lang w:val="en-US"/>
        </w:rPr>
        <w:t>(7161), 764–770. https://doi.org/10.1136/bmj.317.7161.764</w:t>
      </w:r>
    </w:p>
    <w:p w14:paraId="2172E7A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Fu, Z.-Y., An, J.-Q., Liu, W., Zhang, H.-P., &amp; Yang, P. (2022). Genomic Analyses of the Fungus Paraconiothyrium sp. Isolated from the Chinese White Wax Scale Insect Reveals Its Symbiotic Character. </w:t>
      </w:r>
      <w:r w:rsidRPr="00971EDD">
        <w:rPr>
          <w:rFonts w:cs="Times New Roman"/>
          <w:i/>
          <w:iCs/>
          <w:noProof/>
          <w:szCs w:val="24"/>
          <w:lang w:val="en-US"/>
        </w:rPr>
        <w:t>Genes</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 388. https://doi.org/https://doi.org/10.3390/genes13020338</w:t>
      </w:r>
    </w:p>
    <w:p w14:paraId="502D3D98"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Gill, H., Sykes, E. M. E., Kumar, A., &amp; Sorensen, J. L. (2023). Isolation of Bioactive Metabolites from Soil Derived Fungus-Aspergillus fumigatus. </w:t>
      </w:r>
      <w:r w:rsidRPr="00971EDD">
        <w:rPr>
          <w:rFonts w:cs="Times New Roman"/>
          <w:i/>
          <w:iCs/>
          <w:noProof/>
          <w:szCs w:val="24"/>
          <w:lang w:val="en-US"/>
        </w:rPr>
        <w:t>Microorganisms</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(3), 590. https://doi.org/10.3390/microorganisms11030590</w:t>
      </w:r>
    </w:p>
    <w:p w14:paraId="72A0C0D7"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lastRenderedPageBreak/>
        <w:t xml:space="preserve">Glass, N. L., &amp; Donaldson, G. C. (1995). Development of primer sets designed for use with the PCR to amplify conserved genes from filamentous </w:t>
      </w:r>
      <w:r w:rsidRPr="00971EDD">
        <w:rPr>
          <w:rFonts w:cs="Times New Roman"/>
          <w:i/>
          <w:iCs/>
          <w:noProof/>
          <w:szCs w:val="24"/>
          <w:lang w:val="en-US"/>
        </w:rPr>
        <w:t xml:space="preserve"> Ascomycetes</w:t>
      </w:r>
      <w:r w:rsidRPr="00971EDD">
        <w:rPr>
          <w:rFonts w:cs="Times New Roman"/>
          <w:noProof/>
          <w:szCs w:val="24"/>
          <w:lang w:val="en-US"/>
        </w:rPr>
        <w:t xml:space="preserve">. </w:t>
      </w:r>
      <w:r w:rsidRPr="00413EC4">
        <w:rPr>
          <w:rFonts w:cs="Times New Roman"/>
          <w:i/>
          <w:iCs/>
          <w:noProof/>
          <w:szCs w:val="24"/>
        </w:rPr>
        <w:t>Applied and Environmental Microbiology</w:t>
      </w:r>
      <w:r w:rsidRPr="00413EC4">
        <w:rPr>
          <w:rFonts w:cs="Times New Roman"/>
          <w:noProof/>
          <w:szCs w:val="24"/>
        </w:rPr>
        <w:t xml:space="preserve">, </w:t>
      </w:r>
      <w:r w:rsidRPr="00413EC4">
        <w:rPr>
          <w:rFonts w:cs="Times New Roman"/>
          <w:i/>
          <w:iCs/>
          <w:noProof/>
          <w:szCs w:val="24"/>
        </w:rPr>
        <w:t>61</w:t>
      </w:r>
      <w:r w:rsidRPr="00413EC4">
        <w:rPr>
          <w:rFonts w:cs="Times New Roman"/>
          <w:noProof/>
          <w:szCs w:val="24"/>
        </w:rPr>
        <w:t>(4), 1323–1330. https://doi.org/10.1128/aem.61.4.1323-1330.1995</w:t>
      </w:r>
    </w:p>
    <w:p w14:paraId="1C12E308" w14:textId="77777777" w:rsidR="00FC7620" w:rsidRPr="00413EC4" w:rsidRDefault="00FC7620" w:rsidP="00FC7620">
      <w:pPr>
        <w:widowControl w:val="0"/>
        <w:autoSpaceDE w:val="0"/>
        <w:autoSpaceDN w:val="0"/>
        <w:adjustRightInd w:val="0"/>
        <w:ind w:left="480" w:hanging="480"/>
        <w:rPr>
          <w:rFonts w:cs="Times New Roman"/>
          <w:noProof/>
          <w:szCs w:val="24"/>
        </w:rPr>
      </w:pPr>
      <w:r w:rsidRPr="00413EC4">
        <w:rPr>
          <w:rFonts w:cs="Times New Roman"/>
          <w:noProof/>
          <w:szCs w:val="24"/>
        </w:rPr>
        <w:t xml:space="preserve">Gobierno de Costa Rica, G. de C. R. (2018). Plan de acción Nacional de lucha contra la resistencia de los antimicrobianos Costa Rica 2018-2025. </w:t>
      </w:r>
      <w:r w:rsidRPr="00413EC4">
        <w:rPr>
          <w:rFonts w:cs="Times New Roman"/>
          <w:i/>
          <w:iCs/>
          <w:noProof/>
          <w:szCs w:val="24"/>
        </w:rPr>
        <w:t>Gobierno Del Bicentenario 2018-2022</w:t>
      </w:r>
      <w:r w:rsidRPr="00413EC4">
        <w:rPr>
          <w:rFonts w:cs="Times New Roman"/>
          <w:noProof/>
          <w:szCs w:val="24"/>
        </w:rPr>
        <w:t xml:space="preserve">, </w:t>
      </w:r>
      <w:r w:rsidRPr="00413EC4">
        <w:rPr>
          <w:rFonts w:cs="Times New Roman"/>
          <w:i/>
          <w:iCs/>
          <w:noProof/>
          <w:szCs w:val="24"/>
        </w:rPr>
        <w:t>15</w:t>
      </w:r>
      <w:r w:rsidRPr="00413EC4">
        <w:rPr>
          <w:rFonts w:cs="Times New Roman"/>
          <w:noProof/>
          <w:szCs w:val="24"/>
        </w:rPr>
        <w:t>(2), 2017–2019. https://doi.org/10.22201/fq.18708404e.2004.3.66178</w:t>
      </w:r>
    </w:p>
    <w:p w14:paraId="1B9C652D"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Gonçalves, M. F. M., Paço, A., Escada, L. F., Albuquerque, M. S. F., Pinto, C. A., Saraiva, J., … </w:t>
      </w:r>
      <w:r w:rsidRPr="00971EDD">
        <w:rPr>
          <w:rFonts w:cs="Times New Roman"/>
          <w:noProof/>
          <w:szCs w:val="24"/>
          <w:lang w:val="en-US"/>
        </w:rPr>
        <w:t xml:space="preserve">Alves, A. (2021). Unveiling biological activities of marine fungi: The effect of sea salt. </w:t>
      </w:r>
      <w:r w:rsidRPr="00971EDD">
        <w:rPr>
          <w:rFonts w:cs="Times New Roman"/>
          <w:i/>
          <w:iCs/>
          <w:noProof/>
          <w:szCs w:val="24"/>
          <w:lang w:val="en-US"/>
        </w:rPr>
        <w:t>Applied Sciences (Switzerland)</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(13). https://doi.org/10.3390/app11136008</w:t>
      </w:r>
    </w:p>
    <w:p w14:paraId="59E23CD2"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Górniak, I., Bartoszewski, R., &amp; Króliczewski, J. (2019). </w:t>
      </w:r>
      <w:r w:rsidRPr="00971EDD">
        <w:rPr>
          <w:rFonts w:cs="Times New Roman"/>
          <w:i/>
          <w:iCs/>
          <w:noProof/>
          <w:szCs w:val="24"/>
          <w:lang w:val="en-US"/>
        </w:rPr>
        <w:t>Comprehensive review of antimicrobial activities of plant flavonoids</w:t>
      </w:r>
      <w:r w:rsidRPr="00971EDD">
        <w:rPr>
          <w:rFonts w:cs="Times New Roman"/>
          <w:noProof/>
          <w:szCs w:val="24"/>
          <w:lang w:val="en-US"/>
        </w:rPr>
        <w:t xml:space="preserve">. </w:t>
      </w:r>
      <w:r w:rsidRPr="00971EDD">
        <w:rPr>
          <w:rFonts w:cs="Times New Roman"/>
          <w:i/>
          <w:iCs/>
          <w:noProof/>
          <w:szCs w:val="24"/>
          <w:lang w:val="en-US"/>
        </w:rPr>
        <w:t>Phytochemistry Reviews</w:t>
      </w:r>
      <w:r w:rsidRPr="00971EDD">
        <w:rPr>
          <w:rFonts w:cs="Times New Roman"/>
          <w:noProof/>
          <w:szCs w:val="24"/>
          <w:lang w:val="en-US"/>
        </w:rPr>
        <w:t xml:space="preserve"> (Vol. 18). https://doi.org/10.1007/s11101-018-9591-z</w:t>
      </w:r>
    </w:p>
    <w:p w14:paraId="57443D72"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Hong, J. H., Jang, S., Heo, Y. M., Min, M., Lee, H., Lee, Y. M., … Kim, J. J. (2015). Investigation of marine-derived fungal diversity and their exploitable biological activities.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(7). https://doi.org/10.3390/md13074137</w:t>
      </w:r>
    </w:p>
    <w:p w14:paraId="6FF6339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Hu, Y., Chen, J., Hu, G., Yu, J., Zhu, X., Lin, Y., … Yuan, J. (2015). Statistical research on the bioactivity of new marine natural products discovered during the 28 years from 1985 to 2012.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(1), 202–221. https://doi.org/10.3390/md13010202</w:t>
      </w:r>
    </w:p>
    <w:p w14:paraId="53267815"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t xml:space="preserve">Huang, J., Lu, C., Qian, X., Huang, Y., Zheng, Z., &amp; Shen, Y. (2011). Effect of salinity on the growth, biological activity and secondary metabolites of some marine fungi. </w:t>
      </w:r>
      <w:r w:rsidRPr="00413EC4">
        <w:rPr>
          <w:rFonts w:cs="Times New Roman"/>
          <w:i/>
          <w:iCs/>
          <w:noProof/>
          <w:szCs w:val="24"/>
        </w:rPr>
        <w:t>Acta Oceanologica Sinica</w:t>
      </w:r>
      <w:r w:rsidRPr="00413EC4">
        <w:rPr>
          <w:rFonts w:cs="Times New Roman"/>
          <w:noProof/>
          <w:szCs w:val="24"/>
        </w:rPr>
        <w:t xml:space="preserve">, </w:t>
      </w:r>
      <w:r w:rsidRPr="00413EC4">
        <w:rPr>
          <w:rFonts w:cs="Times New Roman"/>
          <w:i/>
          <w:iCs/>
          <w:noProof/>
          <w:szCs w:val="24"/>
        </w:rPr>
        <w:t>30</w:t>
      </w:r>
      <w:r w:rsidRPr="00413EC4">
        <w:rPr>
          <w:rFonts w:cs="Times New Roman"/>
          <w:noProof/>
          <w:szCs w:val="24"/>
        </w:rPr>
        <w:t>(3), 118–123. https://doi.org/10.1007/s13131-011-0126-3</w:t>
      </w:r>
    </w:p>
    <w:p w14:paraId="05D98F1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Huang, S., Ding, W., Li, C., &amp; Cox, D. G. (2014). </w:t>
      </w:r>
      <w:r w:rsidRPr="00971EDD">
        <w:rPr>
          <w:rFonts w:cs="Times New Roman"/>
          <w:noProof/>
          <w:szCs w:val="24"/>
          <w:lang w:val="en-US"/>
        </w:rPr>
        <w:t xml:space="preserve">Two new cyclopeptides from the co-culture broth of two marine mangrove fungi and their antifungal activity. </w:t>
      </w:r>
      <w:r w:rsidRPr="00971EDD">
        <w:rPr>
          <w:rFonts w:cs="Times New Roman"/>
          <w:i/>
          <w:iCs/>
          <w:noProof/>
          <w:szCs w:val="24"/>
          <w:lang w:val="en-US"/>
        </w:rPr>
        <w:t>Pharmacognosy Magazine</w:t>
      </w:r>
      <w:r w:rsidRPr="00971EDD">
        <w:rPr>
          <w:rFonts w:cs="Times New Roman"/>
          <w:noProof/>
          <w:szCs w:val="24"/>
          <w:lang w:val="en-US"/>
        </w:rPr>
        <w:t xml:space="preserve">, </w:t>
      </w:r>
      <w:r w:rsidRPr="00971EDD">
        <w:rPr>
          <w:rFonts w:cs="Times New Roman"/>
          <w:i/>
          <w:iCs/>
          <w:noProof/>
          <w:szCs w:val="24"/>
          <w:lang w:val="en-US"/>
        </w:rPr>
        <w:t>10</w:t>
      </w:r>
      <w:r w:rsidRPr="00971EDD">
        <w:rPr>
          <w:rFonts w:cs="Times New Roman"/>
          <w:noProof/>
          <w:szCs w:val="24"/>
          <w:lang w:val="en-US"/>
        </w:rPr>
        <w:t>(40), 410. https://doi.org/10.4103/0973-1296.141781</w:t>
      </w:r>
    </w:p>
    <w:p w14:paraId="0652B6C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Huang, Y.-M., Kan, B., Lu, Y., &amp; Szeto, S. (2009). The Effect of Osmotic Shock on RpoS Expression and Antibiotic Resistance in Escherichia coli. </w:t>
      </w:r>
      <w:r w:rsidRPr="00971EDD">
        <w:rPr>
          <w:rFonts w:cs="Times New Roman"/>
          <w:i/>
          <w:iCs/>
          <w:noProof/>
          <w:szCs w:val="24"/>
          <w:lang w:val="en-US"/>
        </w:rPr>
        <w:t>Journal of Experimental Microbiology and Immunology (JEMI)</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(April), 13–17.</w:t>
      </w:r>
    </w:p>
    <w:p w14:paraId="2E39BE5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Imhoff, J. F. (2016). Natural products from marine fungi - Still an underrepresented resource. </w:t>
      </w:r>
      <w:r w:rsidRPr="00971EDD">
        <w:rPr>
          <w:rFonts w:cs="Times New Roman"/>
          <w:i/>
          <w:iCs/>
          <w:noProof/>
          <w:szCs w:val="24"/>
          <w:lang w:val="en-US"/>
        </w:rPr>
        <w:lastRenderedPageBreak/>
        <w:t>Marine Drugs</w:t>
      </w:r>
      <w:r w:rsidRPr="00971EDD">
        <w:rPr>
          <w:rFonts w:cs="Times New Roman"/>
          <w:noProof/>
          <w:szCs w:val="24"/>
          <w:lang w:val="en-US"/>
        </w:rPr>
        <w:t xml:space="preserve">, </w:t>
      </w:r>
      <w:r w:rsidRPr="00971EDD">
        <w:rPr>
          <w:rFonts w:cs="Times New Roman"/>
          <w:i/>
          <w:iCs/>
          <w:noProof/>
          <w:szCs w:val="24"/>
          <w:lang w:val="en-US"/>
        </w:rPr>
        <w:t>14</w:t>
      </w:r>
      <w:r w:rsidRPr="00971EDD">
        <w:rPr>
          <w:rFonts w:cs="Times New Roman"/>
          <w:noProof/>
          <w:szCs w:val="24"/>
          <w:lang w:val="en-US"/>
        </w:rPr>
        <w:t>(1). https://doi.org/10.3390/md14010019</w:t>
      </w:r>
    </w:p>
    <w:p w14:paraId="7847DA3B"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Imhoff, J. F., Labes, A., &amp; Wiese, J. (2011). Bio-mining the microbial treasures of the ocean: New natural products. </w:t>
      </w:r>
      <w:r w:rsidRPr="00971EDD">
        <w:rPr>
          <w:rFonts w:cs="Times New Roman"/>
          <w:i/>
          <w:iCs/>
          <w:noProof/>
          <w:szCs w:val="24"/>
          <w:lang w:val="en-US"/>
        </w:rPr>
        <w:t>Biotechnology Advances</w:t>
      </w:r>
      <w:r w:rsidRPr="00971EDD">
        <w:rPr>
          <w:rFonts w:cs="Times New Roman"/>
          <w:noProof/>
          <w:szCs w:val="24"/>
          <w:lang w:val="en-US"/>
        </w:rPr>
        <w:t xml:space="preserve">, </w:t>
      </w:r>
      <w:r w:rsidRPr="00971EDD">
        <w:rPr>
          <w:rFonts w:cs="Times New Roman"/>
          <w:i/>
          <w:iCs/>
          <w:noProof/>
          <w:szCs w:val="24"/>
          <w:lang w:val="en-US"/>
        </w:rPr>
        <w:t>29</w:t>
      </w:r>
      <w:r w:rsidRPr="00971EDD">
        <w:rPr>
          <w:rFonts w:cs="Times New Roman"/>
          <w:noProof/>
          <w:szCs w:val="24"/>
          <w:lang w:val="en-US"/>
        </w:rPr>
        <w:t>(5), 468–482. https://doi.org/10.1016/j.biotechadv.2011.03.001</w:t>
      </w:r>
    </w:p>
    <w:p w14:paraId="778C065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Je, J. Y., Qian, Z. J., Byun, H. G., &amp; Kim, S. K. (2007). Purification and characterization of an antioxidant peptide obtained from tuna backbone protein by enzymatic hydrolysis. </w:t>
      </w:r>
      <w:r w:rsidRPr="00971EDD">
        <w:rPr>
          <w:rFonts w:cs="Times New Roman"/>
          <w:i/>
          <w:iCs/>
          <w:noProof/>
          <w:szCs w:val="24"/>
          <w:lang w:val="en-US"/>
        </w:rPr>
        <w:t>Process Biochemistry</w:t>
      </w:r>
      <w:r w:rsidRPr="00971EDD">
        <w:rPr>
          <w:rFonts w:cs="Times New Roman"/>
          <w:noProof/>
          <w:szCs w:val="24"/>
          <w:lang w:val="en-US"/>
        </w:rPr>
        <w:t xml:space="preserve">, </w:t>
      </w:r>
      <w:r w:rsidRPr="00971EDD">
        <w:rPr>
          <w:rFonts w:cs="Times New Roman"/>
          <w:i/>
          <w:iCs/>
          <w:noProof/>
          <w:szCs w:val="24"/>
          <w:lang w:val="en-US"/>
        </w:rPr>
        <w:t>42</w:t>
      </w:r>
      <w:r w:rsidRPr="00971EDD">
        <w:rPr>
          <w:rFonts w:cs="Times New Roman"/>
          <w:noProof/>
          <w:szCs w:val="24"/>
          <w:lang w:val="en-US"/>
        </w:rPr>
        <w:t>(5), 840–846. https://doi.org/10.1016/j.procbio.2007.02.006</w:t>
      </w:r>
    </w:p>
    <w:p w14:paraId="51DC09A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Jing, H., Rocke, E., Kong, L., Xia, X., Liu, H., &amp; Landry, M. R. (2015). Protist communities in a marine oxygen minimum zone off Costa Rica by 454 pyrosequencing. </w:t>
      </w:r>
      <w:r w:rsidRPr="00971EDD">
        <w:rPr>
          <w:rFonts w:cs="Times New Roman"/>
          <w:i/>
          <w:iCs/>
          <w:noProof/>
          <w:szCs w:val="24"/>
          <w:lang w:val="en-US"/>
        </w:rPr>
        <w:t>Biogeosciences Discussions</w:t>
      </w:r>
      <w:r w:rsidRPr="00971EDD">
        <w:rPr>
          <w:rFonts w:cs="Times New Roman"/>
          <w:noProof/>
          <w:szCs w:val="24"/>
          <w:lang w:val="en-US"/>
        </w:rPr>
        <w:t xml:space="preserve">, </w:t>
      </w:r>
      <w:r w:rsidRPr="00971EDD">
        <w:rPr>
          <w:rFonts w:cs="Times New Roman"/>
          <w:i/>
          <w:iCs/>
          <w:noProof/>
          <w:szCs w:val="24"/>
          <w:lang w:val="en-US"/>
        </w:rPr>
        <w:t>12</w:t>
      </w:r>
      <w:r w:rsidRPr="00971EDD">
        <w:rPr>
          <w:rFonts w:cs="Times New Roman"/>
          <w:noProof/>
          <w:szCs w:val="24"/>
          <w:lang w:val="en-US"/>
        </w:rPr>
        <w:t>(16), 13483–13509. https://doi.org/10.5194/bgd-12-13483-2015</w:t>
      </w:r>
    </w:p>
    <w:p w14:paraId="016B219D"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Johnson, T. W., &amp; Sparrow, F. K. (1961). </w:t>
      </w:r>
      <w:r w:rsidRPr="00971EDD">
        <w:rPr>
          <w:rFonts w:cs="Times New Roman"/>
          <w:i/>
          <w:iCs/>
          <w:noProof/>
          <w:szCs w:val="24"/>
          <w:lang w:val="en-US"/>
        </w:rPr>
        <w:t>Fungi in Oceans and Estuaries</w:t>
      </w:r>
      <w:r w:rsidRPr="00971EDD">
        <w:rPr>
          <w:rFonts w:cs="Times New Roman"/>
          <w:noProof/>
          <w:szCs w:val="24"/>
          <w:lang w:val="en-US"/>
        </w:rPr>
        <w:t>. Germany: J. Cramer.</w:t>
      </w:r>
    </w:p>
    <w:p w14:paraId="05F544A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Jones, E. B. G., Suetrong, S., Sakayaroj, J., Bahkali, A. H., Abdel-Wahab, M. A., Boekhout, T., &amp; Pang, K. L. (2015). Classification of marine </w:t>
      </w:r>
      <w:r w:rsidRPr="00971EDD">
        <w:rPr>
          <w:rFonts w:cs="Times New Roman"/>
          <w:i/>
          <w:iCs/>
          <w:noProof/>
          <w:szCs w:val="24"/>
          <w:lang w:val="en-US"/>
        </w:rPr>
        <w:t>Ascomycota, Basidiomycota, Blastocladiomycota</w:t>
      </w:r>
      <w:r w:rsidRPr="00971EDD">
        <w:rPr>
          <w:rFonts w:cs="Times New Roman"/>
          <w:noProof/>
          <w:szCs w:val="24"/>
          <w:lang w:val="en-US"/>
        </w:rPr>
        <w:t xml:space="preserve"> and </w:t>
      </w:r>
      <w:r w:rsidRPr="00971EDD">
        <w:rPr>
          <w:rFonts w:cs="Times New Roman"/>
          <w:i/>
          <w:iCs/>
          <w:noProof/>
          <w:szCs w:val="24"/>
          <w:lang w:val="en-US"/>
        </w:rPr>
        <w:t>Chytridiomycota</w:t>
      </w:r>
      <w:r w:rsidRPr="00971EDD">
        <w:rPr>
          <w:rFonts w:cs="Times New Roman"/>
          <w:noProof/>
          <w:szCs w:val="24"/>
          <w:lang w:val="en-US"/>
        </w:rPr>
        <w:t xml:space="preserve">. </w:t>
      </w:r>
      <w:r w:rsidRPr="00971EDD">
        <w:rPr>
          <w:rFonts w:cs="Times New Roman"/>
          <w:i/>
          <w:iCs/>
          <w:noProof/>
          <w:szCs w:val="24"/>
          <w:lang w:val="en-US"/>
        </w:rPr>
        <w:t>Fungal Diversity</w:t>
      </w:r>
      <w:r w:rsidRPr="00971EDD">
        <w:rPr>
          <w:rFonts w:cs="Times New Roman"/>
          <w:noProof/>
          <w:szCs w:val="24"/>
          <w:lang w:val="en-US"/>
        </w:rPr>
        <w:t xml:space="preserve">, </w:t>
      </w:r>
      <w:r w:rsidRPr="00971EDD">
        <w:rPr>
          <w:rFonts w:cs="Times New Roman"/>
          <w:i/>
          <w:iCs/>
          <w:noProof/>
          <w:szCs w:val="24"/>
          <w:lang w:val="en-US"/>
        </w:rPr>
        <w:t>73</w:t>
      </w:r>
      <w:r w:rsidRPr="00971EDD">
        <w:rPr>
          <w:rFonts w:cs="Times New Roman"/>
          <w:noProof/>
          <w:szCs w:val="24"/>
          <w:lang w:val="en-US"/>
        </w:rPr>
        <w:t>(1), 1–72. https://doi.org/10.1007/s13225-015-0339-4</w:t>
      </w:r>
    </w:p>
    <w:p w14:paraId="3F2B0158" w14:textId="77777777" w:rsidR="000630E4" w:rsidRDefault="000630E4" w:rsidP="00FC7620">
      <w:pPr>
        <w:widowControl w:val="0"/>
        <w:autoSpaceDE w:val="0"/>
        <w:autoSpaceDN w:val="0"/>
        <w:adjustRightInd w:val="0"/>
        <w:ind w:left="480" w:hanging="480"/>
        <w:rPr>
          <w:rFonts w:cs="Times New Roman"/>
          <w:noProof/>
          <w:szCs w:val="24"/>
          <w:lang w:val="en-US"/>
        </w:rPr>
      </w:pPr>
      <w:r w:rsidRPr="000630E4">
        <w:rPr>
          <w:rFonts w:cs="Times New Roman"/>
          <w:noProof/>
          <w:szCs w:val="24"/>
          <w:lang w:val="en-US"/>
        </w:rPr>
        <w:t>Keerthi, T. R. (2017). Co-culture as the novel approach for drug discovery from marine environment. Novel approaches in drug designing &amp; development. https://doi.org/10.19080/napdd.2017.02.555594</w:t>
      </w:r>
    </w:p>
    <w:p w14:paraId="69384817" w14:textId="408B683F"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Kang, H. K., Seo, C. H., &amp; Park, Y. (2015). Marine peptides and their anti-infective activities.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(1), 618–654. https://doi.org/10.3390/md13010618</w:t>
      </w:r>
    </w:p>
    <w:p w14:paraId="2F328AC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Kebede, B., Wrigley, S. K., Prashar, A., Rahlff, J., Wolf, M., Reinshagen, J., … Ellinger, B. (2017). Establishing the Secondary Metabolite Profile of the Marine Fungus: </w:t>
      </w:r>
      <w:r w:rsidRPr="00971EDD">
        <w:rPr>
          <w:rFonts w:cs="Times New Roman"/>
          <w:i/>
          <w:iCs/>
          <w:noProof/>
          <w:szCs w:val="24"/>
          <w:lang w:val="en-US"/>
        </w:rPr>
        <w:t>Tolypocladium geodes</w:t>
      </w:r>
      <w:r w:rsidRPr="00971EDD">
        <w:rPr>
          <w:rFonts w:cs="Times New Roman"/>
          <w:noProof/>
          <w:szCs w:val="24"/>
          <w:lang w:val="en-US"/>
        </w:rPr>
        <w:t xml:space="preserve"> sp. MF458 and Subsequent Optimisation of Bioactive Secondary Metabolite Production.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15</w:t>
      </w:r>
      <w:r w:rsidRPr="00971EDD">
        <w:rPr>
          <w:rFonts w:cs="Times New Roman"/>
          <w:noProof/>
          <w:szCs w:val="24"/>
          <w:lang w:val="en-US"/>
        </w:rPr>
        <w:t>(4), 1–20. https://doi.org/10.3390/md15040084</w:t>
      </w:r>
    </w:p>
    <w:p w14:paraId="41031CE2"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Keller, N. P. (2019). Fungal secondary metabolism: regulation, function and drug discovery. </w:t>
      </w:r>
      <w:r w:rsidRPr="00971EDD">
        <w:rPr>
          <w:rFonts w:cs="Times New Roman"/>
          <w:i/>
          <w:iCs/>
          <w:noProof/>
          <w:szCs w:val="24"/>
          <w:lang w:val="en-US"/>
        </w:rPr>
        <w:t>Nature Reviews Microbiology</w:t>
      </w:r>
      <w:r w:rsidRPr="00971EDD">
        <w:rPr>
          <w:rFonts w:cs="Times New Roman"/>
          <w:noProof/>
          <w:szCs w:val="24"/>
          <w:lang w:val="en-US"/>
        </w:rPr>
        <w:t xml:space="preserve">, </w:t>
      </w:r>
      <w:r w:rsidRPr="00971EDD">
        <w:rPr>
          <w:rFonts w:cs="Times New Roman"/>
          <w:i/>
          <w:iCs/>
          <w:noProof/>
          <w:szCs w:val="24"/>
          <w:lang w:val="en-US"/>
        </w:rPr>
        <w:t>17</w:t>
      </w:r>
      <w:r w:rsidRPr="00971EDD">
        <w:rPr>
          <w:rFonts w:cs="Times New Roman"/>
          <w:noProof/>
          <w:szCs w:val="24"/>
          <w:lang w:val="en-US"/>
        </w:rPr>
        <w:t>(3), 167–180. https://doi.org/10.1038/s41579-018-0121-1</w:t>
      </w:r>
    </w:p>
    <w:p w14:paraId="2F77D81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Kemegne, G. A., Mkounga, P., Justin, J., Ngang, E., Leroy, S., Kamdem, S., &amp; Nkengfack, A. E. (2017). Antimicrobial structure activity relationship of five anthraquinones of emodine type </w:t>
      </w:r>
      <w:r w:rsidRPr="00971EDD">
        <w:rPr>
          <w:rFonts w:cs="Times New Roman"/>
          <w:noProof/>
          <w:szCs w:val="24"/>
          <w:lang w:val="en-US"/>
        </w:rPr>
        <w:lastRenderedPageBreak/>
        <w:t>isolated from Vismia laurentii, 1–8. https://doi.org/10.1186/s12866-017-0954-1</w:t>
      </w:r>
    </w:p>
    <w:p w14:paraId="23AA3AA8"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Khater, S., Anand, S., &amp; Mohanty, D. (2016). In silico methods for linking genes and secondary metabolites: The way forward. </w:t>
      </w:r>
      <w:r w:rsidRPr="00971EDD">
        <w:rPr>
          <w:rFonts w:cs="Times New Roman"/>
          <w:i/>
          <w:iCs/>
          <w:noProof/>
          <w:szCs w:val="24"/>
          <w:lang w:val="en-US"/>
        </w:rPr>
        <w:t>Synthetic and Systems Biotechnology</w:t>
      </w:r>
      <w:r w:rsidRPr="00971EDD">
        <w:rPr>
          <w:rFonts w:cs="Times New Roman"/>
          <w:noProof/>
          <w:szCs w:val="24"/>
          <w:lang w:val="en-US"/>
        </w:rPr>
        <w:t xml:space="preserve">, </w:t>
      </w:r>
      <w:r w:rsidRPr="00971EDD">
        <w:rPr>
          <w:rFonts w:cs="Times New Roman"/>
          <w:i/>
          <w:iCs/>
          <w:noProof/>
          <w:szCs w:val="24"/>
          <w:lang w:val="en-US"/>
        </w:rPr>
        <w:t>1</w:t>
      </w:r>
      <w:r w:rsidRPr="00971EDD">
        <w:rPr>
          <w:rFonts w:cs="Times New Roman"/>
          <w:noProof/>
          <w:szCs w:val="24"/>
          <w:lang w:val="en-US"/>
        </w:rPr>
        <w:t>(2), 80–88. https://doi.org/10.1016/j.synbio.2016.03.001</w:t>
      </w:r>
    </w:p>
    <w:p w14:paraId="5499175F"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Kiss, L. (2012). Limits of nuclear ribosomal DNA internal transcribed spacer (ITS) sequences as species barcodes for Fungi. </w:t>
      </w:r>
      <w:r w:rsidRPr="00971EDD">
        <w:rPr>
          <w:rFonts w:cs="Times New Roman"/>
          <w:i/>
          <w:iCs/>
          <w:noProof/>
          <w:szCs w:val="24"/>
          <w:lang w:val="en-US"/>
        </w:rPr>
        <w:t>Proceedings of the National Academy of Sciences of the United States of America</w:t>
      </w:r>
      <w:r w:rsidRPr="00971EDD">
        <w:rPr>
          <w:rFonts w:cs="Times New Roman"/>
          <w:noProof/>
          <w:szCs w:val="24"/>
          <w:lang w:val="en-US"/>
        </w:rPr>
        <w:t xml:space="preserve">, </w:t>
      </w:r>
      <w:r w:rsidRPr="00971EDD">
        <w:rPr>
          <w:rFonts w:cs="Times New Roman"/>
          <w:i/>
          <w:iCs/>
          <w:noProof/>
          <w:szCs w:val="24"/>
          <w:lang w:val="en-US"/>
        </w:rPr>
        <w:t>109</w:t>
      </w:r>
      <w:r w:rsidRPr="00971EDD">
        <w:rPr>
          <w:rFonts w:cs="Times New Roman"/>
          <w:noProof/>
          <w:szCs w:val="24"/>
          <w:lang w:val="en-US"/>
        </w:rPr>
        <w:t>(27), 2012. https://doi.org/10.1073/pnas.1207143109</w:t>
      </w:r>
    </w:p>
    <w:p w14:paraId="1022774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Kjærbølling, I., Vesth, T., Frisvad, J. C., Nybo, J. L., Theobald, S., Kildgaard, S., … Andersen, M. R. (2020). A comparative genomics study of 23 Aspergillus species from section Flavi. </w:t>
      </w:r>
      <w:r w:rsidRPr="00971EDD">
        <w:rPr>
          <w:rFonts w:cs="Times New Roman"/>
          <w:i/>
          <w:iCs/>
          <w:noProof/>
          <w:szCs w:val="24"/>
          <w:lang w:val="en-US"/>
        </w:rPr>
        <w:t>Nature Communications</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(1). https://doi.org/10.1038/s41467-019-14051-y</w:t>
      </w:r>
    </w:p>
    <w:p w14:paraId="1546712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Kjer, J., Debbab, A., Aly, A. H., &amp; Proksch, P. (2010). Methods for isolation of marine-derived endophytic fungi and their bioactive secondary products. </w:t>
      </w:r>
      <w:r w:rsidRPr="00971EDD">
        <w:rPr>
          <w:rFonts w:cs="Times New Roman"/>
          <w:i/>
          <w:iCs/>
          <w:noProof/>
          <w:szCs w:val="24"/>
          <w:lang w:val="en-US"/>
        </w:rPr>
        <w:t>Nature Protocols</w:t>
      </w:r>
      <w:r w:rsidRPr="00971EDD">
        <w:rPr>
          <w:rFonts w:cs="Times New Roman"/>
          <w:noProof/>
          <w:szCs w:val="24"/>
          <w:lang w:val="en-US"/>
        </w:rPr>
        <w:t xml:space="preserve">, </w:t>
      </w:r>
      <w:r w:rsidRPr="00971EDD">
        <w:rPr>
          <w:rFonts w:cs="Times New Roman"/>
          <w:i/>
          <w:iCs/>
          <w:noProof/>
          <w:szCs w:val="24"/>
          <w:lang w:val="en-US"/>
        </w:rPr>
        <w:t>5</w:t>
      </w:r>
      <w:r w:rsidRPr="00971EDD">
        <w:rPr>
          <w:rFonts w:cs="Times New Roman"/>
          <w:noProof/>
          <w:szCs w:val="24"/>
          <w:lang w:val="en-US"/>
        </w:rPr>
        <w:t>(3), 479–490. https://doi.org/10.1038/nprot.2009.233</w:t>
      </w:r>
    </w:p>
    <w:p w14:paraId="4A6FABE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Levin-Reisman, I., Ronin, I., Gefen, O., Braniss, I., Shoresh, N., &amp; Balaban, N. Q. (2017). Antibiotic tolerance facilitates the evolution of resistance. </w:t>
      </w:r>
      <w:r w:rsidRPr="00971EDD">
        <w:rPr>
          <w:rFonts w:cs="Times New Roman"/>
          <w:i/>
          <w:iCs/>
          <w:noProof/>
          <w:szCs w:val="24"/>
          <w:lang w:val="en-US"/>
        </w:rPr>
        <w:t>Science</w:t>
      </w:r>
      <w:r w:rsidRPr="00971EDD">
        <w:rPr>
          <w:rFonts w:cs="Times New Roman"/>
          <w:noProof/>
          <w:szCs w:val="24"/>
          <w:lang w:val="en-US"/>
        </w:rPr>
        <w:t xml:space="preserve">, </w:t>
      </w:r>
      <w:r w:rsidRPr="00971EDD">
        <w:rPr>
          <w:rFonts w:cs="Times New Roman"/>
          <w:i/>
          <w:iCs/>
          <w:noProof/>
          <w:szCs w:val="24"/>
          <w:lang w:val="en-US"/>
        </w:rPr>
        <w:t>355</w:t>
      </w:r>
      <w:r w:rsidRPr="00971EDD">
        <w:rPr>
          <w:rFonts w:cs="Times New Roman"/>
          <w:noProof/>
          <w:szCs w:val="24"/>
          <w:lang w:val="en-US"/>
        </w:rPr>
        <w:t>(6327), 826–830. https://doi.org/10.1126/science.aaj2191</w:t>
      </w:r>
    </w:p>
    <w:p w14:paraId="3922826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Li, G., &amp; Lou, H. X. (2018). Strategies to diversify natural products for drug discovery. </w:t>
      </w:r>
      <w:r w:rsidRPr="00971EDD">
        <w:rPr>
          <w:rFonts w:cs="Times New Roman"/>
          <w:i/>
          <w:iCs/>
          <w:noProof/>
          <w:szCs w:val="24"/>
          <w:lang w:val="en-US"/>
        </w:rPr>
        <w:t>Medicinal Research Reviews</w:t>
      </w:r>
      <w:r w:rsidRPr="00971EDD">
        <w:rPr>
          <w:rFonts w:cs="Times New Roman"/>
          <w:noProof/>
          <w:szCs w:val="24"/>
          <w:lang w:val="en-US"/>
        </w:rPr>
        <w:t xml:space="preserve">, </w:t>
      </w:r>
      <w:r w:rsidRPr="00971EDD">
        <w:rPr>
          <w:rFonts w:cs="Times New Roman"/>
          <w:i/>
          <w:iCs/>
          <w:noProof/>
          <w:szCs w:val="24"/>
          <w:lang w:val="en-US"/>
        </w:rPr>
        <w:t>38</w:t>
      </w:r>
      <w:r w:rsidRPr="00971EDD">
        <w:rPr>
          <w:rFonts w:cs="Times New Roman"/>
          <w:noProof/>
          <w:szCs w:val="24"/>
          <w:lang w:val="en-US"/>
        </w:rPr>
        <w:t>(4), 1255–1294. https://doi.org/10.1002/med.21474</w:t>
      </w:r>
    </w:p>
    <w:p w14:paraId="7BF08552"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Liang, Y., Li, Y., Sun, A., &amp; Liu, X. (2019). Chemical compound identification and antibacterial activity evaluation of cinnamon extracts obtained by subcritical n-butane and ethanol extraction. </w:t>
      </w:r>
      <w:r w:rsidRPr="00971EDD">
        <w:rPr>
          <w:rFonts w:cs="Times New Roman"/>
          <w:i/>
          <w:iCs/>
          <w:noProof/>
          <w:szCs w:val="24"/>
          <w:lang w:val="en-US"/>
        </w:rPr>
        <w:t>Food Science and Nutrition</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(6), 2186–2193. https://doi.org/10.1002/fsn3.1065</w:t>
      </w:r>
    </w:p>
    <w:p w14:paraId="5537A2EF"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Lima, M. C., Paiva de Sousa, C., Fernandez-Prada, C., Harel, J., Dubreuil, J. D., &amp; de Souza, E. L. (2019). A review of the current evidence of fruit phenolic compounds as potential antimicrobials against pathogenic bacteria. </w:t>
      </w:r>
      <w:r w:rsidRPr="00971EDD">
        <w:rPr>
          <w:rFonts w:cs="Times New Roman"/>
          <w:i/>
          <w:iCs/>
          <w:noProof/>
          <w:szCs w:val="24"/>
          <w:lang w:val="en-US"/>
        </w:rPr>
        <w:t>Microbial Pathogenesis</w:t>
      </w:r>
      <w:r w:rsidRPr="00971EDD">
        <w:rPr>
          <w:rFonts w:cs="Times New Roman"/>
          <w:noProof/>
          <w:szCs w:val="24"/>
          <w:lang w:val="en-US"/>
        </w:rPr>
        <w:t xml:space="preserve">, </w:t>
      </w:r>
      <w:r w:rsidRPr="00971EDD">
        <w:rPr>
          <w:rFonts w:cs="Times New Roman"/>
          <w:i/>
          <w:iCs/>
          <w:noProof/>
          <w:szCs w:val="24"/>
          <w:lang w:val="en-US"/>
        </w:rPr>
        <w:t>130</w:t>
      </w:r>
      <w:r w:rsidRPr="00971EDD">
        <w:rPr>
          <w:rFonts w:cs="Times New Roman"/>
          <w:noProof/>
          <w:szCs w:val="24"/>
          <w:lang w:val="en-US"/>
        </w:rPr>
        <w:t>(December 2018), 259–270. https://doi.org/10.1016/j.micpath.2019.03.025</w:t>
      </w:r>
    </w:p>
    <w:p w14:paraId="5272865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Liu, M., El-Hossary, E. M., Oelschlaeger, T. A., Donia, M. S., Quinn, R. J., &amp; Abdelmohsen, U. R. (2019). Potential of marine natural products against drug-resistant bacterial infections. </w:t>
      </w:r>
      <w:r w:rsidRPr="00971EDD">
        <w:rPr>
          <w:rFonts w:cs="Times New Roman"/>
          <w:i/>
          <w:iCs/>
          <w:noProof/>
          <w:szCs w:val="24"/>
          <w:lang w:val="en-US"/>
        </w:rPr>
        <w:t>The Lancet Infectious Diseases</w:t>
      </w:r>
      <w:r w:rsidRPr="00971EDD">
        <w:rPr>
          <w:rFonts w:cs="Times New Roman"/>
          <w:noProof/>
          <w:szCs w:val="24"/>
          <w:lang w:val="en-US"/>
        </w:rPr>
        <w:t xml:space="preserve">, </w:t>
      </w:r>
      <w:r w:rsidRPr="00971EDD">
        <w:rPr>
          <w:rFonts w:cs="Times New Roman"/>
          <w:i/>
          <w:iCs/>
          <w:noProof/>
          <w:szCs w:val="24"/>
          <w:lang w:val="en-US"/>
        </w:rPr>
        <w:t>3099</w:t>
      </w:r>
      <w:r w:rsidRPr="00971EDD">
        <w:rPr>
          <w:rFonts w:cs="Times New Roman"/>
          <w:noProof/>
          <w:szCs w:val="24"/>
          <w:lang w:val="en-US"/>
        </w:rPr>
        <w:t>(18), 1–9. https://doi.org/10.1016/s1473-3099(18)30711-4</w:t>
      </w:r>
    </w:p>
    <w:p w14:paraId="0E977C9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lastRenderedPageBreak/>
        <w:t xml:space="preserve">Lu, Y., Tian, H., Chen, R., Liu, Q., Jia, K., Hu, D. L., … Fang, R. (2022). Synergistic Antimicrobial Effect of Antimicrobial Peptides CATH-1, CATH-3, and PMAP-36 With Erythromycin Against Bacterial Pathogens. </w:t>
      </w:r>
      <w:r w:rsidRPr="00971EDD">
        <w:rPr>
          <w:rFonts w:cs="Times New Roman"/>
          <w:i/>
          <w:iCs/>
          <w:noProof/>
          <w:szCs w:val="24"/>
          <w:lang w:val="en-US"/>
        </w:rPr>
        <w:t>Frontiers in Microbiology</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(July), 1–12. https://doi.org/10.3389/fmicb.2022.953720</w:t>
      </w:r>
    </w:p>
    <w:p w14:paraId="649351F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Ma, Y. M., Liang, X. A., Zhang, H. C., &amp; Liu, R. (2016). Cytotoxic and Antibiotic Cyclic Pentapeptide from an Endophytic Aspergillus tamarii of Ficus carica. </w:t>
      </w:r>
      <w:r w:rsidRPr="00971EDD">
        <w:rPr>
          <w:rFonts w:cs="Times New Roman"/>
          <w:i/>
          <w:iCs/>
          <w:noProof/>
          <w:szCs w:val="24"/>
          <w:lang w:val="en-US"/>
        </w:rPr>
        <w:t>Journal of Agricultural and Food Chemistry</w:t>
      </w:r>
      <w:r w:rsidRPr="00971EDD">
        <w:rPr>
          <w:rFonts w:cs="Times New Roman"/>
          <w:noProof/>
          <w:szCs w:val="24"/>
          <w:lang w:val="en-US"/>
        </w:rPr>
        <w:t xml:space="preserve">, </w:t>
      </w:r>
      <w:r w:rsidRPr="00971EDD">
        <w:rPr>
          <w:rFonts w:cs="Times New Roman"/>
          <w:i/>
          <w:iCs/>
          <w:noProof/>
          <w:szCs w:val="24"/>
          <w:lang w:val="en-US"/>
        </w:rPr>
        <w:t>64</w:t>
      </w:r>
      <w:r w:rsidRPr="00971EDD">
        <w:rPr>
          <w:rFonts w:cs="Times New Roman"/>
          <w:noProof/>
          <w:szCs w:val="24"/>
          <w:lang w:val="en-US"/>
        </w:rPr>
        <w:t>(19), 3789–3793. https://doi.org/10.1021/acs.jafc.6b01051</w:t>
      </w:r>
    </w:p>
    <w:p w14:paraId="02BB8763"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Macheleidt, J., Mattern, D. J., Fischer, J., Netzker, T., Weber, J., Schroeckh, V., … Brakhage, A. A. (2016). Regulation and Role of Fungal Secondary Metabolites. </w:t>
      </w:r>
      <w:r w:rsidRPr="00971EDD">
        <w:rPr>
          <w:rFonts w:cs="Times New Roman"/>
          <w:i/>
          <w:iCs/>
          <w:noProof/>
          <w:szCs w:val="24"/>
          <w:lang w:val="en-US"/>
        </w:rPr>
        <w:t>Annual Review of Genetics</w:t>
      </w:r>
      <w:r w:rsidRPr="00971EDD">
        <w:rPr>
          <w:rFonts w:cs="Times New Roman"/>
          <w:noProof/>
          <w:szCs w:val="24"/>
          <w:lang w:val="en-US"/>
        </w:rPr>
        <w:t xml:space="preserve">, </w:t>
      </w:r>
      <w:r w:rsidRPr="00971EDD">
        <w:rPr>
          <w:rFonts w:cs="Times New Roman"/>
          <w:i/>
          <w:iCs/>
          <w:noProof/>
          <w:szCs w:val="24"/>
          <w:lang w:val="en-US"/>
        </w:rPr>
        <w:t>50</w:t>
      </w:r>
      <w:r w:rsidRPr="00971EDD">
        <w:rPr>
          <w:rFonts w:cs="Times New Roman"/>
          <w:noProof/>
          <w:szCs w:val="24"/>
          <w:lang w:val="en-US"/>
        </w:rPr>
        <w:t>(1), 371–392. https://doi.org/10.1146/annurev-genet-120215-035203</w:t>
      </w:r>
    </w:p>
    <w:p w14:paraId="6F45859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Medema, M. H., &amp; Fischbach, M. A. (2015). Computational approaches to natural product discovery. </w:t>
      </w:r>
      <w:r w:rsidRPr="00971EDD">
        <w:rPr>
          <w:rFonts w:cs="Times New Roman"/>
          <w:i/>
          <w:iCs/>
          <w:noProof/>
          <w:szCs w:val="24"/>
          <w:lang w:val="en-US"/>
        </w:rPr>
        <w:t>Nature Chemical Biology</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(9), 639–648. https://doi.org/10.1038/nchembio.1884</w:t>
      </w:r>
    </w:p>
    <w:p w14:paraId="59235E5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Milshteyn, A., Schneider, J. S., &amp; Brady, S. F. (2014). Mining the metabiome: Identifying novel natural products from microbial communities. </w:t>
      </w:r>
      <w:r w:rsidRPr="00971EDD">
        <w:rPr>
          <w:rFonts w:cs="Times New Roman"/>
          <w:i/>
          <w:iCs/>
          <w:noProof/>
          <w:szCs w:val="24"/>
          <w:lang w:val="en-US"/>
        </w:rPr>
        <w:t>Chemistry and Biology</w:t>
      </w:r>
      <w:r w:rsidRPr="00971EDD">
        <w:rPr>
          <w:rFonts w:cs="Times New Roman"/>
          <w:noProof/>
          <w:szCs w:val="24"/>
          <w:lang w:val="en-US"/>
        </w:rPr>
        <w:t xml:space="preserve">, </w:t>
      </w:r>
      <w:r w:rsidRPr="00971EDD">
        <w:rPr>
          <w:rFonts w:cs="Times New Roman"/>
          <w:i/>
          <w:iCs/>
          <w:noProof/>
          <w:szCs w:val="24"/>
          <w:lang w:val="en-US"/>
        </w:rPr>
        <w:t>21</w:t>
      </w:r>
      <w:r w:rsidRPr="00971EDD">
        <w:rPr>
          <w:rFonts w:cs="Times New Roman"/>
          <w:noProof/>
          <w:szCs w:val="24"/>
          <w:lang w:val="en-US"/>
        </w:rPr>
        <w:t>(9), 1211–1223. https://doi.org/10.1016/j.chembiol.2014.08.006</w:t>
      </w:r>
    </w:p>
    <w:p w14:paraId="3CE6B753"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Monciardini, P., Iorio, M., Maffioli, S., Sosio, M., &amp; Donadio, S. (2014). Discovering new bioactive molecules from microbial sources. </w:t>
      </w:r>
      <w:r w:rsidRPr="00971EDD">
        <w:rPr>
          <w:rFonts w:cs="Times New Roman"/>
          <w:i/>
          <w:iCs/>
          <w:noProof/>
          <w:szCs w:val="24"/>
          <w:lang w:val="en-US"/>
        </w:rPr>
        <w:t>Microbial Biotechnology</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(3), 209–220. https://doi.org/10.1111/1751-7915.12123</w:t>
      </w:r>
    </w:p>
    <w:p w14:paraId="7A13B9D3"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Neuhaus, G. F., &amp; Loesgen, S. (2021). Antibacterial Drimane Sesquiterpenes from Aspergillus ustus. </w:t>
      </w:r>
      <w:r w:rsidRPr="00971EDD">
        <w:rPr>
          <w:rFonts w:cs="Times New Roman"/>
          <w:i/>
          <w:iCs/>
          <w:noProof/>
          <w:szCs w:val="24"/>
          <w:lang w:val="en-US"/>
        </w:rPr>
        <w:t>Journal of Natural Products</w:t>
      </w:r>
      <w:r w:rsidRPr="00971EDD">
        <w:rPr>
          <w:rFonts w:cs="Times New Roman"/>
          <w:noProof/>
          <w:szCs w:val="24"/>
          <w:lang w:val="en-US"/>
        </w:rPr>
        <w:t xml:space="preserve">, </w:t>
      </w:r>
      <w:r w:rsidRPr="00971EDD">
        <w:rPr>
          <w:rFonts w:cs="Times New Roman"/>
          <w:i/>
          <w:iCs/>
          <w:noProof/>
          <w:szCs w:val="24"/>
          <w:lang w:val="en-US"/>
        </w:rPr>
        <w:t>84</w:t>
      </w:r>
      <w:r w:rsidRPr="00971EDD">
        <w:rPr>
          <w:rFonts w:cs="Times New Roman"/>
          <w:noProof/>
          <w:szCs w:val="24"/>
          <w:lang w:val="en-US"/>
        </w:rPr>
        <w:t>(1), 37–45. https://doi.org/10.1021/acs.jnatprod.0c00910</w:t>
      </w:r>
    </w:p>
    <w:p w14:paraId="61CCC93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Nicoletti, R., &amp; Vinale, F. (2018). Bioactive Compounds from Marine-Derived </w:t>
      </w:r>
      <w:r w:rsidRPr="00971EDD">
        <w:rPr>
          <w:rFonts w:cs="Times New Roman"/>
          <w:i/>
          <w:iCs/>
          <w:noProof/>
          <w:szCs w:val="24"/>
          <w:lang w:val="en-US"/>
        </w:rPr>
        <w:t>Aspergillus, Penicillium, Talaromyces</w:t>
      </w:r>
      <w:r w:rsidRPr="00971EDD">
        <w:rPr>
          <w:rFonts w:cs="Times New Roman"/>
          <w:noProof/>
          <w:szCs w:val="24"/>
          <w:lang w:val="en-US"/>
        </w:rPr>
        <w:t xml:space="preserve"> and </w:t>
      </w:r>
      <w:r w:rsidRPr="00971EDD">
        <w:rPr>
          <w:rFonts w:cs="Times New Roman"/>
          <w:i/>
          <w:iCs/>
          <w:noProof/>
          <w:szCs w:val="24"/>
          <w:lang w:val="en-US"/>
        </w:rPr>
        <w:t>Trichoderma</w:t>
      </w:r>
      <w:r w:rsidRPr="00971EDD">
        <w:rPr>
          <w:rFonts w:cs="Times New Roman"/>
          <w:noProof/>
          <w:szCs w:val="24"/>
          <w:lang w:val="en-US"/>
        </w:rPr>
        <w:t xml:space="preserve"> Species.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16</w:t>
      </w:r>
      <w:r w:rsidRPr="00971EDD">
        <w:rPr>
          <w:rFonts w:cs="Times New Roman"/>
          <w:noProof/>
          <w:szCs w:val="24"/>
          <w:lang w:val="en-US"/>
        </w:rPr>
        <w:t>(11), 15–17. https://doi.org/10.3390/md16110408</w:t>
      </w:r>
    </w:p>
    <w:p w14:paraId="08501CAC"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O’Donnell, K., &amp; Cigelnik, E. (1997). Two Divergent Intragenomic rDNA ITS2 Types within a Monophyletic Lineage of the Fungus Fusarium are Nonorthologous. </w:t>
      </w:r>
      <w:r w:rsidRPr="00971EDD">
        <w:rPr>
          <w:rFonts w:cs="Times New Roman"/>
          <w:i/>
          <w:iCs/>
          <w:noProof/>
          <w:szCs w:val="24"/>
          <w:lang w:val="en-US"/>
        </w:rPr>
        <w:t>Molecular Phylogenetics and Evolution</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(1), 103–116. https://doi.org/10.1006/mpev.1996.0376</w:t>
      </w:r>
    </w:p>
    <w:p w14:paraId="0468B63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lastRenderedPageBreak/>
        <w:t xml:space="preserve">Oppong-Danquah, E., Budnicka, P., Blümel, M., &amp; Tasdemir, D. (2020). Design of fungal co-cultivation based on comparative metabolomics and bioactivity for discovery of marine fungal agrochemicals.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18</w:t>
      </w:r>
      <w:r w:rsidRPr="00971EDD">
        <w:rPr>
          <w:rFonts w:cs="Times New Roman"/>
          <w:noProof/>
          <w:szCs w:val="24"/>
          <w:lang w:val="en-US"/>
        </w:rPr>
        <w:t>(2). https://doi.org/10.3390/md18020073</w:t>
      </w:r>
    </w:p>
    <w:p w14:paraId="402363F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Ouerghemmi, I., Bettaieb Rebey, I., Rahali, F. Z., Bourgou, S., Pistelli, L., Ksouri, R., … Saidani Tounsi, M. (2017). Antioxidant and antimicrobial phenolic compounds from extracts of cultivated and wild-grown Tunisian Ruta chalepensis. </w:t>
      </w:r>
      <w:r w:rsidRPr="00971EDD">
        <w:rPr>
          <w:rFonts w:cs="Times New Roman"/>
          <w:i/>
          <w:iCs/>
          <w:noProof/>
          <w:szCs w:val="24"/>
          <w:lang w:val="en-US"/>
        </w:rPr>
        <w:t>Journal of Food and Drug Analysis</w:t>
      </w:r>
      <w:r w:rsidRPr="00971EDD">
        <w:rPr>
          <w:rFonts w:cs="Times New Roman"/>
          <w:noProof/>
          <w:szCs w:val="24"/>
          <w:lang w:val="en-US"/>
        </w:rPr>
        <w:t xml:space="preserve">, </w:t>
      </w:r>
      <w:r w:rsidRPr="00971EDD">
        <w:rPr>
          <w:rFonts w:cs="Times New Roman"/>
          <w:i/>
          <w:iCs/>
          <w:noProof/>
          <w:szCs w:val="24"/>
          <w:lang w:val="en-US"/>
        </w:rPr>
        <w:t>25</w:t>
      </w:r>
      <w:r w:rsidRPr="00971EDD">
        <w:rPr>
          <w:rFonts w:cs="Times New Roman"/>
          <w:noProof/>
          <w:szCs w:val="24"/>
          <w:lang w:val="en-US"/>
        </w:rPr>
        <w:t>(2), 350–359. https://doi.org/10.1016/j.jfda.2016.04.001</w:t>
      </w:r>
    </w:p>
    <w:p w14:paraId="28BF3B4C"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Overy, D. P., Rämä, T., Oosterhuis, R., Walker, A. K., &amp; Pang, K. L. (2019). The neglected marine fungi, sensu stricto, and their isolation for natural products’ discovery.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17</w:t>
      </w:r>
      <w:r w:rsidRPr="00971EDD">
        <w:rPr>
          <w:rFonts w:cs="Times New Roman"/>
          <w:noProof/>
          <w:szCs w:val="24"/>
          <w:lang w:val="en-US"/>
        </w:rPr>
        <w:t>(1). https://doi.org/10.3390/md17010042</w:t>
      </w:r>
    </w:p>
    <w:p w14:paraId="4B52A568"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Pandey, A. (2019). Pharmacological Potential of Marine Microbes. In </w:t>
      </w:r>
      <w:r w:rsidRPr="00971EDD">
        <w:rPr>
          <w:rFonts w:cs="Times New Roman"/>
          <w:i/>
          <w:iCs/>
          <w:noProof/>
          <w:szCs w:val="24"/>
          <w:lang w:val="en-US"/>
        </w:rPr>
        <w:t>Pharmaceuticals from Microbes</w:t>
      </w:r>
      <w:r w:rsidRPr="00971EDD">
        <w:rPr>
          <w:rFonts w:cs="Times New Roman"/>
          <w:noProof/>
          <w:szCs w:val="24"/>
          <w:lang w:val="en-US"/>
        </w:rPr>
        <w:t xml:space="preserve"> (pp. 1–25). India. https://doi.org/doi.org/10.1007/978-3-030-04675-0_1</w:t>
      </w:r>
    </w:p>
    <w:p w14:paraId="3CA0559B" w14:textId="77777777" w:rsidR="00FC7620" w:rsidRPr="00413EC4" w:rsidRDefault="00FC7620" w:rsidP="00FC7620">
      <w:pPr>
        <w:widowControl w:val="0"/>
        <w:autoSpaceDE w:val="0"/>
        <w:autoSpaceDN w:val="0"/>
        <w:adjustRightInd w:val="0"/>
        <w:ind w:left="480" w:hanging="480"/>
        <w:rPr>
          <w:rFonts w:cs="Times New Roman"/>
          <w:noProof/>
          <w:szCs w:val="24"/>
        </w:rPr>
      </w:pPr>
      <w:r w:rsidRPr="00413EC4">
        <w:rPr>
          <w:rFonts w:cs="Times New Roman"/>
          <w:noProof/>
          <w:szCs w:val="24"/>
        </w:rPr>
        <w:t xml:space="preserve">Pang, K. P., &amp; Jones, E. B. G. (2017). </w:t>
      </w:r>
      <w:r w:rsidRPr="00971EDD">
        <w:rPr>
          <w:rFonts w:cs="Times New Roman"/>
          <w:noProof/>
          <w:szCs w:val="24"/>
          <w:lang w:val="en-US"/>
        </w:rPr>
        <w:t xml:space="preserve">Recent advances in marine mycology. </w:t>
      </w:r>
      <w:r w:rsidRPr="00413EC4">
        <w:rPr>
          <w:rFonts w:cs="Times New Roman"/>
          <w:i/>
          <w:iCs/>
          <w:noProof/>
          <w:szCs w:val="24"/>
        </w:rPr>
        <w:t>Botanica Marina</w:t>
      </w:r>
      <w:r w:rsidRPr="00413EC4">
        <w:rPr>
          <w:rFonts w:cs="Times New Roman"/>
          <w:noProof/>
          <w:szCs w:val="24"/>
        </w:rPr>
        <w:t xml:space="preserve">, </w:t>
      </w:r>
      <w:r w:rsidRPr="00413EC4">
        <w:rPr>
          <w:rFonts w:cs="Times New Roman"/>
          <w:i/>
          <w:iCs/>
          <w:noProof/>
          <w:szCs w:val="24"/>
        </w:rPr>
        <w:t>60</w:t>
      </w:r>
      <w:r w:rsidRPr="00413EC4">
        <w:rPr>
          <w:rFonts w:cs="Times New Roman"/>
          <w:noProof/>
          <w:szCs w:val="24"/>
        </w:rPr>
        <w:t>(4). https://doi.org/10.1515/bot-2017-0048</w:t>
      </w:r>
    </w:p>
    <w:p w14:paraId="6E00F87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Puškárová, A., Bučková, M., Kraková, L., Pangallo, D., &amp; Kozics, K. (2017). </w:t>
      </w:r>
      <w:r w:rsidRPr="00971EDD">
        <w:rPr>
          <w:rFonts w:cs="Times New Roman"/>
          <w:noProof/>
          <w:szCs w:val="24"/>
          <w:lang w:val="en-US"/>
        </w:rPr>
        <w:t xml:space="preserve">The antibacterial and antifungal activity of six essential oils and their cyto/genotoxicity to human HEL 12469 cells. </w:t>
      </w:r>
      <w:r w:rsidRPr="00971EDD">
        <w:rPr>
          <w:rFonts w:cs="Times New Roman"/>
          <w:i/>
          <w:iCs/>
          <w:noProof/>
          <w:szCs w:val="24"/>
          <w:lang w:val="en-US"/>
        </w:rPr>
        <w:t>Scientific Reports</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(1), 1–11. https://doi.org/10.1038/s41598-017-08673-9</w:t>
      </w:r>
    </w:p>
    <w:p w14:paraId="3647FEC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Raghukumar, S. (2017). </w:t>
      </w:r>
      <w:r w:rsidRPr="00971EDD">
        <w:rPr>
          <w:rFonts w:cs="Times New Roman"/>
          <w:i/>
          <w:iCs/>
          <w:noProof/>
          <w:szCs w:val="24"/>
          <w:lang w:val="en-US"/>
        </w:rPr>
        <w:t>Fungi in Coastal and Oceanic Marine Ecosystems</w:t>
      </w:r>
      <w:r w:rsidRPr="00971EDD">
        <w:rPr>
          <w:rFonts w:cs="Times New Roman"/>
          <w:noProof/>
          <w:szCs w:val="24"/>
          <w:lang w:val="en-US"/>
        </w:rPr>
        <w:t>. (M. Fungi, Ed.). India. https://doi.org/10.1007/978-3-319-54304-8</w:t>
      </w:r>
    </w:p>
    <w:p w14:paraId="0306490E"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Raja, H. A., Miller, A. N., Pearce, C. J., &amp; Oberlies, N. H. (2017). Fungal Identification Using Molecular Tools: A Primer for the Natural Products Research Community. </w:t>
      </w:r>
      <w:r w:rsidRPr="00971EDD">
        <w:rPr>
          <w:rFonts w:cs="Times New Roman"/>
          <w:i/>
          <w:iCs/>
          <w:noProof/>
          <w:szCs w:val="24"/>
          <w:lang w:val="en-US"/>
        </w:rPr>
        <w:t>Journal of Natural Products</w:t>
      </w:r>
      <w:r w:rsidRPr="00971EDD">
        <w:rPr>
          <w:rFonts w:cs="Times New Roman"/>
          <w:noProof/>
          <w:szCs w:val="24"/>
          <w:lang w:val="en-US"/>
        </w:rPr>
        <w:t xml:space="preserve">, </w:t>
      </w:r>
      <w:r w:rsidRPr="00971EDD">
        <w:rPr>
          <w:rFonts w:cs="Times New Roman"/>
          <w:i/>
          <w:iCs/>
          <w:noProof/>
          <w:szCs w:val="24"/>
          <w:lang w:val="en-US"/>
        </w:rPr>
        <w:t>80</w:t>
      </w:r>
      <w:r w:rsidRPr="00971EDD">
        <w:rPr>
          <w:rFonts w:cs="Times New Roman"/>
          <w:noProof/>
          <w:szCs w:val="24"/>
          <w:lang w:val="en-US"/>
        </w:rPr>
        <w:t>(3), 756–770. https://doi.org/10.1021/acs.jnatprod.6b01085</w:t>
      </w:r>
    </w:p>
    <w:p w14:paraId="232D3E02"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Rangel, M., &amp; Falkenberg, M. (2015). An overview of the marine natural products in clinical trials and on the market. </w:t>
      </w:r>
      <w:r w:rsidRPr="00971EDD">
        <w:rPr>
          <w:rFonts w:cs="Times New Roman"/>
          <w:i/>
          <w:iCs/>
          <w:noProof/>
          <w:szCs w:val="24"/>
          <w:lang w:val="en-US"/>
        </w:rPr>
        <w:t>Journal of Coastal Life Medicine</w:t>
      </w:r>
      <w:r w:rsidRPr="00971EDD">
        <w:rPr>
          <w:rFonts w:cs="Times New Roman"/>
          <w:noProof/>
          <w:szCs w:val="24"/>
          <w:lang w:val="en-US"/>
        </w:rPr>
        <w:t xml:space="preserve">, </w:t>
      </w:r>
      <w:r w:rsidRPr="00971EDD">
        <w:rPr>
          <w:rFonts w:cs="Times New Roman"/>
          <w:i/>
          <w:iCs/>
          <w:noProof/>
          <w:szCs w:val="24"/>
          <w:lang w:val="en-US"/>
        </w:rPr>
        <w:t>3</w:t>
      </w:r>
      <w:r w:rsidRPr="00971EDD">
        <w:rPr>
          <w:rFonts w:cs="Times New Roman"/>
          <w:noProof/>
          <w:szCs w:val="24"/>
          <w:lang w:val="en-US"/>
        </w:rPr>
        <w:t>(6). https://doi.org/10.12980/JCLM.3.2015JCLM-2015-0018</w:t>
      </w:r>
    </w:p>
    <w:p w14:paraId="19B094BE"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Rateb, M. E., &amp; Ebel, R. (2011). Secondary metabolites of fungi from marine habitats. </w:t>
      </w:r>
      <w:r w:rsidRPr="00971EDD">
        <w:rPr>
          <w:rFonts w:cs="Times New Roman"/>
          <w:i/>
          <w:iCs/>
          <w:noProof/>
          <w:szCs w:val="24"/>
          <w:lang w:val="en-US"/>
        </w:rPr>
        <w:t>Natural Product Reports</w:t>
      </w:r>
      <w:r w:rsidRPr="00971EDD">
        <w:rPr>
          <w:rFonts w:cs="Times New Roman"/>
          <w:noProof/>
          <w:szCs w:val="24"/>
          <w:lang w:val="en-US"/>
        </w:rPr>
        <w:t xml:space="preserve">, </w:t>
      </w:r>
      <w:r w:rsidRPr="00971EDD">
        <w:rPr>
          <w:rFonts w:cs="Times New Roman"/>
          <w:i/>
          <w:iCs/>
          <w:noProof/>
          <w:szCs w:val="24"/>
          <w:lang w:val="en-US"/>
        </w:rPr>
        <w:t>28</w:t>
      </w:r>
      <w:r w:rsidRPr="00971EDD">
        <w:rPr>
          <w:rFonts w:cs="Times New Roman"/>
          <w:noProof/>
          <w:szCs w:val="24"/>
          <w:lang w:val="en-US"/>
        </w:rPr>
        <w:t>(2), 290–344. https://doi.org/10.1039/c0np00061b</w:t>
      </w:r>
    </w:p>
    <w:p w14:paraId="2647087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Robinson, T. P., Bu, D. P., Carrique-Mas, J., Fèvre, E. M., Gilbert, M., Grace, D., … Woolhouse, </w:t>
      </w:r>
      <w:r w:rsidRPr="00971EDD">
        <w:rPr>
          <w:rFonts w:cs="Times New Roman"/>
          <w:noProof/>
          <w:szCs w:val="24"/>
          <w:lang w:val="en-US"/>
        </w:rPr>
        <w:lastRenderedPageBreak/>
        <w:t xml:space="preserve">M. E. J. (2016). Antibiotic resistance is the quintessential One Health issue. </w:t>
      </w:r>
      <w:r w:rsidRPr="00971EDD">
        <w:rPr>
          <w:rFonts w:cs="Times New Roman"/>
          <w:i/>
          <w:iCs/>
          <w:noProof/>
          <w:szCs w:val="24"/>
          <w:lang w:val="en-US"/>
        </w:rPr>
        <w:t>Transactions of The Royal Society of Tropical Medicine and Hygiene</w:t>
      </w:r>
      <w:r w:rsidRPr="00971EDD">
        <w:rPr>
          <w:rFonts w:cs="Times New Roman"/>
          <w:noProof/>
          <w:szCs w:val="24"/>
          <w:lang w:val="en-US"/>
        </w:rPr>
        <w:t xml:space="preserve">, </w:t>
      </w:r>
      <w:r w:rsidRPr="00971EDD">
        <w:rPr>
          <w:rFonts w:cs="Times New Roman"/>
          <w:i/>
          <w:iCs/>
          <w:noProof/>
          <w:szCs w:val="24"/>
          <w:lang w:val="en-US"/>
        </w:rPr>
        <w:t>110</w:t>
      </w:r>
      <w:r w:rsidRPr="00971EDD">
        <w:rPr>
          <w:rFonts w:cs="Times New Roman"/>
          <w:noProof/>
          <w:szCs w:val="24"/>
          <w:lang w:val="en-US"/>
        </w:rPr>
        <w:t>(7), 377–380. https://doi.org/10.1093/trstmh/trw048</w:t>
      </w:r>
    </w:p>
    <w:p w14:paraId="0E1D06CA" w14:textId="77777777" w:rsidR="00FC7620" w:rsidRPr="00413EC4" w:rsidRDefault="00FC7620" w:rsidP="00FC7620">
      <w:pPr>
        <w:widowControl w:val="0"/>
        <w:autoSpaceDE w:val="0"/>
        <w:autoSpaceDN w:val="0"/>
        <w:adjustRightInd w:val="0"/>
        <w:ind w:left="480" w:hanging="480"/>
        <w:rPr>
          <w:rFonts w:cs="Times New Roman"/>
          <w:noProof/>
          <w:szCs w:val="24"/>
        </w:rPr>
      </w:pPr>
      <w:r w:rsidRPr="00413EC4">
        <w:rPr>
          <w:rFonts w:cs="Times New Roman"/>
          <w:noProof/>
          <w:szCs w:val="24"/>
        </w:rPr>
        <w:t xml:space="preserve">Rojas-Jiménez, K. (2018). Microorganismos del corredor marino Isla del Coco-Galápagos : diversidad funcional y de especies. </w:t>
      </w:r>
      <w:r w:rsidRPr="00413EC4">
        <w:rPr>
          <w:rFonts w:cs="Times New Roman"/>
          <w:i/>
          <w:iCs/>
          <w:noProof/>
          <w:szCs w:val="24"/>
        </w:rPr>
        <w:t>Tecnología En Marcha</w:t>
      </w:r>
      <w:r w:rsidRPr="00413EC4">
        <w:rPr>
          <w:rFonts w:cs="Times New Roman"/>
          <w:noProof/>
          <w:szCs w:val="24"/>
        </w:rPr>
        <w:t xml:space="preserve">, </w:t>
      </w:r>
      <w:r w:rsidRPr="00413EC4">
        <w:rPr>
          <w:rFonts w:cs="Times New Roman"/>
          <w:i/>
          <w:iCs/>
          <w:noProof/>
          <w:szCs w:val="24"/>
        </w:rPr>
        <w:t>31</w:t>
      </w:r>
      <w:r w:rsidRPr="00413EC4">
        <w:rPr>
          <w:rFonts w:cs="Times New Roman"/>
          <w:noProof/>
          <w:szCs w:val="24"/>
        </w:rPr>
        <w:t>(4), 157–166. https://doi.org//10.18845/tm.v31i4.3974</w:t>
      </w:r>
    </w:p>
    <w:p w14:paraId="0A9A3E6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513B4">
        <w:rPr>
          <w:rFonts w:cs="Times New Roman"/>
          <w:noProof/>
          <w:szCs w:val="24"/>
        </w:rPr>
        <w:t xml:space="preserve">Scalbert, A. (1991). </w:t>
      </w:r>
      <w:r w:rsidRPr="00971EDD">
        <w:rPr>
          <w:rFonts w:cs="Times New Roman"/>
          <w:noProof/>
          <w:szCs w:val="24"/>
          <w:lang w:val="en-US"/>
        </w:rPr>
        <w:t xml:space="preserve">Antimicrobial properties of tannins. </w:t>
      </w:r>
      <w:r w:rsidRPr="00971EDD">
        <w:rPr>
          <w:rFonts w:cs="Times New Roman"/>
          <w:i/>
          <w:iCs/>
          <w:noProof/>
          <w:szCs w:val="24"/>
          <w:lang w:val="en-US"/>
        </w:rPr>
        <w:t>Phytochemistry</w:t>
      </w:r>
      <w:r w:rsidRPr="00971EDD">
        <w:rPr>
          <w:rFonts w:cs="Times New Roman"/>
          <w:noProof/>
          <w:szCs w:val="24"/>
          <w:lang w:val="en-US"/>
        </w:rPr>
        <w:t xml:space="preserve">, </w:t>
      </w:r>
      <w:r w:rsidRPr="00971EDD">
        <w:rPr>
          <w:rFonts w:cs="Times New Roman"/>
          <w:i/>
          <w:iCs/>
          <w:noProof/>
          <w:szCs w:val="24"/>
          <w:lang w:val="en-US"/>
        </w:rPr>
        <w:t>30</w:t>
      </w:r>
      <w:r w:rsidRPr="00971EDD">
        <w:rPr>
          <w:rFonts w:cs="Times New Roman"/>
          <w:noProof/>
          <w:szCs w:val="24"/>
          <w:lang w:val="en-US"/>
        </w:rPr>
        <w:t>(12), 3875–3883. https://doi.org/10.1016/0031-9422(91)83426-L</w:t>
      </w:r>
    </w:p>
    <w:p w14:paraId="5A582EFC"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Schoch, C. L., Seifert, K. A., Huhndorf, S., Robert, V., Spouge, J. L., Levesque, C. A., … Schindel, D. (2012). Nuclear ribosomal internal transcribed spacer (ITS) region as a universal DNA barcode marker for Fungi. </w:t>
      </w:r>
      <w:r w:rsidRPr="00971EDD">
        <w:rPr>
          <w:rFonts w:cs="Times New Roman"/>
          <w:i/>
          <w:iCs/>
          <w:noProof/>
          <w:szCs w:val="24"/>
          <w:lang w:val="en-US"/>
        </w:rPr>
        <w:t>Proceedings of the National Academy of Sciences of the United States of America</w:t>
      </w:r>
      <w:r w:rsidRPr="00971EDD">
        <w:rPr>
          <w:rFonts w:cs="Times New Roman"/>
          <w:noProof/>
          <w:szCs w:val="24"/>
          <w:lang w:val="en-US"/>
        </w:rPr>
        <w:t xml:space="preserve">, </w:t>
      </w:r>
      <w:r w:rsidRPr="00971EDD">
        <w:rPr>
          <w:rFonts w:cs="Times New Roman"/>
          <w:i/>
          <w:iCs/>
          <w:noProof/>
          <w:szCs w:val="24"/>
          <w:lang w:val="en-US"/>
        </w:rPr>
        <w:t>109</w:t>
      </w:r>
      <w:r w:rsidRPr="00971EDD">
        <w:rPr>
          <w:rFonts w:cs="Times New Roman"/>
          <w:noProof/>
          <w:szCs w:val="24"/>
          <w:lang w:val="en-US"/>
        </w:rPr>
        <w:t>(16), 6241–6246. https://doi.org/10.1073/pnas.1117018109</w:t>
      </w:r>
    </w:p>
    <w:p w14:paraId="040F5D48"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Schulz, B., Boyle, C., Draeger, S., Römmert, A., &amp; Krohn, K. (2002). Endophytic fungi: a source of novel biologically active secondary metabolites, </w:t>
      </w:r>
      <w:r w:rsidRPr="00971EDD">
        <w:rPr>
          <w:rFonts w:cs="Times New Roman"/>
          <w:i/>
          <w:iCs/>
          <w:noProof/>
          <w:szCs w:val="24"/>
          <w:lang w:val="en-US"/>
        </w:rPr>
        <w:t>9</w:t>
      </w:r>
      <w:r w:rsidRPr="00971EDD">
        <w:rPr>
          <w:rFonts w:cs="Times New Roman"/>
          <w:noProof/>
          <w:szCs w:val="24"/>
          <w:lang w:val="en-US"/>
        </w:rPr>
        <w:t>(106), 996–1004. https://doi.org/10.1186/1471-2261-9-19</w:t>
      </w:r>
    </w:p>
    <w:p w14:paraId="5C7A3D9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Semreen, M. H., El-Gamal, M. I., Abdin, S., Alkhazraji, H., Kamal, L., Hammad, S., … </w:t>
      </w:r>
      <w:r w:rsidRPr="00971EDD">
        <w:rPr>
          <w:rFonts w:cs="Times New Roman"/>
          <w:noProof/>
          <w:szCs w:val="24"/>
          <w:lang w:val="en-US"/>
        </w:rPr>
        <w:t xml:space="preserve">Kourbaj, L. (2018). Recent updates of marine antimicrobial peptides. </w:t>
      </w:r>
      <w:r w:rsidRPr="00971EDD">
        <w:rPr>
          <w:rFonts w:cs="Times New Roman"/>
          <w:i/>
          <w:iCs/>
          <w:noProof/>
          <w:szCs w:val="24"/>
          <w:lang w:val="en-US"/>
        </w:rPr>
        <w:t>Saudi Pharmaceutical Journal</w:t>
      </w:r>
      <w:r w:rsidRPr="00971EDD">
        <w:rPr>
          <w:rFonts w:cs="Times New Roman"/>
          <w:noProof/>
          <w:szCs w:val="24"/>
          <w:lang w:val="en-US"/>
        </w:rPr>
        <w:t xml:space="preserve">, </w:t>
      </w:r>
      <w:r w:rsidRPr="00971EDD">
        <w:rPr>
          <w:rFonts w:cs="Times New Roman"/>
          <w:i/>
          <w:iCs/>
          <w:noProof/>
          <w:szCs w:val="24"/>
          <w:lang w:val="en-US"/>
        </w:rPr>
        <w:t>26</w:t>
      </w:r>
      <w:r w:rsidRPr="00971EDD">
        <w:rPr>
          <w:rFonts w:cs="Times New Roman"/>
          <w:noProof/>
          <w:szCs w:val="24"/>
          <w:lang w:val="en-US"/>
        </w:rPr>
        <w:t>(3), 396–409. https://doi.org/10.1016/j.jsps.2018.01.001</w:t>
      </w:r>
    </w:p>
    <w:p w14:paraId="5898B62C"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Shang, D., Liu, Y., Jiang, F., Ji, F., Wang, H., &amp; Han, X. (2019). Synergistic Antibacterial Activity of Designed Trp-Containing Antibacterial Peptides in Combination With Antibiotics Against Multidrug-Resistant Staphylococcus epidermidis. </w:t>
      </w:r>
      <w:r w:rsidRPr="00971EDD">
        <w:rPr>
          <w:rFonts w:cs="Times New Roman"/>
          <w:i/>
          <w:iCs/>
          <w:noProof/>
          <w:szCs w:val="24"/>
          <w:lang w:val="en-US"/>
        </w:rPr>
        <w:t>Frontiers in Microbiology</w:t>
      </w:r>
      <w:r w:rsidRPr="00971EDD">
        <w:rPr>
          <w:rFonts w:cs="Times New Roman"/>
          <w:noProof/>
          <w:szCs w:val="24"/>
          <w:lang w:val="en-US"/>
        </w:rPr>
        <w:t xml:space="preserve">, </w:t>
      </w:r>
      <w:r w:rsidRPr="00971EDD">
        <w:rPr>
          <w:rFonts w:cs="Times New Roman"/>
          <w:i/>
          <w:iCs/>
          <w:noProof/>
          <w:szCs w:val="24"/>
          <w:lang w:val="en-US"/>
        </w:rPr>
        <w:t>10</w:t>
      </w:r>
      <w:r w:rsidRPr="00971EDD">
        <w:rPr>
          <w:rFonts w:cs="Times New Roman"/>
          <w:noProof/>
          <w:szCs w:val="24"/>
          <w:lang w:val="en-US"/>
        </w:rPr>
        <w:t>(November), 1–15. https://doi.org/10.3389/fmicb.2019.02719</w:t>
      </w:r>
    </w:p>
    <w:p w14:paraId="75918F4C" w14:textId="77777777" w:rsidR="00FC7620" w:rsidRPr="00413EC4" w:rsidRDefault="00FC7620" w:rsidP="00FC7620">
      <w:pPr>
        <w:widowControl w:val="0"/>
        <w:autoSpaceDE w:val="0"/>
        <w:autoSpaceDN w:val="0"/>
        <w:adjustRightInd w:val="0"/>
        <w:ind w:left="480" w:hanging="480"/>
        <w:rPr>
          <w:rFonts w:cs="Times New Roman"/>
          <w:noProof/>
          <w:szCs w:val="24"/>
        </w:rPr>
      </w:pPr>
      <w:r w:rsidRPr="004513B4">
        <w:rPr>
          <w:rFonts w:cs="Times New Roman"/>
          <w:noProof/>
          <w:szCs w:val="24"/>
          <w:lang w:val="en-US"/>
        </w:rPr>
        <w:t xml:space="preserve">Silber, J., Kramer, A., Labes, A., &amp; Tasdemir, D. (2016). </w:t>
      </w:r>
      <w:r w:rsidRPr="00971EDD">
        <w:rPr>
          <w:rFonts w:cs="Times New Roman"/>
          <w:noProof/>
          <w:szCs w:val="24"/>
          <w:lang w:val="en-US"/>
        </w:rPr>
        <w:t xml:space="preserve">From discovery to production: Biotechnology of marine fungi for the production of new antibiotics. </w:t>
      </w:r>
      <w:r w:rsidRPr="00413EC4">
        <w:rPr>
          <w:rFonts w:cs="Times New Roman"/>
          <w:i/>
          <w:iCs/>
          <w:noProof/>
          <w:szCs w:val="24"/>
        </w:rPr>
        <w:t>Marine Drugs</w:t>
      </w:r>
      <w:r w:rsidRPr="00413EC4">
        <w:rPr>
          <w:rFonts w:cs="Times New Roman"/>
          <w:noProof/>
          <w:szCs w:val="24"/>
        </w:rPr>
        <w:t xml:space="preserve">, </w:t>
      </w:r>
      <w:r w:rsidRPr="00413EC4">
        <w:rPr>
          <w:rFonts w:cs="Times New Roman"/>
          <w:i/>
          <w:iCs/>
          <w:noProof/>
          <w:szCs w:val="24"/>
        </w:rPr>
        <w:t>14</w:t>
      </w:r>
      <w:r w:rsidRPr="00413EC4">
        <w:rPr>
          <w:rFonts w:cs="Times New Roman"/>
          <w:noProof/>
          <w:szCs w:val="24"/>
        </w:rPr>
        <w:t>(7), 1–20. https://doi.org/10.3390/md14070137</w:t>
      </w:r>
    </w:p>
    <w:p w14:paraId="6C33443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Snoussi, M., Talledo, J. P., Del Rosario, N. A., Mohammadi, S., Ha, B.-Y., Košmrlj, A., &amp; Taheri-Araghi, S. (2018). </w:t>
      </w:r>
      <w:r w:rsidRPr="00971EDD">
        <w:rPr>
          <w:rFonts w:cs="Times New Roman"/>
          <w:noProof/>
          <w:szCs w:val="24"/>
          <w:lang w:val="en-US"/>
        </w:rPr>
        <w:t xml:space="preserve">Heterogeneous absorption of antimicrobial peptide LL37 in escherichia coli cells enhances population survivability. </w:t>
      </w:r>
      <w:r w:rsidRPr="00971EDD">
        <w:rPr>
          <w:rFonts w:cs="Times New Roman"/>
          <w:i/>
          <w:iCs/>
          <w:noProof/>
          <w:szCs w:val="24"/>
          <w:lang w:val="en-US"/>
        </w:rPr>
        <w:t>ELife</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 1–21. https://doi.org/10.7554/eLife.38174</w:t>
      </w:r>
    </w:p>
    <w:p w14:paraId="05CD5B63"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lastRenderedPageBreak/>
        <w:t xml:space="preserve">Soltani, S., Biron, E., Ben Said, L., Subirade, M., &amp; Fliss, I. (2022). Bacteriocin-Based Synergetic Consortia: a Promising Strategy to Enhance Antimicrobial Activity and Broaden the Spectrum of Inhibition. </w:t>
      </w:r>
      <w:r w:rsidRPr="00971EDD">
        <w:rPr>
          <w:rFonts w:cs="Times New Roman"/>
          <w:i/>
          <w:iCs/>
          <w:noProof/>
          <w:szCs w:val="24"/>
          <w:lang w:val="en-US"/>
        </w:rPr>
        <w:t>Microbiology Spectrum</w:t>
      </w:r>
      <w:r w:rsidRPr="00971EDD">
        <w:rPr>
          <w:rFonts w:cs="Times New Roman"/>
          <w:noProof/>
          <w:szCs w:val="24"/>
          <w:lang w:val="en-US"/>
        </w:rPr>
        <w:t xml:space="preserve">, </w:t>
      </w:r>
      <w:r w:rsidRPr="00971EDD">
        <w:rPr>
          <w:rFonts w:cs="Times New Roman"/>
          <w:i/>
          <w:iCs/>
          <w:noProof/>
          <w:szCs w:val="24"/>
          <w:lang w:val="en-US"/>
        </w:rPr>
        <w:t>10</w:t>
      </w:r>
      <w:r w:rsidRPr="00971EDD">
        <w:rPr>
          <w:rFonts w:cs="Times New Roman"/>
          <w:noProof/>
          <w:szCs w:val="24"/>
          <w:lang w:val="en-US"/>
        </w:rPr>
        <w:t>(1). https://doi.org/10.1128/spectrum.00406-21</w:t>
      </w:r>
    </w:p>
    <w:p w14:paraId="3237914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Song, L., Hu, X., Ren, X., Liu, J., &amp; Liu, X. (2022). Antibacterial Modes of Herbal Flavonoids Combat Resistant Bacteria. </w:t>
      </w:r>
      <w:r w:rsidRPr="00971EDD">
        <w:rPr>
          <w:rFonts w:cs="Times New Roman"/>
          <w:i/>
          <w:iCs/>
          <w:noProof/>
          <w:szCs w:val="24"/>
          <w:lang w:val="en-US"/>
        </w:rPr>
        <w:t>Frontiers in Pharmacology</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(June), 1–11. https://doi.org/10.3389/fphar.2022.873374</w:t>
      </w:r>
    </w:p>
    <w:p w14:paraId="18CC052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Sulieman, A. M. E., Issa, F. M., &amp; Elkhalifa, E. A. (2007). Quantitative determination of tannin content in some sorghum cultivars and evaluation of its antimicrobial activity. </w:t>
      </w:r>
      <w:r w:rsidRPr="00971EDD">
        <w:rPr>
          <w:rFonts w:cs="Times New Roman"/>
          <w:i/>
          <w:iCs/>
          <w:noProof/>
          <w:szCs w:val="24"/>
          <w:lang w:val="en-US"/>
        </w:rPr>
        <w:t>Research Journal of Microbiology</w:t>
      </w:r>
      <w:r w:rsidRPr="00971EDD">
        <w:rPr>
          <w:rFonts w:cs="Times New Roman"/>
          <w:noProof/>
          <w:szCs w:val="24"/>
          <w:lang w:val="en-US"/>
        </w:rPr>
        <w:t xml:space="preserve">, </w:t>
      </w:r>
      <w:r w:rsidRPr="00971EDD">
        <w:rPr>
          <w:rFonts w:cs="Times New Roman"/>
          <w:i/>
          <w:iCs/>
          <w:noProof/>
          <w:szCs w:val="24"/>
          <w:lang w:val="en-US"/>
        </w:rPr>
        <w:t>2</w:t>
      </w:r>
      <w:r w:rsidRPr="00971EDD">
        <w:rPr>
          <w:rFonts w:cs="Times New Roman"/>
          <w:noProof/>
          <w:szCs w:val="24"/>
          <w:lang w:val="en-US"/>
        </w:rPr>
        <w:t>(3), 284–288.</w:t>
      </w:r>
    </w:p>
    <w:p w14:paraId="65EDF51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Suzuki, T., Ariefta, N. R., Koseki, T., Furuno, H., Kwon, E., Momma, H., … Shiono, Y. (2019). New polyketides, paralactonic acids A–E produced by Paraconiothyrium sp. SW-B-1, an endophytic fungus associated with a seaweed, Chondrus ocellatus Holmes. </w:t>
      </w:r>
      <w:r w:rsidRPr="00971EDD">
        <w:rPr>
          <w:rFonts w:cs="Times New Roman"/>
          <w:i/>
          <w:iCs/>
          <w:noProof/>
          <w:szCs w:val="24"/>
          <w:lang w:val="en-US"/>
        </w:rPr>
        <w:t>Fitoterapia</w:t>
      </w:r>
      <w:r w:rsidRPr="00971EDD">
        <w:rPr>
          <w:rFonts w:cs="Times New Roman"/>
          <w:noProof/>
          <w:szCs w:val="24"/>
          <w:lang w:val="en-US"/>
        </w:rPr>
        <w:t xml:space="preserve">, </w:t>
      </w:r>
      <w:r w:rsidRPr="00971EDD">
        <w:rPr>
          <w:rFonts w:cs="Times New Roman"/>
          <w:i/>
          <w:iCs/>
          <w:noProof/>
          <w:szCs w:val="24"/>
          <w:lang w:val="en-US"/>
        </w:rPr>
        <w:t>132</w:t>
      </w:r>
      <w:r w:rsidRPr="00971EDD">
        <w:rPr>
          <w:rFonts w:cs="Times New Roman"/>
          <w:noProof/>
          <w:szCs w:val="24"/>
          <w:lang w:val="en-US"/>
        </w:rPr>
        <w:t>(September 2018), 75–81. https://doi.org/10.1016/j.fitote.2018.11.017</w:t>
      </w:r>
    </w:p>
    <w:p w14:paraId="74E06A5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Tanwar, J., Das, S., Fatima, Z., &amp; Hameed, S. (2014). Multidrug Resistance: An Emerging Crisis. </w:t>
      </w:r>
      <w:r w:rsidRPr="00971EDD">
        <w:rPr>
          <w:rFonts w:cs="Times New Roman"/>
          <w:i/>
          <w:iCs/>
          <w:noProof/>
          <w:szCs w:val="24"/>
          <w:lang w:val="en-US"/>
        </w:rPr>
        <w:t>Interdisciplinary Perspectives on Infectious Diseases</w:t>
      </w:r>
      <w:r w:rsidRPr="00971EDD">
        <w:rPr>
          <w:rFonts w:cs="Times New Roman"/>
          <w:noProof/>
          <w:szCs w:val="24"/>
          <w:lang w:val="en-US"/>
        </w:rPr>
        <w:t xml:space="preserve">, </w:t>
      </w:r>
      <w:r w:rsidRPr="00971EDD">
        <w:rPr>
          <w:rFonts w:cs="Times New Roman"/>
          <w:i/>
          <w:iCs/>
          <w:noProof/>
          <w:szCs w:val="24"/>
          <w:lang w:val="en-US"/>
        </w:rPr>
        <w:t>2014</w:t>
      </w:r>
      <w:r w:rsidRPr="00971EDD">
        <w:rPr>
          <w:rFonts w:cs="Times New Roman"/>
          <w:noProof/>
          <w:szCs w:val="24"/>
          <w:lang w:val="en-US"/>
        </w:rPr>
        <w:t>, 1–7. https://doi.org/10.1155/2014/541340</w:t>
      </w:r>
    </w:p>
    <w:p w14:paraId="605C768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Tedersoo, L., Sánchez-Ramírez, S., Kõljalg, U., Bahram, M., Döring, M., Schigel, D., … Abarenkov, K. (2018). High-level classification of the Fungi and a tool for evolutionary ecological analyses. </w:t>
      </w:r>
      <w:r w:rsidRPr="00971EDD">
        <w:rPr>
          <w:rFonts w:cs="Times New Roman"/>
          <w:i/>
          <w:iCs/>
          <w:noProof/>
          <w:szCs w:val="24"/>
          <w:lang w:val="en-US"/>
        </w:rPr>
        <w:t>Fungal Diversity</w:t>
      </w:r>
      <w:r w:rsidRPr="00971EDD">
        <w:rPr>
          <w:rFonts w:cs="Times New Roman"/>
          <w:noProof/>
          <w:szCs w:val="24"/>
          <w:lang w:val="en-US"/>
        </w:rPr>
        <w:t xml:space="preserve">, </w:t>
      </w:r>
      <w:r w:rsidRPr="00971EDD">
        <w:rPr>
          <w:rFonts w:cs="Times New Roman"/>
          <w:i/>
          <w:iCs/>
          <w:noProof/>
          <w:szCs w:val="24"/>
          <w:lang w:val="en-US"/>
        </w:rPr>
        <w:t>90</w:t>
      </w:r>
      <w:r w:rsidRPr="00971EDD">
        <w:rPr>
          <w:rFonts w:cs="Times New Roman"/>
          <w:noProof/>
          <w:szCs w:val="24"/>
          <w:lang w:val="en-US"/>
        </w:rPr>
        <w:t>(1), 135–159. https://doi.org/10.1007/s13225-018-0401-0</w:t>
      </w:r>
    </w:p>
    <w:p w14:paraId="563BFAAC"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t xml:space="preserve">Tisthammer, K. H., Cobian, G. M., &amp; Amend, A. S. (2016). Global biogeography of marine fungi is shaped by the environment. </w:t>
      </w:r>
      <w:r w:rsidRPr="00413EC4">
        <w:rPr>
          <w:rFonts w:cs="Times New Roman"/>
          <w:i/>
          <w:iCs/>
          <w:noProof/>
          <w:szCs w:val="24"/>
        </w:rPr>
        <w:t>Fungal Ecology</w:t>
      </w:r>
      <w:r w:rsidRPr="00413EC4">
        <w:rPr>
          <w:rFonts w:cs="Times New Roman"/>
          <w:noProof/>
          <w:szCs w:val="24"/>
        </w:rPr>
        <w:t xml:space="preserve">, </w:t>
      </w:r>
      <w:r w:rsidRPr="00413EC4">
        <w:rPr>
          <w:rFonts w:cs="Times New Roman"/>
          <w:i/>
          <w:iCs/>
          <w:noProof/>
          <w:szCs w:val="24"/>
        </w:rPr>
        <w:t>19</w:t>
      </w:r>
      <w:r w:rsidRPr="00413EC4">
        <w:rPr>
          <w:rFonts w:cs="Times New Roman"/>
          <w:noProof/>
          <w:szCs w:val="24"/>
        </w:rPr>
        <w:t>, 39–46. https://doi.org/10.1016/j.funeco.2015.09.003</w:t>
      </w:r>
    </w:p>
    <w:p w14:paraId="560C8C53" w14:textId="77777777" w:rsidR="00FC7620" w:rsidRPr="00413EC4" w:rsidRDefault="00FC7620" w:rsidP="00FC7620">
      <w:pPr>
        <w:widowControl w:val="0"/>
        <w:autoSpaceDE w:val="0"/>
        <w:autoSpaceDN w:val="0"/>
        <w:adjustRightInd w:val="0"/>
        <w:ind w:left="480" w:hanging="480"/>
        <w:rPr>
          <w:rFonts w:cs="Times New Roman"/>
          <w:noProof/>
          <w:szCs w:val="24"/>
        </w:rPr>
      </w:pPr>
      <w:r w:rsidRPr="00413EC4">
        <w:rPr>
          <w:rFonts w:cs="Times New Roman"/>
          <w:noProof/>
          <w:szCs w:val="24"/>
        </w:rPr>
        <w:t>Ulken, A., Víquez, R., Valiente, C., &amp; Campos, M. (1990). Marine fungi (</w:t>
      </w:r>
      <w:r w:rsidRPr="00413EC4">
        <w:rPr>
          <w:rFonts w:cs="Times New Roman"/>
          <w:i/>
          <w:iCs/>
          <w:noProof/>
          <w:szCs w:val="24"/>
        </w:rPr>
        <w:t>Chytridiornycetes and Thraustochytriales</w:t>
      </w:r>
      <w:r w:rsidRPr="00413EC4">
        <w:rPr>
          <w:rFonts w:cs="Times New Roman"/>
          <w:noProof/>
          <w:szCs w:val="24"/>
        </w:rPr>
        <w:t xml:space="preserve">) frorn a rnangrove area at Punta Morales, Golfo de Nicoya, Costa Rica. </w:t>
      </w:r>
      <w:r w:rsidRPr="00413EC4">
        <w:rPr>
          <w:rFonts w:cs="Times New Roman"/>
          <w:i/>
          <w:iCs/>
          <w:noProof/>
          <w:szCs w:val="24"/>
        </w:rPr>
        <w:t>Rev. Biol. Trop.</w:t>
      </w:r>
      <w:r w:rsidRPr="00413EC4">
        <w:rPr>
          <w:rFonts w:cs="Times New Roman"/>
          <w:noProof/>
          <w:szCs w:val="24"/>
        </w:rPr>
        <w:t xml:space="preserve">, </w:t>
      </w:r>
      <w:r w:rsidRPr="00413EC4">
        <w:rPr>
          <w:rFonts w:cs="Times New Roman"/>
          <w:i/>
          <w:iCs/>
          <w:noProof/>
          <w:szCs w:val="24"/>
        </w:rPr>
        <w:t>38</w:t>
      </w:r>
      <w:r w:rsidRPr="00413EC4">
        <w:rPr>
          <w:rFonts w:cs="Times New Roman"/>
          <w:noProof/>
          <w:szCs w:val="24"/>
        </w:rPr>
        <w:t>(1984), 243–250.</w:t>
      </w:r>
    </w:p>
    <w:p w14:paraId="3A701EF3" w14:textId="77777777" w:rsidR="00FC7620" w:rsidRPr="00413EC4" w:rsidRDefault="00FC7620" w:rsidP="00FC7620">
      <w:pPr>
        <w:widowControl w:val="0"/>
        <w:autoSpaceDE w:val="0"/>
        <w:autoSpaceDN w:val="0"/>
        <w:adjustRightInd w:val="0"/>
        <w:ind w:left="480" w:hanging="480"/>
        <w:rPr>
          <w:rFonts w:cs="Times New Roman"/>
          <w:noProof/>
          <w:szCs w:val="24"/>
        </w:rPr>
      </w:pPr>
      <w:r w:rsidRPr="00971EDD">
        <w:rPr>
          <w:rFonts w:cs="Times New Roman"/>
          <w:noProof/>
          <w:szCs w:val="24"/>
          <w:lang w:val="en-US"/>
        </w:rPr>
        <w:t xml:space="preserve">Valiela, I., Wilson, J., Buchsbaum, R., Rietsma, C., Bryant, D., &amp; Foreman, K. (1984). Importance of chemical composition of salt marsh litter on decay rates and feeding by detritivores. </w:t>
      </w:r>
      <w:r w:rsidRPr="00413EC4">
        <w:rPr>
          <w:rFonts w:cs="Times New Roman"/>
          <w:i/>
          <w:iCs/>
          <w:noProof/>
          <w:szCs w:val="24"/>
        </w:rPr>
        <w:t xml:space="preserve">Bull </w:t>
      </w:r>
      <w:r w:rsidRPr="00413EC4">
        <w:rPr>
          <w:rFonts w:cs="Times New Roman"/>
          <w:i/>
          <w:iCs/>
          <w:noProof/>
          <w:szCs w:val="24"/>
        </w:rPr>
        <w:lastRenderedPageBreak/>
        <w:t>Mar Sci</w:t>
      </w:r>
      <w:r w:rsidRPr="00413EC4">
        <w:rPr>
          <w:rFonts w:cs="Times New Roman"/>
          <w:noProof/>
          <w:szCs w:val="24"/>
        </w:rPr>
        <w:t xml:space="preserve">, </w:t>
      </w:r>
      <w:r w:rsidRPr="00413EC4">
        <w:rPr>
          <w:rFonts w:cs="Times New Roman"/>
          <w:i/>
          <w:iCs/>
          <w:noProof/>
          <w:szCs w:val="24"/>
        </w:rPr>
        <w:t>35</w:t>
      </w:r>
      <w:r w:rsidRPr="00413EC4">
        <w:rPr>
          <w:rFonts w:cs="Times New Roman"/>
          <w:noProof/>
          <w:szCs w:val="24"/>
        </w:rPr>
        <w:t>, 261–269.</w:t>
      </w:r>
    </w:p>
    <w:p w14:paraId="7A601F1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413EC4">
        <w:rPr>
          <w:rFonts w:cs="Times New Roman"/>
          <w:noProof/>
          <w:szCs w:val="24"/>
        </w:rPr>
        <w:t xml:space="preserve">van der Lee, T. A. J., &amp; Medema, M. H. (2016). </w:t>
      </w:r>
      <w:r w:rsidRPr="00971EDD">
        <w:rPr>
          <w:rFonts w:cs="Times New Roman"/>
          <w:noProof/>
          <w:szCs w:val="24"/>
          <w:lang w:val="en-US"/>
        </w:rPr>
        <w:t xml:space="preserve">Computational strategies for genome-based natural product discovery and engineering in fungi. </w:t>
      </w:r>
      <w:r w:rsidRPr="00971EDD">
        <w:rPr>
          <w:rFonts w:cs="Times New Roman"/>
          <w:i/>
          <w:iCs/>
          <w:noProof/>
          <w:szCs w:val="24"/>
          <w:lang w:val="en-US"/>
        </w:rPr>
        <w:t>Fungal Genetics and Biology</w:t>
      </w:r>
      <w:r w:rsidRPr="00971EDD">
        <w:rPr>
          <w:rFonts w:cs="Times New Roman"/>
          <w:noProof/>
          <w:szCs w:val="24"/>
          <w:lang w:val="en-US"/>
        </w:rPr>
        <w:t xml:space="preserve">, </w:t>
      </w:r>
      <w:r w:rsidRPr="00971EDD">
        <w:rPr>
          <w:rFonts w:cs="Times New Roman"/>
          <w:i/>
          <w:iCs/>
          <w:noProof/>
          <w:szCs w:val="24"/>
          <w:lang w:val="en-US"/>
        </w:rPr>
        <w:t>89</w:t>
      </w:r>
      <w:r w:rsidRPr="00971EDD">
        <w:rPr>
          <w:rFonts w:cs="Times New Roman"/>
          <w:noProof/>
          <w:szCs w:val="24"/>
          <w:lang w:val="en-US"/>
        </w:rPr>
        <w:t>, 29–36. https://doi.org/10.1016/j.fgb.2016.01.006</w:t>
      </w:r>
    </w:p>
    <w:p w14:paraId="54960595"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Venkatachalam, M., Gérard, L., Milhau, C., Vinale, F., Dufossé, L., &amp; Fouillaud, M. (2019). Salinity and temperature influence growth and pigment production in the marine-derived fungal strain talaromyces albobiverticillius 30548. </w:t>
      </w:r>
      <w:r w:rsidRPr="00971EDD">
        <w:rPr>
          <w:rFonts w:cs="Times New Roman"/>
          <w:i/>
          <w:iCs/>
          <w:noProof/>
          <w:szCs w:val="24"/>
          <w:lang w:val="en-US"/>
        </w:rPr>
        <w:t>Microorganisms</w:t>
      </w:r>
      <w:r w:rsidRPr="00971EDD">
        <w:rPr>
          <w:rFonts w:cs="Times New Roman"/>
          <w:noProof/>
          <w:szCs w:val="24"/>
          <w:lang w:val="en-US"/>
        </w:rPr>
        <w:t xml:space="preserve">, </w:t>
      </w:r>
      <w:r w:rsidRPr="00971EDD">
        <w:rPr>
          <w:rFonts w:cs="Times New Roman"/>
          <w:i/>
          <w:iCs/>
          <w:noProof/>
          <w:szCs w:val="24"/>
          <w:lang w:val="en-US"/>
        </w:rPr>
        <w:t>7</w:t>
      </w:r>
      <w:r w:rsidRPr="00971EDD">
        <w:rPr>
          <w:rFonts w:cs="Times New Roman"/>
          <w:noProof/>
          <w:szCs w:val="24"/>
          <w:lang w:val="en-US"/>
        </w:rPr>
        <w:t>(1), 1–19. https://doi.org/10.3390/microorganisms7010010</w:t>
      </w:r>
    </w:p>
    <w:p w14:paraId="1A60F69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Ventola, C. L. (2015). The Antibiotic Resistance Crisis. </w:t>
      </w:r>
      <w:r w:rsidRPr="00971EDD">
        <w:rPr>
          <w:rFonts w:cs="Times New Roman"/>
          <w:i/>
          <w:iCs/>
          <w:noProof/>
          <w:szCs w:val="24"/>
          <w:lang w:val="en-US"/>
        </w:rPr>
        <w:t>Pharmacy and Therapeutics</w:t>
      </w:r>
      <w:r w:rsidRPr="00971EDD">
        <w:rPr>
          <w:rFonts w:cs="Times New Roman"/>
          <w:noProof/>
          <w:szCs w:val="24"/>
          <w:lang w:val="en-US"/>
        </w:rPr>
        <w:t xml:space="preserve">, </w:t>
      </w:r>
      <w:r w:rsidRPr="00971EDD">
        <w:rPr>
          <w:rFonts w:cs="Times New Roman"/>
          <w:i/>
          <w:iCs/>
          <w:noProof/>
          <w:szCs w:val="24"/>
          <w:lang w:val="en-US"/>
        </w:rPr>
        <w:t>40</w:t>
      </w:r>
      <w:r w:rsidRPr="00971EDD">
        <w:rPr>
          <w:rFonts w:cs="Times New Roman"/>
          <w:noProof/>
          <w:szCs w:val="24"/>
          <w:lang w:val="en-US"/>
        </w:rPr>
        <w:t>(4), 278–283. https://doi.org/10.5796/electrochemistry.82.749</w:t>
      </w:r>
    </w:p>
    <w:p w14:paraId="14E0504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Verkley, G. J. M., Da Silva, M., Wicklow, D. T., &amp; Crous, P. W. (2004). Paraconiothyrium, a new genus to accommodate the mycoparasite Coniothyrium minitans, anamorphs of Paraphaeosphaeria, and four new species. </w:t>
      </w:r>
      <w:r w:rsidRPr="00971EDD">
        <w:rPr>
          <w:rFonts w:cs="Times New Roman"/>
          <w:i/>
          <w:iCs/>
          <w:noProof/>
          <w:szCs w:val="24"/>
          <w:lang w:val="en-US"/>
        </w:rPr>
        <w:t>Studies in Mycology</w:t>
      </w:r>
      <w:r w:rsidRPr="00971EDD">
        <w:rPr>
          <w:rFonts w:cs="Times New Roman"/>
          <w:noProof/>
          <w:szCs w:val="24"/>
          <w:lang w:val="en-US"/>
        </w:rPr>
        <w:t xml:space="preserve">, </w:t>
      </w:r>
      <w:r w:rsidRPr="00971EDD">
        <w:rPr>
          <w:rFonts w:cs="Times New Roman"/>
          <w:i/>
          <w:iCs/>
          <w:noProof/>
          <w:szCs w:val="24"/>
          <w:lang w:val="en-US"/>
        </w:rPr>
        <w:t>50</w:t>
      </w:r>
      <w:r w:rsidRPr="00971EDD">
        <w:rPr>
          <w:rFonts w:cs="Times New Roman"/>
          <w:noProof/>
          <w:szCs w:val="24"/>
          <w:lang w:val="en-US"/>
        </w:rPr>
        <w:t>(2), 323–335.</w:t>
      </w:r>
    </w:p>
    <w:p w14:paraId="7C7381D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Verma, V. C., &amp; Gange, A. C. (2014). </w:t>
      </w:r>
      <w:r w:rsidRPr="00971EDD">
        <w:rPr>
          <w:rFonts w:cs="Times New Roman"/>
          <w:i/>
          <w:iCs/>
          <w:noProof/>
          <w:szCs w:val="24"/>
          <w:lang w:val="en-US"/>
        </w:rPr>
        <w:t>Advances in Endophytic Research</w:t>
      </w:r>
      <w:r w:rsidRPr="00971EDD">
        <w:rPr>
          <w:rFonts w:cs="Times New Roman"/>
          <w:noProof/>
          <w:szCs w:val="24"/>
          <w:lang w:val="en-US"/>
        </w:rPr>
        <w:t xml:space="preserve">. </w:t>
      </w:r>
      <w:r w:rsidRPr="00971EDD">
        <w:rPr>
          <w:rFonts w:cs="Times New Roman"/>
          <w:i/>
          <w:iCs/>
          <w:noProof/>
          <w:szCs w:val="24"/>
          <w:lang w:val="en-US"/>
        </w:rPr>
        <w:t>Springer Science &amp; Business Media</w:t>
      </w:r>
      <w:r w:rsidRPr="00971EDD">
        <w:rPr>
          <w:rFonts w:cs="Times New Roman"/>
          <w:noProof/>
          <w:szCs w:val="24"/>
          <w:lang w:val="en-US"/>
        </w:rPr>
        <w:t>. https://doi.org/10.1007/978-81-322-1575-2_2</w:t>
      </w:r>
    </w:p>
    <w:p w14:paraId="7648DFBB"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Wang, C., Tang, S., &amp; Cao, S. (2021). </w:t>
      </w:r>
      <w:r w:rsidRPr="00971EDD">
        <w:rPr>
          <w:rFonts w:cs="Times New Roman"/>
          <w:i/>
          <w:iCs/>
          <w:noProof/>
          <w:szCs w:val="24"/>
          <w:lang w:val="en-US"/>
        </w:rPr>
        <w:t>Antimicrobial compounds from marine fungi</w:t>
      </w:r>
      <w:r w:rsidRPr="00971EDD">
        <w:rPr>
          <w:rFonts w:cs="Times New Roman"/>
          <w:noProof/>
          <w:szCs w:val="24"/>
          <w:lang w:val="en-US"/>
        </w:rPr>
        <w:t xml:space="preserve">. </w:t>
      </w:r>
      <w:r w:rsidRPr="00971EDD">
        <w:rPr>
          <w:rFonts w:cs="Times New Roman"/>
          <w:i/>
          <w:iCs/>
          <w:noProof/>
          <w:szCs w:val="24"/>
          <w:lang w:val="en-US"/>
        </w:rPr>
        <w:t>Phytochemistry Reviews</w:t>
      </w:r>
      <w:r w:rsidRPr="00971EDD">
        <w:rPr>
          <w:rFonts w:cs="Times New Roman"/>
          <w:noProof/>
          <w:szCs w:val="24"/>
          <w:lang w:val="en-US"/>
        </w:rPr>
        <w:t xml:space="preserve"> (Vol. 20). Springer Netherlands. https://doi.org/10.1007/s11101-020-09705-5</w:t>
      </w:r>
    </w:p>
    <w:p w14:paraId="64BC05D6"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Wang, J., Shao, S., Liu, C., Song, Z., Liu, S., &amp; Wu, S. (2021). The genus Paraconiothyrium: species concepts, biological functions, and secondary metabolites. </w:t>
      </w:r>
      <w:r w:rsidRPr="00971EDD">
        <w:rPr>
          <w:rFonts w:cs="Times New Roman"/>
          <w:i/>
          <w:iCs/>
          <w:noProof/>
          <w:szCs w:val="24"/>
          <w:lang w:val="en-US"/>
        </w:rPr>
        <w:t>Critical Reviews in Microbiology</w:t>
      </w:r>
      <w:r w:rsidRPr="00971EDD">
        <w:rPr>
          <w:rFonts w:cs="Times New Roman"/>
          <w:noProof/>
          <w:szCs w:val="24"/>
          <w:lang w:val="en-US"/>
        </w:rPr>
        <w:t xml:space="preserve">, </w:t>
      </w:r>
      <w:r w:rsidRPr="00971EDD">
        <w:rPr>
          <w:rFonts w:cs="Times New Roman"/>
          <w:i/>
          <w:iCs/>
          <w:noProof/>
          <w:szCs w:val="24"/>
          <w:lang w:val="en-US"/>
        </w:rPr>
        <w:t>47</w:t>
      </w:r>
      <w:r w:rsidRPr="00971EDD">
        <w:rPr>
          <w:rFonts w:cs="Times New Roman"/>
          <w:noProof/>
          <w:szCs w:val="24"/>
          <w:lang w:val="en-US"/>
        </w:rPr>
        <w:t>(6), 781–810. https://doi.org/10.1080/1040841X.2021.1933898</w:t>
      </w:r>
    </w:p>
    <w:p w14:paraId="1C38DB28"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Wang, X., Mao, Z. G., Song, B. B., Chen, C. H., Xiao, W. W., Hu, B., … Wang, H. J. (2013). Advances in the study of the structures and bioactivities of metabolites isolated from mangrove-derived fungi in the South China Sea.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(10), 3601–3616. https://doi.org/10.3390/md11103601</w:t>
      </w:r>
    </w:p>
    <w:p w14:paraId="4C3C3D09"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Weber, T., Blin, K., Duddela, S., Krug, D., Kim, H. U., Bruccoleri, R., … Medema, M. H. (2015). AntiSMASH 3.0-A comprehensive resource for the genome mining of biosynthetic gene clusters. </w:t>
      </w:r>
      <w:r w:rsidRPr="00971EDD">
        <w:rPr>
          <w:rFonts w:cs="Times New Roman"/>
          <w:i/>
          <w:iCs/>
          <w:noProof/>
          <w:szCs w:val="24"/>
          <w:lang w:val="en-US"/>
        </w:rPr>
        <w:t>Nucleic Acids Research</w:t>
      </w:r>
      <w:r w:rsidRPr="00971EDD">
        <w:rPr>
          <w:rFonts w:cs="Times New Roman"/>
          <w:noProof/>
          <w:szCs w:val="24"/>
          <w:lang w:val="en-US"/>
        </w:rPr>
        <w:t xml:space="preserve">, </w:t>
      </w:r>
      <w:r w:rsidRPr="00971EDD">
        <w:rPr>
          <w:rFonts w:cs="Times New Roman"/>
          <w:i/>
          <w:iCs/>
          <w:noProof/>
          <w:szCs w:val="24"/>
          <w:lang w:val="en-US"/>
        </w:rPr>
        <w:t>43</w:t>
      </w:r>
      <w:r w:rsidRPr="00971EDD">
        <w:rPr>
          <w:rFonts w:cs="Times New Roman"/>
          <w:noProof/>
          <w:szCs w:val="24"/>
          <w:lang w:val="en-US"/>
        </w:rPr>
        <w:t>(W1), W237–W243. https://doi.org/10.1093/nar/gkv437</w:t>
      </w:r>
    </w:p>
    <w:p w14:paraId="3DFE6241"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lastRenderedPageBreak/>
        <w:t xml:space="preserve">WHO. (2014). WHO Antimicrobial resistance- Global Report on Surverillance. </w:t>
      </w:r>
      <w:r w:rsidRPr="00971EDD">
        <w:rPr>
          <w:rFonts w:cs="Times New Roman"/>
          <w:i/>
          <w:iCs/>
          <w:noProof/>
          <w:szCs w:val="24"/>
          <w:lang w:val="en-US"/>
        </w:rPr>
        <w:t>World Health Organization</w:t>
      </w:r>
      <w:r w:rsidRPr="00971EDD">
        <w:rPr>
          <w:rFonts w:cs="Times New Roman"/>
          <w:noProof/>
          <w:szCs w:val="24"/>
          <w:lang w:val="en-US"/>
        </w:rPr>
        <w:t xml:space="preserve">, </w:t>
      </w:r>
      <w:r w:rsidRPr="00971EDD">
        <w:rPr>
          <w:rFonts w:cs="Times New Roman"/>
          <w:i/>
          <w:iCs/>
          <w:noProof/>
          <w:szCs w:val="24"/>
          <w:lang w:val="en-US"/>
        </w:rPr>
        <w:t>40</w:t>
      </w:r>
      <w:r w:rsidRPr="00971EDD">
        <w:rPr>
          <w:rFonts w:cs="Times New Roman"/>
          <w:noProof/>
          <w:szCs w:val="24"/>
          <w:lang w:val="en-US"/>
        </w:rPr>
        <w:t>, 693–694.</w:t>
      </w:r>
    </w:p>
    <w:p w14:paraId="630C253D"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WHO. (2015). Global action plan on antimicrobial resistance. </w:t>
      </w:r>
      <w:r w:rsidRPr="00971EDD">
        <w:rPr>
          <w:rFonts w:cs="Times New Roman"/>
          <w:i/>
          <w:iCs/>
          <w:noProof/>
          <w:szCs w:val="24"/>
          <w:lang w:val="en-US"/>
        </w:rPr>
        <w:t>WHO Press</w:t>
      </w:r>
      <w:r w:rsidRPr="00971EDD">
        <w:rPr>
          <w:rFonts w:cs="Times New Roman"/>
          <w:noProof/>
          <w:szCs w:val="24"/>
          <w:lang w:val="en-US"/>
        </w:rPr>
        <w:t>, 1–28. https://doi.org/ISBN 978 92 4 150976 3</w:t>
      </w:r>
    </w:p>
    <w:p w14:paraId="63FD75E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Wong Chin, J. M., Puchooa, D., Bahorun, T., &amp; Jeewon, R. (2021). Antimicrobial properties of marine fungi from sponges and brown algae of Mauritius. </w:t>
      </w:r>
      <w:r w:rsidRPr="00971EDD">
        <w:rPr>
          <w:rFonts w:cs="Times New Roman"/>
          <w:i/>
          <w:iCs/>
          <w:noProof/>
          <w:szCs w:val="24"/>
          <w:lang w:val="en-US"/>
        </w:rPr>
        <w:t>Mycology</w:t>
      </w:r>
      <w:r w:rsidRPr="00971EDD">
        <w:rPr>
          <w:rFonts w:cs="Times New Roman"/>
          <w:noProof/>
          <w:szCs w:val="24"/>
          <w:lang w:val="en-US"/>
        </w:rPr>
        <w:t xml:space="preserve">, </w:t>
      </w:r>
      <w:r w:rsidRPr="00971EDD">
        <w:rPr>
          <w:rFonts w:cs="Times New Roman"/>
          <w:i/>
          <w:iCs/>
          <w:noProof/>
          <w:szCs w:val="24"/>
          <w:lang w:val="en-US"/>
        </w:rPr>
        <w:t>12</w:t>
      </w:r>
      <w:r w:rsidRPr="00971EDD">
        <w:rPr>
          <w:rFonts w:cs="Times New Roman"/>
          <w:noProof/>
          <w:szCs w:val="24"/>
          <w:lang w:val="en-US"/>
        </w:rPr>
        <w:t>(4), 231–244. https://doi.org/10.1080/21501203.2021.1895347</w:t>
      </w:r>
    </w:p>
    <w:p w14:paraId="0DA098C7"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Xu, L., Meng, W., Cao, C., Wang, J., Shan, W., &amp; Wang, Q. (2015). Antibacterial and Antifungal Compounds from Marine Fungi.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13</w:t>
      </w:r>
      <w:r w:rsidRPr="00971EDD">
        <w:rPr>
          <w:rFonts w:cs="Times New Roman"/>
          <w:noProof/>
          <w:szCs w:val="24"/>
          <w:lang w:val="en-US"/>
        </w:rPr>
        <w:t>(6), 3479–3513. https://doi.org/10.3390/md13063479</w:t>
      </w:r>
    </w:p>
    <w:p w14:paraId="6511C1D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Xu, S., Li, M., Hu, Z., Shao, Y., Ying, J., &amp; Zhang, H. (2023). The Potential Use of Fungal Co-Culture Strategy for Discovery of New Secondary Metabolites. </w:t>
      </w:r>
      <w:r w:rsidRPr="00971EDD">
        <w:rPr>
          <w:rFonts w:cs="Times New Roman"/>
          <w:i/>
          <w:iCs/>
          <w:noProof/>
          <w:szCs w:val="24"/>
          <w:lang w:val="en-US"/>
        </w:rPr>
        <w:t>Microorganisms</w:t>
      </w:r>
      <w:r w:rsidRPr="00971EDD">
        <w:rPr>
          <w:rFonts w:cs="Times New Roman"/>
          <w:noProof/>
          <w:szCs w:val="24"/>
          <w:lang w:val="en-US"/>
        </w:rPr>
        <w:t xml:space="preserve">, </w:t>
      </w:r>
      <w:r w:rsidRPr="00971EDD">
        <w:rPr>
          <w:rFonts w:cs="Times New Roman"/>
          <w:i/>
          <w:iCs/>
          <w:noProof/>
          <w:szCs w:val="24"/>
          <w:lang w:val="en-US"/>
        </w:rPr>
        <w:t>11</w:t>
      </w:r>
      <w:r w:rsidRPr="00971EDD">
        <w:rPr>
          <w:rFonts w:cs="Times New Roman"/>
          <w:noProof/>
          <w:szCs w:val="24"/>
          <w:lang w:val="en-US"/>
        </w:rPr>
        <w:t>(2). https://doi.org/10.3390/microorganisms11020464</w:t>
      </w:r>
    </w:p>
    <w:p w14:paraId="75453940"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Yong, K., Kaleem, S., Yi, W., Wu, B., &amp; Zhang, Z. (2021). New polyhydroxanthones from the marine-associated fungus Penicillium sp. ZZ1750. </w:t>
      </w:r>
      <w:r w:rsidRPr="00971EDD">
        <w:rPr>
          <w:rFonts w:cs="Times New Roman"/>
          <w:i/>
          <w:iCs/>
          <w:noProof/>
          <w:szCs w:val="24"/>
          <w:lang w:val="en-US"/>
        </w:rPr>
        <w:t>Tetrahedron Letters</w:t>
      </w:r>
      <w:r w:rsidRPr="00971EDD">
        <w:rPr>
          <w:rFonts w:cs="Times New Roman"/>
          <w:noProof/>
          <w:szCs w:val="24"/>
          <w:lang w:val="en-US"/>
        </w:rPr>
        <w:t xml:space="preserve">, </w:t>
      </w:r>
      <w:r w:rsidRPr="00971EDD">
        <w:rPr>
          <w:rFonts w:cs="Times New Roman"/>
          <w:i/>
          <w:iCs/>
          <w:noProof/>
          <w:szCs w:val="24"/>
          <w:lang w:val="en-US"/>
        </w:rPr>
        <w:t>81</w:t>
      </w:r>
      <w:r w:rsidRPr="00971EDD">
        <w:rPr>
          <w:rFonts w:cs="Times New Roman"/>
          <w:noProof/>
          <w:szCs w:val="24"/>
          <w:lang w:val="en-US"/>
        </w:rPr>
        <w:t>(xxxx), 153354. https://doi.org/10.1016/j.tetlet.2021.153354</w:t>
      </w:r>
    </w:p>
    <w:p w14:paraId="7BB253A4"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Yoon, H., Park, B.-Y., Oh, M.-H., Choi, K.-H., &amp; Yoon, Y. (2013). Effect of NaCl on heat resistance, antibiotic susceptibility, and Caco-2 cell invasion of Salmonella. </w:t>
      </w:r>
      <w:r w:rsidRPr="00971EDD">
        <w:rPr>
          <w:rFonts w:cs="Times New Roman"/>
          <w:i/>
          <w:iCs/>
          <w:noProof/>
          <w:szCs w:val="24"/>
          <w:lang w:val="en-US"/>
        </w:rPr>
        <w:t>BioMed Research International</w:t>
      </w:r>
      <w:r w:rsidRPr="00971EDD">
        <w:rPr>
          <w:rFonts w:cs="Times New Roman"/>
          <w:noProof/>
          <w:szCs w:val="24"/>
          <w:lang w:val="en-US"/>
        </w:rPr>
        <w:t xml:space="preserve">, </w:t>
      </w:r>
      <w:r w:rsidRPr="00971EDD">
        <w:rPr>
          <w:rFonts w:cs="Times New Roman"/>
          <w:i/>
          <w:iCs/>
          <w:noProof/>
          <w:szCs w:val="24"/>
          <w:lang w:val="en-US"/>
        </w:rPr>
        <w:t>2013</w:t>
      </w:r>
      <w:r w:rsidRPr="00971EDD">
        <w:rPr>
          <w:rFonts w:cs="Times New Roman"/>
          <w:noProof/>
          <w:szCs w:val="24"/>
          <w:lang w:val="en-US"/>
        </w:rPr>
        <w:t>, 1–6. https://doi.org/10.1155/2013/274096</w:t>
      </w:r>
    </w:p>
    <w:p w14:paraId="033FC37A" w14:textId="77777777" w:rsidR="00FC7620" w:rsidRPr="00971EDD" w:rsidRDefault="00FC7620" w:rsidP="00FC7620">
      <w:pPr>
        <w:widowControl w:val="0"/>
        <w:autoSpaceDE w:val="0"/>
        <w:autoSpaceDN w:val="0"/>
        <w:adjustRightInd w:val="0"/>
        <w:ind w:left="480" w:hanging="480"/>
        <w:rPr>
          <w:rFonts w:cs="Times New Roman"/>
          <w:noProof/>
          <w:szCs w:val="24"/>
          <w:lang w:val="en-US"/>
        </w:rPr>
      </w:pPr>
      <w:r w:rsidRPr="00971EDD">
        <w:rPr>
          <w:rFonts w:cs="Times New Roman"/>
          <w:noProof/>
          <w:szCs w:val="24"/>
          <w:lang w:val="en-US"/>
        </w:rPr>
        <w:t xml:space="preserve">Youssef, F. S., Ashour, M. L., Singab, A. N. B., &amp; Wink, M. (2019). A comprehensive review of bioactive peptides from marine fungi and their biological significance. </w:t>
      </w:r>
      <w:r w:rsidRPr="00971EDD">
        <w:rPr>
          <w:rFonts w:cs="Times New Roman"/>
          <w:i/>
          <w:iCs/>
          <w:noProof/>
          <w:szCs w:val="24"/>
          <w:lang w:val="en-US"/>
        </w:rPr>
        <w:t>Marine Drugs</w:t>
      </w:r>
      <w:r w:rsidRPr="00971EDD">
        <w:rPr>
          <w:rFonts w:cs="Times New Roman"/>
          <w:noProof/>
          <w:szCs w:val="24"/>
          <w:lang w:val="en-US"/>
        </w:rPr>
        <w:t xml:space="preserve">, </w:t>
      </w:r>
      <w:r w:rsidRPr="00971EDD">
        <w:rPr>
          <w:rFonts w:cs="Times New Roman"/>
          <w:i/>
          <w:iCs/>
          <w:noProof/>
          <w:szCs w:val="24"/>
          <w:lang w:val="en-US"/>
        </w:rPr>
        <w:t>17</w:t>
      </w:r>
      <w:r w:rsidRPr="00971EDD">
        <w:rPr>
          <w:rFonts w:cs="Times New Roman"/>
          <w:noProof/>
          <w:szCs w:val="24"/>
          <w:lang w:val="en-US"/>
        </w:rPr>
        <w:t>(10). https://doi.org/10.3390/md17100559</w:t>
      </w:r>
    </w:p>
    <w:p w14:paraId="403ACD67" w14:textId="77777777" w:rsidR="00FC7620" w:rsidRPr="00413EC4" w:rsidRDefault="00FC7620" w:rsidP="00FC7620">
      <w:pPr>
        <w:widowControl w:val="0"/>
        <w:autoSpaceDE w:val="0"/>
        <w:autoSpaceDN w:val="0"/>
        <w:adjustRightInd w:val="0"/>
        <w:ind w:left="480" w:hanging="480"/>
        <w:rPr>
          <w:rFonts w:cs="Times New Roman"/>
          <w:noProof/>
        </w:rPr>
      </w:pPr>
      <w:r w:rsidRPr="00971EDD">
        <w:rPr>
          <w:rFonts w:cs="Times New Roman"/>
          <w:noProof/>
          <w:szCs w:val="24"/>
          <w:lang w:val="en-US"/>
        </w:rPr>
        <w:t xml:space="preserve">Zhu, H., Swierstra, J., Wu, C., Girard, G., Choi, Y. H., Van Wamel, W., … van Wezel, G. P. (2014). Eliciting antibiotics active against the ESKAPE pathogens in a collection of actinomycetes isolated from mountain soils. </w:t>
      </w:r>
      <w:r w:rsidRPr="00413EC4">
        <w:rPr>
          <w:rFonts w:cs="Times New Roman"/>
          <w:i/>
          <w:iCs/>
          <w:noProof/>
          <w:szCs w:val="24"/>
        </w:rPr>
        <w:t>Microbiology (United Kingdom)</w:t>
      </w:r>
      <w:r w:rsidRPr="00413EC4">
        <w:rPr>
          <w:rFonts w:cs="Times New Roman"/>
          <w:noProof/>
          <w:szCs w:val="24"/>
        </w:rPr>
        <w:t xml:space="preserve">, </w:t>
      </w:r>
      <w:r w:rsidRPr="00413EC4">
        <w:rPr>
          <w:rFonts w:cs="Times New Roman"/>
          <w:i/>
          <w:iCs/>
          <w:noProof/>
          <w:szCs w:val="24"/>
        </w:rPr>
        <w:t>160</w:t>
      </w:r>
      <w:r w:rsidRPr="00413EC4">
        <w:rPr>
          <w:rFonts w:cs="Times New Roman"/>
          <w:noProof/>
          <w:szCs w:val="24"/>
        </w:rPr>
        <w:t>(PART 8), 1714–1726. https://doi.org/10.1099/mic.0.078295-0</w:t>
      </w:r>
    </w:p>
    <w:p w14:paraId="2B8FF3FD" w14:textId="2AE6B719" w:rsidR="00413EC4" w:rsidRDefault="00FC7620" w:rsidP="00FC7620">
      <w:r>
        <w:fldChar w:fldCharType="end"/>
      </w:r>
    </w:p>
    <w:p w14:paraId="4BEB0594" w14:textId="77777777" w:rsidR="00413EC4" w:rsidRDefault="00413EC4" w:rsidP="00413EC4"/>
    <w:p w14:paraId="359914F2" w14:textId="0150D2F9" w:rsidR="00DC6E9A" w:rsidRDefault="00DC6E9A" w:rsidP="00C0188D">
      <w:pPr>
        <w:widowControl w:val="0"/>
        <w:autoSpaceDE w:val="0"/>
        <w:autoSpaceDN w:val="0"/>
        <w:adjustRightInd w:val="0"/>
        <w:spacing w:before="240"/>
        <w:ind w:left="480" w:hanging="480"/>
        <w:rPr>
          <w:rFonts w:cs="Times New Roman"/>
          <w:szCs w:val="24"/>
        </w:rPr>
      </w:pPr>
    </w:p>
    <w:p w14:paraId="08FA68FB" w14:textId="0881E7CD" w:rsidR="00086B98" w:rsidRDefault="4447C96C" w:rsidP="006B4E53">
      <w:pPr>
        <w:pStyle w:val="Titulo10"/>
        <w:numPr>
          <w:ilvl w:val="0"/>
          <w:numId w:val="38"/>
        </w:numPr>
        <w:spacing w:before="0"/>
        <w:rPr>
          <w:lang w:val="en-US"/>
        </w:rPr>
      </w:pPr>
      <w:bookmarkStart w:id="148" w:name="_Toc24018789"/>
      <w:bookmarkStart w:id="149" w:name="_Toc140204097"/>
      <w:proofErr w:type="spellStart"/>
      <w:r w:rsidRPr="4447C96C">
        <w:rPr>
          <w:lang w:val="en-US"/>
        </w:rPr>
        <w:t>Anexos</w:t>
      </w:r>
      <w:bookmarkEnd w:id="148"/>
      <w:bookmarkEnd w:id="149"/>
      <w:proofErr w:type="spellEnd"/>
    </w:p>
    <w:p w14:paraId="34A42752" w14:textId="77777777" w:rsidR="006F47AF" w:rsidRDefault="006F47AF" w:rsidP="006F47AF">
      <w:pPr>
        <w:rPr>
          <w:lang w:val="en-US"/>
        </w:rPr>
      </w:pPr>
    </w:p>
    <w:p w14:paraId="624AD85D" w14:textId="091BF450" w:rsidR="00032A6B" w:rsidRDefault="008905D7" w:rsidP="00032A6B">
      <w:pPr>
        <w:keepNext/>
      </w:pPr>
      <w:r>
        <w:rPr>
          <w:noProof/>
          <w:lang w:val="en-US"/>
        </w:rPr>
        <w:drawing>
          <wp:inline distT="0" distB="0" distL="0" distR="0" wp14:anchorId="6BE8147F" wp14:editId="75722B3B">
            <wp:extent cx="5934075" cy="6553200"/>
            <wp:effectExtent l="0" t="0" r="9525" b="0"/>
            <wp:docPr id="19116647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5753"/>
                    <a:stretch/>
                  </pic:blipFill>
                  <pic:spPr bwMode="auto">
                    <a:xfrm>
                      <a:off x="0" y="0"/>
                      <a:ext cx="5934075" cy="6553200"/>
                    </a:xfrm>
                    <a:prstGeom prst="rect">
                      <a:avLst/>
                    </a:prstGeom>
                    <a:noFill/>
                    <a:ln>
                      <a:noFill/>
                    </a:ln>
                    <a:extLst>
                      <a:ext uri="{53640926-AAD7-44D8-BBD7-CCE9431645EC}">
                        <a14:shadowObscured xmlns:a14="http://schemas.microsoft.com/office/drawing/2010/main"/>
                      </a:ext>
                    </a:extLst>
                  </pic:spPr>
                </pic:pic>
              </a:graphicData>
            </a:graphic>
          </wp:inline>
        </w:drawing>
      </w:r>
    </w:p>
    <w:p w14:paraId="00D08C08" w14:textId="299239DD" w:rsidR="4447C96C" w:rsidRDefault="4447C96C" w:rsidP="4447C96C">
      <w:pPr>
        <w:pStyle w:val="Descripcin"/>
        <w:rPr>
          <w:b/>
          <w:bCs/>
          <w:i w:val="0"/>
          <w:iCs w:val="0"/>
        </w:rPr>
      </w:pPr>
      <w:bookmarkStart w:id="150" w:name="_Toc138339819"/>
      <w:bookmarkStart w:id="151" w:name="_Toc138615300"/>
      <w:r w:rsidRPr="4447C96C">
        <w:rPr>
          <w:b/>
          <w:bCs/>
          <w:i w:val="0"/>
          <w:iCs w:val="0"/>
          <w:color w:val="auto"/>
        </w:rPr>
        <w:t xml:space="preserve">Anexo </w:t>
      </w:r>
      <w:r w:rsidRPr="4447C96C">
        <w:rPr>
          <w:b/>
          <w:bCs/>
          <w:i w:val="0"/>
          <w:iCs w:val="0"/>
          <w:color w:val="auto"/>
        </w:rPr>
        <w:fldChar w:fldCharType="begin"/>
      </w:r>
      <w:r w:rsidRPr="4447C96C">
        <w:rPr>
          <w:b/>
          <w:bCs/>
          <w:i w:val="0"/>
          <w:iCs w:val="0"/>
          <w:color w:val="auto"/>
        </w:rPr>
        <w:instrText xml:space="preserve"> SEQ Anexo \* ARABIC </w:instrText>
      </w:r>
      <w:r w:rsidRPr="4447C96C">
        <w:rPr>
          <w:b/>
          <w:bCs/>
          <w:i w:val="0"/>
          <w:iCs w:val="0"/>
          <w:color w:val="auto"/>
        </w:rPr>
        <w:fldChar w:fldCharType="separate"/>
      </w:r>
      <w:r w:rsidRPr="4447C96C">
        <w:rPr>
          <w:b/>
          <w:bCs/>
          <w:i w:val="0"/>
          <w:iCs w:val="0"/>
          <w:noProof/>
          <w:color w:val="auto"/>
        </w:rPr>
        <w:t>1</w:t>
      </w:r>
      <w:r w:rsidRPr="4447C96C">
        <w:rPr>
          <w:b/>
          <w:bCs/>
          <w:i w:val="0"/>
          <w:iCs w:val="0"/>
          <w:color w:val="auto"/>
        </w:rPr>
        <w:fldChar w:fldCharType="end"/>
      </w:r>
      <w:r w:rsidRPr="4447C96C">
        <w:rPr>
          <w:b/>
          <w:bCs/>
          <w:i w:val="0"/>
          <w:iCs w:val="0"/>
          <w:color w:val="auto"/>
        </w:rPr>
        <w:t>.</w:t>
      </w:r>
      <w:r w:rsidRPr="4447C96C">
        <w:rPr>
          <w:i w:val="0"/>
          <w:iCs w:val="0"/>
          <w:color w:val="auto"/>
        </w:rPr>
        <w:t xml:space="preserve"> </w:t>
      </w:r>
      <w:r w:rsidR="00A70776">
        <w:rPr>
          <w:i w:val="0"/>
          <w:iCs w:val="0"/>
          <w:color w:val="auto"/>
        </w:rPr>
        <w:t>Detalles macro y micro</w:t>
      </w:r>
      <w:r w:rsidRPr="4447C96C">
        <w:rPr>
          <w:i w:val="0"/>
          <w:iCs w:val="0"/>
          <w:color w:val="auto"/>
        </w:rPr>
        <w:t xml:space="preserve"> morfológic</w:t>
      </w:r>
      <w:r w:rsidR="00A70776">
        <w:rPr>
          <w:i w:val="0"/>
          <w:iCs w:val="0"/>
          <w:color w:val="auto"/>
        </w:rPr>
        <w:t>os</w:t>
      </w:r>
      <w:r w:rsidRPr="4447C96C">
        <w:rPr>
          <w:i w:val="0"/>
          <w:iCs w:val="0"/>
          <w:color w:val="auto"/>
        </w:rPr>
        <w:t xml:space="preserve"> de</w:t>
      </w:r>
      <w:r w:rsidR="00A70776">
        <w:rPr>
          <w:i w:val="0"/>
          <w:iCs w:val="0"/>
          <w:color w:val="auto"/>
        </w:rPr>
        <w:t xml:space="preserve"> los</w:t>
      </w:r>
      <w:r w:rsidRPr="4447C96C">
        <w:rPr>
          <w:i w:val="0"/>
          <w:iCs w:val="0"/>
          <w:color w:val="auto"/>
        </w:rPr>
        <w:t xml:space="preserve"> hongos marinos aislados de sedimentos del manglar de Puntarenas, Costa Rica. A) Cepa A 1.2, B) Cepa 1.3, C) Cepa A 2.1, D) Cepa A 1.3</w:t>
      </w:r>
      <w:bookmarkEnd w:id="150"/>
      <w:r w:rsidR="00307B43">
        <w:rPr>
          <w:i w:val="0"/>
          <w:iCs w:val="0"/>
          <w:color w:val="auto"/>
        </w:rPr>
        <w:t>.</w:t>
      </w:r>
      <w:bookmarkEnd w:id="151"/>
    </w:p>
    <w:p w14:paraId="0AE36E9C" w14:textId="77777777" w:rsidR="006F47AF" w:rsidRPr="004D6991" w:rsidRDefault="006F47AF" w:rsidP="006F47AF"/>
    <w:p w14:paraId="6CB06E02" w14:textId="0F330040" w:rsidR="00032A6B" w:rsidRDefault="008905D7" w:rsidP="00032A6B">
      <w:pPr>
        <w:keepNext/>
      </w:pPr>
      <w:r>
        <w:rPr>
          <w:noProof/>
        </w:rPr>
        <w:lastRenderedPageBreak/>
        <w:drawing>
          <wp:inline distT="0" distB="0" distL="0" distR="0" wp14:anchorId="24CFA2E1" wp14:editId="118AB2EF">
            <wp:extent cx="5934075" cy="6257925"/>
            <wp:effectExtent l="0" t="0" r="9525" b="9525"/>
            <wp:docPr id="173259229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10000"/>
                    <a:stretch/>
                  </pic:blipFill>
                  <pic:spPr bwMode="auto">
                    <a:xfrm>
                      <a:off x="0" y="0"/>
                      <a:ext cx="5934075" cy="6257925"/>
                    </a:xfrm>
                    <a:prstGeom prst="rect">
                      <a:avLst/>
                    </a:prstGeom>
                    <a:noFill/>
                    <a:ln>
                      <a:noFill/>
                    </a:ln>
                    <a:extLst>
                      <a:ext uri="{53640926-AAD7-44D8-BBD7-CCE9431645EC}">
                        <a14:shadowObscured xmlns:a14="http://schemas.microsoft.com/office/drawing/2010/main"/>
                      </a:ext>
                    </a:extLst>
                  </pic:spPr>
                </pic:pic>
              </a:graphicData>
            </a:graphic>
          </wp:inline>
        </w:drawing>
      </w:r>
    </w:p>
    <w:p w14:paraId="4ABF27CC" w14:textId="0DFDB86F" w:rsidR="003558EB" w:rsidRDefault="4447C96C" w:rsidP="4447C96C">
      <w:pPr>
        <w:pStyle w:val="Descripcin"/>
        <w:rPr>
          <w:b/>
          <w:bCs/>
          <w:i w:val="0"/>
          <w:iCs w:val="0"/>
        </w:rPr>
      </w:pPr>
      <w:bookmarkStart w:id="152" w:name="_Toc138339820"/>
      <w:bookmarkStart w:id="153" w:name="_Toc138615301"/>
      <w:r w:rsidRPr="00FA76C0">
        <w:rPr>
          <w:b/>
          <w:bCs/>
          <w:i w:val="0"/>
          <w:iCs w:val="0"/>
          <w:color w:val="auto"/>
          <w:sz w:val="20"/>
          <w:szCs w:val="20"/>
        </w:rPr>
        <w:t xml:space="preserve">Anexo </w:t>
      </w:r>
      <w:r w:rsidR="00032A6B" w:rsidRPr="00FA76C0">
        <w:rPr>
          <w:b/>
          <w:bCs/>
          <w:i w:val="0"/>
          <w:iCs w:val="0"/>
          <w:color w:val="auto"/>
          <w:sz w:val="20"/>
          <w:szCs w:val="20"/>
        </w:rPr>
        <w:fldChar w:fldCharType="begin"/>
      </w:r>
      <w:r w:rsidR="00032A6B" w:rsidRPr="00FA76C0">
        <w:rPr>
          <w:b/>
          <w:bCs/>
          <w:i w:val="0"/>
          <w:iCs w:val="0"/>
          <w:color w:val="auto"/>
          <w:sz w:val="20"/>
          <w:szCs w:val="20"/>
        </w:rPr>
        <w:instrText xml:space="preserve"> SEQ Anexo \* ARABIC </w:instrText>
      </w:r>
      <w:r w:rsidR="00032A6B" w:rsidRPr="00FA76C0">
        <w:rPr>
          <w:b/>
          <w:bCs/>
          <w:i w:val="0"/>
          <w:iCs w:val="0"/>
          <w:color w:val="auto"/>
          <w:sz w:val="20"/>
          <w:szCs w:val="20"/>
        </w:rPr>
        <w:fldChar w:fldCharType="separate"/>
      </w:r>
      <w:r w:rsidRPr="00FA76C0">
        <w:rPr>
          <w:b/>
          <w:bCs/>
          <w:i w:val="0"/>
          <w:iCs w:val="0"/>
          <w:noProof/>
          <w:color w:val="auto"/>
          <w:sz w:val="20"/>
          <w:szCs w:val="20"/>
        </w:rPr>
        <w:t>2</w:t>
      </w:r>
      <w:r w:rsidR="00032A6B" w:rsidRPr="00FA76C0">
        <w:rPr>
          <w:b/>
          <w:bCs/>
          <w:i w:val="0"/>
          <w:iCs w:val="0"/>
          <w:color w:val="auto"/>
          <w:sz w:val="20"/>
          <w:szCs w:val="20"/>
        </w:rPr>
        <w:fldChar w:fldCharType="end"/>
      </w:r>
      <w:r w:rsidRPr="00FE6298">
        <w:rPr>
          <w:color w:val="auto"/>
          <w:sz w:val="20"/>
          <w:szCs w:val="20"/>
        </w:rPr>
        <w:t xml:space="preserve">. </w:t>
      </w:r>
      <w:r w:rsidR="00A70776">
        <w:rPr>
          <w:i w:val="0"/>
          <w:iCs w:val="0"/>
          <w:color w:val="auto"/>
        </w:rPr>
        <w:t>Detalles macro y micro</w:t>
      </w:r>
      <w:r w:rsidR="00A70776" w:rsidRPr="4447C96C">
        <w:rPr>
          <w:i w:val="0"/>
          <w:iCs w:val="0"/>
          <w:color w:val="auto"/>
        </w:rPr>
        <w:t xml:space="preserve"> morfológic</w:t>
      </w:r>
      <w:r w:rsidR="00A70776">
        <w:rPr>
          <w:i w:val="0"/>
          <w:iCs w:val="0"/>
          <w:color w:val="auto"/>
        </w:rPr>
        <w:t>os</w:t>
      </w:r>
      <w:r w:rsidR="00A70776" w:rsidRPr="4447C96C">
        <w:rPr>
          <w:i w:val="0"/>
          <w:iCs w:val="0"/>
          <w:color w:val="auto"/>
        </w:rPr>
        <w:t xml:space="preserve"> de</w:t>
      </w:r>
      <w:r w:rsidR="00A70776">
        <w:rPr>
          <w:i w:val="0"/>
          <w:iCs w:val="0"/>
          <w:color w:val="auto"/>
        </w:rPr>
        <w:t xml:space="preserve"> los</w:t>
      </w:r>
      <w:r w:rsidR="00A70776" w:rsidRPr="4447C96C">
        <w:rPr>
          <w:i w:val="0"/>
          <w:iCs w:val="0"/>
          <w:color w:val="auto"/>
        </w:rPr>
        <w:t xml:space="preserve"> </w:t>
      </w:r>
      <w:r w:rsidRPr="4447C96C">
        <w:rPr>
          <w:i w:val="0"/>
          <w:iCs w:val="0"/>
          <w:color w:val="auto"/>
        </w:rPr>
        <w:t xml:space="preserve">hongos marinos aislados de sedimentos del manglar de Puntarenas, Costa Rica. A) Cepa A 3.1 B) Cepa A 4.1, C) Cepa B 1.1, </w:t>
      </w:r>
      <w:r w:rsidR="007852CE">
        <w:rPr>
          <w:i w:val="0"/>
          <w:iCs w:val="0"/>
          <w:color w:val="auto"/>
        </w:rPr>
        <w:t>D</w:t>
      </w:r>
      <w:r w:rsidRPr="4447C96C">
        <w:rPr>
          <w:i w:val="0"/>
          <w:iCs w:val="0"/>
          <w:color w:val="auto"/>
        </w:rPr>
        <w:t>) Cepa B 1.3</w:t>
      </w:r>
      <w:bookmarkEnd w:id="152"/>
      <w:r w:rsidR="007852CE">
        <w:rPr>
          <w:i w:val="0"/>
          <w:iCs w:val="0"/>
          <w:color w:val="auto"/>
        </w:rPr>
        <w:t>.</w:t>
      </w:r>
      <w:bookmarkEnd w:id="153"/>
    </w:p>
    <w:p w14:paraId="242E536B" w14:textId="3115C26E" w:rsidR="003558EB" w:rsidRDefault="003558EB" w:rsidP="4447C96C"/>
    <w:p w14:paraId="6ADF2DDC" w14:textId="15EA1DF3" w:rsidR="00032A6B" w:rsidRDefault="00467F7A" w:rsidP="00032A6B">
      <w:pPr>
        <w:keepNext/>
      </w:pPr>
      <w:r>
        <w:rPr>
          <w:noProof/>
        </w:rPr>
        <w:lastRenderedPageBreak/>
        <w:drawing>
          <wp:inline distT="0" distB="0" distL="0" distR="0" wp14:anchorId="5C4457A7" wp14:editId="3A777820">
            <wp:extent cx="6079658" cy="5134708"/>
            <wp:effectExtent l="0" t="0" r="0" b="8890"/>
            <wp:docPr id="96640080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525" b="27397"/>
                    <a:stretch/>
                  </pic:blipFill>
                  <pic:spPr bwMode="auto">
                    <a:xfrm>
                      <a:off x="0" y="0"/>
                      <a:ext cx="6089482" cy="5143005"/>
                    </a:xfrm>
                    <a:prstGeom prst="rect">
                      <a:avLst/>
                    </a:prstGeom>
                    <a:noFill/>
                    <a:ln>
                      <a:noFill/>
                    </a:ln>
                    <a:extLst>
                      <a:ext uri="{53640926-AAD7-44D8-BBD7-CCE9431645EC}">
                        <a14:shadowObscured xmlns:a14="http://schemas.microsoft.com/office/drawing/2010/main"/>
                      </a:ext>
                    </a:extLst>
                  </pic:spPr>
                </pic:pic>
              </a:graphicData>
            </a:graphic>
          </wp:inline>
        </w:drawing>
      </w:r>
    </w:p>
    <w:p w14:paraId="02EC9CC1" w14:textId="78953FE1" w:rsidR="003558EB" w:rsidRDefault="4447C96C" w:rsidP="4447C96C">
      <w:pPr>
        <w:pStyle w:val="Descripcin"/>
        <w:rPr>
          <w:b/>
          <w:bCs/>
          <w:i w:val="0"/>
          <w:iCs w:val="0"/>
        </w:rPr>
      </w:pPr>
      <w:bookmarkStart w:id="154" w:name="_Toc138339821"/>
      <w:bookmarkStart w:id="155" w:name="_Toc138615302"/>
      <w:r w:rsidRPr="00FA76C0">
        <w:rPr>
          <w:b/>
          <w:bCs/>
          <w:i w:val="0"/>
          <w:iCs w:val="0"/>
          <w:color w:val="auto"/>
          <w:sz w:val="20"/>
          <w:szCs w:val="20"/>
        </w:rPr>
        <w:t xml:space="preserve">Anexo </w:t>
      </w:r>
      <w:r w:rsidR="0085009A" w:rsidRPr="00FA76C0">
        <w:rPr>
          <w:b/>
          <w:bCs/>
          <w:i w:val="0"/>
          <w:iCs w:val="0"/>
          <w:color w:val="auto"/>
          <w:sz w:val="20"/>
          <w:szCs w:val="20"/>
        </w:rPr>
        <w:fldChar w:fldCharType="begin"/>
      </w:r>
      <w:r w:rsidR="0085009A" w:rsidRPr="00FA76C0">
        <w:rPr>
          <w:b/>
          <w:bCs/>
          <w:i w:val="0"/>
          <w:iCs w:val="0"/>
          <w:color w:val="auto"/>
          <w:sz w:val="20"/>
          <w:szCs w:val="20"/>
        </w:rPr>
        <w:instrText xml:space="preserve"> SEQ Anexo \* ARABIC </w:instrText>
      </w:r>
      <w:r w:rsidR="0085009A" w:rsidRPr="00FA76C0">
        <w:rPr>
          <w:b/>
          <w:bCs/>
          <w:i w:val="0"/>
          <w:iCs w:val="0"/>
          <w:color w:val="auto"/>
          <w:sz w:val="20"/>
          <w:szCs w:val="20"/>
        </w:rPr>
        <w:fldChar w:fldCharType="separate"/>
      </w:r>
      <w:r w:rsidRPr="00FA76C0">
        <w:rPr>
          <w:b/>
          <w:bCs/>
          <w:i w:val="0"/>
          <w:iCs w:val="0"/>
          <w:noProof/>
          <w:color w:val="auto"/>
          <w:sz w:val="20"/>
          <w:szCs w:val="20"/>
        </w:rPr>
        <w:t>3</w:t>
      </w:r>
      <w:r w:rsidR="0085009A" w:rsidRPr="00FA76C0">
        <w:rPr>
          <w:b/>
          <w:bCs/>
          <w:i w:val="0"/>
          <w:iCs w:val="0"/>
          <w:noProof/>
          <w:color w:val="auto"/>
          <w:sz w:val="20"/>
          <w:szCs w:val="20"/>
        </w:rPr>
        <w:fldChar w:fldCharType="end"/>
      </w:r>
      <w:r w:rsidRPr="00FA76C0">
        <w:rPr>
          <w:b/>
          <w:bCs/>
          <w:i w:val="0"/>
          <w:iCs w:val="0"/>
          <w:color w:val="auto"/>
          <w:sz w:val="20"/>
          <w:szCs w:val="20"/>
        </w:rPr>
        <w:t>.</w:t>
      </w:r>
      <w:r w:rsidRPr="00FA76C0">
        <w:rPr>
          <w:color w:val="auto"/>
          <w:sz w:val="20"/>
          <w:szCs w:val="20"/>
        </w:rPr>
        <w:t xml:space="preserve"> </w:t>
      </w:r>
      <w:r w:rsidR="00A70776">
        <w:rPr>
          <w:i w:val="0"/>
          <w:iCs w:val="0"/>
          <w:color w:val="auto"/>
        </w:rPr>
        <w:t>Detalles macro y micro</w:t>
      </w:r>
      <w:r w:rsidR="00A70776" w:rsidRPr="4447C96C">
        <w:rPr>
          <w:i w:val="0"/>
          <w:iCs w:val="0"/>
          <w:color w:val="auto"/>
        </w:rPr>
        <w:t xml:space="preserve"> morfológic</w:t>
      </w:r>
      <w:r w:rsidR="00A70776">
        <w:rPr>
          <w:i w:val="0"/>
          <w:iCs w:val="0"/>
          <w:color w:val="auto"/>
        </w:rPr>
        <w:t>os</w:t>
      </w:r>
      <w:r w:rsidR="00A70776" w:rsidRPr="4447C96C">
        <w:rPr>
          <w:i w:val="0"/>
          <w:iCs w:val="0"/>
          <w:color w:val="auto"/>
        </w:rPr>
        <w:t xml:space="preserve"> de</w:t>
      </w:r>
      <w:r w:rsidR="00A70776">
        <w:rPr>
          <w:i w:val="0"/>
          <w:iCs w:val="0"/>
          <w:color w:val="auto"/>
        </w:rPr>
        <w:t xml:space="preserve"> los</w:t>
      </w:r>
      <w:r w:rsidR="00A70776" w:rsidRPr="4447C96C">
        <w:rPr>
          <w:i w:val="0"/>
          <w:iCs w:val="0"/>
          <w:color w:val="auto"/>
        </w:rPr>
        <w:t xml:space="preserve"> </w:t>
      </w:r>
      <w:r w:rsidRPr="4447C96C">
        <w:rPr>
          <w:i w:val="0"/>
          <w:iCs w:val="0"/>
          <w:color w:val="auto"/>
        </w:rPr>
        <w:t xml:space="preserve">hongos marinos aislados de sedimentos del manglar de Puntarenas, Costa Rica. A) </w:t>
      </w:r>
      <w:r w:rsidR="007852CE" w:rsidRPr="4447C96C">
        <w:rPr>
          <w:i w:val="0"/>
          <w:iCs w:val="0"/>
          <w:color w:val="auto"/>
        </w:rPr>
        <w:t>Cepa B 1.4</w:t>
      </w:r>
      <w:r w:rsidR="007852CE">
        <w:rPr>
          <w:i w:val="0"/>
          <w:iCs w:val="0"/>
          <w:color w:val="auto"/>
        </w:rPr>
        <w:t xml:space="preserve">, </w:t>
      </w:r>
      <w:r w:rsidR="00D414EC">
        <w:rPr>
          <w:i w:val="0"/>
          <w:iCs w:val="0"/>
          <w:color w:val="auto"/>
        </w:rPr>
        <w:t xml:space="preserve">B) </w:t>
      </w:r>
      <w:r w:rsidRPr="4447C96C">
        <w:rPr>
          <w:i w:val="0"/>
          <w:iCs w:val="0"/>
          <w:color w:val="auto"/>
        </w:rPr>
        <w:t xml:space="preserve">Cepa B 3.1 </w:t>
      </w:r>
      <w:r w:rsidR="00D414EC">
        <w:rPr>
          <w:i w:val="0"/>
          <w:iCs w:val="0"/>
          <w:color w:val="auto"/>
        </w:rPr>
        <w:t>C</w:t>
      </w:r>
      <w:r w:rsidRPr="4447C96C">
        <w:rPr>
          <w:i w:val="0"/>
          <w:iCs w:val="0"/>
          <w:color w:val="auto"/>
        </w:rPr>
        <w:t xml:space="preserve">) Cepa B 1.7, </w:t>
      </w:r>
      <w:r w:rsidR="00D414EC">
        <w:rPr>
          <w:i w:val="0"/>
          <w:iCs w:val="0"/>
          <w:color w:val="auto"/>
        </w:rPr>
        <w:t>D</w:t>
      </w:r>
      <w:r w:rsidRPr="4447C96C">
        <w:rPr>
          <w:i w:val="0"/>
          <w:iCs w:val="0"/>
          <w:color w:val="auto"/>
        </w:rPr>
        <w:t>) Cepa 2.2</w:t>
      </w:r>
      <w:bookmarkEnd w:id="154"/>
      <w:r w:rsidR="00D414EC">
        <w:rPr>
          <w:i w:val="0"/>
          <w:iCs w:val="0"/>
          <w:color w:val="auto"/>
        </w:rPr>
        <w:t>.</w:t>
      </w:r>
      <w:bookmarkEnd w:id="155"/>
    </w:p>
    <w:p w14:paraId="014F1108" w14:textId="369B819D" w:rsidR="003558EB" w:rsidRDefault="00111904" w:rsidP="00EB64BF">
      <w:pPr>
        <w:spacing w:after="0"/>
      </w:pPr>
      <w:r>
        <w:rPr>
          <w:noProof/>
        </w:rPr>
        <w:lastRenderedPageBreak/>
        <w:drawing>
          <wp:inline distT="0" distB="0" distL="0" distR="0" wp14:anchorId="58FC7CD5" wp14:editId="163CA838">
            <wp:extent cx="6082484" cy="5194998"/>
            <wp:effectExtent l="0" t="0" r="0" b="5715"/>
            <wp:docPr id="9809020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260" b="26849"/>
                    <a:stretch/>
                  </pic:blipFill>
                  <pic:spPr bwMode="auto">
                    <a:xfrm>
                      <a:off x="0" y="0"/>
                      <a:ext cx="6089816" cy="5201260"/>
                    </a:xfrm>
                    <a:prstGeom prst="rect">
                      <a:avLst/>
                    </a:prstGeom>
                    <a:noFill/>
                    <a:ln>
                      <a:noFill/>
                    </a:ln>
                    <a:extLst>
                      <a:ext uri="{53640926-AAD7-44D8-BBD7-CCE9431645EC}">
                        <a14:shadowObscured xmlns:a14="http://schemas.microsoft.com/office/drawing/2010/main"/>
                      </a:ext>
                    </a:extLst>
                  </pic:spPr>
                </pic:pic>
              </a:graphicData>
            </a:graphic>
          </wp:inline>
        </w:drawing>
      </w:r>
    </w:p>
    <w:p w14:paraId="4BEDB5AD" w14:textId="43DC21F9" w:rsidR="00546E70" w:rsidRPr="00A70776" w:rsidRDefault="4447C96C" w:rsidP="003558EB">
      <w:pPr>
        <w:pStyle w:val="Descripcin"/>
        <w:rPr>
          <w:i w:val="0"/>
          <w:iCs w:val="0"/>
          <w:color w:val="auto"/>
          <w:sz w:val="20"/>
          <w:szCs w:val="20"/>
        </w:rPr>
      </w:pPr>
      <w:bookmarkStart w:id="156" w:name="_Toc138339822"/>
      <w:bookmarkStart w:id="157" w:name="_Toc138615303"/>
      <w:r w:rsidRPr="00FE6298">
        <w:rPr>
          <w:b/>
          <w:bCs/>
          <w:i w:val="0"/>
          <w:iCs w:val="0"/>
          <w:color w:val="auto"/>
          <w:sz w:val="20"/>
          <w:szCs w:val="20"/>
        </w:rPr>
        <w:t xml:space="preserve">Anexo </w:t>
      </w:r>
      <w:r w:rsidR="003558EB" w:rsidRPr="00FE6298">
        <w:rPr>
          <w:b/>
          <w:bCs/>
          <w:i w:val="0"/>
          <w:iCs w:val="0"/>
          <w:color w:val="auto"/>
          <w:sz w:val="20"/>
          <w:szCs w:val="20"/>
        </w:rPr>
        <w:fldChar w:fldCharType="begin"/>
      </w:r>
      <w:r w:rsidR="003558EB" w:rsidRPr="00FE6298">
        <w:rPr>
          <w:b/>
          <w:bCs/>
          <w:i w:val="0"/>
          <w:iCs w:val="0"/>
          <w:color w:val="auto"/>
          <w:sz w:val="20"/>
          <w:szCs w:val="20"/>
        </w:rPr>
        <w:instrText xml:space="preserve"> SEQ Anexo \* ARABIC </w:instrText>
      </w:r>
      <w:r w:rsidR="003558EB" w:rsidRPr="00FE6298">
        <w:rPr>
          <w:b/>
          <w:bCs/>
          <w:i w:val="0"/>
          <w:iCs w:val="0"/>
          <w:color w:val="auto"/>
          <w:sz w:val="20"/>
          <w:szCs w:val="20"/>
        </w:rPr>
        <w:fldChar w:fldCharType="separate"/>
      </w:r>
      <w:r w:rsidRPr="00FE6298">
        <w:rPr>
          <w:b/>
          <w:bCs/>
          <w:i w:val="0"/>
          <w:iCs w:val="0"/>
          <w:noProof/>
          <w:color w:val="auto"/>
          <w:sz w:val="20"/>
          <w:szCs w:val="20"/>
        </w:rPr>
        <w:t>4</w:t>
      </w:r>
      <w:r w:rsidR="003558EB" w:rsidRPr="00FE6298">
        <w:rPr>
          <w:b/>
          <w:bCs/>
          <w:i w:val="0"/>
          <w:iCs w:val="0"/>
          <w:color w:val="auto"/>
          <w:sz w:val="20"/>
          <w:szCs w:val="20"/>
        </w:rPr>
        <w:fldChar w:fldCharType="end"/>
      </w:r>
      <w:r w:rsidRPr="00FE6298">
        <w:rPr>
          <w:b/>
          <w:bCs/>
          <w:i w:val="0"/>
          <w:iCs w:val="0"/>
          <w:color w:val="auto"/>
          <w:sz w:val="20"/>
          <w:szCs w:val="20"/>
        </w:rPr>
        <w:t>.</w:t>
      </w:r>
      <w:r w:rsidRPr="00FE6298">
        <w:rPr>
          <w:i w:val="0"/>
          <w:iCs w:val="0"/>
          <w:color w:val="auto"/>
          <w:sz w:val="20"/>
          <w:szCs w:val="20"/>
        </w:rPr>
        <w:t xml:space="preserve">  </w:t>
      </w:r>
      <w:r w:rsidR="00A70776">
        <w:rPr>
          <w:i w:val="0"/>
          <w:iCs w:val="0"/>
          <w:color w:val="auto"/>
        </w:rPr>
        <w:t>Detalles macro y micro</w:t>
      </w:r>
      <w:r w:rsidR="00A70776" w:rsidRPr="4447C96C">
        <w:rPr>
          <w:i w:val="0"/>
          <w:iCs w:val="0"/>
          <w:color w:val="auto"/>
        </w:rPr>
        <w:t xml:space="preserve"> morfológic</w:t>
      </w:r>
      <w:r w:rsidR="00A70776">
        <w:rPr>
          <w:i w:val="0"/>
          <w:iCs w:val="0"/>
          <w:color w:val="auto"/>
        </w:rPr>
        <w:t>os</w:t>
      </w:r>
      <w:r w:rsidR="00A70776" w:rsidRPr="4447C96C">
        <w:rPr>
          <w:i w:val="0"/>
          <w:iCs w:val="0"/>
          <w:color w:val="auto"/>
        </w:rPr>
        <w:t xml:space="preserve"> de</w:t>
      </w:r>
      <w:r w:rsidR="00A70776">
        <w:rPr>
          <w:i w:val="0"/>
          <w:iCs w:val="0"/>
          <w:color w:val="auto"/>
        </w:rPr>
        <w:t xml:space="preserve"> los</w:t>
      </w:r>
      <w:r w:rsidRPr="00FE6298">
        <w:rPr>
          <w:i w:val="0"/>
          <w:iCs w:val="0"/>
          <w:color w:val="auto"/>
          <w:sz w:val="20"/>
          <w:szCs w:val="20"/>
        </w:rPr>
        <w:t xml:space="preserve"> hongos marinos aislados de sedimentos del manglar de Puntarenas, Costa Rica. </w:t>
      </w:r>
      <w:r w:rsidRPr="00A70776">
        <w:rPr>
          <w:i w:val="0"/>
          <w:iCs w:val="0"/>
          <w:color w:val="auto"/>
          <w:sz w:val="20"/>
          <w:szCs w:val="20"/>
        </w:rPr>
        <w:t xml:space="preserve">A) </w:t>
      </w:r>
      <w:r w:rsidR="00D414EC">
        <w:rPr>
          <w:i w:val="0"/>
          <w:iCs w:val="0"/>
          <w:color w:val="auto"/>
          <w:sz w:val="20"/>
          <w:szCs w:val="20"/>
        </w:rPr>
        <w:t xml:space="preserve">B 3.2, B) </w:t>
      </w:r>
      <w:r w:rsidRPr="00A70776">
        <w:rPr>
          <w:i w:val="0"/>
          <w:iCs w:val="0"/>
          <w:color w:val="auto"/>
          <w:sz w:val="20"/>
          <w:szCs w:val="20"/>
        </w:rPr>
        <w:t xml:space="preserve">Cepa B 6.1, </w:t>
      </w:r>
      <w:r w:rsidR="00D414EC">
        <w:rPr>
          <w:i w:val="0"/>
          <w:iCs w:val="0"/>
          <w:color w:val="auto"/>
          <w:sz w:val="20"/>
          <w:szCs w:val="20"/>
        </w:rPr>
        <w:t>C</w:t>
      </w:r>
      <w:r w:rsidRPr="00A70776">
        <w:rPr>
          <w:i w:val="0"/>
          <w:iCs w:val="0"/>
          <w:color w:val="auto"/>
          <w:sz w:val="20"/>
          <w:szCs w:val="20"/>
        </w:rPr>
        <w:t>) Cepa C 1.1.</w:t>
      </w:r>
      <w:bookmarkEnd w:id="156"/>
      <w:bookmarkEnd w:id="157"/>
    </w:p>
    <w:p w14:paraId="04A4C66A" w14:textId="77777777" w:rsidR="006D0178" w:rsidRDefault="006D0178" w:rsidP="006D0178">
      <w:pPr>
        <w:keepNext/>
        <w:spacing w:line="259" w:lineRule="auto"/>
        <w:jc w:val="center"/>
      </w:pPr>
      <w:r>
        <w:rPr>
          <w:i/>
          <w:iCs/>
          <w:noProof/>
          <w:color w:val="44546A" w:themeColor="text2"/>
          <w:sz w:val="18"/>
          <w:szCs w:val="18"/>
        </w:rPr>
        <w:lastRenderedPageBreak/>
        <w:drawing>
          <wp:inline distT="0" distB="0" distL="0" distR="0" wp14:anchorId="396E5DC6" wp14:editId="7EE24191">
            <wp:extent cx="5411972" cy="7278476"/>
            <wp:effectExtent l="0" t="0" r="0" b="0"/>
            <wp:docPr id="1536807489"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807489" name="Imagen 2" descr="Diagrama&#10;&#10;Descripción generada automáticamente"/>
                    <pic:cNvPicPr/>
                  </pic:nvPicPr>
                  <pic:blipFill rotWithShape="1">
                    <a:blip r:embed="rId31" cstate="print">
                      <a:extLst>
                        <a:ext uri="{28A0092B-C50C-407E-A947-70E740481C1C}">
                          <a14:useLocalDpi xmlns:a14="http://schemas.microsoft.com/office/drawing/2010/main" val="0"/>
                        </a:ext>
                      </a:extLst>
                    </a:blip>
                    <a:srcRect l="1691" t="2174" r="1764" b="5082"/>
                    <a:stretch/>
                  </pic:blipFill>
                  <pic:spPr bwMode="auto">
                    <a:xfrm>
                      <a:off x="0" y="0"/>
                      <a:ext cx="5446870" cy="7325410"/>
                    </a:xfrm>
                    <a:prstGeom prst="rect">
                      <a:avLst/>
                    </a:prstGeom>
                    <a:ln>
                      <a:noFill/>
                    </a:ln>
                    <a:extLst>
                      <a:ext uri="{53640926-AAD7-44D8-BBD7-CCE9431645EC}">
                        <a14:shadowObscured xmlns:a14="http://schemas.microsoft.com/office/drawing/2010/main"/>
                      </a:ext>
                    </a:extLst>
                  </pic:spPr>
                </pic:pic>
              </a:graphicData>
            </a:graphic>
          </wp:inline>
        </w:drawing>
      </w:r>
    </w:p>
    <w:p w14:paraId="68590053" w14:textId="5443F81E" w:rsidR="006D0178" w:rsidRPr="006D0178" w:rsidRDefault="006D0178" w:rsidP="008258BF">
      <w:pPr>
        <w:pStyle w:val="Descripcin"/>
        <w:ind w:left="567" w:right="571"/>
        <w:rPr>
          <w:b/>
          <w:bCs/>
          <w:i w:val="0"/>
          <w:iCs w:val="0"/>
          <w:color w:val="auto"/>
          <w:sz w:val="20"/>
          <w:szCs w:val="20"/>
        </w:rPr>
      </w:pPr>
      <w:bookmarkStart w:id="158" w:name="_Toc138339823"/>
      <w:bookmarkStart w:id="159" w:name="_Toc138615304"/>
      <w:r w:rsidRPr="006D0178">
        <w:rPr>
          <w:b/>
          <w:bCs/>
          <w:i w:val="0"/>
          <w:iCs w:val="0"/>
          <w:color w:val="auto"/>
          <w:sz w:val="20"/>
          <w:szCs w:val="20"/>
        </w:rPr>
        <w:t xml:space="preserve">Anexo </w:t>
      </w:r>
      <w:r w:rsidRPr="006D0178">
        <w:rPr>
          <w:b/>
          <w:bCs/>
          <w:i w:val="0"/>
          <w:iCs w:val="0"/>
          <w:color w:val="auto"/>
          <w:sz w:val="20"/>
          <w:szCs w:val="20"/>
        </w:rPr>
        <w:fldChar w:fldCharType="begin"/>
      </w:r>
      <w:r w:rsidRPr="006D0178">
        <w:rPr>
          <w:b/>
          <w:bCs/>
          <w:i w:val="0"/>
          <w:iCs w:val="0"/>
          <w:color w:val="auto"/>
          <w:sz w:val="20"/>
          <w:szCs w:val="20"/>
        </w:rPr>
        <w:instrText xml:space="preserve"> SEQ Anexo \* ARABIC </w:instrText>
      </w:r>
      <w:r w:rsidRPr="006D0178">
        <w:rPr>
          <w:b/>
          <w:bCs/>
          <w:i w:val="0"/>
          <w:iCs w:val="0"/>
          <w:color w:val="auto"/>
          <w:sz w:val="20"/>
          <w:szCs w:val="20"/>
        </w:rPr>
        <w:fldChar w:fldCharType="separate"/>
      </w:r>
      <w:r w:rsidR="007F2B82">
        <w:rPr>
          <w:b/>
          <w:bCs/>
          <w:i w:val="0"/>
          <w:iCs w:val="0"/>
          <w:noProof/>
          <w:color w:val="auto"/>
          <w:sz w:val="20"/>
          <w:szCs w:val="20"/>
        </w:rPr>
        <w:t>5</w:t>
      </w:r>
      <w:r w:rsidRPr="006D0178">
        <w:rPr>
          <w:b/>
          <w:bCs/>
          <w:i w:val="0"/>
          <w:iCs w:val="0"/>
          <w:color w:val="auto"/>
          <w:sz w:val="20"/>
          <w:szCs w:val="20"/>
        </w:rPr>
        <w:fldChar w:fldCharType="end"/>
      </w:r>
      <w:r>
        <w:rPr>
          <w:b/>
          <w:bCs/>
          <w:i w:val="0"/>
          <w:iCs w:val="0"/>
          <w:color w:val="auto"/>
          <w:sz w:val="20"/>
          <w:szCs w:val="20"/>
        </w:rPr>
        <w:t xml:space="preserve">.  </w:t>
      </w:r>
      <w:r w:rsidRPr="006D0178">
        <w:rPr>
          <w:rFonts w:eastAsia="Times New Roman" w:cs="Times New Roman"/>
          <w:i w:val="0"/>
          <w:iCs w:val="0"/>
          <w:color w:val="000000"/>
          <w:sz w:val="20"/>
          <w:szCs w:val="20"/>
          <w:lang w:eastAsia="es-CR"/>
        </w:rPr>
        <w:t xml:space="preserve">Árbol filogenético del gen completo ITS para las cepas de hongos marinos. En el árbol se incluyen únicamente especies que reporten actividad antimicrobiana y que fuesen aisladas de ambientes marino. Señaladas en negrita se observan las especies que presentaron alta similitud y en el recuadro de color las cepas con mayor porcentaje de similitud y cobertura. El árbol se construyó utilizando el método Neighbor-Joining con valores de </w:t>
      </w:r>
      <w:r w:rsidR="00D24418" w:rsidRPr="006D0178">
        <w:rPr>
          <w:rFonts w:eastAsia="Times New Roman" w:cs="Times New Roman"/>
          <w:i w:val="0"/>
          <w:iCs w:val="0"/>
          <w:color w:val="000000"/>
          <w:sz w:val="20"/>
          <w:szCs w:val="20"/>
          <w:lang w:eastAsia="es-CR"/>
        </w:rPr>
        <w:t>Bootstrap</w:t>
      </w:r>
      <w:r w:rsidRPr="006D0178">
        <w:rPr>
          <w:rFonts w:eastAsia="Times New Roman" w:cs="Times New Roman"/>
          <w:i w:val="0"/>
          <w:iCs w:val="0"/>
          <w:color w:val="000000"/>
          <w:sz w:val="20"/>
          <w:szCs w:val="20"/>
          <w:lang w:eastAsia="es-CR"/>
        </w:rPr>
        <w:t xml:space="preserve"> en 100 réplicas y fue editado en la herramienta iTol. A) Árbol filogenético para la cepa A2.1 y otros </w:t>
      </w:r>
      <w:r w:rsidRPr="006D0178">
        <w:rPr>
          <w:rFonts w:eastAsia="Times New Roman" w:cs="Times New Roman"/>
          <w:color w:val="000000"/>
          <w:sz w:val="20"/>
          <w:szCs w:val="20"/>
          <w:lang w:eastAsia="es-CR"/>
        </w:rPr>
        <w:t>Penicillium sp.</w:t>
      </w:r>
      <w:r w:rsidRPr="006D0178">
        <w:rPr>
          <w:rFonts w:eastAsia="Times New Roman" w:cs="Times New Roman"/>
          <w:i w:val="0"/>
          <w:iCs w:val="0"/>
          <w:color w:val="000000"/>
          <w:sz w:val="20"/>
          <w:szCs w:val="20"/>
          <w:lang w:eastAsia="es-CR"/>
        </w:rPr>
        <w:t xml:space="preserve">  B) Árbol filogenético para la cepa A 4.1 y otras especies cercanas C) Árbol filogenético para la cepa B 3.2 y otros </w:t>
      </w:r>
      <w:r w:rsidRPr="006D0178">
        <w:rPr>
          <w:rFonts w:eastAsia="Times New Roman" w:cs="Times New Roman"/>
          <w:color w:val="000000"/>
          <w:sz w:val="20"/>
          <w:szCs w:val="20"/>
          <w:lang w:eastAsia="es-CR"/>
        </w:rPr>
        <w:t>Aspergillus sp.</w:t>
      </w:r>
      <w:bookmarkEnd w:id="158"/>
      <w:bookmarkEnd w:id="159"/>
      <w:r w:rsidRPr="006D0178">
        <w:rPr>
          <w:b/>
          <w:bCs/>
          <w:i w:val="0"/>
          <w:iCs w:val="0"/>
          <w:color w:val="auto"/>
          <w:sz w:val="20"/>
          <w:szCs w:val="20"/>
        </w:rPr>
        <w:t xml:space="preserve"> </w:t>
      </w:r>
    </w:p>
    <w:p w14:paraId="76C9715B" w14:textId="77777777" w:rsidR="007F2B82" w:rsidRDefault="004A6525" w:rsidP="007F2B82">
      <w:pPr>
        <w:keepNext/>
      </w:pPr>
      <w:r>
        <w:rPr>
          <w:noProof/>
        </w:rPr>
        <w:lastRenderedPageBreak/>
        <w:drawing>
          <wp:inline distT="0" distB="0" distL="0" distR="0" wp14:anchorId="58B607E5" wp14:editId="0D12D818">
            <wp:extent cx="5942002" cy="368427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rotWithShape="1">
                    <a:blip r:embed="rId32" cstate="print">
                      <a:extLst>
                        <a:ext uri="{28A0092B-C50C-407E-A947-70E740481C1C}">
                          <a14:useLocalDpi xmlns:a14="http://schemas.microsoft.com/office/drawing/2010/main" val="0"/>
                        </a:ext>
                      </a:extLst>
                    </a:blip>
                    <a:srcRect t="11962" b="35085"/>
                    <a:stretch/>
                  </pic:blipFill>
                  <pic:spPr bwMode="auto">
                    <a:xfrm>
                      <a:off x="0" y="0"/>
                      <a:ext cx="5956566" cy="3693300"/>
                    </a:xfrm>
                    <a:prstGeom prst="rect">
                      <a:avLst/>
                    </a:prstGeom>
                    <a:ln>
                      <a:noFill/>
                    </a:ln>
                    <a:extLst>
                      <a:ext uri="{53640926-AAD7-44D8-BBD7-CCE9431645EC}">
                        <a14:shadowObscured xmlns:a14="http://schemas.microsoft.com/office/drawing/2010/main"/>
                      </a:ext>
                    </a:extLst>
                  </pic:spPr>
                </pic:pic>
              </a:graphicData>
            </a:graphic>
          </wp:inline>
        </w:drawing>
      </w:r>
    </w:p>
    <w:p w14:paraId="234236FB" w14:textId="6654D219" w:rsidR="003558EB" w:rsidRPr="00FE6298" w:rsidRDefault="007F2B82" w:rsidP="007F2B82">
      <w:pPr>
        <w:pStyle w:val="Descripcin"/>
        <w:rPr>
          <w:i w:val="0"/>
          <w:iCs w:val="0"/>
          <w:color w:val="auto"/>
          <w:sz w:val="20"/>
          <w:szCs w:val="20"/>
        </w:rPr>
      </w:pPr>
      <w:bookmarkStart w:id="160" w:name="_Toc138339824"/>
      <w:bookmarkStart w:id="161" w:name="_Toc138615305"/>
      <w:r w:rsidRPr="00FE6298">
        <w:rPr>
          <w:b/>
          <w:bCs/>
          <w:i w:val="0"/>
          <w:iCs w:val="0"/>
          <w:color w:val="auto"/>
          <w:sz w:val="20"/>
          <w:szCs w:val="20"/>
        </w:rPr>
        <w:t xml:space="preserve">Anexo </w:t>
      </w:r>
      <w:r w:rsidRPr="00FE6298">
        <w:rPr>
          <w:b/>
          <w:bCs/>
          <w:i w:val="0"/>
          <w:iCs w:val="0"/>
          <w:color w:val="auto"/>
          <w:sz w:val="20"/>
          <w:szCs w:val="20"/>
        </w:rPr>
        <w:fldChar w:fldCharType="begin"/>
      </w:r>
      <w:r w:rsidRPr="00FE6298">
        <w:rPr>
          <w:b/>
          <w:bCs/>
          <w:i w:val="0"/>
          <w:iCs w:val="0"/>
          <w:color w:val="auto"/>
          <w:sz w:val="20"/>
          <w:szCs w:val="20"/>
        </w:rPr>
        <w:instrText>SEQ Anexo \* ARABIC</w:instrText>
      </w:r>
      <w:r w:rsidRPr="00FE6298">
        <w:rPr>
          <w:b/>
          <w:bCs/>
          <w:i w:val="0"/>
          <w:iCs w:val="0"/>
          <w:color w:val="auto"/>
          <w:sz w:val="20"/>
          <w:szCs w:val="20"/>
        </w:rPr>
        <w:fldChar w:fldCharType="separate"/>
      </w:r>
      <w:r w:rsidRPr="00FE6298">
        <w:rPr>
          <w:b/>
          <w:bCs/>
          <w:i w:val="0"/>
          <w:iCs w:val="0"/>
          <w:noProof/>
          <w:color w:val="auto"/>
          <w:sz w:val="20"/>
          <w:szCs w:val="20"/>
        </w:rPr>
        <w:t>6</w:t>
      </w:r>
      <w:r w:rsidRPr="00FE6298">
        <w:rPr>
          <w:b/>
          <w:bCs/>
          <w:i w:val="0"/>
          <w:iCs w:val="0"/>
          <w:color w:val="auto"/>
          <w:sz w:val="20"/>
          <w:szCs w:val="20"/>
        </w:rPr>
        <w:fldChar w:fldCharType="end"/>
      </w:r>
      <w:r w:rsidRPr="00FE6298">
        <w:rPr>
          <w:b/>
          <w:bCs/>
          <w:i w:val="0"/>
          <w:iCs w:val="0"/>
          <w:noProof/>
          <w:color w:val="auto"/>
          <w:sz w:val="20"/>
          <w:szCs w:val="20"/>
        </w:rPr>
        <w:t>.</w:t>
      </w:r>
      <w:r w:rsidRPr="00FE6298">
        <w:rPr>
          <w:i w:val="0"/>
          <w:iCs w:val="0"/>
          <w:noProof/>
          <w:color w:val="auto"/>
          <w:sz w:val="20"/>
          <w:szCs w:val="20"/>
        </w:rPr>
        <w:t xml:space="preserve"> Ensayos de inhibición antimicrobiana obtenidos mediante el método de difusión en pozo de los extractos de</w:t>
      </w:r>
      <w:r w:rsidR="006246FC">
        <w:rPr>
          <w:i w:val="0"/>
          <w:iCs w:val="0"/>
          <w:noProof/>
          <w:color w:val="auto"/>
          <w:sz w:val="20"/>
          <w:szCs w:val="20"/>
        </w:rPr>
        <w:t xml:space="preserve">l </w:t>
      </w:r>
      <w:r w:rsidR="006246FC" w:rsidRPr="006246FC">
        <w:rPr>
          <w:i w:val="0"/>
          <w:iCs w:val="0"/>
          <w:noProof/>
          <w:color w:val="auto"/>
          <w:sz w:val="20"/>
          <w:szCs w:val="20"/>
        </w:rPr>
        <w:t xml:space="preserve">cultivo líquido </w:t>
      </w:r>
      <w:r w:rsidRPr="00FE6298">
        <w:rPr>
          <w:i w:val="0"/>
          <w:iCs w:val="0"/>
          <w:noProof/>
          <w:color w:val="auto"/>
          <w:sz w:val="20"/>
          <w:szCs w:val="20"/>
        </w:rPr>
        <w:t>de la cepa A 4.1</w:t>
      </w:r>
      <w:r w:rsidR="00D505ED">
        <w:rPr>
          <w:i w:val="0"/>
          <w:iCs w:val="0"/>
          <w:noProof/>
          <w:color w:val="auto"/>
          <w:sz w:val="20"/>
          <w:szCs w:val="20"/>
        </w:rPr>
        <w:t xml:space="preserve"> (</w:t>
      </w:r>
      <w:r w:rsidR="00D505ED" w:rsidRPr="00D505ED">
        <w:rPr>
          <w:rFonts w:eastAsia="Times New Roman" w:cs="Times New Roman"/>
          <w:bCs/>
          <w:color w:val="auto"/>
          <w:sz w:val="20"/>
          <w:szCs w:val="20"/>
          <w:lang w:eastAsia="es-CR"/>
        </w:rPr>
        <w:t>Paraconiothyrium</w:t>
      </w:r>
      <w:r w:rsidR="00D505ED" w:rsidRPr="00D505ED">
        <w:rPr>
          <w:color w:val="auto"/>
          <w:sz w:val="20"/>
          <w:szCs w:val="20"/>
          <w:lang w:eastAsia="es-CR"/>
        </w:rPr>
        <w:t xml:space="preserve"> sp.</w:t>
      </w:r>
      <w:r w:rsidR="00D505ED" w:rsidRPr="00D505ED">
        <w:rPr>
          <w:i w:val="0"/>
          <w:iCs w:val="0"/>
          <w:noProof/>
          <w:color w:val="auto"/>
          <w:sz w:val="20"/>
          <w:szCs w:val="20"/>
        </w:rPr>
        <w:t>)</w:t>
      </w:r>
      <w:r w:rsidRPr="00D505ED">
        <w:rPr>
          <w:i w:val="0"/>
          <w:iCs w:val="0"/>
          <w:noProof/>
          <w:color w:val="auto"/>
          <w:sz w:val="20"/>
          <w:szCs w:val="20"/>
        </w:rPr>
        <w:t xml:space="preserve">. </w:t>
      </w:r>
      <w:r w:rsidRPr="00FE6298">
        <w:rPr>
          <w:i w:val="0"/>
          <w:iCs w:val="0"/>
          <w:noProof/>
          <w:color w:val="auto"/>
          <w:sz w:val="20"/>
          <w:szCs w:val="20"/>
        </w:rPr>
        <w:t>En la figura se muestran los halos de inhibición generados por los extractos concentrados d</w:t>
      </w:r>
      <w:r w:rsidR="006246FC">
        <w:rPr>
          <w:i w:val="0"/>
          <w:iCs w:val="0"/>
          <w:noProof/>
          <w:color w:val="auto"/>
          <w:sz w:val="20"/>
          <w:szCs w:val="20"/>
        </w:rPr>
        <w:t>el</w:t>
      </w:r>
      <w:r w:rsidRPr="00FE6298">
        <w:rPr>
          <w:i w:val="0"/>
          <w:iCs w:val="0"/>
          <w:noProof/>
          <w:color w:val="auto"/>
          <w:sz w:val="20"/>
          <w:szCs w:val="20"/>
        </w:rPr>
        <w:t xml:space="preserve"> co-cultivo con </w:t>
      </w:r>
      <w:r w:rsidRPr="006246FC">
        <w:rPr>
          <w:noProof/>
          <w:color w:val="auto"/>
          <w:sz w:val="20"/>
          <w:szCs w:val="20"/>
        </w:rPr>
        <w:t>S.aureus</w:t>
      </w:r>
      <w:r w:rsidRPr="00FE6298">
        <w:rPr>
          <w:i w:val="0"/>
          <w:iCs w:val="0"/>
          <w:noProof/>
          <w:color w:val="auto"/>
          <w:sz w:val="20"/>
          <w:szCs w:val="20"/>
        </w:rPr>
        <w:t xml:space="preserve">, en co-cultivo con </w:t>
      </w:r>
      <w:r w:rsidRPr="006246FC">
        <w:rPr>
          <w:noProof/>
          <w:color w:val="auto"/>
          <w:sz w:val="20"/>
          <w:szCs w:val="20"/>
        </w:rPr>
        <w:t>E. hormaechei</w:t>
      </w:r>
      <w:r w:rsidRPr="00FE6298">
        <w:rPr>
          <w:i w:val="0"/>
          <w:iCs w:val="0"/>
          <w:noProof/>
          <w:color w:val="auto"/>
          <w:sz w:val="20"/>
          <w:szCs w:val="20"/>
        </w:rPr>
        <w:t xml:space="preserve"> y en cultivo puro </w:t>
      </w:r>
      <w:r w:rsidRPr="00D505ED">
        <w:rPr>
          <w:noProof/>
          <w:color w:val="auto"/>
          <w:sz w:val="20"/>
          <w:szCs w:val="20"/>
        </w:rPr>
        <w:t xml:space="preserve">A. baumannii, E. faecium, E. hormaechei,  C.albicans </w:t>
      </w:r>
      <w:r w:rsidRPr="00D505ED">
        <w:rPr>
          <w:i w:val="0"/>
          <w:iCs w:val="0"/>
          <w:noProof/>
          <w:color w:val="auto"/>
          <w:sz w:val="20"/>
          <w:szCs w:val="20"/>
        </w:rPr>
        <w:t>y</w:t>
      </w:r>
      <w:r w:rsidRPr="00D505ED">
        <w:rPr>
          <w:noProof/>
          <w:color w:val="auto"/>
          <w:sz w:val="20"/>
          <w:szCs w:val="20"/>
        </w:rPr>
        <w:t xml:space="preserve"> A. niger.</w:t>
      </w:r>
      <w:r w:rsidRPr="00FE6298">
        <w:rPr>
          <w:i w:val="0"/>
          <w:iCs w:val="0"/>
          <w:noProof/>
          <w:color w:val="auto"/>
          <w:sz w:val="20"/>
          <w:szCs w:val="20"/>
        </w:rPr>
        <w:t xml:space="preserve"> Además se observan los halos obtenidos de cada uno de los controles positivos y negativos.</w:t>
      </w:r>
      <w:bookmarkEnd w:id="160"/>
      <w:bookmarkEnd w:id="161"/>
    </w:p>
    <w:p w14:paraId="66E92C5E" w14:textId="77777777" w:rsidR="007F2B82" w:rsidRDefault="00D60657" w:rsidP="007F2B82">
      <w:pPr>
        <w:keepNext/>
      </w:pPr>
      <w:r>
        <w:rPr>
          <w:noProof/>
        </w:rPr>
        <w:lastRenderedPageBreak/>
        <w:drawing>
          <wp:inline distT="0" distB="0" distL="0" distR="0" wp14:anchorId="798D75B8" wp14:editId="529F452F">
            <wp:extent cx="5943600" cy="566737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33" cstate="print">
                      <a:extLst>
                        <a:ext uri="{28A0092B-C50C-407E-A947-70E740481C1C}">
                          <a14:useLocalDpi xmlns:a14="http://schemas.microsoft.com/office/drawing/2010/main" val="0"/>
                        </a:ext>
                      </a:extLst>
                    </a:blip>
                    <a:srcRect t="3696" b="14872"/>
                    <a:stretch/>
                  </pic:blipFill>
                  <pic:spPr bwMode="auto">
                    <a:xfrm>
                      <a:off x="0" y="0"/>
                      <a:ext cx="5943600" cy="5667375"/>
                    </a:xfrm>
                    <a:prstGeom prst="rect">
                      <a:avLst/>
                    </a:prstGeom>
                    <a:ln>
                      <a:noFill/>
                    </a:ln>
                    <a:extLst>
                      <a:ext uri="{53640926-AAD7-44D8-BBD7-CCE9431645EC}">
                        <a14:shadowObscured xmlns:a14="http://schemas.microsoft.com/office/drawing/2010/main"/>
                      </a:ext>
                    </a:extLst>
                  </pic:spPr>
                </pic:pic>
              </a:graphicData>
            </a:graphic>
          </wp:inline>
        </w:drawing>
      </w:r>
    </w:p>
    <w:p w14:paraId="60A39312" w14:textId="2203A2EE" w:rsidR="00227D23" w:rsidRPr="00FE6298" w:rsidRDefault="007F2B82" w:rsidP="007F2B82">
      <w:pPr>
        <w:pStyle w:val="Descripcin"/>
        <w:rPr>
          <w:i w:val="0"/>
          <w:iCs w:val="0"/>
          <w:color w:val="auto"/>
          <w:sz w:val="20"/>
          <w:szCs w:val="20"/>
        </w:rPr>
      </w:pPr>
      <w:bookmarkStart w:id="162" w:name="_Toc138339825"/>
      <w:bookmarkStart w:id="163" w:name="_Toc138615306"/>
      <w:r w:rsidRPr="00FE6298">
        <w:rPr>
          <w:b/>
          <w:bCs/>
          <w:i w:val="0"/>
          <w:iCs w:val="0"/>
          <w:color w:val="auto"/>
          <w:sz w:val="20"/>
          <w:szCs w:val="20"/>
        </w:rPr>
        <w:t xml:space="preserve">Anexo </w:t>
      </w:r>
      <w:r w:rsidRPr="00FE6298">
        <w:rPr>
          <w:b/>
          <w:bCs/>
          <w:i w:val="0"/>
          <w:iCs w:val="0"/>
          <w:color w:val="auto"/>
          <w:sz w:val="20"/>
          <w:szCs w:val="20"/>
        </w:rPr>
        <w:fldChar w:fldCharType="begin"/>
      </w:r>
      <w:r w:rsidRPr="00FE6298">
        <w:rPr>
          <w:b/>
          <w:bCs/>
          <w:i w:val="0"/>
          <w:iCs w:val="0"/>
          <w:color w:val="auto"/>
          <w:sz w:val="20"/>
          <w:szCs w:val="20"/>
        </w:rPr>
        <w:instrText>SEQ Anexo \* ARABIC</w:instrText>
      </w:r>
      <w:r w:rsidRPr="00FE6298">
        <w:rPr>
          <w:b/>
          <w:bCs/>
          <w:i w:val="0"/>
          <w:iCs w:val="0"/>
          <w:color w:val="auto"/>
          <w:sz w:val="20"/>
          <w:szCs w:val="20"/>
        </w:rPr>
        <w:fldChar w:fldCharType="separate"/>
      </w:r>
      <w:r w:rsidRPr="00FE6298">
        <w:rPr>
          <w:b/>
          <w:bCs/>
          <w:i w:val="0"/>
          <w:iCs w:val="0"/>
          <w:noProof/>
          <w:color w:val="auto"/>
          <w:sz w:val="20"/>
          <w:szCs w:val="20"/>
        </w:rPr>
        <w:t>7</w:t>
      </w:r>
      <w:r w:rsidRPr="00FE6298">
        <w:rPr>
          <w:b/>
          <w:bCs/>
          <w:i w:val="0"/>
          <w:iCs w:val="0"/>
          <w:color w:val="auto"/>
          <w:sz w:val="20"/>
          <w:szCs w:val="20"/>
        </w:rPr>
        <w:fldChar w:fldCharType="end"/>
      </w:r>
      <w:r w:rsidRPr="00FE6298">
        <w:rPr>
          <w:b/>
          <w:bCs/>
          <w:i w:val="0"/>
          <w:iCs w:val="0"/>
          <w:color w:val="auto"/>
          <w:sz w:val="20"/>
          <w:szCs w:val="20"/>
        </w:rPr>
        <w:t>.</w:t>
      </w:r>
      <w:r w:rsidR="00227D23" w:rsidRPr="00FE6298">
        <w:rPr>
          <w:i w:val="0"/>
          <w:iCs w:val="0"/>
          <w:noProof/>
          <w:color w:val="auto"/>
          <w:sz w:val="20"/>
          <w:szCs w:val="20"/>
        </w:rPr>
        <w:t xml:space="preserve"> Ensayos de inhibición antimicrobiana obtenidos mediante el método de difusión en pozo de los extractos de </w:t>
      </w:r>
      <w:r w:rsidR="006246FC">
        <w:rPr>
          <w:i w:val="0"/>
          <w:iCs w:val="0"/>
          <w:noProof/>
          <w:color w:val="auto"/>
          <w:sz w:val="20"/>
          <w:szCs w:val="20"/>
        </w:rPr>
        <w:t xml:space="preserve">los </w:t>
      </w:r>
      <w:r w:rsidR="006246FC" w:rsidRPr="006246FC">
        <w:rPr>
          <w:i w:val="0"/>
          <w:iCs w:val="0"/>
          <w:noProof/>
          <w:color w:val="auto"/>
          <w:sz w:val="20"/>
          <w:szCs w:val="20"/>
        </w:rPr>
        <w:t>cultivo</w:t>
      </w:r>
      <w:r w:rsidR="006246FC">
        <w:rPr>
          <w:i w:val="0"/>
          <w:iCs w:val="0"/>
          <w:noProof/>
          <w:color w:val="auto"/>
          <w:sz w:val="20"/>
          <w:szCs w:val="20"/>
        </w:rPr>
        <w:t>s</w:t>
      </w:r>
      <w:r w:rsidR="006246FC" w:rsidRPr="006246FC">
        <w:rPr>
          <w:i w:val="0"/>
          <w:iCs w:val="0"/>
          <w:noProof/>
          <w:color w:val="auto"/>
          <w:sz w:val="20"/>
          <w:szCs w:val="20"/>
        </w:rPr>
        <w:t xml:space="preserve"> líquido</w:t>
      </w:r>
      <w:r w:rsidR="006246FC">
        <w:rPr>
          <w:i w:val="0"/>
          <w:iCs w:val="0"/>
          <w:noProof/>
          <w:color w:val="auto"/>
          <w:sz w:val="20"/>
          <w:szCs w:val="20"/>
        </w:rPr>
        <w:t>s</w:t>
      </w:r>
      <w:r w:rsidR="00227D23" w:rsidRPr="00FE6298">
        <w:rPr>
          <w:i w:val="0"/>
          <w:iCs w:val="0"/>
          <w:noProof/>
          <w:color w:val="auto"/>
          <w:sz w:val="20"/>
          <w:szCs w:val="20"/>
        </w:rPr>
        <w:t xml:space="preserve"> de la cepa </w:t>
      </w:r>
      <w:r w:rsidR="00227D23" w:rsidRPr="00D505ED">
        <w:rPr>
          <w:noProof/>
          <w:color w:val="auto"/>
          <w:sz w:val="20"/>
          <w:szCs w:val="20"/>
        </w:rPr>
        <w:t>Penicillium sp</w:t>
      </w:r>
      <w:r w:rsidR="00D505ED">
        <w:rPr>
          <w:i w:val="0"/>
          <w:iCs w:val="0"/>
          <w:noProof/>
          <w:color w:val="auto"/>
          <w:sz w:val="20"/>
          <w:szCs w:val="20"/>
        </w:rPr>
        <w:t>.</w:t>
      </w:r>
      <w:r w:rsidR="00227D23" w:rsidRPr="00FE6298">
        <w:rPr>
          <w:i w:val="0"/>
          <w:iCs w:val="0"/>
          <w:noProof/>
          <w:color w:val="auto"/>
          <w:sz w:val="20"/>
          <w:szCs w:val="20"/>
        </w:rPr>
        <w:t xml:space="preserve"> y </w:t>
      </w:r>
      <w:r w:rsidR="00227D23" w:rsidRPr="00D505ED">
        <w:rPr>
          <w:noProof/>
          <w:color w:val="auto"/>
          <w:sz w:val="20"/>
          <w:szCs w:val="20"/>
        </w:rPr>
        <w:t>Aspergillus sp.</w:t>
      </w:r>
      <w:r w:rsidR="00227D23" w:rsidRPr="00FE6298">
        <w:rPr>
          <w:i w:val="0"/>
          <w:iCs w:val="0"/>
          <w:noProof/>
          <w:color w:val="auto"/>
          <w:sz w:val="20"/>
          <w:szCs w:val="20"/>
        </w:rPr>
        <w:t xml:space="preserve"> En la figura </w:t>
      </w:r>
      <w:r w:rsidR="00A25224" w:rsidRPr="00FE6298">
        <w:rPr>
          <w:i w:val="0"/>
          <w:iCs w:val="0"/>
          <w:noProof/>
          <w:color w:val="auto"/>
          <w:sz w:val="20"/>
          <w:szCs w:val="20"/>
        </w:rPr>
        <w:t>(</w:t>
      </w:r>
      <w:r w:rsidR="0005621A" w:rsidRPr="00FE6298">
        <w:rPr>
          <w:i w:val="0"/>
          <w:iCs w:val="0"/>
          <w:noProof/>
          <w:color w:val="auto"/>
          <w:sz w:val="20"/>
          <w:szCs w:val="20"/>
        </w:rPr>
        <w:t>A</w:t>
      </w:r>
      <w:r w:rsidR="00A25224" w:rsidRPr="00FE6298">
        <w:rPr>
          <w:i w:val="0"/>
          <w:iCs w:val="0"/>
          <w:noProof/>
          <w:color w:val="auto"/>
          <w:sz w:val="20"/>
          <w:szCs w:val="20"/>
        </w:rPr>
        <w:t>)</w:t>
      </w:r>
      <w:r w:rsidR="0005621A" w:rsidRPr="00FE6298">
        <w:rPr>
          <w:i w:val="0"/>
          <w:iCs w:val="0"/>
          <w:noProof/>
          <w:color w:val="auto"/>
          <w:sz w:val="20"/>
          <w:szCs w:val="20"/>
        </w:rPr>
        <w:t xml:space="preserve"> </w:t>
      </w:r>
      <w:r w:rsidR="00227D23" w:rsidRPr="00FE6298">
        <w:rPr>
          <w:i w:val="0"/>
          <w:iCs w:val="0"/>
          <w:noProof/>
          <w:color w:val="auto"/>
          <w:sz w:val="20"/>
          <w:szCs w:val="20"/>
        </w:rPr>
        <w:t>se muestran los halos de inhibición generados por los extractos concentrados d</w:t>
      </w:r>
      <w:r w:rsidR="006246FC">
        <w:rPr>
          <w:i w:val="0"/>
          <w:iCs w:val="0"/>
          <w:noProof/>
          <w:color w:val="auto"/>
          <w:sz w:val="20"/>
          <w:szCs w:val="20"/>
        </w:rPr>
        <w:t xml:space="preserve">el </w:t>
      </w:r>
      <w:r w:rsidR="00227D23" w:rsidRPr="00FE6298">
        <w:rPr>
          <w:i w:val="0"/>
          <w:iCs w:val="0"/>
          <w:noProof/>
          <w:color w:val="auto"/>
          <w:sz w:val="20"/>
          <w:szCs w:val="20"/>
        </w:rPr>
        <w:t xml:space="preserve">co-cultivo con </w:t>
      </w:r>
      <w:r w:rsidR="00227D23" w:rsidRPr="00D505ED">
        <w:rPr>
          <w:noProof/>
          <w:color w:val="auto"/>
          <w:sz w:val="20"/>
          <w:szCs w:val="20"/>
        </w:rPr>
        <w:t>S.aureus</w:t>
      </w:r>
      <w:r w:rsidR="00227D23" w:rsidRPr="00FE6298">
        <w:rPr>
          <w:i w:val="0"/>
          <w:iCs w:val="0"/>
          <w:noProof/>
          <w:color w:val="auto"/>
          <w:sz w:val="20"/>
          <w:szCs w:val="20"/>
        </w:rPr>
        <w:t xml:space="preserve">, en co-cultivo con </w:t>
      </w:r>
      <w:r w:rsidR="00227D23" w:rsidRPr="00D505ED">
        <w:rPr>
          <w:noProof/>
          <w:color w:val="auto"/>
          <w:sz w:val="20"/>
          <w:szCs w:val="20"/>
        </w:rPr>
        <w:t xml:space="preserve">E. hormaechei </w:t>
      </w:r>
      <w:r w:rsidR="00227D23" w:rsidRPr="00FE6298">
        <w:rPr>
          <w:i w:val="0"/>
          <w:iCs w:val="0"/>
          <w:noProof/>
          <w:color w:val="auto"/>
          <w:sz w:val="20"/>
          <w:szCs w:val="20"/>
        </w:rPr>
        <w:t xml:space="preserve">y en cultivo puro </w:t>
      </w:r>
      <w:r w:rsidR="00A25224" w:rsidRPr="00FE6298">
        <w:rPr>
          <w:i w:val="0"/>
          <w:iCs w:val="0"/>
          <w:noProof/>
          <w:color w:val="auto"/>
          <w:sz w:val="20"/>
          <w:szCs w:val="20"/>
        </w:rPr>
        <w:t xml:space="preserve">de la cepa identificada como </w:t>
      </w:r>
      <w:r w:rsidR="00A25224" w:rsidRPr="00D505ED">
        <w:rPr>
          <w:noProof/>
          <w:color w:val="auto"/>
          <w:sz w:val="20"/>
          <w:szCs w:val="20"/>
        </w:rPr>
        <w:t>Penicillium sp</w:t>
      </w:r>
      <w:r w:rsidR="00A25224" w:rsidRPr="00FE6298">
        <w:rPr>
          <w:i w:val="0"/>
          <w:iCs w:val="0"/>
          <w:noProof/>
          <w:color w:val="auto"/>
          <w:sz w:val="20"/>
          <w:szCs w:val="20"/>
        </w:rPr>
        <w:t xml:space="preserve">. </w:t>
      </w:r>
      <w:r w:rsidR="00227D23" w:rsidRPr="00FE6298">
        <w:rPr>
          <w:i w:val="0"/>
          <w:iCs w:val="0"/>
          <w:noProof/>
          <w:color w:val="auto"/>
          <w:sz w:val="20"/>
          <w:szCs w:val="20"/>
        </w:rPr>
        <w:t xml:space="preserve">contra </w:t>
      </w:r>
      <w:r w:rsidR="00A25224" w:rsidRPr="00D505ED">
        <w:rPr>
          <w:noProof/>
          <w:color w:val="auto"/>
          <w:sz w:val="20"/>
          <w:szCs w:val="20"/>
        </w:rPr>
        <w:t>S. aureus, C.albicans</w:t>
      </w:r>
      <w:r w:rsidR="00A25224" w:rsidRPr="00FE6298">
        <w:rPr>
          <w:i w:val="0"/>
          <w:iCs w:val="0"/>
          <w:noProof/>
          <w:color w:val="auto"/>
          <w:sz w:val="20"/>
          <w:szCs w:val="20"/>
        </w:rPr>
        <w:t xml:space="preserve">, </w:t>
      </w:r>
      <w:r w:rsidR="00A25224" w:rsidRPr="00D505ED">
        <w:rPr>
          <w:noProof/>
          <w:color w:val="auto"/>
          <w:sz w:val="20"/>
          <w:szCs w:val="20"/>
        </w:rPr>
        <w:t>A. fumigatus</w:t>
      </w:r>
      <w:r w:rsidR="002642BC" w:rsidRPr="00FE6298">
        <w:rPr>
          <w:i w:val="0"/>
          <w:iCs w:val="0"/>
          <w:noProof/>
          <w:color w:val="auto"/>
          <w:sz w:val="20"/>
          <w:szCs w:val="20"/>
        </w:rPr>
        <w:t xml:space="preserve"> y</w:t>
      </w:r>
      <w:r w:rsidR="00A25224" w:rsidRPr="00FE6298">
        <w:rPr>
          <w:i w:val="0"/>
          <w:iCs w:val="0"/>
          <w:noProof/>
          <w:color w:val="auto"/>
          <w:sz w:val="20"/>
          <w:szCs w:val="20"/>
        </w:rPr>
        <w:t xml:space="preserve"> </w:t>
      </w:r>
      <w:r w:rsidR="00A25224" w:rsidRPr="00D505ED">
        <w:rPr>
          <w:noProof/>
          <w:color w:val="auto"/>
          <w:sz w:val="20"/>
          <w:szCs w:val="20"/>
        </w:rPr>
        <w:t>A. niger</w:t>
      </w:r>
      <w:r w:rsidR="00227D23" w:rsidRPr="00D505ED">
        <w:rPr>
          <w:noProof/>
          <w:color w:val="auto"/>
          <w:sz w:val="20"/>
          <w:szCs w:val="20"/>
        </w:rPr>
        <w:t>.</w:t>
      </w:r>
      <w:r w:rsidR="00A25224" w:rsidRPr="00FE6298">
        <w:rPr>
          <w:i w:val="0"/>
          <w:iCs w:val="0"/>
          <w:noProof/>
          <w:color w:val="auto"/>
          <w:sz w:val="20"/>
          <w:szCs w:val="20"/>
        </w:rPr>
        <w:t xml:space="preserve"> (B)</w:t>
      </w:r>
      <w:r w:rsidR="00227D23" w:rsidRPr="00FE6298">
        <w:rPr>
          <w:i w:val="0"/>
          <w:iCs w:val="0"/>
          <w:noProof/>
          <w:color w:val="auto"/>
          <w:sz w:val="20"/>
          <w:szCs w:val="20"/>
        </w:rPr>
        <w:t xml:space="preserve"> </w:t>
      </w:r>
      <w:r w:rsidR="00A25224" w:rsidRPr="00FE6298">
        <w:rPr>
          <w:i w:val="0"/>
          <w:iCs w:val="0"/>
          <w:noProof/>
          <w:color w:val="auto"/>
          <w:sz w:val="20"/>
          <w:szCs w:val="20"/>
        </w:rPr>
        <w:t xml:space="preserve">Halos de inhibición generados por los extractos concentrados </w:t>
      </w:r>
      <w:r w:rsidR="006246FC">
        <w:rPr>
          <w:i w:val="0"/>
          <w:iCs w:val="0"/>
          <w:noProof/>
          <w:color w:val="auto"/>
          <w:sz w:val="20"/>
          <w:szCs w:val="20"/>
        </w:rPr>
        <w:t>del</w:t>
      </w:r>
      <w:r w:rsidR="00A25224" w:rsidRPr="00FE6298">
        <w:rPr>
          <w:i w:val="0"/>
          <w:iCs w:val="0"/>
          <w:noProof/>
          <w:color w:val="auto"/>
          <w:sz w:val="20"/>
          <w:szCs w:val="20"/>
        </w:rPr>
        <w:t xml:space="preserve"> co-cultivo con </w:t>
      </w:r>
      <w:r w:rsidR="00A25224" w:rsidRPr="00D505ED">
        <w:rPr>
          <w:noProof/>
          <w:color w:val="auto"/>
          <w:sz w:val="20"/>
          <w:szCs w:val="20"/>
        </w:rPr>
        <w:t>S.aureus</w:t>
      </w:r>
      <w:r w:rsidR="00A25224" w:rsidRPr="00FE6298">
        <w:rPr>
          <w:i w:val="0"/>
          <w:iCs w:val="0"/>
          <w:noProof/>
          <w:color w:val="auto"/>
          <w:sz w:val="20"/>
          <w:szCs w:val="20"/>
        </w:rPr>
        <w:t xml:space="preserve">, en co-cultivo con </w:t>
      </w:r>
      <w:r w:rsidR="00A25224" w:rsidRPr="00D505ED">
        <w:rPr>
          <w:noProof/>
          <w:color w:val="auto"/>
          <w:sz w:val="20"/>
          <w:szCs w:val="20"/>
        </w:rPr>
        <w:t>E. hormaechei</w:t>
      </w:r>
      <w:r w:rsidR="00A25224" w:rsidRPr="00FE6298">
        <w:rPr>
          <w:i w:val="0"/>
          <w:iCs w:val="0"/>
          <w:noProof/>
          <w:color w:val="auto"/>
          <w:sz w:val="20"/>
          <w:szCs w:val="20"/>
        </w:rPr>
        <w:t xml:space="preserve"> y en cultivo puro de la cepa identificada como </w:t>
      </w:r>
      <w:r w:rsidR="00A25224" w:rsidRPr="00D505ED">
        <w:rPr>
          <w:noProof/>
          <w:color w:val="auto"/>
          <w:sz w:val="20"/>
          <w:szCs w:val="20"/>
        </w:rPr>
        <w:t>Aspergillus sp.</w:t>
      </w:r>
      <w:r w:rsidR="00A25224" w:rsidRPr="00FE6298">
        <w:rPr>
          <w:i w:val="0"/>
          <w:iCs w:val="0"/>
          <w:noProof/>
          <w:color w:val="auto"/>
          <w:sz w:val="20"/>
          <w:szCs w:val="20"/>
        </w:rPr>
        <w:t xml:space="preserve"> contra </w:t>
      </w:r>
      <w:r w:rsidR="00A25224" w:rsidRPr="00D505ED">
        <w:rPr>
          <w:noProof/>
          <w:color w:val="auto"/>
          <w:sz w:val="20"/>
          <w:szCs w:val="20"/>
        </w:rPr>
        <w:t xml:space="preserve">S. aureus y C.albicans. </w:t>
      </w:r>
      <w:r w:rsidR="00227D23" w:rsidRPr="00FE6298">
        <w:rPr>
          <w:i w:val="0"/>
          <w:iCs w:val="0"/>
          <w:noProof/>
          <w:color w:val="auto"/>
          <w:sz w:val="20"/>
          <w:szCs w:val="20"/>
        </w:rPr>
        <w:t>Además se observan los halos obtenidos de cada uno de los controles positivos y negativos.</w:t>
      </w:r>
      <w:bookmarkEnd w:id="162"/>
      <w:bookmarkEnd w:id="163"/>
    </w:p>
    <w:p w14:paraId="40ED53B2" w14:textId="3FF0264F" w:rsidR="00AF4B2A" w:rsidRDefault="00AF4B2A">
      <w:pPr>
        <w:spacing w:line="259" w:lineRule="auto"/>
        <w:jc w:val="left"/>
      </w:pPr>
    </w:p>
    <w:sectPr w:rsidR="00AF4B2A" w:rsidSect="00157273">
      <w:pgSz w:w="12240" w:h="15840"/>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E125F" w14:textId="77777777" w:rsidR="00FC5F79" w:rsidRDefault="00FC5F79" w:rsidP="00F40FCA">
      <w:pPr>
        <w:spacing w:after="0" w:line="240" w:lineRule="auto"/>
      </w:pPr>
      <w:r>
        <w:separator/>
      </w:r>
    </w:p>
  </w:endnote>
  <w:endnote w:type="continuationSeparator" w:id="0">
    <w:p w14:paraId="0DE6D2E6" w14:textId="77777777" w:rsidR="00FC5F79" w:rsidRDefault="00FC5F79" w:rsidP="00F40FCA">
      <w:pPr>
        <w:spacing w:after="0" w:line="240" w:lineRule="auto"/>
      </w:pPr>
      <w:r>
        <w:continuationSeparator/>
      </w:r>
    </w:p>
  </w:endnote>
  <w:endnote w:type="continuationNotice" w:id="1">
    <w:p w14:paraId="7B64B642" w14:textId="77777777" w:rsidR="00FC5F79" w:rsidRDefault="00FC5F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ristina">
    <w:panose1 w:val="03060402040406080204"/>
    <w:charset w:val="00"/>
    <w:family w:val="script"/>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425C7" w14:textId="77777777" w:rsidR="0000224F" w:rsidRDefault="0000224F" w:rsidP="00F52B8E">
    <w:pPr>
      <w:pStyle w:val="Piedepgina"/>
      <w:tabs>
        <w:tab w:val="clear" w:pos="4680"/>
        <w:tab w:val="clear" w:pos="9360"/>
        <w:tab w:val="left" w:pos="520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6321198"/>
      <w:docPartObj>
        <w:docPartGallery w:val="Page Numbers (Bottom of Page)"/>
        <w:docPartUnique/>
      </w:docPartObj>
    </w:sdtPr>
    <w:sdtEndPr/>
    <w:sdtContent>
      <w:p w14:paraId="07F4D253" w14:textId="77777777" w:rsidR="0000224F" w:rsidRDefault="0000224F">
        <w:pPr>
          <w:pStyle w:val="Piedepgina"/>
          <w:jc w:val="right"/>
        </w:pPr>
        <w:r>
          <w:fldChar w:fldCharType="begin"/>
        </w:r>
        <w:r>
          <w:instrText>PAGE   \* MERGEFORMAT</w:instrText>
        </w:r>
        <w:r>
          <w:fldChar w:fldCharType="separate"/>
        </w:r>
        <w:r>
          <w:rPr>
            <w:lang w:val="es-ES"/>
          </w:rPr>
          <w:t>2</w:t>
        </w:r>
        <w:r>
          <w:fldChar w:fldCharType="end"/>
        </w:r>
      </w:p>
    </w:sdtContent>
  </w:sdt>
  <w:p w14:paraId="56356D07" w14:textId="77777777" w:rsidR="0000224F" w:rsidRDefault="0000224F" w:rsidP="00F52B8E">
    <w:pPr>
      <w:pStyle w:val="Piedepgina"/>
      <w:tabs>
        <w:tab w:val="clear" w:pos="4680"/>
        <w:tab w:val="clear" w:pos="9360"/>
        <w:tab w:val="left" w:pos="520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4563744"/>
      <w:docPartObj>
        <w:docPartGallery w:val="Page Numbers (Bottom of Page)"/>
        <w:docPartUnique/>
      </w:docPartObj>
    </w:sdtPr>
    <w:sdtEndPr/>
    <w:sdtContent>
      <w:p w14:paraId="13CCF7C9" w14:textId="77777777" w:rsidR="00E47DC4" w:rsidRDefault="00E47DC4">
        <w:pPr>
          <w:pStyle w:val="Piedepgina"/>
          <w:jc w:val="right"/>
        </w:pPr>
        <w:r>
          <w:fldChar w:fldCharType="begin"/>
        </w:r>
        <w:r>
          <w:instrText>PAGE   \* MERGEFORMAT</w:instrText>
        </w:r>
        <w:r>
          <w:fldChar w:fldCharType="separate"/>
        </w:r>
        <w:r>
          <w:rPr>
            <w:lang w:val="es-ES"/>
          </w:rPr>
          <w:t>2</w:t>
        </w:r>
        <w:r>
          <w:fldChar w:fldCharType="end"/>
        </w:r>
      </w:p>
    </w:sdtContent>
  </w:sdt>
  <w:p w14:paraId="394A8AF3" w14:textId="77777777" w:rsidR="00E47DC4" w:rsidRDefault="00E47DC4" w:rsidP="00F52B8E">
    <w:pPr>
      <w:pStyle w:val="Piedepgina"/>
      <w:tabs>
        <w:tab w:val="clear" w:pos="4680"/>
        <w:tab w:val="clear" w:pos="9360"/>
        <w:tab w:val="left" w:pos="520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6EF35" w14:textId="77777777" w:rsidR="00FC5F79" w:rsidRDefault="00FC5F79" w:rsidP="00F40FCA">
      <w:pPr>
        <w:spacing w:after="0" w:line="240" w:lineRule="auto"/>
      </w:pPr>
      <w:r>
        <w:separator/>
      </w:r>
    </w:p>
  </w:footnote>
  <w:footnote w:type="continuationSeparator" w:id="0">
    <w:p w14:paraId="7433F6D6" w14:textId="77777777" w:rsidR="00FC5F79" w:rsidRDefault="00FC5F79" w:rsidP="00F40FCA">
      <w:pPr>
        <w:spacing w:after="0" w:line="240" w:lineRule="auto"/>
      </w:pPr>
      <w:r>
        <w:continuationSeparator/>
      </w:r>
    </w:p>
  </w:footnote>
  <w:footnote w:type="continuationNotice" w:id="1">
    <w:p w14:paraId="4F917C73" w14:textId="77777777" w:rsidR="00FC5F79" w:rsidRDefault="00FC5F7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09B8"/>
    <w:multiLevelType w:val="multilevel"/>
    <w:tmpl w:val="E23E165E"/>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25D4D76"/>
    <w:multiLevelType w:val="hybridMultilevel"/>
    <w:tmpl w:val="D48208B4"/>
    <w:lvl w:ilvl="0" w:tplc="2906161A">
      <w:start w:val="1"/>
      <w:numFmt w:val="bullet"/>
      <w:lvlText w:val="–"/>
      <w:lvlJc w:val="left"/>
      <w:pPr>
        <w:ind w:left="4754" w:hanging="360"/>
      </w:pPr>
      <w:rPr>
        <w:rFonts w:ascii="Pristina" w:hAnsi="Pristina" w:hint="default"/>
        <w:sz w:val="20"/>
      </w:rPr>
    </w:lvl>
    <w:lvl w:ilvl="1" w:tplc="140A0003">
      <w:start w:val="1"/>
      <w:numFmt w:val="bullet"/>
      <w:lvlText w:val="o"/>
      <w:lvlJc w:val="left"/>
      <w:pPr>
        <w:ind w:left="5474" w:hanging="360"/>
      </w:pPr>
      <w:rPr>
        <w:rFonts w:ascii="Courier New" w:hAnsi="Courier New" w:cs="Courier New" w:hint="default"/>
      </w:rPr>
    </w:lvl>
    <w:lvl w:ilvl="2" w:tplc="140A0005">
      <w:start w:val="1"/>
      <w:numFmt w:val="bullet"/>
      <w:lvlText w:val=""/>
      <w:lvlJc w:val="left"/>
      <w:pPr>
        <w:ind w:left="6194" w:hanging="360"/>
      </w:pPr>
      <w:rPr>
        <w:rFonts w:ascii="Wingdings" w:hAnsi="Wingdings" w:hint="default"/>
      </w:rPr>
    </w:lvl>
    <w:lvl w:ilvl="3" w:tplc="140A0001" w:tentative="1">
      <w:start w:val="1"/>
      <w:numFmt w:val="bullet"/>
      <w:lvlText w:val=""/>
      <w:lvlJc w:val="left"/>
      <w:pPr>
        <w:ind w:left="6914" w:hanging="360"/>
      </w:pPr>
      <w:rPr>
        <w:rFonts w:ascii="Symbol" w:hAnsi="Symbol" w:hint="default"/>
      </w:rPr>
    </w:lvl>
    <w:lvl w:ilvl="4" w:tplc="140A0003" w:tentative="1">
      <w:start w:val="1"/>
      <w:numFmt w:val="bullet"/>
      <w:lvlText w:val="o"/>
      <w:lvlJc w:val="left"/>
      <w:pPr>
        <w:ind w:left="7634" w:hanging="360"/>
      </w:pPr>
      <w:rPr>
        <w:rFonts w:ascii="Courier New" w:hAnsi="Courier New" w:cs="Courier New" w:hint="default"/>
      </w:rPr>
    </w:lvl>
    <w:lvl w:ilvl="5" w:tplc="140A0005" w:tentative="1">
      <w:start w:val="1"/>
      <w:numFmt w:val="bullet"/>
      <w:lvlText w:val=""/>
      <w:lvlJc w:val="left"/>
      <w:pPr>
        <w:ind w:left="8354" w:hanging="360"/>
      </w:pPr>
      <w:rPr>
        <w:rFonts w:ascii="Wingdings" w:hAnsi="Wingdings" w:hint="default"/>
      </w:rPr>
    </w:lvl>
    <w:lvl w:ilvl="6" w:tplc="140A0001" w:tentative="1">
      <w:start w:val="1"/>
      <w:numFmt w:val="bullet"/>
      <w:lvlText w:val=""/>
      <w:lvlJc w:val="left"/>
      <w:pPr>
        <w:ind w:left="9074" w:hanging="360"/>
      </w:pPr>
      <w:rPr>
        <w:rFonts w:ascii="Symbol" w:hAnsi="Symbol" w:hint="default"/>
      </w:rPr>
    </w:lvl>
    <w:lvl w:ilvl="7" w:tplc="140A0003" w:tentative="1">
      <w:start w:val="1"/>
      <w:numFmt w:val="bullet"/>
      <w:lvlText w:val="o"/>
      <w:lvlJc w:val="left"/>
      <w:pPr>
        <w:ind w:left="9794" w:hanging="360"/>
      </w:pPr>
      <w:rPr>
        <w:rFonts w:ascii="Courier New" w:hAnsi="Courier New" w:cs="Courier New" w:hint="default"/>
      </w:rPr>
    </w:lvl>
    <w:lvl w:ilvl="8" w:tplc="140A0005" w:tentative="1">
      <w:start w:val="1"/>
      <w:numFmt w:val="bullet"/>
      <w:lvlText w:val=""/>
      <w:lvlJc w:val="left"/>
      <w:pPr>
        <w:ind w:left="10514" w:hanging="360"/>
      </w:pPr>
      <w:rPr>
        <w:rFonts w:ascii="Wingdings" w:hAnsi="Wingdings" w:hint="default"/>
      </w:rPr>
    </w:lvl>
  </w:abstractNum>
  <w:abstractNum w:abstractNumId="2" w15:restartNumberingAfterBreak="0">
    <w:nsid w:val="02F23133"/>
    <w:multiLevelType w:val="hybridMultilevel"/>
    <w:tmpl w:val="96E8DACA"/>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8FF5FB8"/>
    <w:multiLevelType w:val="hybridMultilevel"/>
    <w:tmpl w:val="FA18F552"/>
    <w:lvl w:ilvl="0" w:tplc="140A000F">
      <w:start w:val="6"/>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EA86722"/>
    <w:multiLevelType w:val="hybridMultilevel"/>
    <w:tmpl w:val="6C346ED0"/>
    <w:lvl w:ilvl="0" w:tplc="3C02711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F1B324C"/>
    <w:multiLevelType w:val="hybridMultilevel"/>
    <w:tmpl w:val="909E9F90"/>
    <w:lvl w:ilvl="0" w:tplc="FFFFFFFF">
      <w:start w:val="7"/>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6" w15:restartNumberingAfterBreak="0">
    <w:nsid w:val="101A71BD"/>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0845CE7"/>
    <w:multiLevelType w:val="hybridMultilevel"/>
    <w:tmpl w:val="B3D8EE64"/>
    <w:lvl w:ilvl="0" w:tplc="C1EE5266">
      <w:start w:val="1"/>
      <w:numFmt w:val="bullet"/>
      <w:lvlText w:val=""/>
      <w:lvlJc w:val="left"/>
      <w:pPr>
        <w:ind w:left="1425" w:hanging="360"/>
      </w:pPr>
      <w:rPr>
        <w:rFonts w:ascii="Symbol" w:hAnsi="Symbol" w:hint="default"/>
      </w:rPr>
    </w:lvl>
    <w:lvl w:ilvl="1" w:tplc="140A0003" w:tentative="1">
      <w:start w:val="1"/>
      <w:numFmt w:val="bullet"/>
      <w:lvlText w:val="o"/>
      <w:lvlJc w:val="left"/>
      <w:pPr>
        <w:ind w:left="2145" w:hanging="360"/>
      </w:pPr>
      <w:rPr>
        <w:rFonts w:ascii="Courier New" w:hAnsi="Courier New" w:cs="Courier New" w:hint="default"/>
      </w:rPr>
    </w:lvl>
    <w:lvl w:ilvl="2" w:tplc="140A0005" w:tentative="1">
      <w:start w:val="1"/>
      <w:numFmt w:val="bullet"/>
      <w:lvlText w:val=""/>
      <w:lvlJc w:val="left"/>
      <w:pPr>
        <w:ind w:left="2865" w:hanging="360"/>
      </w:pPr>
      <w:rPr>
        <w:rFonts w:ascii="Wingdings" w:hAnsi="Wingdings" w:hint="default"/>
      </w:rPr>
    </w:lvl>
    <w:lvl w:ilvl="3" w:tplc="140A0001" w:tentative="1">
      <w:start w:val="1"/>
      <w:numFmt w:val="bullet"/>
      <w:lvlText w:val=""/>
      <w:lvlJc w:val="left"/>
      <w:pPr>
        <w:ind w:left="3585" w:hanging="360"/>
      </w:pPr>
      <w:rPr>
        <w:rFonts w:ascii="Symbol" w:hAnsi="Symbol" w:hint="default"/>
      </w:rPr>
    </w:lvl>
    <w:lvl w:ilvl="4" w:tplc="140A0003" w:tentative="1">
      <w:start w:val="1"/>
      <w:numFmt w:val="bullet"/>
      <w:lvlText w:val="o"/>
      <w:lvlJc w:val="left"/>
      <w:pPr>
        <w:ind w:left="4305" w:hanging="360"/>
      </w:pPr>
      <w:rPr>
        <w:rFonts w:ascii="Courier New" w:hAnsi="Courier New" w:cs="Courier New" w:hint="default"/>
      </w:rPr>
    </w:lvl>
    <w:lvl w:ilvl="5" w:tplc="140A0005" w:tentative="1">
      <w:start w:val="1"/>
      <w:numFmt w:val="bullet"/>
      <w:lvlText w:val=""/>
      <w:lvlJc w:val="left"/>
      <w:pPr>
        <w:ind w:left="5025" w:hanging="360"/>
      </w:pPr>
      <w:rPr>
        <w:rFonts w:ascii="Wingdings" w:hAnsi="Wingdings" w:hint="default"/>
      </w:rPr>
    </w:lvl>
    <w:lvl w:ilvl="6" w:tplc="140A0001" w:tentative="1">
      <w:start w:val="1"/>
      <w:numFmt w:val="bullet"/>
      <w:lvlText w:val=""/>
      <w:lvlJc w:val="left"/>
      <w:pPr>
        <w:ind w:left="5745" w:hanging="360"/>
      </w:pPr>
      <w:rPr>
        <w:rFonts w:ascii="Symbol" w:hAnsi="Symbol" w:hint="default"/>
      </w:rPr>
    </w:lvl>
    <w:lvl w:ilvl="7" w:tplc="140A0003" w:tentative="1">
      <w:start w:val="1"/>
      <w:numFmt w:val="bullet"/>
      <w:lvlText w:val="o"/>
      <w:lvlJc w:val="left"/>
      <w:pPr>
        <w:ind w:left="6465" w:hanging="360"/>
      </w:pPr>
      <w:rPr>
        <w:rFonts w:ascii="Courier New" w:hAnsi="Courier New" w:cs="Courier New" w:hint="default"/>
      </w:rPr>
    </w:lvl>
    <w:lvl w:ilvl="8" w:tplc="140A0005" w:tentative="1">
      <w:start w:val="1"/>
      <w:numFmt w:val="bullet"/>
      <w:lvlText w:val=""/>
      <w:lvlJc w:val="left"/>
      <w:pPr>
        <w:ind w:left="7185" w:hanging="360"/>
      </w:pPr>
      <w:rPr>
        <w:rFonts w:ascii="Wingdings" w:hAnsi="Wingdings" w:hint="default"/>
      </w:rPr>
    </w:lvl>
  </w:abstractNum>
  <w:abstractNum w:abstractNumId="8" w15:restartNumberingAfterBreak="0">
    <w:nsid w:val="12D82DD6"/>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140998"/>
    <w:multiLevelType w:val="multilevel"/>
    <w:tmpl w:val="8B2EC8F4"/>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3FC5A26"/>
    <w:multiLevelType w:val="hybridMultilevel"/>
    <w:tmpl w:val="3B32716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1AADB7E8"/>
    <w:multiLevelType w:val="hybridMultilevel"/>
    <w:tmpl w:val="D1289A20"/>
    <w:lvl w:ilvl="0" w:tplc="684EF86E">
      <w:start w:val="1"/>
      <w:numFmt w:val="bullet"/>
      <w:lvlText w:val=""/>
      <w:lvlJc w:val="left"/>
      <w:pPr>
        <w:ind w:left="720" w:hanging="360"/>
      </w:pPr>
      <w:rPr>
        <w:rFonts w:ascii="Symbol" w:hAnsi="Symbol" w:hint="default"/>
      </w:rPr>
    </w:lvl>
    <w:lvl w:ilvl="1" w:tplc="2B96641A">
      <w:start w:val="1"/>
      <w:numFmt w:val="bullet"/>
      <w:lvlText w:val="o"/>
      <w:lvlJc w:val="left"/>
      <w:pPr>
        <w:ind w:left="1440" w:hanging="360"/>
      </w:pPr>
      <w:rPr>
        <w:rFonts w:ascii="Courier New" w:hAnsi="Courier New" w:hint="default"/>
      </w:rPr>
    </w:lvl>
    <w:lvl w:ilvl="2" w:tplc="B6A8BC9E">
      <w:start w:val="1"/>
      <w:numFmt w:val="bullet"/>
      <w:lvlText w:val=""/>
      <w:lvlJc w:val="left"/>
      <w:pPr>
        <w:ind w:left="2160" w:hanging="360"/>
      </w:pPr>
      <w:rPr>
        <w:rFonts w:ascii="Wingdings" w:hAnsi="Wingdings" w:hint="default"/>
      </w:rPr>
    </w:lvl>
    <w:lvl w:ilvl="3" w:tplc="9A285F08">
      <w:start w:val="1"/>
      <w:numFmt w:val="bullet"/>
      <w:lvlText w:val=""/>
      <w:lvlJc w:val="left"/>
      <w:pPr>
        <w:ind w:left="2880" w:hanging="360"/>
      </w:pPr>
      <w:rPr>
        <w:rFonts w:ascii="Symbol" w:hAnsi="Symbol" w:hint="default"/>
      </w:rPr>
    </w:lvl>
    <w:lvl w:ilvl="4" w:tplc="336E894C">
      <w:start w:val="1"/>
      <w:numFmt w:val="bullet"/>
      <w:lvlText w:val="o"/>
      <w:lvlJc w:val="left"/>
      <w:pPr>
        <w:ind w:left="3600" w:hanging="360"/>
      </w:pPr>
      <w:rPr>
        <w:rFonts w:ascii="Courier New" w:hAnsi="Courier New" w:hint="default"/>
      </w:rPr>
    </w:lvl>
    <w:lvl w:ilvl="5" w:tplc="C8DC22FA">
      <w:start w:val="1"/>
      <w:numFmt w:val="bullet"/>
      <w:lvlText w:val=""/>
      <w:lvlJc w:val="left"/>
      <w:pPr>
        <w:ind w:left="4320" w:hanging="360"/>
      </w:pPr>
      <w:rPr>
        <w:rFonts w:ascii="Wingdings" w:hAnsi="Wingdings" w:hint="default"/>
      </w:rPr>
    </w:lvl>
    <w:lvl w:ilvl="6" w:tplc="13120BEA">
      <w:start w:val="1"/>
      <w:numFmt w:val="bullet"/>
      <w:lvlText w:val=""/>
      <w:lvlJc w:val="left"/>
      <w:pPr>
        <w:ind w:left="5040" w:hanging="360"/>
      </w:pPr>
      <w:rPr>
        <w:rFonts w:ascii="Symbol" w:hAnsi="Symbol" w:hint="default"/>
      </w:rPr>
    </w:lvl>
    <w:lvl w:ilvl="7" w:tplc="69568C52">
      <w:start w:val="1"/>
      <w:numFmt w:val="bullet"/>
      <w:lvlText w:val="o"/>
      <w:lvlJc w:val="left"/>
      <w:pPr>
        <w:ind w:left="5760" w:hanging="360"/>
      </w:pPr>
      <w:rPr>
        <w:rFonts w:ascii="Courier New" w:hAnsi="Courier New" w:hint="default"/>
      </w:rPr>
    </w:lvl>
    <w:lvl w:ilvl="8" w:tplc="B98A808E">
      <w:start w:val="1"/>
      <w:numFmt w:val="bullet"/>
      <w:lvlText w:val=""/>
      <w:lvlJc w:val="left"/>
      <w:pPr>
        <w:ind w:left="6480" w:hanging="360"/>
      </w:pPr>
      <w:rPr>
        <w:rFonts w:ascii="Wingdings" w:hAnsi="Wingdings" w:hint="default"/>
      </w:rPr>
    </w:lvl>
  </w:abstractNum>
  <w:abstractNum w:abstractNumId="12" w15:restartNumberingAfterBreak="0">
    <w:nsid w:val="24B9046B"/>
    <w:multiLevelType w:val="multilevel"/>
    <w:tmpl w:val="33CEEE4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733784F"/>
    <w:multiLevelType w:val="hybridMultilevel"/>
    <w:tmpl w:val="11D80B7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C19636E"/>
    <w:multiLevelType w:val="multilevel"/>
    <w:tmpl w:val="E23E165E"/>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345A2911"/>
    <w:multiLevelType w:val="hybridMultilevel"/>
    <w:tmpl w:val="609009C6"/>
    <w:lvl w:ilvl="0" w:tplc="EF5E6F68">
      <w:start w:val="1"/>
      <w:numFmt w:val="decimal"/>
      <w:lvlText w:val="%1."/>
      <w:lvlJc w:val="left"/>
      <w:pPr>
        <w:ind w:left="1788" w:hanging="360"/>
      </w:pPr>
      <w:rPr>
        <w:rFonts w:hint="default"/>
      </w:r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16" w15:restartNumberingAfterBreak="0">
    <w:nsid w:val="35AF423A"/>
    <w:multiLevelType w:val="hybridMultilevel"/>
    <w:tmpl w:val="E9F26912"/>
    <w:lvl w:ilvl="0" w:tplc="140A000F">
      <w:start w:val="1"/>
      <w:numFmt w:val="decimal"/>
      <w:lvlText w:val="%1."/>
      <w:lvlJc w:val="left"/>
      <w:pPr>
        <w:ind w:left="1428" w:hanging="360"/>
      </w:pPr>
      <w:rPr>
        <w:rFonts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7" w15:restartNumberingAfterBreak="0">
    <w:nsid w:val="37951CCE"/>
    <w:multiLevelType w:val="hybridMultilevel"/>
    <w:tmpl w:val="83886E80"/>
    <w:lvl w:ilvl="0" w:tplc="140A000F">
      <w:start w:val="1"/>
      <w:numFmt w:val="decimal"/>
      <w:lvlText w:val="%1."/>
      <w:lvlJc w:val="left"/>
      <w:pPr>
        <w:ind w:left="1428" w:hanging="360"/>
      </w:pPr>
      <w:rPr>
        <w:rFonts w:hint="default"/>
      </w:rPr>
    </w:lvl>
    <w:lvl w:ilvl="1" w:tplc="140A0003">
      <w:start w:val="1"/>
      <w:numFmt w:val="bullet"/>
      <w:lvlText w:val="o"/>
      <w:lvlJc w:val="left"/>
      <w:pPr>
        <w:ind w:left="2148" w:hanging="360"/>
      </w:pPr>
      <w:rPr>
        <w:rFonts w:ascii="Courier New" w:hAnsi="Courier New" w:cs="Courier New" w:hint="default"/>
      </w:rPr>
    </w:lvl>
    <w:lvl w:ilvl="2" w:tplc="140A0005">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8" w15:restartNumberingAfterBreak="0">
    <w:nsid w:val="396D49AD"/>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A4F1E87"/>
    <w:multiLevelType w:val="multilevel"/>
    <w:tmpl w:val="3346921E"/>
    <w:lvl w:ilvl="0">
      <w:start w:val="5"/>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FC47299"/>
    <w:multiLevelType w:val="hybridMultilevel"/>
    <w:tmpl w:val="39AA81B0"/>
    <w:lvl w:ilvl="0" w:tplc="C1EE5266">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1" w15:restartNumberingAfterBreak="0">
    <w:nsid w:val="414528A8"/>
    <w:multiLevelType w:val="hybridMultilevel"/>
    <w:tmpl w:val="CA2A2EF8"/>
    <w:lvl w:ilvl="0" w:tplc="EF5E6F68">
      <w:start w:val="1"/>
      <w:numFmt w:val="decimal"/>
      <w:lvlText w:val="%1."/>
      <w:lvlJc w:val="left"/>
      <w:pPr>
        <w:ind w:left="360" w:hanging="360"/>
      </w:pPr>
      <w:rPr>
        <w:rFonts w:hint="default"/>
      </w:rPr>
    </w:lvl>
    <w:lvl w:ilvl="1" w:tplc="140A0019" w:tentative="1">
      <w:start w:val="1"/>
      <w:numFmt w:val="lowerLetter"/>
      <w:lvlText w:val="%2."/>
      <w:lvlJc w:val="left"/>
      <w:pPr>
        <w:ind w:left="720" w:hanging="360"/>
      </w:pPr>
    </w:lvl>
    <w:lvl w:ilvl="2" w:tplc="140A001B" w:tentative="1">
      <w:start w:val="1"/>
      <w:numFmt w:val="lowerRoman"/>
      <w:lvlText w:val="%3."/>
      <w:lvlJc w:val="right"/>
      <w:pPr>
        <w:ind w:left="1440" w:hanging="180"/>
      </w:pPr>
    </w:lvl>
    <w:lvl w:ilvl="3" w:tplc="140A000F" w:tentative="1">
      <w:start w:val="1"/>
      <w:numFmt w:val="decimal"/>
      <w:lvlText w:val="%4."/>
      <w:lvlJc w:val="left"/>
      <w:pPr>
        <w:ind w:left="2160" w:hanging="360"/>
      </w:pPr>
    </w:lvl>
    <w:lvl w:ilvl="4" w:tplc="140A0019" w:tentative="1">
      <w:start w:val="1"/>
      <w:numFmt w:val="lowerLetter"/>
      <w:lvlText w:val="%5."/>
      <w:lvlJc w:val="left"/>
      <w:pPr>
        <w:ind w:left="2880" w:hanging="360"/>
      </w:pPr>
    </w:lvl>
    <w:lvl w:ilvl="5" w:tplc="140A001B" w:tentative="1">
      <w:start w:val="1"/>
      <w:numFmt w:val="lowerRoman"/>
      <w:lvlText w:val="%6."/>
      <w:lvlJc w:val="right"/>
      <w:pPr>
        <w:ind w:left="3600" w:hanging="180"/>
      </w:pPr>
    </w:lvl>
    <w:lvl w:ilvl="6" w:tplc="140A000F" w:tentative="1">
      <w:start w:val="1"/>
      <w:numFmt w:val="decimal"/>
      <w:lvlText w:val="%7."/>
      <w:lvlJc w:val="left"/>
      <w:pPr>
        <w:ind w:left="4320" w:hanging="360"/>
      </w:pPr>
    </w:lvl>
    <w:lvl w:ilvl="7" w:tplc="140A0019" w:tentative="1">
      <w:start w:val="1"/>
      <w:numFmt w:val="lowerLetter"/>
      <w:lvlText w:val="%8."/>
      <w:lvlJc w:val="left"/>
      <w:pPr>
        <w:ind w:left="5040" w:hanging="360"/>
      </w:pPr>
    </w:lvl>
    <w:lvl w:ilvl="8" w:tplc="140A001B" w:tentative="1">
      <w:start w:val="1"/>
      <w:numFmt w:val="lowerRoman"/>
      <w:lvlText w:val="%9."/>
      <w:lvlJc w:val="right"/>
      <w:pPr>
        <w:ind w:left="5760" w:hanging="180"/>
      </w:pPr>
    </w:lvl>
  </w:abstractNum>
  <w:abstractNum w:abstractNumId="22" w15:restartNumberingAfterBreak="0">
    <w:nsid w:val="430429D0"/>
    <w:multiLevelType w:val="hybridMultilevel"/>
    <w:tmpl w:val="99FE4D8A"/>
    <w:lvl w:ilvl="0" w:tplc="140A0001">
      <w:start w:val="1"/>
      <w:numFmt w:val="bullet"/>
      <w:lvlText w:val=""/>
      <w:lvlJc w:val="left"/>
      <w:pPr>
        <w:ind w:left="1425" w:hanging="360"/>
      </w:pPr>
      <w:rPr>
        <w:rFonts w:ascii="Symbol" w:hAnsi="Symbol" w:hint="default"/>
      </w:rPr>
    </w:lvl>
    <w:lvl w:ilvl="1" w:tplc="140A0003" w:tentative="1">
      <w:start w:val="1"/>
      <w:numFmt w:val="bullet"/>
      <w:lvlText w:val="o"/>
      <w:lvlJc w:val="left"/>
      <w:pPr>
        <w:ind w:left="2145" w:hanging="360"/>
      </w:pPr>
      <w:rPr>
        <w:rFonts w:ascii="Courier New" w:hAnsi="Courier New" w:cs="Courier New" w:hint="default"/>
      </w:rPr>
    </w:lvl>
    <w:lvl w:ilvl="2" w:tplc="140A0005" w:tentative="1">
      <w:start w:val="1"/>
      <w:numFmt w:val="bullet"/>
      <w:lvlText w:val=""/>
      <w:lvlJc w:val="left"/>
      <w:pPr>
        <w:ind w:left="2865" w:hanging="360"/>
      </w:pPr>
      <w:rPr>
        <w:rFonts w:ascii="Wingdings" w:hAnsi="Wingdings" w:hint="default"/>
      </w:rPr>
    </w:lvl>
    <w:lvl w:ilvl="3" w:tplc="140A0001" w:tentative="1">
      <w:start w:val="1"/>
      <w:numFmt w:val="bullet"/>
      <w:lvlText w:val=""/>
      <w:lvlJc w:val="left"/>
      <w:pPr>
        <w:ind w:left="3585" w:hanging="360"/>
      </w:pPr>
      <w:rPr>
        <w:rFonts w:ascii="Symbol" w:hAnsi="Symbol" w:hint="default"/>
      </w:rPr>
    </w:lvl>
    <w:lvl w:ilvl="4" w:tplc="140A0003" w:tentative="1">
      <w:start w:val="1"/>
      <w:numFmt w:val="bullet"/>
      <w:lvlText w:val="o"/>
      <w:lvlJc w:val="left"/>
      <w:pPr>
        <w:ind w:left="4305" w:hanging="360"/>
      </w:pPr>
      <w:rPr>
        <w:rFonts w:ascii="Courier New" w:hAnsi="Courier New" w:cs="Courier New" w:hint="default"/>
      </w:rPr>
    </w:lvl>
    <w:lvl w:ilvl="5" w:tplc="140A0005" w:tentative="1">
      <w:start w:val="1"/>
      <w:numFmt w:val="bullet"/>
      <w:lvlText w:val=""/>
      <w:lvlJc w:val="left"/>
      <w:pPr>
        <w:ind w:left="5025" w:hanging="360"/>
      </w:pPr>
      <w:rPr>
        <w:rFonts w:ascii="Wingdings" w:hAnsi="Wingdings" w:hint="default"/>
      </w:rPr>
    </w:lvl>
    <w:lvl w:ilvl="6" w:tplc="140A0001" w:tentative="1">
      <w:start w:val="1"/>
      <w:numFmt w:val="bullet"/>
      <w:lvlText w:val=""/>
      <w:lvlJc w:val="left"/>
      <w:pPr>
        <w:ind w:left="5745" w:hanging="360"/>
      </w:pPr>
      <w:rPr>
        <w:rFonts w:ascii="Symbol" w:hAnsi="Symbol" w:hint="default"/>
      </w:rPr>
    </w:lvl>
    <w:lvl w:ilvl="7" w:tplc="140A0003" w:tentative="1">
      <w:start w:val="1"/>
      <w:numFmt w:val="bullet"/>
      <w:lvlText w:val="o"/>
      <w:lvlJc w:val="left"/>
      <w:pPr>
        <w:ind w:left="6465" w:hanging="360"/>
      </w:pPr>
      <w:rPr>
        <w:rFonts w:ascii="Courier New" w:hAnsi="Courier New" w:cs="Courier New" w:hint="default"/>
      </w:rPr>
    </w:lvl>
    <w:lvl w:ilvl="8" w:tplc="140A0005" w:tentative="1">
      <w:start w:val="1"/>
      <w:numFmt w:val="bullet"/>
      <w:lvlText w:val=""/>
      <w:lvlJc w:val="left"/>
      <w:pPr>
        <w:ind w:left="7185" w:hanging="360"/>
      </w:pPr>
      <w:rPr>
        <w:rFonts w:ascii="Wingdings" w:hAnsi="Wingdings" w:hint="default"/>
      </w:rPr>
    </w:lvl>
  </w:abstractNum>
  <w:abstractNum w:abstractNumId="23" w15:restartNumberingAfterBreak="0">
    <w:nsid w:val="43541D29"/>
    <w:multiLevelType w:val="hybridMultilevel"/>
    <w:tmpl w:val="541E5C7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9852B0A"/>
    <w:multiLevelType w:val="hybridMultilevel"/>
    <w:tmpl w:val="2660BBBC"/>
    <w:lvl w:ilvl="0" w:tplc="C6CAE83E">
      <w:start w:val="8"/>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5" w15:restartNumberingAfterBreak="0">
    <w:nsid w:val="4A027DB2"/>
    <w:multiLevelType w:val="hybridMultilevel"/>
    <w:tmpl w:val="B0C0388C"/>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6" w15:restartNumberingAfterBreak="0">
    <w:nsid w:val="4BEB2CFA"/>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504E0F88"/>
    <w:multiLevelType w:val="hybridMultilevel"/>
    <w:tmpl w:val="FDA407D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555432B1"/>
    <w:multiLevelType w:val="hybridMultilevel"/>
    <w:tmpl w:val="D18A372C"/>
    <w:lvl w:ilvl="0" w:tplc="C1EE5266">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29" w15:restartNumberingAfterBreak="0">
    <w:nsid w:val="59CF3670"/>
    <w:multiLevelType w:val="multilevel"/>
    <w:tmpl w:val="72A24B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color w:val="000000"/>
      </w:rPr>
    </w:lvl>
    <w:lvl w:ilvl="2">
      <w:start w:val="1"/>
      <w:numFmt w:val="decimal"/>
      <w:isLgl/>
      <w:lvlText w:val="%1.%2.%3"/>
      <w:lvlJc w:val="left"/>
      <w:pPr>
        <w:ind w:left="1080" w:hanging="720"/>
      </w:pPr>
      <w:rPr>
        <w:rFonts w:hint="default"/>
        <w:b/>
        <w:color w:val="000000"/>
      </w:rPr>
    </w:lvl>
    <w:lvl w:ilvl="3">
      <w:start w:val="1"/>
      <w:numFmt w:val="decimal"/>
      <w:isLgl/>
      <w:lvlText w:val="%1.%2.%3.%4"/>
      <w:lvlJc w:val="left"/>
      <w:pPr>
        <w:ind w:left="1080" w:hanging="720"/>
      </w:pPr>
      <w:rPr>
        <w:rFonts w:hint="default"/>
        <w:b/>
        <w:color w:val="000000"/>
      </w:rPr>
    </w:lvl>
    <w:lvl w:ilvl="4">
      <w:start w:val="1"/>
      <w:numFmt w:val="decimal"/>
      <w:isLgl/>
      <w:lvlText w:val="%1.%2.%3.%4.%5"/>
      <w:lvlJc w:val="left"/>
      <w:pPr>
        <w:ind w:left="1440" w:hanging="1080"/>
      </w:pPr>
      <w:rPr>
        <w:rFonts w:hint="default"/>
        <w:b/>
        <w:color w:val="000000"/>
      </w:rPr>
    </w:lvl>
    <w:lvl w:ilvl="5">
      <w:start w:val="1"/>
      <w:numFmt w:val="decimal"/>
      <w:isLgl/>
      <w:lvlText w:val="%1.%2.%3.%4.%5.%6"/>
      <w:lvlJc w:val="left"/>
      <w:pPr>
        <w:ind w:left="1440" w:hanging="1080"/>
      </w:pPr>
      <w:rPr>
        <w:rFonts w:hint="default"/>
        <w:b/>
        <w:color w:val="000000"/>
      </w:rPr>
    </w:lvl>
    <w:lvl w:ilvl="6">
      <w:start w:val="1"/>
      <w:numFmt w:val="decimal"/>
      <w:isLgl/>
      <w:lvlText w:val="%1.%2.%3.%4.%5.%6.%7"/>
      <w:lvlJc w:val="left"/>
      <w:pPr>
        <w:ind w:left="1800" w:hanging="1440"/>
      </w:pPr>
      <w:rPr>
        <w:rFonts w:hint="default"/>
        <w:b/>
        <w:color w:val="000000"/>
      </w:rPr>
    </w:lvl>
    <w:lvl w:ilvl="7">
      <w:start w:val="1"/>
      <w:numFmt w:val="decimal"/>
      <w:isLgl/>
      <w:lvlText w:val="%1.%2.%3.%4.%5.%6.%7.%8"/>
      <w:lvlJc w:val="left"/>
      <w:pPr>
        <w:ind w:left="1800" w:hanging="1440"/>
      </w:pPr>
      <w:rPr>
        <w:rFonts w:hint="default"/>
        <w:b/>
        <w:color w:val="000000"/>
      </w:rPr>
    </w:lvl>
    <w:lvl w:ilvl="8">
      <w:start w:val="1"/>
      <w:numFmt w:val="decimal"/>
      <w:isLgl/>
      <w:lvlText w:val="%1.%2.%3.%4.%5.%6.%7.%8.%9"/>
      <w:lvlJc w:val="left"/>
      <w:pPr>
        <w:ind w:left="2160" w:hanging="1800"/>
      </w:pPr>
      <w:rPr>
        <w:rFonts w:hint="default"/>
        <w:b/>
        <w:color w:val="000000"/>
      </w:rPr>
    </w:lvl>
  </w:abstractNum>
  <w:abstractNum w:abstractNumId="30" w15:restartNumberingAfterBreak="0">
    <w:nsid w:val="5D762F05"/>
    <w:multiLevelType w:val="multilevel"/>
    <w:tmpl w:val="E23E165E"/>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5DC813D6"/>
    <w:multiLevelType w:val="hybridMultilevel"/>
    <w:tmpl w:val="6AC6880A"/>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2" w15:restartNumberingAfterBreak="0">
    <w:nsid w:val="67865F71"/>
    <w:multiLevelType w:val="hybridMultilevel"/>
    <w:tmpl w:val="9BFCAD32"/>
    <w:lvl w:ilvl="0" w:tplc="140A000F">
      <w:start w:val="1"/>
      <w:numFmt w:val="decimal"/>
      <w:lvlText w:val="%1."/>
      <w:lvlJc w:val="left"/>
      <w:pPr>
        <w:ind w:left="1428" w:hanging="360"/>
      </w:p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33" w15:restartNumberingAfterBreak="0">
    <w:nsid w:val="6ACF4B70"/>
    <w:multiLevelType w:val="hybridMultilevel"/>
    <w:tmpl w:val="B9403B1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6B4F0293"/>
    <w:multiLevelType w:val="multilevel"/>
    <w:tmpl w:val="E23E165E"/>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15:restartNumberingAfterBreak="0">
    <w:nsid w:val="6BB67B75"/>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C432034"/>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71C67FA8"/>
    <w:multiLevelType w:val="hybridMultilevel"/>
    <w:tmpl w:val="610A104E"/>
    <w:lvl w:ilvl="0" w:tplc="14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38" w15:restartNumberingAfterBreak="0">
    <w:nsid w:val="72D17ED4"/>
    <w:multiLevelType w:val="multilevel"/>
    <w:tmpl w:val="E28841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16cid:durableId="57703966">
    <w:abstractNumId w:val="11"/>
  </w:num>
  <w:num w:numId="2" w16cid:durableId="1238830460">
    <w:abstractNumId w:val="13"/>
  </w:num>
  <w:num w:numId="3" w16cid:durableId="1090194586">
    <w:abstractNumId w:val="22"/>
  </w:num>
  <w:num w:numId="4" w16cid:durableId="1991323137">
    <w:abstractNumId w:val="25"/>
  </w:num>
  <w:num w:numId="5" w16cid:durableId="2106805908">
    <w:abstractNumId w:val="16"/>
  </w:num>
  <w:num w:numId="6" w16cid:durableId="2134521306">
    <w:abstractNumId w:val="20"/>
  </w:num>
  <w:num w:numId="7" w16cid:durableId="545411213">
    <w:abstractNumId w:val="7"/>
  </w:num>
  <w:num w:numId="8" w16cid:durableId="712997153">
    <w:abstractNumId w:val="17"/>
  </w:num>
  <w:num w:numId="9" w16cid:durableId="277445791">
    <w:abstractNumId w:val="1"/>
  </w:num>
  <w:num w:numId="10" w16cid:durableId="1541362495">
    <w:abstractNumId w:val="28"/>
  </w:num>
  <w:num w:numId="11" w16cid:durableId="133765288">
    <w:abstractNumId w:val="8"/>
  </w:num>
  <w:num w:numId="12" w16cid:durableId="2020888846">
    <w:abstractNumId w:val="9"/>
  </w:num>
  <w:num w:numId="13" w16cid:durableId="961040452">
    <w:abstractNumId w:val="29"/>
  </w:num>
  <w:num w:numId="14" w16cid:durableId="108090770">
    <w:abstractNumId w:val="6"/>
  </w:num>
  <w:num w:numId="15" w16cid:durableId="1500804906">
    <w:abstractNumId w:val="18"/>
  </w:num>
  <w:num w:numId="16" w16cid:durableId="702707378">
    <w:abstractNumId w:val="35"/>
  </w:num>
  <w:num w:numId="17" w16cid:durableId="1577863076">
    <w:abstractNumId w:val="36"/>
  </w:num>
  <w:num w:numId="18" w16cid:durableId="1557887606">
    <w:abstractNumId w:val="26"/>
  </w:num>
  <w:num w:numId="19" w16cid:durableId="516388073">
    <w:abstractNumId w:val="34"/>
  </w:num>
  <w:num w:numId="20" w16cid:durableId="787816296">
    <w:abstractNumId w:val="33"/>
  </w:num>
  <w:num w:numId="21" w16cid:durableId="1902058383">
    <w:abstractNumId w:val="38"/>
  </w:num>
  <w:num w:numId="22" w16cid:durableId="699815341">
    <w:abstractNumId w:val="0"/>
  </w:num>
  <w:num w:numId="23" w16cid:durableId="1641156650">
    <w:abstractNumId w:val="27"/>
  </w:num>
  <w:num w:numId="24" w16cid:durableId="1077243584">
    <w:abstractNumId w:val="30"/>
  </w:num>
  <w:num w:numId="25" w16cid:durableId="1371957031">
    <w:abstractNumId w:val="10"/>
  </w:num>
  <w:num w:numId="26" w16cid:durableId="1307393264">
    <w:abstractNumId w:val="19"/>
  </w:num>
  <w:num w:numId="27" w16cid:durableId="1140997987">
    <w:abstractNumId w:val="12"/>
  </w:num>
  <w:num w:numId="28" w16cid:durableId="1295142068">
    <w:abstractNumId w:val="31"/>
  </w:num>
  <w:num w:numId="29" w16cid:durableId="1809854966">
    <w:abstractNumId w:val="32"/>
  </w:num>
  <w:num w:numId="30" w16cid:durableId="588660754">
    <w:abstractNumId w:val="37"/>
  </w:num>
  <w:num w:numId="31" w16cid:durableId="52772688">
    <w:abstractNumId w:val="4"/>
  </w:num>
  <w:num w:numId="32" w16cid:durableId="1700200563">
    <w:abstractNumId w:val="2"/>
  </w:num>
  <w:num w:numId="33" w16cid:durableId="142163014">
    <w:abstractNumId w:val="23"/>
  </w:num>
  <w:num w:numId="34" w16cid:durableId="1427458745">
    <w:abstractNumId w:val="14"/>
  </w:num>
  <w:num w:numId="35" w16cid:durableId="112022271">
    <w:abstractNumId w:val="3"/>
  </w:num>
  <w:num w:numId="36" w16cid:durableId="566721971">
    <w:abstractNumId w:val="24"/>
  </w:num>
  <w:num w:numId="37" w16cid:durableId="232010309">
    <w:abstractNumId w:val="5"/>
  </w:num>
  <w:num w:numId="38" w16cid:durableId="710227058">
    <w:abstractNumId w:val="21"/>
  </w:num>
  <w:num w:numId="39" w16cid:durableId="88090028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FCA"/>
    <w:rsid w:val="000006BC"/>
    <w:rsid w:val="00000A58"/>
    <w:rsid w:val="0000114D"/>
    <w:rsid w:val="000020A5"/>
    <w:rsid w:val="0000224F"/>
    <w:rsid w:val="00002B37"/>
    <w:rsid w:val="000034B2"/>
    <w:rsid w:val="0000361C"/>
    <w:rsid w:val="000043C5"/>
    <w:rsid w:val="00005322"/>
    <w:rsid w:val="00005942"/>
    <w:rsid w:val="00005CCA"/>
    <w:rsid w:val="000062A8"/>
    <w:rsid w:val="00006840"/>
    <w:rsid w:val="00007032"/>
    <w:rsid w:val="00007A4B"/>
    <w:rsid w:val="000104F0"/>
    <w:rsid w:val="0001092B"/>
    <w:rsid w:val="00011379"/>
    <w:rsid w:val="00011ECB"/>
    <w:rsid w:val="00012A79"/>
    <w:rsid w:val="00012EF9"/>
    <w:rsid w:val="00013171"/>
    <w:rsid w:val="00013446"/>
    <w:rsid w:val="00013C78"/>
    <w:rsid w:val="00013D2E"/>
    <w:rsid w:val="0001499C"/>
    <w:rsid w:val="00014F0A"/>
    <w:rsid w:val="00015AB6"/>
    <w:rsid w:val="00015EDA"/>
    <w:rsid w:val="00016F59"/>
    <w:rsid w:val="00017564"/>
    <w:rsid w:val="00021454"/>
    <w:rsid w:val="000216DD"/>
    <w:rsid w:val="00021A0D"/>
    <w:rsid w:val="0002234B"/>
    <w:rsid w:val="00024197"/>
    <w:rsid w:val="00026254"/>
    <w:rsid w:val="00027F7B"/>
    <w:rsid w:val="0003011D"/>
    <w:rsid w:val="00031476"/>
    <w:rsid w:val="00031C89"/>
    <w:rsid w:val="00031F57"/>
    <w:rsid w:val="00032A6B"/>
    <w:rsid w:val="00032C0F"/>
    <w:rsid w:val="00032E4F"/>
    <w:rsid w:val="00035137"/>
    <w:rsid w:val="000361FB"/>
    <w:rsid w:val="00037377"/>
    <w:rsid w:val="000426F6"/>
    <w:rsid w:val="00042AD2"/>
    <w:rsid w:val="00042F5B"/>
    <w:rsid w:val="00042FDD"/>
    <w:rsid w:val="000436FF"/>
    <w:rsid w:val="000439C7"/>
    <w:rsid w:val="00045257"/>
    <w:rsid w:val="00046255"/>
    <w:rsid w:val="00047A82"/>
    <w:rsid w:val="00047FB8"/>
    <w:rsid w:val="000505C2"/>
    <w:rsid w:val="00050BAB"/>
    <w:rsid w:val="000510A1"/>
    <w:rsid w:val="000514E5"/>
    <w:rsid w:val="0005278B"/>
    <w:rsid w:val="0005389A"/>
    <w:rsid w:val="00053AEC"/>
    <w:rsid w:val="00054490"/>
    <w:rsid w:val="00054497"/>
    <w:rsid w:val="000545B4"/>
    <w:rsid w:val="00054C01"/>
    <w:rsid w:val="00055448"/>
    <w:rsid w:val="0005621A"/>
    <w:rsid w:val="0005661D"/>
    <w:rsid w:val="00056C12"/>
    <w:rsid w:val="00056F6E"/>
    <w:rsid w:val="000600C3"/>
    <w:rsid w:val="00061242"/>
    <w:rsid w:val="00061494"/>
    <w:rsid w:val="000614D7"/>
    <w:rsid w:val="000614EB"/>
    <w:rsid w:val="00061592"/>
    <w:rsid w:val="000626A3"/>
    <w:rsid w:val="00062B62"/>
    <w:rsid w:val="000630E4"/>
    <w:rsid w:val="00064543"/>
    <w:rsid w:val="00064A71"/>
    <w:rsid w:val="0006543A"/>
    <w:rsid w:val="00066400"/>
    <w:rsid w:val="0006684C"/>
    <w:rsid w:val="000676AD"/>
    <w:rsid w:val="000700FD"/>
    <w:rsid w:val="00070258"/>
    <w:rsid w:val="00070843"/>
    <w:rsid w:val="00070D9E"/>
    <w:rsid w:val="000725E0"/>
    <w:rsid w:val="000731E6"/>
    <w:rsid w:val="000732BC"/>
    <w:rsid w:val="0007380C"/>
    <w:rsid w:val="0007400B"/>
    <w:rsid w:val="00074F66"/>
    <w:rsid w:val="00074F6B"/>
    <w:rsid w:val="00074FA8"/>
    <w:rsid w:val="000769A2"/>
    <w:rsid w:val="000778E5"/>
    <w:rsid w:val="00077EEC"/>
    <w:rsid w:val="00080344"/>
    <w:rsid w:val="00080C77"/>
    <w:rsid w:val="000817DE"/>
    <w:rsid w:val="00082753"/>
    <w:rsid w:val="000830A2"/>
    <w:rsid w:val="00083EDB"/>
    <w:rsid w:val="00084117"/>
    <w:rsid w:val="0008438B"/>
    <w:rsid w:val="00084395"/>
    <w:rsid w:val="00084524"/>
    <w:rsid w:val="00085341"/>
    <w:rsid w:val="00085706"/>
    <w:rsid w:val="00085749"/>
    <w:rsid w:val="00085946"/>
    <w:rsid w:val="00085E70"/>
    <w:rsid w:val="00085FF4"/>
    <w:rsid w:val="00086B98"/>
    <w:rsid w:val="00086D2E"/>
    <w:rsid w:val="0008767C"/>
    <w:rsid w:val="00087F60"/>
    <w:rsid w:val="00090E26"/>
    <w:rsid w:val="00090E78"/>
    <w:rsid w:val="0009106B"/>
    <w:rsid w:val="00091B0A"/>
    <w:rsid w:val="00093CC7"/>
    <w:rsid w:val="00094260"/>
    <w:rsid w:val="00095423"/>
    <w:rsid w:val="00095536"/>
    <w:rsid w:val="000962D7"/>
    <w:rsid w:val="00096629"/>
    <w:rsid w:val="0009707B"/>
    <w:rsid w:val="0009726F"/>
    <w:rsid w:val="00097371"/>
    <w:rsid w:val="00097778"/>
    <w:rsid w:val="00097852"/>
    <w:rsid w:val="000A08B8"/>
    <w:rsid w:val="000A0CFB"/>
    <w:rsid w:val="000A0EEB"/>
    <w:rsid w:val="000A19AB"/>
    <w:rsid w:val="000A263C"/>
    <w:rsid w:val="000A2862"/>
    <w:rsid w:val="000A37FB"/>
    <w:rsid w:val="000A3BF5"/>
    <w:rsid w:val="000A6096"/>
    <w:rsid w:val="000A6868"/>
    <w:rsid w:val="000A75AA"/>
    <w:rsid w:val="000A7C60"/>
    <w:rsid w:val="000B06F2"/>
    <w:rsid w:val="000B0BD8"/>
    <w:rsid w:val="000B12CD"/>
    <w:rsid w:val="000B1637"/>
    <w:rsid w:val="000B2643"/>
    <w:rsid w:val="000B2D03"/>
    <w:rsid w:val="000B323F"/>
    <w:rsid w:val="000B36E2"/>
    <w:rsid w:val="000B466E"/>
    <w:rsid w:val="000B4BFC"/>
    <w:rsid w:val="000B5570"/>
    <w:rsid w:val="000B58C4"/>
    <w:rsid w:val="000B63EA"/>
    <w:rsid w:val="000B6942"/>
    <w:rsid w:val="000B71AD"/>
    <w:rsid w:val="000B79E0"/>
    <w:rsid w:val="000C03BA"/>
    <w:rsid w:val="000C19ED"/>
    <w:rsid w:val="000C1D30"/>
    <w:rsid w:val="000C36BD"/>
    <w:rsid w:val="000C37EF"/>
    <w:rsid w:val="000C449A"/>
    <w:rsid w:val="000C4837"/>
    <w:rsid w:val="000C4F47"/>
    <w:rsid w:val="000C557F"/>
    <w:rsid w:val="000C55A9"/>
    <w:rsid w:val="000C5D33"/>
    <w:rsid w:val="000C6B56"/>
    <w:rsid w:val="000C72C2"/>
    <w:rsid w:val="000C7659"/>
    <w:rsid w:val="000C7BCD"/>
    <w:rsid w:val="000D162C"/>
    <w:rsid w:val="000D2567"/>
    <w:rsid w:val="000D26AF"/>
    <w:rsid w:val="000D2A60"/>
    <w:rsid w:val="000D2A7E"/>
    <w:rsid w:val="000D3721"/>
    <w:rsid w:val="000D3941"/>
    <w:rsid w:val="000D42B8"/>
    <w:rsid w:val="000D6EA7"/>
    <w:rsid w:val="000D6F60"/>
    <w:rsid w:val="000D709E"/>
    <w:rsid w:val="000D7A7B"/>
    <w:rsid w:val="000D7AF3"/>
    <w:rsid w:val="000D7DC2"/>
    <w:rsid w:val="000E0F86"/>
    <w:rsid w:val="000E141C"/>
    <w:rsid w:val="000E2B35"/>
    <w:rsid w:val="000E2FDC"/>
    <w:rsid w:val="000E311E"/>
    <w:rsid w:val="000E32C8"/>
    <w:rsid w:val="000E4773"/>
    <w:rsid w:val="000E4B49"/>
    <w:rsid w:val="000E51B8"/>
    <w:rsid w:val="000E6BC3"/>
    <w:rsid w:val="000F083C"/>
    <w:rsid w:val="000F0B02"/>
    <w:rsid w:val="000F1BF3"/>
    <w:rsid w:val="000F23D5"/>
    <w:rsid w:val="000F2D23"/>
    <w:rsid w:val="000F33D1"/>
    <w:rsid w:val="000F345A"/>
    <w:rsid w:val="000F3E32"/>
    <w:rsid w:val="000F46A5"/>
    <w:rsid w:val="000F4F78"/>
    <w:rsid w:val="000F5513"/>
    <w:rsid w:val="000F6054"/>
    <w:rsid w:val="000F660B"/>
    <w:rsid w:val="000F7AA3"/>
    <w:rsid w:val="000F7DB8"/>
    <w:rsid w:val="000F7EE5"/>
    <w:rsid w:val="001000D6"/>
    <w:rsid w:val="00102898"/>
    <w:rsid w:val="00102D3B"/>
    <w:rsid w:val="0010354A"/>
    <w:rsid w:val="00104946"/>
    <w:rsid w:val="00105109"/>
    <w:rsid w:val="0010524D"/>
    <w:rsid w:val="00105408"/>
    <w:rsid w:val="00105AFA"/>
    <w:rsid w:val="00106083"/>
    <w:rsid w:val="001062A4"/>
    <w:rsid w:val="00107166"/>
    <w:rsid w:val="00107641"/>
    <w:rsid w:val="00107A70"/>
    <w:rsid w:val="00110225"/>
    <w:rsid w:val="00110C01"/>
    <w:rsid w:val="00111431"/>
    <w:rsid w:val="00111904"/>
    <w:rsid w:val="00111B5B"/>
    <w:rsid w:val="00113DDE"/>
    <w:rsid w:val="00113DE4"/>
    <w:rsid w:val="00113EE0"/>
    <w:rsid w:val="00115E34"/>
    <w:rsid w:val="00116481"/>
    <w:rsid w:val="00116BBE"/>
    <w:rsid w:val="00117563"/>
    <w:rsid w:val="00117D5E"/>
    <w:rsid w:val="00120276"/>
    <w:rsid w:val="001205A8"/>
    <w:rsid w:val="001210DD"/>
    <w:rsid w:val="001211CC"/>
    <w:rsid w:val="00121461"/>
    <w:rsid w:val="001218A0"/>
    <w:rsid w:val="001218BA"/>
    <w:rsid w:val="00121A4E"/>
    <w:rsid w:val="00121DA0"/>
    <w:rsid w:val="00122945"/>
    <w:rsid w:val="0012367F"/>
    <w:rsid w:val="00124196"/>
    <w:rsid w:val="00125650"/>
    <w:rsid w:val="00125FB6"/>
    <w:rsid w:val="001263DC"/>
    <w:rsid w:val="001268B8"/>
    <w:rsid w:val="001272D7"/>
    <w:rsid w:val="00127749"/>
    <w:rsid w:val="00130A02"/>
    <w:rsid w:val="00130A18"/>
    <w:rsid w:val="001318D7"/>
    <w:rsid w:val="00131D73"/>
    <w:rsid w:val="00131F19"/>
    <w:rsid w:val="0013524F"/>
    <w:rsid w:val="00135F55"/>
    <w:rsid w:val="00137681"/>
    <w:rsid w:val="00137CDB"/>
    <w:rsid w:val="00137D1C"/>
    <w:rsid w:val="00140167"/>
    <w:rsid w:val="001419DF"/>
    <w:rsid w:val="00141AC6"/>
    <w:rsid w:val="00141CD4"/>
    <w:rsid w:val="00142C94"/>
    <w:rsid w:val="00143C1B"/>
    <w:rsid w:val="00143EA9"/>
    <w:rsid w:val="00143F09"/>
    <w:rsid w:val="001440A8"/>
    <w:rsid w:val="00145516"/>
    <w:rsid w:val="001460A5"/>
    <w:rsid w:val="001461B9"/>
    <w:rsid w:val="0014771C"/>
    <w:rsid w:val="00150247"/>
    <w:rsid w:val="00150663"/>
    <w:rsid w:val="00150A91"/>
    <w:rsid w:val="00150F53"/>
    <w:rsid w:val="00152195"/>
    <w:rsid w:val="00154463"/>
    <w:rsid w:val="0015479C"/>
    <w:rsid w:val="001548B3"/>
    <w:rsid w:val="00154F98"/>
    <w:rsid w:val="00156A00"/>
    <w:rsid w:val="00156D5A"/>
    <w:rsid w:val="00157273"/>
    <w:rsid w:val="00160445"/>
    <w:rsid w:val="00160E1B"/>
    <w:rsid w:val="00161663"/>
    <w:rsid w:val="00161D5D"/>
    <w:rsid w:val="0016257F"/>
    <w:rsid w:val="001627B2"/>
    <w:rsid w:val="00163A4F"/>
    <w:rsid w:val="00163DB4"/>
    <w:rsid w:val="00164A49"/>
    <w:rsid w:val="00164E15"/>
    <w:rsid w:val="0016567B"/>
    <w:rsid w:val="00165766"/>
    <w:rsid w:val="0016627D"/>
    <w:rsid w:val="00166D63"/>
    <w:rsid w:val="00166FC8"/>
    <w:rsid w:val="001675AD"/>
    <w:rsid w:val="001707F2"/>
    <w:rsid w:val="00170A04"/>
    <w:rsid w:val="001715BA"/>
    <w:rsid w:val="001717FF"/>
    <w:rsid w:val="00171C62"/>
    <w:rsid w:val="0017220B"/>
    <w:rsid w:val="0017289E"/>
    <w:rsid w:val="0017384C"/>
    <w:rsid w:val="001738DF"/>
    <w:rsid w:val="00175C3B"/>
    <w:rsid w:val="00176DD6"/>
    <w:rsid w:val="001772D4"/>
    <w:rsid w:val="00177388"/>
    <w:rsid w:val="00177E5C"/>
    <w:rsid w:val="00177E5D"/>
    <w:rsid w:val="0018061A"/>
    <w:rsid w:val="00181143"/>
    <w:rsid w:val="00181AB5"/>
    <w:rsid w:val="00182159"/>
    <w:rsid w:val="00182961"/>
    <w:rsid w:val="00182D3B"/>
    <w:rsid w:val="001832BE"/>
    <w:rsid w:val="00183E11"/>
    <w:rsid w:val="00184513"/>
    <w:rsid w:val="001846D3"/>
    <w:rsid w:val="001846D8"/>
    <w:rsid w:val="00184CFD"/>
    <w:rsid w:val="001902C8"/>
    <w:rsid w:val="00190BEE"/>
    <w:rsid w:val="0019125A"/>
    <w:rsid w:val="001924C3"/>
    <w:rsid w:val="00192A4C"/>
    <w:rsid w:val="00194C51"/>
    <w:rsid w:val="0019521E"/>
    <w:rsid w:val="00195231"/>
    <w:rsid w:val="00195C52"/>
    <w:rsid w:val="001964BB"/>
    <w:rsid w:val="001967A4"/>
    <w:rsid w:val="00196D4D"/>
    <w:rsid w:val="00197DC2"/>
    <w:rsid w:val="00197E68"/>
    <w:rsid w:val="001A1A08"/>
    <w:rsid w:val="001A2629"/>
    <w:rsid w:val="001A4AD3"/>
    <w:rsid w:val="001A4C7A"/>
    <w:rsid w:val="001A519B"/>
    <w:rsid w:val="001A5F8B"/>
    <w:rsid w:val="001A608E"/>
    <w:rsid w:val="001A6AC8"/>
    <w:rsid w:val="001A6F6F"/>
    <w:rsid w:val="001A7307"/>
    <w:rsid w:val="001A7F84"/>
    <w:rsid w:val="001B199A"/>
    <w:rsid w:val="001B25E0"/>
    <w:rsid w:val="001B2D06"/>
    <w:rsid w:val="001B2D1A"/>
    <w:rsid w:val="001B44D3"/>
    <w:rsid w:val="001B45A3"/>
    <w:rsid w:val="001B59D0"/>
    <w:rsid w:val="001B59DC"/>
    <w:rsid w:val="001B5C8E"/>
    <w:rsid w:val="001B5CAC"/>
    <w:rsid w:val="001B5FA9"/>
    <w:rsid w:val="001B68FC"/>
    <w:rsid w:val="001B715D"/>
    <w:rsid w:val="001C03E4"/>
    <w:rsid w:val="001C0D06"/>
    <w:rsid w:val="001C161B"/>
    <w:rsid w:val="001C200A"/>
    <w:rsid w:val="001C2076"/>
    <w:rsid w:val="001C3298"/>
    <w:rsid w:val="001C3D34"/>
    <w:rsid w:val="001C3F89"/>
    <w:rsid w:val="001C5099"/>
    <w:rsid w:val="001C52C9"/>
    <w:rsid w:val="001C5408"/>
    <w:rsid w:val="001C5517"/>
    <w:rsid w:val="001C6655"/>
    <w:rsid w:val="001C6970"/>
    <w:rsid w:val="001C6A4C"/>
    <w:rsid w:val="001C7575"/>
    <w:rsid w:val="001D05BE"/>
    <w:rsid w:val="001D0F9A"/>
    <w:rsid w:val="001D1FEC"/>
    <w:rsid w:val="001D2A18"/>
    <w:rsid w:val="001D3CD2"/>
    <w:rsid w:val="001D45D1"/>
    <w:rsid w:val="001D4F85"/>
    <w:rsid w:val="001D51E2"/>
    <w:rsid w:val="001D552D"/>
    <w:rsid w:val="001D555F"/>
    <w:rsid w:val="001D5B89"/>
    <w:rsid w:val="001D5E4C"/>
    <w:rsid w:val="001D6243"/>
    <w:rsid w:val="001D65DD"/>
    <w:rsid w:val="001D72F1"/>
    <w:rsid w:val="001D76BA"/>
    <w:rsid w:val="001D7964"/>
    <w:rsid w:val="001D7F26"/>
    <w:rsid w:val="001E01F3"/>
    <w:rsid w:val="001E1C92"/>
    <w:rsid w:val="001E2220"/>
    <w:rsid w:val="001E2BA7"/>
    <w:rsid w:val="001E2D5A"/>
    <w:rsid w:val="001E2E48"/>
    <w:rsid w:val="001E3068"/>
    <w:rsid w:val="001E4964"/>
    <w:rsid w:val="001E4D1C"/>
    <w:rsid w:val="001E52F3"/>
    <w:rsid w:val="001E5A6D"/>
    <w:rsid w:val="001E5E03"/>
    <w:rsid w:val="001E6FDC"/>
    <w:rsid w:val="001F0026"/>
    <w:rsid w:val="001F0A41"/>
    <w:rsid w:val="001F0A95"/>
    <w:rsid w:val="001F1551"/>
    <w:rsid w:val="001F1979"/>
    <w:rsid w:val="001F2684"/>
    <w:rsid w:val="001F4302"/>
    <w:rsid w:val="001F4BC4"/>
    <w:rsid w:val="001F5789"/>
    <w:rsid w:val="001F6C38"/>
    <w:rsid w:val="001F6F60"/>
    <w:rsid w:val="001F71DD"/>
    <w:rsid w:val="001F796E"/>
    <w:rsid w:val="002001F3"/>
    <w:rsid w:val="00200992"/>
    <w:rsid w:val="00200C9C"/>
    <w:rsid w:val="00201399"/>
    <w:rsid w:val="0020294F"/>
    <w:rsid w:val="00202DAA"/>
    <w:rsid w:val="00203956"/>
    <w:rsid w:val="00203F55"/>
    <w:rsid w:val="00204384"/>
    <w:rsid w:val="00204841"/>
    <w:rsid w:val="002048EF"/>
    <w:rsid w:val="00204ADF"/>
    <w:rsid w:val="002052A0"/>
    <w:rsid w:val="00205BA9"/>
    <w:rsid w:val="00206170"/>
    <w:rsid w:val="002069FA"/>
    <w:rsid w:val="002070F4"/>
    <w:rsid w:val="00207119"/>
    <w:rsid w:val="00207E7F"/>
    <w:rsid w:val="00210FBE"/>
    <w:rsid w:val="00211ECA"/>
    <w:rsid w:val="00212398"/>
    <w:rsid w:val="002127B2"/>
    <w:rsid w:val="0021292F"/>
    <w:rsid w:val="00212AEC"/>
    <w:rsid w:val="00213237"/>
    <w:rsid w:val="00213339"/>
    <w:rsid w:val="00213C8E"/>
    <w:rsid w:val="00213DD9"/>
    <w:rsid w:val="00215764"/>
    <w:rsid w:val="0021595C"/>
    <w:rsid w:val="00215C38"/>
    <w:rsid w:val="00215E1D"/>
    <w:rsid w:val="00216A60"/>
    <w:rsid w:val="00216F28"/>
    <w:rsid w:val="00217319"/>
    <w:rsid w:val="00217B4D"/>
    <w:rsid w:val="00220137"/>
    <w:rsid w:val="002215B8"/>
    <w:rsid w:val="00221689"/>
    <w:rsid w:val="0022180A"/>
    <w:rsid w:val="002224BF"/>
    <w:rsid w:val="00222E8D"/>
    <w:rsid w:val="00225B63"/>
    <w:rsid w:val="00225D61"/>
    <w:rsid w:val="00226111"/>
    <w:rsid w:val="00226512"/>
    <w:rsid w:val="00227496"/>
    <w:rsid w:val="00227D23"/>
    <w:rsid w:val="002306BC"/>
    <w:rsid w:val="00231C9C"/>
    <w:rsid w:val="00232073"/>
    <w:rsid w:val="00232254"/>
    <w:rsid w:val="00233BC8"/>
    <w:rsid w:val="00234D63"/>
    <w:rsid w:val="00234E2E"/>
    <w:rsid w:val="002350EA"/>
    <w:rsid w:val="00235527"/>
    <w:rsid w:val="00235D44"/>
    <w:rsid w:val="00235D90"/>
    <w:rsid w:val="00236983"/>
    <w:rsid w:val="00236FE4"/>
    <w:rsid w:val="002372D9"/>
    <w:rsid w:val="00237737"/>
    <w:rsid w:val="00237840"/>
    <w:rsid w:val="00237B59"/>
    <w:rsid w:val="00240E97"/>
    <w:rsid w:val="00241B44"/>
    <w:rsid w:val="002427BD"/>
    <w:rsid w:val="00243442"/>
    <w:rsid w:val="0024486E"/>
    <w:rsid w:val="00245EC6"/>
    <w:rsid w:val="00246396"/>
    <w:rsid w:val="002470EB"/>
    <w:rsid w:val="002471B8"/>
    <w:rsid w:val="00247B57"/>
    <w:rsid w:val="00250EFE"/>
    <w:rsid w:val="00250F79"/>
    <w:rsid w:val="00250FA0"/>
    <w:rsid w:val="0025141B"/>
    <w:rsid w:val="00251CB6"/>
    <w:rsid w:val="00251D60"/>
    <w:rsid w:val="00252B5D"/>
    <w:rsid w:val="00252B6A"/>
    <w:rsid w:val="00252E28"/>
    <w:rsid w:val="0025514B"/>
    <w:rsid w:val="00255EB3"/>
    <w:rsid w:val="00257DD5"/>
    <w:rsid w:val="00260A2C"/>
    <w:rsid w:val="00260DC6"/>
    <w:rsid w:val="00261788"/>
    <w:rsid w:val="00261D13"/>
    <w:rsid w:val="00261FAB"/>
    <w:rsid w:val="002623FF"/>
    <w:rsid w:val="002630F3"/>
    <w:rsid w:val="002635E5"/>
    <w:rsid w:val="00264260"/>
    <w:rsid w:val="002642BC"/>
    <w:rsid w:val="00264D97"/>
    <w:rsid w:val="0027038D"/>
    <w:rsid w:val="00270741"/>
    <w:rsid w:val="0027201B"/>
    <w:rsid w:val="002726D3"/>
    <w:rsid w:val="002730D8"/>
    <w:rsid w:val="002733CE"/>
    <w:rsid w:val="00273A60"/>
    <w:rsid w:val="00275DDE"/>
    <w:rsid w:val="002803FB"/>
    <w:rsid w:val="00280D93"/>
    <w:rsid w:val="00281D8B"/>
    <w:rsid w:val="002822CD"/>
    <w:rsid w:val="00284030"/>
    <w:rsid w:val="00284F8D"/>
    <w:rsid w:val="00284FAC"/>
    <w:rsid w:val="002858FC"/>
    <w:rsid w:val="00285DB5"/>
    <w:rsid w:val="00287F52"/>
    <w:rsid w:val="00292B9C"/>
    <w:rsid w:val="00292DE4"/>
    <w:rsid w:val="002932DB"/>
    <w:rsid w:val="002938E5"/>
    <w:rsid w:val="00293B52"/>
    <w:rsid w:val="0029408F"/>
    <w:rsid w:val="0029431A"/>
    <w:rsid w:val="0029458E"/>
    <w:rsid w:val="00294590"/>
    <w:rsid w:val="00295448"/>
    <w:rsid w:val="00295E61"/>
    <w:rsid w:val="00296682"/>
    <w:rsid w:val="002A228B"/>
    <w:rsid w:val="002A34EA"/>
    <w:rsid w:val="002A3616"/>
    <w:rsid w:val="002A3D87"/>
    <w:rsid w:val="002A4A3D"/>
    <w:rsid w:val="002A4C51"/>
    <w:rsid w:val="002A6C0B"/>
    <w:rsid w:val="002A7DEB"/>
    <w:rsid w:val="002B02B6"/>
    <w:rsid w:val="002B0C9C"/>
    <w:rsid w:val="002B0EFB"/>
    <w:rsid w:val="002B1DB4"/>
    <w:rsid w:val="002B25C5"/>
    <w:rsid w:val="002B4E8B"/>
    <w:rsid w:val="002B5214"/>
    <w:rsid w:val="002B5EC7"/>
    <w:rsid w:val="002B6080"/>
    <w:rsid w:val="002B6A52"/>
    <w:rsid w:val="002B6D22"/>
    <w:rsid w:val="002B6E8A"/>
    <w:rsid w:val="002B7CC8"/>
    <w:rsid w:val="002C0FBC"/>
    <w:rsid w:val="002C10F2"/>
    <w:rsid w:val="002C2B0E"/>
    <w:rsid w:val="002C3AFE"/>
    <w:rsid w:val="002C5D8C"/>
    <w:rsid w:val="002C67B0"/>
    <w:rsid w:val="002D0A4D"/>
    <w:rsid w:val="002D111E"/>
    <w:rsid w:val="002D3108"/>
    <w:rsid w:val="002D45B9"/>
    <w:rsid w:val="002D53E8"/>
    <w:rsid w:val="002D5A2F"/>
    <w:rsid w:val="002D5D6A"/>
    <w:rsid w:val="002D657F"/>
    <w:rsid w:val="002D6787"/>
    <w:rsid w:val="002D69FE"/>
    <w:rsid w:val="002D6E10"/>
    <w:rsid w:val="002D6F4A"/>
    <w:rsid w:val="002D7B59"/>
    <w:rsid w:val="002E0848"/>
    <w:rsid w:val="002E0C55"/>
    <w:rsid w:val="002E0FDE"/>
    <w:rsid w:val="002E17AE"/>
    <w:rsid w:val="002E196B"/>
    <w:rsid w:val="002E1ABD"/>
    <w:rsid w:val="002E1DB2"/>
    <w:rsid w:val="002E1FF9"/>
    <w:rsid w:val="002E245B"/>
    <w:rsid w:val="002E290A"/>
    <w:rsid w:val="002E2AE9"/>
    <w:rsid w:val="002E2FA1"/>
    <w:rsid w:val="002E35FF"/>
    <w:rsid w:val="002E3637"/>
    <w:rsid w:val="002E3CBC"/>
    <w:rsid w:val="002E3E53"/>
    <w:rsid w:val="002F0D20"/>
    <w:rsid w:val="002F0D6D"/>
    <w:rsid w:val="002F11E9"/>
    <w:rsid w:val="002F47AA"/>
    <w:rsid w:val="002F5D14"/>
    <w:rsid w:val="002F5F9A"/>
    <w:rsid w:val="002F681D"/>
    <w:rsid w:val="002F69F5"/>
    <w:rsid w:val="002F6E53"/>
    <w:rsid w:val="002F6EAB"/>
    <w:rsid w:val="002F7C67"/>
    <w:rsid w:val="002F7EA2"/>
    <w:rsid w:val="00300EAE"/>
    <w:rsid w:val="00302874"/>
    <w:rsid w:val="00302BB6"/>
    <w:rsid w:val="003033A3"/>
    <w:rsid w:val="00303CB3"/>
    <w:rsid w:val="00304864"/>
    <w:rsid w:val="00305044"/>
    <w:rsid w:val="003063B2"/>
    <w:rsid w:val="003075A0"/>
    <w:rsid w:val="00307B43"/>
    <w:rsid w:val="00307D98"/>
    <w:rsid w:val="003117F4"/>
    <w:rsid w:val="00311A9B"/>
    <w:rsid w:val="003120EF"/>
    <w:rsid w:val="00312202"/>
    <w:rsid w:val="0031264B"/>
    <w:rsid w:val="003136C6"/>
    <w:rsid w:val="00314510"/>
    <w:rsid w:val="00314BA7"/>
    <w:rsid w:val="00314DEC"/>
    <w:rsid w:val="003151CA"/>
    <w:rsid w:val="00315AE1"/>
    <w:rsid w:val="00315D48"/>
    <w:rsid w:val="0031630E"/>
    <w:rsid w:val="00316852"/>
    <w:rsid w:val="00316FA9"/>
    <w:rsid w:val="003170A4"/>
    <w:rsid w:val="00320C7F"/>
    <w:rsid w:val="00320E26"/>
    <w:rsid w:val="0032284E"/>
    <w:rsid w:val="00322EF6"/>
    <w:rsid w:val="00323236"/>
    <w:rsid w:val="003247D5"/>
    <w:rsid w:val="00324B29"/>
    <w:rsid w:val="00324F99"/>
    <w:rsid w:val="00325629"/>
    <w:rsid w:val="0032611E"/>
    <w:rsid w:val="003308AB"/>
    <w:rsid w:val="00332C03"/>
    <w:rsid w:val="00332F73"/>
    <w:rsid w:val="00333D62"/>
    <w:rsid w:val="00336027"/>
    <w:rsid w:val="00336E57"/>
    <w:rsid w:val="00337076"/>
    <w:rsid w:val="0033757A"/>
    <w:rsid w:val="00337AE1"/>
    <w:rsid w:val="00337BDC"/>
    <w:rsid w:val="0034087F"/>
    <w:rsid w:val="0034134D"/>
    <w:rsid w:val="0034147F"/>
    <w:rsid w:val="00341FEB"/>
    <w:rsid w:val="0034224B"/>
    <w:rsid w:val="003428FB"/>
    <w:rsid w:val="00342DED"/>
    <w:rsid w:val="00343463"/>
    <w:rsid w:val="0034382B"/>
    <w:rsid w:val="0034479A"/>
    <w:rsid w:val="00344888"/>
    <w:rsid w:val="00344C88"/>
    <w:rsid w:val="00345C1A"/>
    <w:rsid w:val="00345EFE"/>
    <w:rsid w:val="0034659D"/>
    <w:rsid w:val="003467BB"/>
    <w:rsid w:val="00346AF2"/>
    <w:rsid w:val="003474F6"/>
    <w:rsid w:val="0034752F"/>
    <w:rsid w:val="0034767F"/>
    <w:rsid w:val="00350A75"/>
    <w:rsid w:val="0035157D"/>
    <w:rsid w:val="00353A36"/>
    <w:rsid w:val="0035414B"/>
    <w:rsid w:val="003544E7"/>
    <w:rsid w:val="003558EB"/>
    <w:rsid w:val="00355B5E"/>
    <w:rsid w:val="003568A1"/>
    <w:rsid w:val="00356FE3"/>
    <w:rsid w:val="003572EC"/>
    <w:rsid w:val="00357A93"/>
    <w:rsid w:val="00357BF3"/>
    <w:rsid w:val="00357F24"/>
    <w:rsid w:val="00360514"/>
    <w:rsid w:val="00360C48"/>
    <w:rsid w:val="00361506"/>
    <w:rsid w:val="003615FD"/>
    <w:rsid w:val="00361618"/>
    <w:rsid w:val="00362BCF"/>
    <w:rsid w:val="0036426C"/>
    <w:rsid w:val="00364C52"/>
    <w:rsid w:val="00364CB1"/>
    <w:rsid w:val="003658F7"/>
    <w:rsid w:val="00365D8E"/>
    <w:rsid w:val="00367D1C"/>
    <w:rsid w:val="00367F1D"/>
    <w:rsid w:val="0037057C"/>
    <w:rsid w:val="00371003"/>
    <w:rsid w:val="0037131D"/>
    <w:rsid w:val="00371B14"/>
    <w:rsid w:val="00372374"/>
    <w:rsid w:val="00372D67"/>
    <w:rsid w:val="00372D9C"/>
    <w:rsid w:val="0037308A"/>
    <w:rsid w:val="0037348D"/>
    <w:rsid w:val="003736B2"/>
    <w:rsid w:val="003740BE"/>
    <w:rsid w:val="003748E8"/>
    <w:rsid w:val="00375CE8"/>
    <w:rsid w:val="00375E08"/>
    <w:rsid w:val="003760EE"/>
    <w:rsid w:val="003760FB"/>
    <w:rsid w:val="0037747C"/>
    <w:rsid w:val="003777E4"/>
    <w:rsid w:val="00377C27"/>
    <w:rsid w:val="003800F6"/>
    <w:rsid w:val="00380805"/>
    <w:rsid w:val="00380AF5"/>
    <w:rsid w:val="00380B16"/>
    <w:rsid w:val="00381258"/>
    <w:rsid w:val="003813F5"/>
    <w:rsid w:val="00381F81"/>
    <w:rsid w:val="0038228D"/>
    <w:rsid w:val="00384722"/>
    <w:rsid w:val="00384BC7"/>
    <w:rsid w:val="00384D53"/>
    <w:rsid w:val="00385CC7"/>
    <w:rsid w:val="003860C4"/>
    <w:rsid w:val="0038762F"/>
    <w:rsid w:val="00387CEB"/>
    <w:rsid w:val="003906EC"/>
    <w:rsid w:val="0039083D"/>
    <w:rsid w:val="0039093E"/>
    <w:rsid w:val="00391355"/>
    <w:rsid w:val="00391847"/>
    <w:rsid w:val="003928B8"/>
    <w:rsid w:val="00392B41"/>
    <w:rsid w:val="00392E1C"/>
    <w:rsid w:val="00393307"/>
    <w:rsid w:val="00394449"/>
    <w:rsid w:val="00394B58"/>
    <w:rsid w:val="00394FD4"/>
    <w:rsid w:val="003952F6"/>
    <w:rsid w:val="003955A9"/>
    <w:rsid w:val="003958AC"/>
    <w:rsid w:val="00395990"/>
    <w:rsid w:val="00396957"/>
    <w:rsid w:val="00396B65"/>
    <w:rsid w:val="00397C8B"/>
    <w:rsid w:val="003A0C53"/>
    <w:rsid w:val="003A13D8"/>
    <w:rsid w:val="003A2C08"/>
    <w:rsid w:val="003A32B5"/>
    <w:rsid w:val="003A3676"/>
    <w:rsid w:val="003A5CA9"/>
    <w:rsid w:val="003A6022"/>
    <w:rsid w:val="003A639A"/>
    <w:rsid w:val="003A66BE"/>
    <w:rsid w:val="003A6E2C"/>
    <w:rsid w:val="003A7FEF"/>
    <w:rsid w:val="003B130D"/>
    <w:rsid w:val="003B164D"/>
    <w:rsid w:val="003B24FA"/>
    <w:rsid w:val="003B4500"/>
    <w:rsid w:val="003B48AC"/>
    <w:rsid w:val="003B4B57"/>
    <w:rsid w:val="003B50E9"/>
    <w:rsid w:val="003B6E8C"/>
    <w:rsid w:val="003B7008"/>
    <w:rsid w:val="003B7BB5"/>
    <w:rsid w:val="003C0660"/>
    <w:rsid w:val="003C18E7"/>
    <w:rsid w:val="003C2832"/>
    <w:rsid w:val="003C3A35"/>
    <w:rsid w:val="003C3A7E"/>
    <w:rsid w:val="003C3CD4"/>
    <w:rsid w:val="003C512B"/>
    <w:rsid w:val="003C52D8"/>
    <w:rsid w:val="003C616F"/>
    <w:rsid w:val="003C6F1A"/>
    <w:rsid w:val="003C7260"/>
    <w:rsid w:val="003D0BC1"/>
    <w:rsid w:val="003D14E8"/>
    <w:rsid w:val="003D20E9"/>
    <w:rsid w:val="003D2442"/>
    <w:rsid w:val="003D25DC"/>
    <w:rsid w:val="003D2793"/>
    <w:rsid w:val="003D3CE5"/>
    <w:rsid w:val="003D3E0F"/>
    <w:rsid w:val="003D494B"/>
    <w:rsid w:val="003D4DF8"/>
    <w:rsid w:val="003D4E37"/>
    <w:rsid w:val="003D4F7D"/>
    <w:rsid w:val="003D52DF"/>
    <w:rsid w:val="003D58AD"/>
    <w:rsid w:val="003D6389"/>
    <w:rsid w:val="003D6C52"/>
    <w:rsid w:val="003D6D44"/>
    <w:rsid w:val="003D6EA6"/>
    <w:rsid w:val="003D77A5"/>
    <w:rsid w:val="003E0A80"/>
    <w:rsid w:val="003E135A"/>
    <w:rsid w:val="003E141C"/>
    <w:rsid w:val="003E14C5"/>
    <w:rsid w:val="003E14CE"/>
    <w:rsid w:val="003E18E4"/>
    <w:rsid w:val="003E2533"/>
    <w:rsid w:val="003E267D"/>
    <w:rsid w:val="003E3074"/>
    <w:rsid w:val="003E32CE"/>
    <w:rsid w:val="003E3C6B"/>
    <w:rsid w:val="003E4157"/>
    <w:rsid w:val="003E42B9"/>
    <w:rsid w:val="003E4D22"/>
    <w:rsid w:val="003E57F1"/>
    <w:rsid w:val="003E66E8"/>
    <w:rsid w:val="003E66F6"/>
    <w:rsid w:val="003F072C"/>
    <w:rsid w:val="003F0C7F"/>
    <w:rsid w:val="003F11E7"/>
    <w:rsid w:val="003F2A1D"/>
    <w:rsid w:val="003F387D"/>
    <w:rsid w:val="003F445F"/>
    <w:rsid w:val="003F4930"/>
    <w:rsid w:val="003F4AC3"/>
    <w:rsid w:val="003F4E7E"/>
    <w:rsid w:val="003F540B"/>
    <w:rsid w:val="003F5ABD"/>
    <w:rsid w:val="003F5F86"/>
    <w:rsid w:val="003F673D"/>
    <w:rsid w:val="00400163"/>
    <w:rsid w:val="00400DE4"/>
    <w:rsid w:val="004018B9"/>
    <w:rsid w:val="00402D8B"/>
    <w:rsid w:val="00403304"/>
    <w:rsid w:val="00403346"/>
    <w:rsid w:val="004033DD"/>
    <w:rsid w:val="00403A36"/>
    <w:rsid w:val="00403B76"/>
    <w:rsid w:val="004042CE"/>
    <w:rsid w:val="004053EC"/>
    <w:rsid w:val="00405536"/>
    <w:rsid w:val="0040596A"/>
    <w:rsid w:val="00406869"/>
    <w:rsid w:val="00406B71"/>
    <w:rsid w:val="00407335"/>
    <w:rsid w:val="004118A3"/>
    <w:rsid w:val="00411AA8"/>
    <w:rsid w:val="0041290D"/>
    <w:rsid w:val="00413D7B"/>
    <w:rsid w:val="00413E34"/>
    <w:rsid w:val="00413EC4"/>
    <w:rsid w:val="00414916"/>
    <w:rsid w:val="004155A2"/>
    <w:rsid w:val="00415B19"/>
    <w:rsid w:val="0041659A"/>
    <w:rsid w:val="00417306"/>
    <w:rsid w:val="004178AD"/>
    <w:rsid w:val="004200F4"/>
    <w:rsid w:val="004214E0"/>
    <w:rsid w:val="00422279"/>
    <w:rsid w:val="0042270B"/>
    <w:rsid w:val="00423D65"/>
    <w:rsid w:val="00425A71"/>
    <w:rsid w:val="004262A1"/>
    <w:rsid w:val="0042754F"/>
    <w:rsid w:val="004309E2"/>
    <w:rsid w:val="00431F5C"/>
    <w:rsid w:val="00432877"/>
    <w:rsid w:val="00432968"/>
    <w:rsid w:val="00432B24"/>
    <w:rsid w:val="00433451"/>
    <w:rsid w:val="00433569"/>
    <w:rsid w:val="00434293"/>
    <w:rsid w:val="00434482"/>
    <w:rsid w:val="0043611A"/>
    <w:rsid w:val="00437393"/>
    <w:rsid w:val="0043747A"/>
    <w:rsid w:val="00437930"/>
    <w:rsid w:val="0044212B"/>
    <w:rsid w:val="00444732"/>
    <w:rsid w:val="00444EE9"/>
    <w:rsid w:val="00444F94"/>
    <w:rsid w:val="0044513B"/>
    <w:rsid w:val="00445BC7"/>
    <w:rsid w:val="00446618"/>
    <w:rsid w:val="00446633"/>
    <w:rsid w:val="0044700A"/>
    <w:rsid w:val="0044722B"/>
    <w:rsid w:val="00450290"/>
    <w:rsid w:val="004513B4"/>
    <w:rsid w:val="004516CC"/>
    <w:rsid w:val="004518CC"/>
    <w:rsid w:val="00451E32"/>
    <w:rsid w:val="004532E6"/>
    <w:rsid w:val="004538C6"/>
    <w:rsid w:val="00453C27"/>
    <w:rsid w:val="00455F77"/>
    <w:rsid w:val="00456587"/>
    <w:rsid w:val="004567DF"/>
    <w:rsid w:val="004575E2"/>
    <w:rsid w:val="00457777"/>
    <w:rsid w:val="00460635"/>
    <w:rsid w:val="0046100E"/>
    <w:rsid w:val="0046114B"/>
    <w:rsid w:val="00461899"/>
    <w:rsid w:val="0046213F"/>
    <w:rsid w:val="004621E8"/>
    <w:rsid w:val="004627ED"/>
    <w:rsid w:val="00462BA7"/>
    <w:rsid w:val="00462F3A"/>
    <w:rsid w:val="004656DC"/>
    <w:rsid w:val="004656FF"/>
    <w:rsid w:val="00467F7A"/>
    <w:rsid w:val="00470371"/>
    <w:rsid w:val="004704C6"/>
    <w:rsid w:val="00470E28"/>
    <w:rsid w:val="00471721"/>
    <w:rsid w:val="00471EAB"/>
    <w:rsid w:val="00472353"/>
    <w:rsid w:val="00473E1A"/>
    <w:rsid w:val="00474CD9"/>
    <w:rsid w:val="00475500"/>
    <w:rsid w:val="00475720"/>
    <w:rsid w:val="00475E99"/>
    <w:rsid w:val="00477245"/>
    <w:rsid w:val="00480C04"/>
    <w:rsid w:val="004815F4"/>
    <w:rsid w:val="00482041"/>
    <w:rsid w:val="00482473"/>
    <w:rsid w:val="00482CBC"/>
    <w:rsid w:val="004830D9"/>
    <w:rsid w:val="00483F18"/>
    <w:rsid w:val="00484406"/>
    <w:rsid w:val="0048763B"/>
    <w:rsid w:val="004877DC"/>
    <w:rsid w:val="004878E6"/>
    <w:rsid w:val="00487AD6"/>
    <w:rsid w:val="00487D73"/>
    <w:rsid w:val="00490238"/>
    <w:rsid w:val="004912F0"/>
    <w:rsid w:val="0049191E"/>
    <w:rsid w:val="00491CEA"/>
    <w:rsid w:val="0049249F"/>
    <w:rsid w:val="00492868"/>
    <w:rsid w:val="00492B2D"/>
    <w:rsid w:val="00492EA7"/>
    <w:rsid w:val="00493262"/>
    <w:rsid w:val="00493662"/>
    <w:rsid w:val="00494AF4"/>
    <w:rsid w:val="00495CA4"/>
    <w:rsid w:val="00496804"/>
    <w:rsid w:val="004A0CB7"/>
    <w:rsid w:val="004A0DED"/>
    <w:rsid w:val="004A0F50"/>
    <w:rsid w:val="004A1744"/>
    <w:rsid w:val="004A1AE5"/>
    <w:rsid w:val="004A235C"/>
    <w:rsid w:val="004A402D"/>
    <w:rsid w:val="004A46F5"/>
    <w:rsid w:val="004A5BBC"/>
    <w:rsid w:val="004A63E4"/>
    <w:rsid w:val="004A6525"/>
    <w:rsid w:val="004A6BA9"/>
    <w:rsid w:val="004A6E3C"/>
    <w:rsid w:val="004A6FE4"/>
    <w:rsid w:val="004A751B"/>
    <w:rsid w:val="004A783A"/>
    <w:rsid w:val="004A7D45"/>
    <w:rsid w:val="004B06A0"/>
    <w:rsid w:val="004B0CEC"/>
    <w:rsid w:val="004B358D"/>
    <w:rsid w:val="004B46F2"/>
    <w:rsid w:val="004B5024"/>
    <w:rsid w:val="004B5091"/>
    <w:rsid w:val="004B63BB"/>
    <w:rsid w:val="004B6A66"/>
    <w:rsid w:val="004B717B"/>
    <w:rsid w:val="004C1550"/>
    <w:rsid w:val="004C1BC6"/>
    <w:rsid w:val="004C2DE8"/>
    <w:rsid w:val="004C44F3"/>
    <w:rsid w:val="004C4EAA"/>
    <w:rsid w:val="004C5236"/>
    <w:rsid w:val="004C5BDF"/>
    <w:rsid w:val="004C64B6"/>
    <w:rsid w:val="004C7DBE"/>
    <w:rsid w:val="004C7EAD"/>
    <w:rsid w:val="004D0BC2"/>
    <w:rsid w:val="004D1701"/>
    <w:rsid w:val="004D2B5A"/>
    <w:rsid w:val="004D2C0C"/>
    <w:rsid w:val="004D3516"/>
    <w:rsid w:val="004D41EF"/>
    <w:rsid w:val="004D4898"/>
    <w:rsid w:val="004D4FA6"/>
    <w:rsid w:val="004D6825"/>
    <w:rsid w:val="004D6991"/>
    <w:rsid w:val="004D7005"/>
    <w:rsid w:val="004E0BAA"/>
    <w:rsid w:val="004E0C79"/>
    <w:rsid w:val="004E1122"/>
    <w:rsid w:val="004E1285"/>
    <w:rsid w:val="004E1BA4"/>
    <w:rsid w:val="004E1F1B"/>
    <w:rsid w:val="004E34E7"/>
    <w:rsid w:val="004E3BA1"/>
    <w:rsid w:val="004E49F3"/>
    <w:rsid w:val="004E4FDD"/>
    <w:rsid w:val="004E52E5"/>
    <w:rsid w:val="004E6059"/>
    <w:rsid w:val="004E6A1A"/>
    <w:rsid w:val="004E77F7"/>
    <w:rsid w:val="004E7889"/>
    <w:rsid w:val="004F0BF6"/>
    <w:rsid w:val="004F19D4"/>
    <w:rsid w:val="004F2E58"/>
    <w:rsid w:val="004F50CE"/>
    <w:rsid w:val="004F5222"/>
    <w:rsid w:val="004F6813"/>
    <w:rsid w:val="004F68F1"/>
    <w:rsid w:val="004F6A5E"/>
    <w:rsid w:val="00500656"/>
    <w:rsid w:val="00500D26"/>
    <w:rsid w:val="005021EA"/>
    <w:rsid w:val="00502ADA"/>
    <w:rsid w:val="00502BC7"/>
    <w:rsid w:val="00502BE6"/>
    <w:rsid w:val="005032F7"/>
    <w:rsid w:val="005034DF"/>
    <w:rsid w:val="00503641"/>
    <w:rsid w:val="005044EF"/>
    <w:rsid w:val="00504C92"/>
    <w:rsid w:val="00504D6E"/>
    <w:rsid w:val="00505A0A"/>
    <w:rsid w:val="00505DE4"/>
    <w:rsid w:val="00505FC6"/>
    <w:rsid w:val="0050641C"/>
    <w:rsid w:val="00507118"/>
    <w:rsid w:val="00510166"/>
    <w:rsid w:val="00510303"/>
    <w:rsid w:val="005103BF"/>
    <w:rsid w:val="0051086C"/>
    <w:rsid w:val="00510A76"/>
    <w:rsid w:val="005119EC"/>
    <w:rsid w:val="00511CC6"/>
    <w:rsid w:val="005120E2"/>
    <w:rsid w:val="005127DE"/>
    <w:rsid w:val="00512E52"/>
    <w:rsid w:val="00512FAD"/>
    <w:rsid w:val="00514435"/>
    <w:rsid w:val="00514EAD"/>
    <w:rsid w:val="00515811"/>
    <w:rsid w:val="005159D2"/>
    <w:rsid w:val="005167CC"/>
    <w:rsid w:val="005168E9"/>
    <w:rsid w:val="00516B98"/>
    <w:rsid w:val="00516D54"/>
    <w:rsid w:val="005170CA"/>
    <w:rsid w:val="00517D6E"/>
    <w:rsid w:val="0052030C"/>
    <w:rsid w:val="005204D3"/>
    <w:rsid w:val="00520E23"/>
    <w:rsid w:val="005211AE"/>
    <w:rsid w:val="00521A46"/>
    <w:rsid w:val="005226F2"/>
    <w:rsid w:val="00522CDC"/>
    <w:rsid w:val="00524326"/>
    <w:rsid w:val="005258AE"/>
    <w:rsid w:val="005258D6"/>
    <w:rsid w:val="00525A55"/>
    <w:rsid w:val="00526400"/>
    <w:rsid w:val="00526869"/>
    <w:rsid w:val="00526922"/>
    <w:rsid w:val="00527149"/>
    <w:rsid w:val="00527D97"/>
    <w:rsid w:val="005317DA"/>
    <w:rsid w:val="005329BB"/>
    <w:rsid w:val="00532B50"/>
    <w:rsid w:val="005347F7"/>
    <w:rsid w:val="00535FF3"/>
    <w:rsid w:val="005369C0"/>
    <w:rsid w:val="00536CFF"/>
    <w:rsid w:val="00537034"/>
    <w:rsid w:val="00540830"/>
    <w:rsid w:val="00540E5C"/>
    <w:rsid w:val="0054281E"/>
    <w:rsid w:val="00542DD6"/>
    <w:rsid w:val="005439FB"/>
    <w:rsid w:val="005451D1"/>
    <w:rsid w:val="0054547B"/>
    <w:rsid w:val="005461D8"/>
    <w:rsid w:val="00546E70"/>
    <w:rsid w:val="00550120"/>
    <w:rsid w:val="00550B89"/>
    <w:rsid w:val="00551A7B"/>
    <w:rsid w:val="005526F6"/>
    <w:rsid w:val="005528FB"/>
    <w:rsid w:val="005535D2"/>
    <w:rsid w:val="00553E70"/>
    <w:rsid w:val="005542E0"/>
    <w:rsid w:val="005545D1"/>
    <w:rsid w:val="005569CE"/>
    <w:rsid w:val="00557EC0"/>
    <w:rsid w:val="0056077B"/>
    <w:rsid w:val="00560D61"/>
    <w:rsid w:val="00560F97"/>
    <w:rsid w:val="00561351"/>
    <w:rsid w:val="005619B5"/>
    <w:rsid w:val="00562A8A"/>
    <w:rsid w:val="0056450B"/>
    <w:rsid w:val="00564C74"/>
    <w:rsid w:val="00564F18"/>
    <w:rsid w:val="00565994"/>
    <w:rsid w:val="00565D84"/>
    <w:rsid w:val="00566256"/>
    <w:rsid w:val="0056633D"/>
    <w:rsid w:val="005666C3"/>
    <w:rsid w:val="0056732C"/>
    <w:rsid w:val="0057007B"/>
    <w:rsid w:val="00570E66"/>
    <w:rsid w:val="0057141F"/>
    <w:rsid w:val="00571899"/>
    <w:rsid w:val="005725C6"/>
    <w:rsid w:val="0057268E"/>
    <w:rsid w:val="00572AEB"/>
    <w:rsid w:val="00574781"/>
    <w:rsid w:val="00574E1F"/>
    <w:rsid w:val="005750DB"/>
    <w:rsid w:val="00575314"/>
    <w:rsid w:val="005753AE"/>
    <w:rsid w:val="00575C46"/>
    <w:rsid w:val="0057758A"/>
    <w:rsid w:val="00577FB1"/>
    <w:rsid w:val="0058015D"/>
    <w:rsid w:val="00580427"/>
    <w:rsid w:val="00580862"/>
    <w:rsid w:val="00580D97"/>
    <w:rsid w:val="00581172"/>
    <w:rsid w:val="0058254A"/>
    <w:rsid w:val="005825D3"/>
    <w:rsid w:val="005828FB"/>
    <w:rsid w:val="005831BE"/>
    <w:rsid w:val="00583CD6"/>
    <w:rsid w:val="005844BD"/>
    <w:rsid w:val="00584B8C"/>
    <w:rsid w:val="005861AA"/>
    <w:rsid w:val="00586B30"/>
    <w:rsid w:val="00586C22"/>
    <w:rsid w:val="0058711F"/>
    <w:rsid w:val="0059043A"/>
    <w:rsid w:val="00590C1B"/>
    <w:rsid w:val="00590D63"/>
    <w:rsid w:val="00595178"/>
    <w:rsid w:val="005973B6"/>
    <w:rsid w:val="0059765F"/>
    <w:rsid w:val="005A0F48"/>
    <w:rsid w:val="005A204A"/>
    <w:rsid w:val="005A2051"/>
    <w:rsid w:val="005A273F"/>
    <w:rsid w:val="005A27FB"/>
    <w:rsid w:val="005A303E"/>
    <w:rsid w:val="005A57E7"/>
    <w:rsid w:val="005A6C05"/>
    <w:rsid w:val="005A7EE6"/>
    <w:rsid w:val="005B1FF1"/>
    <w:rsid w:val="005B28C1"/>
    <w:rsid w:val="005B32AF"/>
    <w:rsid w:val="005B340F"/>
    <w:rsid w:val="005B4F02"/>
    <w:rsid w:val="005C19B1"/>
    <w:rsid w:val="005C2BE3"/>
    <w:rsid w:val="005C4572"/>
    <w:rsid w:val="005C4B5C"/>
    <w:rsid w:val="005C5684"/>
    <w:rsid w:val="005C56BF"/>
    <w:rsid w:val="005C5965"/>
    <w:rsid w:val="005C5A4F"/>
    <w:rsid w:val="005C6FE0"/>
    <w:rsid w:val="005C7DBD"/>
    <w:rsid w:val="005D086B"/>
    <w:rsid w:val="005D0BF5"/>
    <w:rsid w:val="005D20BA"/>
    <w:rsid w:val="005D31D9"/>
    <w:rsid w:val="005D36F3"/>
    <w:rsid w:val="005D48CB"/>
    <w:rsid w:val="005D4A7C"/>
    <w:rsid w:val="005D4E5B"/>
    <w:rsid w:val="005D52A8"/>
    <w:rsid w:val="005D5A9F"/>
    <w:rsid w:val="005E031B"/>
    <w:rsid w:val="005E0670"/>
    <w:rsid w:val="005E1872"/>
    <w:rsid w:val="005E1AB3"/>
    <w:rsid w:val="005E1C00"/>
    <w:rsid w:val="005E2341"/>
    <w:rsid w:val="005E3861"/>
    <w:rsid w:val="005E417F"/>
    <w:rsid w:val="005E441D"/>
    <w:rsid w:val="005E44AD"/>
    <w:rsid w:val="005E456B"/>
    <w:rsid w:val="005E53CB"/>
    <w:rsid w:val="005E67C6"/>
    <w:rsid w:val="005E67F5"/>
    <w:rsid w:val="005E6C1E"/>
    <w:rsid w:val="005E6C28"/>
    <w:rsid w:val="005E7B75"/>
    <w:rsid w:val="005F1778"/>
    <w:rsid w:val="005F34DB"/>
    <w:rsid w:val="005F3D81"/>
    <w:rsid w:val="005F4149"/>
    <w:rsid w:val="005F5056"/>
    <w:rsid w:val="005F69F5"/>
    <w:rsid w:val="005F7322"/>
    <w:rsid w:val="005F7346"/>
    <w:rsid w:val="0060177E"/>
    <w:rsid w:val="00601E8D"/>
    <w:rsid w:val="00602217"/>
    <w:rsid w:val="00603650"/>
    <w:rsid w:val="006044AE"/>
    <w:rsid w:val="00605639"/>
    <w:rsid w:val="006061C0"/>
    <w:rsid w:val="00606A7F"/>
    <w:rsid w:val="006077A0"/>
    <w:rsid w:val="0061001D"/>
    <w:rsid w:val="006108A6"/>
    <w:rsid w:val="00611430"/>
    <w:rsid w:val="00611661"/>
    <w:rsid w:val="00612119"/>
    <w:rsid w:val="006137FE"/>
    <w:rsid w:val="00613BEF"/>
    <w:rsid w:val="0061487B"/>
    <w:rsid w:val="00615655"/>
    <w:rsid w:val="006156F3"/>
    <w:rsid w:val="00616BE6"/>
    <w:rsid w:val="00616F96"/>
    <w:rsid w:val="00617230"/>
    <w:rsid w:val="0061751A"/>
    <w:rsid w:val="00620632"/>
    <w:rsid w:val="006208E1"/>
    <w:rsid w:val="00620BAB"/>
    <w:rsid w:val="00621DAB"/>
    <w:rsid w:val="00621F48"/>
    <w:rsid w:val="00622644"/>
    <w:rsid w:val="00622E6E"/>
    <w:rsid w:val="00623172"/>
    <w:rsid w:val="006246FC"/>
    <w:rsid w:val="00624E00"/>
    <w:rsid w:val="00625156"/>
    <w:rsid w:val="00625865"/>
    <w:rsid w:val="0062595B"/>
    <w:rsid w:val="00626B3F"/>
    <w:rsid w:val="00626BCC"/>
    <w:rsid w:val="006307A1"/>
    <w:rsid w:val="00630ABE"/>
    <w:rsid w:val="00630D04"/>
    <w:rsid w:val="00630EDA"/>
    <w:rsid w:val="00631481"/>
    <w:rsid w:val="0063168D"/>
    <w:rsid w:val="0063262B"/>
    <w:rsid w:val="00632881"/>
    <w:rsid w:val="00632D9A"/>
    <w:rsid w:val="00633EEE"/>
    <w:rsid w:val="00634D0E"/>
    <w:rsid w:val="00634F5F"/>
    <w:rsid w:val="00635992"/>
    <w:rsid w:val="00636E6A"/>
    <w:rsid w:val="00636FB0"/>
    <w:rsid w:val="006406F1"/>
    <w:rsid w:val="00641FE8"/>
    <w:rsid w:val="006425F7"/>
    <w:rsid w:val="006436B1"/>
    <w:rsid w:val="00643954"/>
    <w:rsid w:val="00644ACA"/>
    <w:rsid w:val="00645129"/>
    <w:rsid w:val="00646242"/>
    <w:rsid w:val="006465B1"/>
    <w:rsid w:val="006471C5"/>
    <w:rsid w:val="00651198"/>
    <w:rsid w:val="0065195C"/>
    <w:rsid w:val="00651D37"/>
    <w:rsid w:val="00652223"/>
    <w:rsid w:val="00652B08"/>
    <w:rsid w:val="00653164"/>
    <w:rsid w:val="006531AF"/>
    <w:rsid w:val="0065446D"/>
    <w:rsid w:val="00654FB6"/>
    <w:rsid w:val="00654FF8"/>
    <w:rsid w:val="00655C6C"/>
    <w:rsid w:val="006570B1"/>
    <w:rsid w:val="00657689"/>
    <w:rsid w:val="0066057D"/>
    <w:rsid w:val="00660DD1"/>
    <w:rsid w:val="00661708"/>
    <w:rsid w:val="006626DF"/>
    <w:rsid w:val="00663075"/>
    <w:rsid w:val="006631E3"/>
    <w:rsid w:val="00663C35"/>
    <w:rsid w:val="00663EEA"/>
    <w:rsid w:val="006642E5"/>
    <w:rsid w:val="00664489"/>
    <w:rsid w:val="00665769"/>
    <w:rsid w:val="006661CC"/>
    <w:rsid w:val="00666608"/>
    <w:rsid w:val="006676B1"/>
    <w:rsid w:val="0067033F"/>
    <w:rsid w:val="00670583"/>
    <w:rsid w:val="006719B9"/>
    <w:rsid w:val="00673315"/>
    <w:rsid w:val="00674491"/>
    <w:rsid w:val="0067507A"/>
    <w:rsid w:val="00675D4D"/>
    <w:rsid w:val="006767B7"/>
    <w:rsid w:val="00676C70"/>
    <w:rsid w:val="00676FA5"/>
    <w:rsid w:val="00677803"/>
    <w:rsid w:val="00677855"/>
    <w:rsid w:val="00677F02"/>
    <w:rsid w:val="00681EB8"/>
    <w:rsid w:val="006829EE"/>
    <w:rsid w:val="006838DF"/>
    <w:rsid w:val="0068445C"/>
    <w:rsid w:val="00684CA8"/>
    <w:rsid w:val="0068507E"/>
    <w:rsid w:val="006854E1"/>
    <w:rsid w:val="00685593"/>
    <w:rsid w:val="00690E96"/>
    <w:rsid w:val="00691776"/>
    <w:rsid w:val="00693FB4"/>
    <w:rsid w:val="006942B6"/>
    <w:rsid w:val="006948AE"/>
    <w:rsid w:val="0069531D"/>
    <w:rsid w:val="006959D1"/>
    <w:rsid w:val="00696215"/>
    <w:rsid w:val="0069673D"/>
    <w:rsid w:val="00696A6E"/>
    <w:rsid w:val="006A07FB"/>
    <w:rsid w:val="006A0B6F"/>
    <w:rsid w:val="006A0E33"/>
    <w:rsid w:val="006A17D7"/>
    <w:rsid w:val="006A2C5B"/>
    <w:rsid w:val="006A3B99"/>
    <w:rsid w:val="006A420C"/>
    <w:rsid w:val="006A43A2"/>
    <w:rsid w:val="006A57D8"/>
    <w:rsid w:val="006A5987"/>
    <w:rsid w:val="006A6A29"/>
    <w:rsid w:val="006A6FDD"/>
    <w:rsid w:val="006B198F"/>
    <w:rsid w:val="006B2AD8"/>
    <w:rsid w:val="006B3CAB"/>
    <w:rsid w:val="006B4427"/>
    <w:rsid w:val="006B4A52"/>
    <w:rsid w:val="006B4E53"/>
    <w:rsid w:val="006B5686"/>
    <w:rsid w:val="006B5DDE"/>
    <w:rsid w:val="006B660D"/>
    <w:rsid w:val="006B701F"/>
    <w:rsid w:val="006B721D"/>
    <w:rsid w:val="006B752C"/>
    <w:rsid w:val="006B7950"/>
    <w:rsid w:val="006C096E"/>
    <w:rsid w:val="006C0F20"/>
    <w:rsid w:val="006C1593"/>
    <w:rsid w:val="006C2989"/>
    <w:rsid w:val="006C35B6"/>
    <w:rsid w:val="006C3CCB"/>
    <w:rsid w:val="006C433B"/>
    <w:rsid w:val="006C4A68"/>
    <w:rsid w:val="006C4D66"/>
    <w:rsid w:val="006C4F10"/>
    <w:rsid w:val="006C5ECD"/>
    <w:rsid w:val="006C6753"/>
    <w:rsid w:val="006C719B"/>
    <w:rsid w:val="006C7D33"/>
    <w:rsid w:val="006D0178"/>
    <w:rsid w:val="006D050A"/>
    <w:rsid w:val="006D0943"/>
    <w:rsid w:val="006D110C"/>
    <w:rsid w:val="006D1120"/>
    <w:rsid w:val="006D1132"/>
    <w:rsid w:val="006D192E"/>
    <w:rsid w:val="006D2135"/>
    <w:rsid w:val="006D23AF"/>
    <w:rsid w:val="006D281F"/>
    <w:rsid w:val="006D37AE"/>
    <w:rsid w:val="006D3D2C"/>
    <w:rsid w:val="006D3EF7"/>
    <w:rsid w:val="006D4330"/>
    <w:rsid w:val="006D454E"/>
    <w:rsid w:val="006D469C"/>
    <w:rsid w:val="006D5365"/>
    <w:rsid w:val="006D548D"/>
    <w:rsid w:val="006D5885"/>
    <w:rsid w:val="006D718E"/>
    <w:rsid w:val="006D71A0"/>
    <w:rsid w:val="006D7DB5"/>
    <w:rsid w:val="006E034B"/>
    <w:rsid w:val="006E1E09"/>
    <w:rsid w:val="006E376E"/>
    <w:rsid w:val="006E45C8"/>
    <w:rsid w:val="006E59E3"/>
    <w:rsid w:val="006E657F"/>
    <w:rsid w:val="006E6A5A"/>
    <w:rsid w:val="006E76E0"/>
    <w:rsid w:val="006E7B00"/>
    <w:rsid w:val="006E7F6E"/>
    <w:rsid w:val="006F0130"/>
    <w:rsid w:val="006F072F"/>
    <w:rsid w:val="006F117C"/>
    <w:rsid w:val="006F1540"/>
    <w:rsid w:val="006F28BA"/>
    <w:rsid w:val="006F30ED"/>
    <w:rsid w:val="006F341A"/>
    <w:rsid w:val="006F392C"/>
    <w:rsid w:val="006F4701"/>
    <w:rsid w:val="006F47AF"/>
    <w:rsid w:val="006F5675"/>
    <w:rsid w:val="006F5D9D"/>
    <w:rsid w:val="006F706B"/>
    <w:rsid w:val="006F76AF"/>
    <w:rsid w:val="006F7D5D"/>
    <w:rsid w:val="007004D2"/>
    <w:rsid w:val="007006E9"/>
    <w:rsid w:val="00700C6F"/>
    <w:rsid w:val="0070122B"/>
    <w:rsid w:val="0070188C"/>
    <w:rsid w:val="007018FF"/>
    <w:rsid w:val="00701E98"/>
    <w:rsid w:val="00701FB8"/>
    <w:rsid w:val="00702AD5"/>
    <w:rsid w:val="007039A2"/>
    <w:rsid w:val="00704230"/>
    <w:rsid w:val="00704601"/>
    <w:rsid w:val="007050C7"/>
    <w:rsid w:val="007057F0"/>
    <w:rsid w:val="00706119"/>
    <w:rsid w:val="00706CEE"/>
    <w:rsid w:val="00707258"/>
    <w:rsid w:val="00707596"/>
    <w:rsid w:val="00707823"/>
    <w:rsid w:val="007079A3"/>
    <w:rsid w:val="00707EAD"/>
    <w:rsid w:val="007102A6"/>
    <w:rsid w:val="00712560"/>
    <w:rsid w:val="007149AE"/>
    <w:rsid w:val="00714A26"/>
    <w:rsid w:val="007150AC"/>
    <w:rsid w:val="007152F2"/>
    <w:rsid w:val="00715644"/>
    <w:rsid w:val="00716004"/>
    <w:rsid w:val="00716122"/>
    <w:rsid w:val="0071676B"/>
    <w:rsid w:val="007174CF"/>
    <w:rsid w:val="00717717"/>
    <w:rsid w:val="00717F43"/>
    <w:rsid w:val="00720856"/>
    <w:rsid w:val="00720B8F"/>
    <w:rsid w:val="0072143F"/>
    <w:rsid w:val="00721C44"/>
    <w:rsid w:val="0072260D"/>
    <w:rsid w:val="007228D1"/>
    <w:rsid w:val="007231FC"/>
    <w:rsid w:val="007237C9"/>
    <w:rsid w:val="00725670"/>
    <w:rsid w:val="007275CC"/>
    <w:rsid w:val="00727791"/>
    <w:rsid w:val="00730E67"/>
    <w:rsid w:val="00731AB8"/>
    <w:rsid w:val="00731ECB"/>
    <w:rsid w:val="00731ED0"/>
    <w:rsid w:val="00731F41"/>
    <w:rsid w:val="00731F47"/>
    <w:rsid w:val="00731F63"/>
    <w:rsid w:val="00732CC9"/>
    <w:rsid w:val="00733246"/>
    <w:rsid w:val="00733977"/>
    <w:rsid w:val="00734477"/>
    <w:rsid w:val="00736552"/>
    <w:rsid w:val="00737707"/>
    <w:rsid w:val="007411F2"/>
    <w:rsid w:val="00741BBB"/>
    <w:rsid w:val="0074233E"/>
    <w:rsid w:val="007423E1"/>
    <w:rsid w:val="007440F4"/>
    <w:rsid w:val="007441E5"/>
    <w:rsid w:val="00744C10"/>
    <w:rsid w:val="00744C4E"/>
    <w:rsid w:val="0074571A"/>
    <w:rsid w:val="007458F2"/>
    <w:rsid w:val="0074604A"/>
    <w:rsid w:val="00746070"/>
    <w:rsid w:val="007473E1"/>
    <w:rsid w:val="00747C3E"/>
    <w:rsid w:val="0075090A"/>
    <w:rsid w:val="007518C8"/>
    <w:rsid w:val="0075221B"/>
    <w:rsid w:val="007525E4"/>
    <w:rsid w:val="00754051"/>
    <w:rsid w:val="00755156"/>
    <w:rsid w:val="00755888"/>
    <w:rsid w:val="00755C12"/>
    <w:rsid w:val="00755EB9"/>
    <w:rsid w:val="007569BB"/>
    <w:rsid w:val="007574B6"/>
    <w:rsid w:val="00757C24"/>
    <w:rsid w:val="00757E37"/>
    <w:rsid w:val="00757F1A"/>
    <w:rsid w:val="00762F87"/>
    <w:rsid w:val="00763BAF"/>
    <w:rsid w:val="00763CBC"/>
    <w:rsid w:val="00764D15"/>
    <w:rsid w:val="00765040"/>
    <w:rsid w:val="00765806"/>
    <w:rsid w:val="00766685"/>
    <w:rsid w:val="007669AF"/>
    <w:rsid w:val="00766F15"/>
    <w:rsid w:val="00770AF4"/>
    <w:rsid w:val="00770E2C"/>
    <w:rsid w:val="00770E71"/>
    <w:rsid w:val="00771BB6"/>
    <w:rsid w:val="00771C4D"/>
    <w:rsid w:val="007724D2"/>
    <w:rsid w:val="00772B79"/>
    <w:rsid w:val="007735A8"/>
    <w:rsid w:val="007738FD"/>
    <w:rsid w:val="007742BC"/>
    <w:rsid w:val="00775509"/>
    <w:rsid w:val="00775CCA"/>
    <w:rsid w:val="0077750B"/>
    <w:rsid w:val="00780119"/>
    <w:rsid w:val="00780209"/>
    <w:rsid w:val="00780378"/>
    <w:rsid w:val="00780800"/>
    <w:rsid w:val="00781159"/>
    <w:rsid w:val="007813BE"/>
    <w:rsid w:val="00781ADF"/>
    <w:rsid w:val="00784128"/>
    <w:rsid w:val="007852CE"/>
    <w:rsid w:val="00785523"/>
    <w:rsid w:val="00785633"/>
    <w:rsid w:val="00785651"/>
    <w:rsid w:val="00785CFC"/>
    <w:rsid w:val="00785D86"/>
    <w:rsid w:val="00786096"/>
    <w:rsid w:val="0078777B"/>
    <w:rsid w:val="00787BC6"/>
    <w:rsid w:val="00791F56"/>
    <w:rsid w:val="00792D2A"/>
    <w:rsid w:val="00793992"/>
    <w:rsid w:val="00794105"/>
    <w:rsid w:val="007944D7"/>
    <w:rsid w:val="00794B04"/>
    <w:rsid w:val="00794E54"/>
    <w:rsid w:val="00795476"/>
    <w:rsid w:val="00795E94"/>
    <w:rsid w:val="007967E7"/>
    <w:rsid w:val="00796EE6"/>
    <w:rsid w:val="007971B5"/>
    <w:rsid w:val="007A004D"/>
    <w:rsid w:val="007A0472"/>
    <w:rsid w:val="007A0D4C"/>
    <w:rsid w:val="007A0EFA"/>
    <w:rsid w:val="007A1E71"/>
    <w:rsid w:val="007A213A"/>
    <w:rsid w:val="007A2177"/>
    <w:rsid w:val="007A27E9"/>
    <w:rsid w:val="007A2803"/>
    <w:rsid w:val="007A2F0D"/>
    <w:rsid w:val="007A5998"/>
    <w:rsid w:val="007A5C15"/>
    <w:rsid w:val="007A652F"/>
    <w:rsid w:val="007A69E1"/>
    <w:rsid w:val="007B0039"/>
    <w:rsid w:val="007B0806"/>
    <w:rsid w:val="007B0988"/>
    <w:rsid w:val="007B0D4D"/>
    <w:rsid w:val="007B0DB0"/>
    <w:rsid w:val="007B2419"/>
    <w:rsid w:val="007B2AC4"/>
    <w:rsid w:val="007B2DC4"/>
    <w:rsid w:val="007B4C0B"/>
    <w:rsid w:val="007B4D7C"/>
    <w:rsid w:val="007B52B5"/>
    <w:rsid w:val="007B574D"/>
    <w:rsid w:val="007B64C7"/>
    <w:rsid w:val="007B6A36"/>
    <w:rsid w:val="007B73A3"/>
    <w:rsid w:val="007B79EA"/>
    <w:rsid w:val="007B7B6E"/>
    <w:rsid w:val="007C0704"/>
    <w:rsid w:val="007C0B0E"/>
    <w:rsid w:val="007C1745"/>
    <w:rsid w:val="007C2E5C"/>
    <w:rsid w:val="007C387F"/>
    <w:rsid w:val="007C3B1A"/>
    <w:rsid w:val="007C4493"/>
    <w:rsid w:val="007C4B5A"/>
    <w:rsid w:val="007C58EC"/>
    <w:rsid w:val="007C5DDC"/>
    <w:rsid w:val="007C5E48"/>
    <w:rsid w:val="007C6B34"/>
    <w:rsid w:val="007C6D15"/>
    <w:rsid w:val="007D0652"/>
    <w:rsid w:val="007D10A3"/>
    <w:rsid w:val="007D1572"/>
    <w:rsid w:val="007D1CD0"/>
    <w:rsid w:val="007D31ED"/>
    <w:rsid w:val="007D3B0C"/>
    <w:rsid w:val="007D5242"/>
    <w:rsid w:val="007D564C"/>
    <w:rsid w:val="007D5D8D"/>
    <w:rsid w:val="007D5F96"/>
    <w:rsid w:val="007D5FAA"/>
    <w:rsid w:val="007E045F"/>
    <w:rsid w:val="007E0718"/>
    <w:rsid w:val="007E0B7B"/>
    <w:rsid w:val="007E1623"/>
    <w:rsid w:val="007E25E9"/>
    <w:rsid w:val="007E26C2"/>
    <w:rsid w:val="007E2BE8"/>
    <w:rsid w:val="007E2D41"/>
    <w:rsid w:val="007E416C"/>
    <w:rsid w:val="007E4CE6"/>
    <w:rsid w:val="007E5EC3"/>
    <w:rsid w:val="007E6952"/>
    <w:rsid w:val="007E6B05"/>
    <w:rsid w:val="007E7439"/>
    <w:rsid w:val="007E75B5"/>
    <w:rsid w:val="007E7B6F"/>
    <w:rsid w:val="007E7BC3"/>
    <w:rsid w:val="007E7F86"/>
    <w:rsid w:val="007F0071"/>
    <w:rsid w:val="007F0800"/>
    <w:rsid w:val="007F08B6"/>
    <w:rsid w:val="007F091A"/>
    <w:rsid w:val="007F0FB7"/>
    <w:rsid w:val="007F11D5"/>
    <w:rsid w:val="007F1910"/>
    <w:rsid w:val="007F2B82"/>
    <w:rsid w:val="007F3253"/>
    <w:rsid w:val="007F4BA6"/>
    <w:rsid w:val="007F5016"/>
    <w:rsid w:val="007F52F0"/>
    <w:rsid w:val="007F5BEB"/>
    <w:rsid w:val="007F728B"/>
    <w:rsid w:val="007F77A0"/>
    <w:rsid w:val="008008FE"/>
    <w:rsid w:val="00801559"/>
    <w:rsid w:val="00801B2F"/>
    <w:rsid w:val="00801B93"/>
    <w:rsid w:val="00802AD6"/>
    <w:rsid w:val="00803A13"/>
    <w:rsid w:val="0080455F"/>
    <w:rsid w:val="008048CD"/>
    <w:rsid w:val="008055AE"/>
    <w:rsid w:val="00805CC7"/>
    <w:rsid w:val="00806ECF"/>
    <w:rsid w:val="0080709F"/>
    <w:rsid w:val="008077B3"/>
    <w:rsid w:val="0081035A"/>
    <w:rsid w:val="00811A2A"/>
    <w:rsid w:val="008124C1"/>
    <w:rsid w:val="00812AB3"/>
    <w:rsid w:val="00813149"/>
    <w:rsid w:val="00813E54"/>
    <w:rsid w:val="00813F58"/>
    <w:rsid w:val="008145DB"/>
    <w:rsid w:val="00817039"/>
    <w:rsid w:val="0081704B"/>
    <w:rsid w:val="00817247"/>
    <w:rsid w:val="008174FD"/>
    <w:rsid w:val="008175DF"/>
    <w:rsid w:val="008177D8"/>
    <w:rsid w:val="00817C38"/>
    <w:rsid w:val="0082058C"/>
    <w:rsid w:val="00821C51"/>
    <w:rsid w:val="008231AE"/>
    <w:rsid w:val="0082341B"/>
    <w:rsid w:val="0082344F"/>
    <w:rsid w:val="00824409"/>
    <w:rsid w:val="008246E3"/>
    <w:rsid w:val="00824C29"/>
    <w:rsid w:val="008258BF"/>
    <w:rsid w:val="00826656"/>
    <w:rsid w:val="00826A87"/>
    <w:rsid w:val="00827326"/>
    <w:rsid w:val="0083037C"/>
    <w:rsid w:val="0083075F"/>
    <w:rsid w:val="00830FE0"/>
    <w:rsid w:val="00831F58"/>
    <w:rsid w:val="00832163"/>
    <w:rsid w:val="0083255B"/>
    <w:rsid w:val="008330B0"/>
    <w:rsid w:val="008331ED"/>
    <w:rsid w:val="00833803"/>
    <w:rsid w:val="00833A07"/>
    <w:rsid w:val="00835589"/>
    <w:rsid w:val="00836BE4"/>
    <w:rsid w:val="0083739C"/>
    <w:rsid w:val="00837811"/>
    <w:rsid w:val="008379D0"/>
    <w:rsid w:val="00837AC6"/>
    <w:rsid w:val="00842566"/>
    <w:rsid w:val="008427A8"/>
    <w:rsid w:val="00843B1F"/>
    <w:rsid w:val="00843B93"/>
    <w:rsid w:val="00843F8C"/>
    <w:rsid w:val="00844083"/>
    <w:rsid w:val="0084414F"/>
    <w:rsid w:val="00844357"/>
    <w:rsid w:val="00844801"/>
    <w:rsid w:val="00846670"/>
    <w:rsid w:val="00847857"/>
    <w:rsid w:val="0085009A"/>
    <w:rsid w:val="00852457"/>
    <w:rsid w:val="00852675"/>
    <w:rsid w:val="008529C3"/>
    <w:rsid w:val="00852C05"/>
    <w:rsid w:val="00853C86"/>
    <w:rsid w:val="00853F26"/>
    <w:rsid w:val="00854FF5"/>
    <w:rsid w:val="00855891"/>
    <w:rsid w:val="00855F3D"/>
    <w:rsid w:val="0085708A"/>
    <w:rsid w:val="008576F9"/>
    <w:rsid w:val="008610A9"/>
    <w:rsid w:val="00862B76"/>
    <w:rsid w:val="00863019"/>
    <w:rsid w:val="0086388D"/>
    <w:rsid w:val="00864330"/>
    <w:rsid w:val="008652E5"/>
    <w:rsid w:val="008657CE"/>
    <w:rsid w:val="00866ABE"/>
    <w:rsid w:val="00867060"/>
    <w:rsid w:val="00867724"/>
    <w:rsid w:val="00867B6D"/>
    <w:rsid w:val="00870965"/>
    <w:rsid w:val="0087114F"/>
    <w:rsid w:val="008715DF"/>
    <w:rsid w:val="00872481"/>
    <w:rsid w:val="0087353F"/>
    <w:rsid w:val="00873552"/>
    <w:rsid w:val="008737A1"/>
    <w:rsid w:val="00874997"/>
    <w:rsid w:val="00875E62"/>
    <w:rsid w:val="00876141"/>
    <w:rsid w:val="008764AD"/>
    <w:rsid w:val="008817E2"/>
    <w:rsid w:val="00881908"/>
    <w:rsid w:val="0088198E"/>
    <w:rsid w:val="008823BD"/>
    <w:rsid w:val="008824C5"/>
    <w:rsid w:val="0088322C"/>
    <w:rsid w:val="008837ED"/>
    <w:rsid w:val="00883D0D"/>
    <w:rsid w:val="00884ADE"/>
    <w:rsid w:val="00885541"/>
    <w:rsid w:val="0088612D"/>
    <w:rsid w:val="00886527"/>
    <w:rsid w:val="00886B87"/>
    <w:rsid w:val="0088713E"/>
    <w:rsid w:val="008871DE"/>
    <w:rsid w:val="0088762A"/>
    <w:rsid w:val="00890090"/>
    <w:rsid w:val="008905D7"/>
    <w:rsid w:val="0089063C"/>
    <w:rsid w:val="008908A4"/>
    <w:rsid w:val="00892379"/>
    <w:rsid w:val="00892BDE"/>
    <w:rsid w:val="00892FA7"/>
    <w:rsid w:val="0089364D"/>
    <w:rsid w:val="00894933"/>
    <w:rsid w:val="00894A9B"/>
    <w:rsid w:val="008952A5"/>
    <w:rsid w:val="00896A2A"/>
    <w:rsid w:val="00896A36"/>
    <w:rsid w:val="00896ED8"/>
    <w:rsid w:val="00897668"/>
    <w:rsid w:val="00897EAF"/>
    <w:rsid w:val="008A078E"/>
    <w:rsid w:val="008A081F"/>
    <w:rsid w:val="008A0AAD"/>
    <w:rsid w:val="008A0D1F"/>
    <w:rsid w:val="008A1A02"/>
    <w:rsid w:val="008A2494"/>
    <w:rsid w:val="008A27F0"/>
    <w:rsid w:val="008A2A2D"/>
    <w:rsid w:val="008A3ADE"/>
    <w:rsid w:val="008A40AD"/>
    <w:rsid w:val="008A4746"/>
    <w:rsid w:val="008A4C3B"/>
    <w:rsid w:val="008A684D"/>
    <w:rsid w:val="008A6F77"/>
    <w:rsid w:val="008A7AA7"/>
    <w:rsid w:val="008B02CB"/>
    <w:rsid w:val="008B0E93"/>
    <w:rsid w:val="008B0EF7"/>
    <w:rsid w:val="008B1066"/>
    <w:rsid w:val="008B1364"/>
    <w:rsid w:val="008B1834"/>
    <w:rsid w:val="008B20E7"/>
    <w:rsid w:val="008B33C1"/>
    <w:rsid w:val="008B39E8"/>
    <w:rsid w:val="008B4CAF"/>
    <w:rsid w:val="008B5A9B"/>
    <w:rsid w:val="008B6522"/>
    <w:rsid w:val="008C0BCF"/>
    <w:rsid w:val="008C100C"/>
    <w:rsid w:val="008C2402"/>
    <w:rsid w:val="008C2C71"/>
    <w:rsid w:val="008C3899"/>
    <w:rsid w:val="008C3FBC"/>
    <w:rsid w:val="008C4BAF"/>
    <w:rsid w:val="008C5434"/>
    <w:rsid w:val="008C5494"/>
    <w:rsid w:val="008C54A0"/>
    <w:rsid w:val="008C6729"/>
    <w:rsid w:val="008C6C56"/>
    <w:rsid w:val="008C78B5"/>
    <w:rsid w:val="008D0A37"/>
    <w:rsid w:val="008D0F17"/>
    <w:rsid w:val="008D1BCE"/>
    <w:rsid w:val="008D332E"/>
    <w:rsid w:val="008D35B5"/>
    <w:rsid w:val="008D4092"/>
    <w:rsid w:val="008D46BF"/>
    <w:rsid w:val="008D48E3"/>
    <w:rsid w:val="008D58B4"/>
    <w:rsid w:val="008D5A91"/>
    <w:rsid w:val="008D6993"/>
    <w:rsid w:val="008D7393"/>
    <w:rsid w:val="008D741D"/>
    <w:rsid w:val="008D79F4"/>
    <w:rsid w:val="008E0236"/>
    <w:rsid w:val="008E07E4"/>
    <w:rsid w:val="008E10F6"/>
    <w:rsid w:val="008E24BE"/>
    <w:rsid w:val="008E280E"/>
    <w:rsid w:val="008E291C"/>
    <w:rsid w:val="008E464D"/>
    <w:rsid w:val="008E49BC"/>
    <w:rsid w:val="008E4FAA"/>
    <w:rsid w:val="008E5DB4"/>
    <w:rsid w:val="008E6663"/>
    <w:rsid w:val="008E6DA5"/>
    <w:rsid w:val="008E7B5C"/>
    <w:rsid w:val="008F0AD3"/>
    <w:rsid w:val="008F0C64"/>
    <w:rsid w:val="008F213E"/>
    <w:rsid w:val="008F2186"/>
    <w:rsid w:val="008F2B70"/>
    <w:rsid w:val="008F3966"/>
    <w:rsid w:val="008F47CF"/>
    <w:rsid w:val="008F5003"/>
    <w:rsid w:val="008F5C9F"/>
    <w:rsid w:val="008F68D0"/>
    <w:rsid w:val="008F7444"/>
    <w:rsid w:val="0090038C"/>
    <w:rsid w:val="00901FD6"/>
    <w:rsid w:val="0090209A"/>
    <w:rsid w:val="009022BA"/>
    <w:rsid w:val="00902499"/>
    <w:rsid w:val="00902CC8"/>
    <w:rsid w:val="00902F56"/>
    <w:rsid w:val="00902F78"/>
    <w:rsid w:val="00903842"/>
    <w:rsid w:val="0090470A"/>
    <w:rsid w:val="00904A86"/>
    <w:rsid w:val="0090553F"/>
    <w:rsid w:val="00905836"/>
    <w:rsid w:val="00905C47"/>
    <w:rsid w:val="00907B6D"/>
    <w:rsid w:val="009115A5"/>
    <w:rsid w:val="00912694"/>
    <w:rsid w:val="00912D98"/>
    <w:rsid w:val="00915053"/>
    <w:rsid w:val="00915F20"/>
    <w:rsid w:val="00915F64"/>
    <w:rsid w:val="0091605A"/>
    <w:rsid w:val="009162E6"/>
    <w:rsid w:val="00916602"/>
    <w:rsid w:val="00916D3B"/>
    <w:rsid w:val="00916DCE"/>
    <w:rsid w:val="009173EB"/>
    <w:rsid w:val="009174A3"/>
    <w:rsid w:val="009176ED"/>
    <w:rsid w:val="00917819"/>
    <w:rsid w:val="00917F0B"/>
    <w:rsid w:val="00917FEE"/>
    <w:rsid w:val="009200AF"/>
    <w:rsid w:val="009207EB"/>
    <w:rsid w:val="00920B00"/>
    <w:rsid w:val="00922D49"/>
    <w:rsid w:val="00924F5A"/>
    <w:rsid w:val="0092578F"/>
    <w:rsid w:val="0092766D"/>
    <w:rsid w:val="00927C3F"/>
    <w:rsid w:val="00927E47"/>
    <w:rsid w:val="00930694"/>
    <w:rsid w:val="0093220C"/>
    <w:rsid w:val="0093325A"/>
    <w:rsid w:val="009341E9"/>
    <w:rsid w:val="00934E32"/>
    <w:rsid w:val="00935F02"/>
    <w:rsid w:val="0093619F"/>
    <w:rsid w:val="00936420"/>
    <w:rsid w:val="009371F8"/>
    <w:rsid w:val="0093726C"/>
    <w:rsid w:val="0093767D"/>
    <w:rsid w:val="00940AD5"/>
    <w:rsid w:val="00940FCF"/>
    <w:rsid w:val="009411D7"/>
    <w:rsid w:val="009417B1"/>
    <w:rsid w:val="00942435"/>
    <w:rsid w:val="00942B33"/>
    <w:rsid w:val="009435D1"/>
    <w:rsid w:val="009436E0"/>
    <w:rsid w:val="00944397"/>
    <w:rsid w:val="009447CD"/>
    <w:rsid w:val="00945CD5"/>
    <w:rsid w:val="009464B9"/>
    <w:rsid w:val="00947BFA"/>
    <w:rsid w:val="00947CAC"/>
    <w:rsid w:val="00947E52"/>
    <w:rsid w:val="00950006"/>
    <w:rsid w:val="0095134D"/>
    <w:rsid w:val="009517ED"/>
    <w:rsid w:val="00951BFB"/>
    <w:rsid w:val="00952342"/>
    <w:rsid w:val="009536A4"/>
    <w:rsid w:val="00953B5B"/>
    <w:rsid w:val="00953D4F"/>
    <w:rsid w:val="00954792"/>
    <w:rsid w:val="009548D8"/>
    <w:rsid w:val="00954A6F"/>
    <w:rsid w:val="00954E05"/>
    <w:rsid w:val="009551AC"/>
    <w:rsid w:val="0095591A"/>
    <w:rsid w:val="00955EF9"/>
    <w:rsid w:val="0095656E"/>
    <w:rsid w:val="00957681"/>
    <w:rsid w:val="00957AC9"/>
    <w:rsid w:val="00960D59"/>
    <w:rsid w:val="0096185D"/>
    <w:rsid w:val="00961F31"/>
    <w:rsid w:val="0096347D"/>
    <w:rsid w:val="0096358D"/>
    <w:rsid w:val="00963933"/>
    <w:rsid w:val="00963E12"/>
    <w:rsid w:val="00965504"/>
    <w:rsid w:val="009668A2"/>
    <w:rsid w:val="009708DC"/>
    <w:rsid w:val="00970A46"/>
    <w:rsid w:val="00970D82"/>
    <w:rsid w:val="00971C98"/>
    <w:rsid w:val="00971EDD"/>
    <w:rsid w:val="009733E9"/>
    <w:rsid w:val="00973B44"/>
    <w:rsid w:val="00973C50"/>
    <w:rsid w:val="00974476"/>
    <w:rsid w:val="00974F0D"/>
    <w:rsid w:val="009751AA"/>
    <w:rsid w:val="00975E25"/>
    <w:rsid w:val="00976167"/>
    <w:rsid w:val="009775BE"/>
    <w:rsid w:val="009775FF"/>
    <w:rsid w:val="00981170"/>
    <w:rsid w:val="00981402"/>
    <w:rsid w:val="0098205F"/>
    <w:rsid w:val="00982605"/>
    <w:rsid w:val="00984337"/>
    <w:rsid w:val="009863F4"/>
    <w:rsid w:val="00986CE2"/>
    <w:rsid w:val="00990A4C"/>
    <w:rsid w:val="00990B04"/>
    <w:rsid w:val="00990C6C"/>
    <w:rsid w:val="00991258"/>
    <w:rsid w:val="00991B19"/>
    <w:rsid w:val="00991E15"/>
    <w:rsid w:val="00991E29"/>
    <w:rsid w:val="00992903"/>
    <w:rsid w:val="00992CA3"/>
    <w:rsid w:val="00992E6A"/>
    <w:rsid w:val="009934E6"/>
    <w:rsid w:val="00993719"/>
    <w:rsid w:val="009938C6"/>
    <w:rsid w:val="00995412"/>
    <w:rsid w:val="009955F3"/>
    <w:rsid w:val="00995DE5"/>
    <w:rsid w:val="00995F5A"/>
    <w:rsid w:val="00996831"/>
    <w:rsid w:val="00996D12"/>
    <w:rsid w:val="00997027"/>
    <w:rsid w:val="00997C51"/>
    <w:rsid w:val="00997CFC"/>
    <w:rsid w:val="009A06B0"/>
    <w:rsid w:val="009A0A65"/>
    <w:rsid w:val="009A1BE0"/>
    <w:rsid w:val="009A22C3"/>
    <w:rsid w:val="009A2992"/>
    <w:rsid w:val="009A3CC6"/>
    <w:rsid w:val="009A3DA6"/>
    <w:rsid w:val="009A4869"/>
    <w:rsid w:val="009A4FA6"/>
    <w:rsid w:val="009A5301"/>
    <w:rsid w:val="009A59A5"/>
    <w:rsid w:val="009A6094"/>
    <w:rsid w:val="009A60F4"/>
    <w:rsid w:val="009A7AF1"/>
    <w:rsid w:val="009B00DA"/>
    <w:rsid w:val="009B1001"/>
    <w:rsid w:val="009B16D8"/>
    <w:rsid w:val="009B2896"/>
    <w:rsid w:val="009B3DB2"/>
    <w:rsid w:val="009B3F47"/>
    <w:rsid w:val="009B4103"/>
    <w:rsid w:val="009B49D8"/>
    <w:rsid w:val="009B4B38"/>
    <w:rsid w:val="009B6662"/>
    <w:rsid w:val="009B6738"/>
    <w:rsid w:val="009B67FD"/>
    <w:rsid w:val="009B6EC2"/>
    <w:rsid w:val="009B76CE"/>
    <w:rsid w:val="009B7EEA"/>
    <w:rsid w:val="009C0EEF"/>
    <w:rsid w:val="009C1579"/>
    <w:rsid w:val="009C1ECC"/>
    <w:rsid w:val="009C2566"/>
    <w:rsid w:val="009C3631"/>
    <w:rsid w:val="009C3C4C"/>
    <w:rsid w:val="009C442B"/>
    <w:rsid w:val="009C4C38"/>
    <w:rsid w:val="009C55EF"/>
    <w:rsid w:val="009C718F"/>
    <w:rsid w:val="009C7C5A"/>
    <w:rsid w:val="009C7E16"/>
    <w:rsid w:val="009D01C8"/>
    <w:rsid w:val="009D031B"/>
    <w:rsid w:val="009D11DD"/>
    <w:rsid w:val="009D1B0F"/>
    <w:rsid w:val="009D2511"/>
    <w:rsid w:val="009D2777"/>
    <w:rsid w:val="009D2A51"/>
    <w:rsid w:val="009D38CF"/>
    <w:rsid w:val="009D3DF9"/>
    <w:rsid w:val="009D427F"/>
    <w:rsid w:val="009D473E"/>
    <w:rsid w:val="009D4934"/>
    <w:rsid w:val="009D5021"/>
    <w:rsid w:val="009D57C8"/>
    <w:rsid w:val="009D5FBA"/>
    <w:rsid w:val="009D67F7"/>
    <w:rsid w:val="009D6907"/>
    <w:rsid w:val="009D6999"/>
    <w:rsid w:val="009D7944"/>
    <w:rsid w:val="009D7E92"/>
    <w:rsid w:val="009E111C"/>
    <w:rsid w:val="009E1C24"/>
    <w:rsid w:val="009E2A65"/>
    <w:rsid w:val="009E2ECF"/>
    <w:rsid w:val="009E2F47"/>
    <w:rsid w:val="009E5777"/>
    <w:rsid w:val="009E577D"/>
    <w:rsid w:val="009E6059"/>
    <w:rsid w:val="009F0321"/>
    <w:rsid w:val="009F0973"/>
    <w:rsid w:val="009F0E53"/>
    <w:rsid w:val="009F1293"/>
    <w:rsid w:val="009F155B"/>
    <w:rsid w:val="009F20A0"/>
    <w:rsid w:val="009F242B"/>
    <w:rsid w:val="009F2954"/>
    <w:rsid w:val="009F434C"/>
    <w:rsid w:val="009F43CB"/>
    <w:rsid w:val="009F48DA"/>
    <w:rsid w:val="009F588A"/>
    <w:rsid w:val="009F67FB"/>
    <w:rsid w:val="009F69A4"/>
    <w:rsid w:val="009F6CBB"/>
    <w:rsid w:val="009F6DC1"/>
    <w:rsid w:val="00A0018A"/>
    <w:rsid w:val="00A00482"/>
    <w:rsid w:val="00A00711"/>
    <w:rsid w:val="00A00C67"/>
    <w:rsid w:val="00A00E35"/>
    <w:rsid w:val="00A01525"/>
    <w:rsid w:val="00A0152A"/>
    <w:rsid w:val="00A016E1"/>
    <w:rsid w:val="00A0188D"/>
    <w:rsid w:val="00A026BE"/>
    <w:rsid w:val="00A02BBD"/>
    <w:rsid w:val="00A04510"/>
    <w:rsid w:val="00A04E48"/>
    <w:rsid w:val="00A10182"/>
    <w:rsid w:val="00A10CB0"/>
    <w:rsid w:val="00A10F26"/>
    <w:rsid w:val="00A10F42"/>
    <w:rsid w:val="00A120A1"/>
    <w:rsid w:val="00A12AE5"/>
    <w:rsid w:val="00A13E09"/>
    <w:rsid w:val="00A13E10"/>
    <w:rsid w:val="00A13E3B"/>
    <w:rsid w:val="00A1437D"/>
    <w:rsid w:val="00A148C0"/>
    <w:rsid w:val="00A15009"/>
    <w:rsid w:val="00A1548D"/>
    <w:rsid w:val="00A156F8"/>
    <w:rsid w:val="00A1576D"/>
    <w:rsid w:val="00A15C49"/>
    <w:rsid w:val="00A15D5B"/>
    <w:rsid w:val="00A15EAA"/>
    <w:rsid w:val="00A16187"/>
    <w:rsid w:val="00A16372"/>
    <w:rsid w:val="00A16F24"/>
    <w:rsid w:val="00A21451"/>
    <w:rsid w:val="00A21AA9"/>
    <w:rsid w:val="00A21D85"/>
    <w:rsid w:val="00A22017"/>
    <w:rsid w:val="00A226ED"/>
    <w:rsid w:val="00A22C16"/>
    <w:rsid w:val="00A24BB3"/>
    <w:rsid w:val="00A24EF2"/>
    <w:rsid w:val="00A25224"/>
    <w:rsid w:val="00A25AD2"/>
    <w:rsid w:val="00A26670"/>
    <w:rsid w:val="00A26DDA"/>
    <w:rsid w:val="00A27C2E"/>
    <w:rsid w:val="00A308A8"/>
    <w:rsid w:val="00A31B4C"/>
    <w:rsid w:val="00A324B4"/>
    <w:rsid w:val="00A3375F"/>
    <w:rsid w:val="00A33BDC"/>
    <w:rsid w:val="00A33F3D"/>
    <w:rsid w:val="00A349AE"/>
    <w:rsid w:val="00A34C44"/>
    <w:rsid w:val="00A35327"/>
    <w:rsid w:val="00A35A43"/>
    <w:rsid w:val="00A36314"/>
    <w:rsid w:val="00A36856"/>
    <w:rsid w:val="00A36A2C"/>
    <w:rsid w:val="00A43947"/>
    <w:rsid w:val="00A43E5D"/>
    <w:rsid w:val="00A44D9E"/>
    <w:rsid w:val="00A44F73"/>
    <w:rsid w:val="00A456AE"/>
    <w:rsid w:val="00A51198"/>
    <w:rsid w:val="00A52FCE"/>
    <w:rsid w:val="00A53A40"/>
    <w:rsid w:val="00A54BD5"/>
    <w:rsid w:val="00A553EF"/>
    <w:rsid w:val="00A55D1D"/>
    <w:rsid w:val="00A55E24"/>
    <w:rsid w:val="00A56B1A"/>
    <w:rsid w:val="00A56DD8"/>
    <w:rsid w:val="00A5719A"/>
    <w:rsid w:val="00A579DC"/>
    <w:rsid w:val="00A60D2D"/>
    <w:rsid w:val="00A616F0"/>
    <w:rsid w:val="00A622D3"/>
    <w:rsid w:val="00A62FA2"/>
    <w:rsid w:val="00A63592"/>
    <w:rsid w:val="00A65546"/>
    <w:rsid w:val="00A657DB"/>
    <w:rsid w:val="00A66127"/>
    <w:rsid w:val="00A66343"/>
    <w:rsid w:val="00A667DB"/>
    <w:rsid w:val="00A70618"/>
    <w:rsid w:val="00A70776"/>
    <w:rsid w:val="00A71559"/>
    <w:rsid w:val="00A71F77"/>
    <w:rsid w:val="00A721A3"/>
    <w:rsid w:val="00A7400A"/>
    <w:rsid w:val="00A74F15"/>
    <w:rsid w:val="00A75895"/>
    <w:rsid w:val="00A75BE3"/>
    <w:rsid w:val="00A776B9"/>
    <w:rsid w:val="00A77A97"/>
    <w:rsid w:val="00A77AAB"/>
    <w:rsid w:val="00A81438"/>
    <w:rsid w:val="00A81A02"/>
    <w:rsid w:val="00A83574"/>
    <w:rsid w:val="00A83931"/>
    <w:rsid w:val="00A84775"/>
    <w:rsid w:val="00A85529"/>
    <w:rsid w:val="00A865B5"/>
    <w:rsid w:val="00A87CB5"/>
    <w:rsid w:val="00A87FD6"/>
    <w:rsid w:val="00A9014E"/>
    <w:rsid w:val="00A907E5"/>
    <w:rsid w:val="00A9125D"/>
    <w:rsid w:val="00A91474"/>
    <w:rsid w:val="00A94780"/>
    <w:rsid w:val="00A94F6A"/>
    <w:rsid w:val="00A9663C"/>
    <w:rsid w:val="00A96F89"/>
    <w:rsid w:val="00A97086"/>
    <w:rsid w:val="00AA0419"/>
    <w:rsid w:val="00AA13CD"/>
    <w:rsid w:val="00AA16A1"/>
    <w:rsid w:val="00AA225D"/>
    <w:rsid w:val="00AA27B0"/>
    <w:rsid w:val="00AA2E90"/>
    <w:rsid w:val="00AA3BBC"/>
    <w:rsid w:val="00AA3F0E"/>
    <w:rsid w:val="00AA41D5"/>
    <w:rsid w:val="00AA4FAF"/>
    <w:rsid w:val="00AA6EA8"/>
    <w:rsid w:val="00AA7142"/>
    <w:rsid w:val="00AB0123"/>
    <w:rsid w:val="00AB0638"/>
    <w:rsid w:val="00AB09A0"/>
    <w:rsid w:val="00AB1088"/>
    <w:rsid w:val="00AB1A61"/>
    <w:rsid w:val="00AB27B8"/>
    <w:rsid w:val="00AB3370"/>
    <w:rsid w:val="00AB370D"/>
    <w:rsid w:val="00AB454C"/>
    <w:rsid w:val="00AB47BB"/>
    <w:rsid w:val="00AB5D7F"/>
    <w:rsid w:val="00AB657A"/>
    <w:rsid w:val="00AB6613"/>
    <w:rsid w:val="00AB7A18"/>
    <w:rsid w:val="00AB7FA5"/>
    <w:rsid w:val="00AC1794"/>
    <w:rsid w:val="00AC1CB8"/>
    <w:rsid w:val="00AC1CF6"/>
    <w:rsid w:val="00AC3C61"/>
    <w:rsid w:val="00AC40A3"/>
    <w:rsid w:val="00AC429C"/>
    <w:rsid w:val="00AC55A5"/>
    <w:rsid w:val="00AC5829"/>
    <w:rsid w:val="00AC6540"/>
    <w:rsid w:val="00AC6B6B"/>
    <w:rsid w:val="00AC6F42"/>
    <w:rsid w:val="00AC6FDE"/>
    <w:rsid w:val="00AC7E1B"/>
    <w:rsid w:val="00AC7F32"/>
    <w:rsid w:val="00AD0F30"/>
    <w:rsid w:val="00AD298F"/>
    <w:rsid w:val="00AD2F04"/>
    <w:rsid w:val="00AD3A6F"/>
    <w:rsid w:val="00AD480A"/>
    <w:rsid w:val="00AD48F2"/>
    <w:rsid w:val="00AD4AB5"/>
    <w:rsid w:val="00AD5CFF"/>
    <w:rsid w:val="00AD61B0"/>
    <w:rsid w:val="00AD6749"/>
    <w:rsid w:val="00AD6F80"/>
    <w:rsid w:val="00AD7B7E"/>
    <w:rsid w:val="00AD7F31"/>
    <w:rsid w:val="00AE003D"/>
    <w:rsid w:val="00AE1D72"/>
    <w:rsid w:val="00AE1DBA"/>
    <w:rsid w:val="00AE1F99"/>
    <w:rsid w:val="00AE2E83"/>
    <w:rsid w:val="00AE4D5C"/>
    <w:rsid w:val="00AE549D"/>
    <w:rsid w:val="00AE7B37"/>
    <w:rsid w:val="00AF0685"/>
    <w:rsid w:val="00AF0A07"/>
    <w:rsid w:val="00AF130C"/>
    <w:rsid w:val="00AF1D32"/>
    <w:rsid w:val="00AF1E3B"/>
    <w:rsid w:val="00AF20A1"/>
    <w:rsid w:val="00AF24A2"/>
    <w:rsid w:val="00AF2502"/>
    <w:rsid w:val="00AF2D79"/>
    <w:rsid w:val="00AF2D82"/>
    <w:rsid w:val="00AF2EAE"/>
    <w:rsid w:val="00AF366E"/>
    <w:rsid w:val="00AF375E"/>
    <w:rsid w:val="00AF45D7"/>
    <w:rsid w:val="00AF4B2A"/>
    <w:rsid w:val="00AF4B4D"/>
    <w:rsid w:val="00AF5BF7"/>
    <w:rsid w:val="00AF63D1"/>
    <w:rsid w:val="00AF68B9"/>
    <w:rsid w:val="00AF6B9F"/>
    <w:rsid w:val="00AF6BB8"/>
    <w:rsid w:val="00AF786F"/>
    <w:rsid w:val="00AF7CC9"/>
    <w:rsid w:val="00B0040B"/>
    <w:rsid w:val="00B0050B"/>
    <w:rsid w:val="00B008C3"/>
    <w:rsid w:val="00B0261F"/>
    <w:rsid w:val="00B036ED"/>
    <w:rsid w:val="00B03B3D"/>
    <w:rsid w:val="00B05641"/>
    <w:rsid w:val="00B05946"/>
    <w:rsid w:val="00B063C3"/>
    <w:rsid w:val="00B0745F"/>
    <w:rsid w:val="00B07520"/>
    <w:rsid w:val="00B0785E"/>
    <w:rsid w:val="00B07963"/>
    <w:rsid w:val="00B07A3F"/>
    <w:rsid w:val="00B07B12"/>
    <w:rsid w:val="00B10B72"/>
    <w:rsid w:val="00B11971"/>
    <w:rsid w:val="00B11C9F"/>
    <w:rsid w:val="00B13998"/>
    <w:rsid w:val="00B14A76"/>
    <w:rsid w:val="00B15FEE"/>
    <w:rsid w:val="00B17900"/>
    <w:rsid w:val="00B20E8C"/>
    <w:rsid w:val="00B21B0D"/>
    <w:rsid w:val="00B22F43"/>
    <w:rsid w:val="00B238F4"/>
    <w:rsid w:val="00B248A6"/>
    <w:rsid w:val="00B24968"/>
    <w:rsid w:val="00B25117"/>
    <w:rsid w:val="00B25327"/>
    <w:rsid w:val="00B25F14"/>
    <w:rsid w:val="00B2612E"/>
    <w:rsid w:val="00B26878"/>
    <w:rsid w:val="00B26FD5"/>
    <w:rsid w:val="00B27033"/>
    <w:rsid w:val="00B276D5"/>
    <w:rsid w:val="00B301F3"/>
    <w:rsid w:val="00B3039E"/>
    <w:rsid w:val="00B308BA"/>
    <w:rsid w:val="00B321C7"/>
    <w:rsid w:val="00B32895"/>
    <w:rsid w:val="00B3301E"/>
    <w:rsid w:val="00B33B90"/>
    <w:rsid w:val="00B33F28"/>
    <w:rsid w:val="00B35FDD"/>
    <w:rsid w:val="00B36141"/>
    <w:rsid w:val="00B37080"/>
    <w:rsid w:val="00B3782F"/>
    <w:rsid w:val="00B37DBE"/>
    <w:rsid w:val="00B41489"/>
    <w:rsid w:val="00B42C6A"/>
    <w:rsid w:val="00B430F3"/>
    <w:rsid w:val="00B434A6"/>
    <w:rsid w:val="00B43FF1"/>
    <w:rsid w:val="00B446F1"/>
    <w:rsid w:val="00B44735"/>
    <w:rsid w:val="00B44F33"/>
    <w:rsid w:val="00B45CD2"/>
    <w:rsid w:val="00B470B1"/>
    <w:rsid w:val="00B47E95"/>
    <w:rsid w:val="00B5108E"/>
    <w:rsid w:val="00B51204"/>
    <w:rsid w:val="00B5399C"/>
    <w:rsid w:val="00B53A8E"/>
    <w:rsid w:val="00B53B89"/>
    <w:rsid w:val="00B53D0D"/>
    <w:rsid w:val="00B54178"/>
    <w:rsid w:val="00B550AA"/>
    <w:rsid w:val="00B56512"/>
    <w:rsid w:val="00B5679C"/>
    <w:rsid w:val="00B56E92"/>
    <w:rsid w:val="00B57267"/>
    <w:rsid w:val="00B57387"/>
    <w:rsid w:val="00B57A76"/>
    <w:rsid w:val="00B57F5A"/>
    <w:rsid w:val="00B600B6"/>
    <w:rsid w:val="00B604E0"/>
    <w:rsid w:val="00B608A2"/>
    <w:rsid w:val="00B61300"/>
    <w:rsid w:val="00B61504"/>
    <w:rsid w:val="00B622AB"/>
    <w:rsid w:val="00B639B5"/>
    <w:rsid w:val="00B63EC7"/>
    <w:rsid w:val="00B647CB"/>
    <w:rsid w:val="00B65B2F"/>
    <w:rsid w:val="00B666D2"/>
    <w:rsid w:val="00B67081"/>
    <w:rsid w:val="00B6732D"/>
    <w:rsid w:val="00B67DC5"/>
    <w:rsid w:val="00B70E96"/>
    <w:rsid w:val="00B711C4"/>
    <w:rsid w:val="00B72D7F"/>
    <w:rsid w:val="00B72E37"/>
    <w:rsid w:val="00B72E96"/>
    <w:rsid w:val="00B74688"/>
    <w:rsid w:val="00B74AB3"/>
    <w:rsid w:val="00B750DA"/>
    <w:rsid w:val="00B755D5"/>
    <w:rsid w:val="00B75DC3"/>
    <w:rsid w:val="00B76533"/>
    <w:rsid w:val="00B771CA"/>
    <w:rsid w:val="00B77AD9"/>
    <w:rsid w:val="00B81783"/>
    <w:rsid w:val="00B81D7C"/>
    <w:rsid w:val="00B81EF9"/>
    <w:rsid w:val="00B8266F"/>
    <w:rsid w:val="00B829C8"/>
    <w:rsid w:val="00B83566"/>
    <w:rsid w:val="00B836CF"/>
    <w:rsid w:val="00B83D65"/>
    <w:rsid w:val="00B8453C"/>
    <w:rsid w:val="00B84742"/>
    <w:rsid w:val="00B8529B"/>
    <w:rsid w:val="00B85BBB"/>
    <w:rsid w:val="00B85D8B"/>
    <w:rsid w:val="00B8615F"/>
    <w:rsid w:val="00B86419"/>
    <w:rsid w:val="00B91A69"/>
    <w:rsid w:val="00B91E3F"/>
    <w:rsid w:val="00B9234F"/>
    <w:rsid w:val="00B92967"/>
    <w:rsid w:val="00B93C1A"/>
    <w:rsid w:val="00B942BF"/>
    <w:rsid w:val="00B94838"/>
    <w:rsid w:val="00B94AD1"/>
    <w:rsid w:val="00B94BFE"/>
    <w:rsid w:val="00B94D05"/>
    <w:rsid w:val="00B95556"/>
    <w:rsid w:val="00B95E77"/>
    <w:rsid w:val="00B961C0"/>
    <w:rsid w:val="00B96E1C"/>
    <w:rsid w:val="00B96F59"/>
    <w:rsid w:val="00B97401"/>
    <w:rsid w:val="00BA36A0"/>
    <w:rsid w:val="00BA4001"/>
    <w:rsid w:val="00BA4BCA"/>
    <w:rsid w:val="00BA5C6B"/>
    <w:rsid w:val="00BA7944"/>
    <w:rsid w:val="00BA7C41"/>
    <w:rsid w:val="00BB0386"/>
    <w:rsid w:val="00BB0407"/>
    <w:rsid w:val="00BB05BD"/>
    <w:rsid w:val="00BB0938"/>
    <w:rsid w:val="00BB0A78"/>
    <w:rsid w:val="00BB0B9F"/>
    <w:rsid w:val="00BB21F5"/>
    <w:rsid w:val="00BB2508"/>
    <w:rsid w:val="00BB35FD"/>
    <w:rsid w:val="00BB3ABE"/>
    <w:rsid w:val="00BB3CA9"/>
    <w:rsid w:val="00BB48EF"/>
    <w:rsid w:val="00BB53D6"/>
    <w:rsid w:val="00BB5414"/>
    <w:rsid w:val="00BB55CE"/>
    <w:rsid w:val="00BB5FE7"/>
    <w:rsid w:val="00BB6573"/>
    <w:rsid w:val="00BB683C"/>
    <w:rsid w:val="00BB6863"/>
    <w:rsid w:val="00BB6A43"/>
    <w:rsid w:val="00BB6A54"/>
    <w:rsid w:val="00BB6D57"/>
    <w:rsid w:val="00BB74D5"/>
    <w:rsid w:val="00BC043A"/>
    <w:rsid w:val="00BC2942"/>
    <w:rsid w:val="00BC2E48"/>
    <w:rsid w:val="00BC3060"/>
    <w:rsid w:val="00BC3912"/>
    <w:rsid w:val="00BC398E"/>
    <w:rsid w:val="00BC42CA"/>
    <w:rsid w:val="00BC4386"/>
    <w:rsid w:val="00BC50AE"/>
    <w:rsid w:val="00BC50EA"/>
    <w:rsid w:val="00BC66FA"/>
    <w:rsid w:val="00BC7092"/>
    <w:rsid w:val="00BC732D"/>
    <w:rsid w:val="00BC7657"/>
    <w:rsid w:val="00BD15DC"/>
    <w:rsid w:val="00BD2D47"/>
    <w:rsid w:val="00BD3527"/>
    <w:rsid w:val="00BD42A1"/>
    <w:rsid w:val="00BD4F52"/>
    <w:rsid w:val="00BD6575"/>
    <w:rsid w:val="00BD6B64"/>
    <w:rsid w:val="00BD755F"/>
    <w:rsid w:val="00BD77CF"/>
    <w:rsid w:val="00BD7A50"/>
    <w:rsid w:val="00BE01D2"/>
    <w:rsid w:val="00BE03CD"/>
    <w:rsid w:val="00BE06B8"/>
    <w:rsid w:val="00BE1507"/>
    <w:rsid w:val="00BE17B1"/>
    <w:rsid w:val="00BE1AA3"/>
    <w:rsid w:val="00BE1FB8"/>
    <w:rsid w:val="00BE233F"/>
    <w:rsid w:val="00BE24DD"/>
    <w:rsid w:val="00BE2754"/>
    <w:rsid w:val="00BE2826"/>
    <w:rsid w:val="00BE3D10"/>
    <w:rsid w:val="00BE3F65"/>
    <w:rsid w:val="00BE4567"/>
    <w:rsid w:val="00BE4A21"/>
    <w:rsid w:val="00BE569F"/>
    <w:rsid w:val="00BE5A6B"/>
    <w:rsid w:val="00BE5ABE"/>
    <w:rsid w:val="00BE67D0"/>
    <w:rsid w:val="00BE70FE"/>
    <w:rsid w:val="00BF0B1F"/>
    <w:rsid w:val="00BF1713"/>
    <w:rsid w:val="00BF2260"/>
    <w:rsid w:val="00BF2A09"/>
    <w:rsid w:val="00BF2B9E"/>
    <w:rsid w:val="00BF3C7B"/>
    <w:rsid w:val="00BF4ADC"/>
    <w:rsid w:val="00BF527D"/>
    <w:rsid w:val="00BF7139"/>
    <w:rsid w:val="00BF74E3"/>
    <w:rsid w:val="00BF79B8"/>
    <w:rsid w:val="00BF7DD6"/>
    <w:rsid w:val="00C004BD"/>
    <w:rsid w:val="00C01621"/>
    <w:rsid w:val="00C0188D"/>
    <w:rsid w:val="00C01E7A"/>
    <w:rsid w:val="00C03462"/>
    <w:rsid w:val="00C03764"/>
    <w:rsid w:val="00C03BA6"/>
    <w:rsid w:val="00C04872"/>
    <w:rsid w:val="00C05936"/>
    <w:rsid w:val="00C05C3A"/>
    <w:rsid w:val="00C07200"/>
    <w:rsid w:val="00C102CC"/>
    <w:rsid w:val="00C10BBB"/>
    <w:rsid w:val="00C10C40"/>
    <w:rsid w:val="00C10CD4"/>
    <w:rsid w:val="00C117DC"/>
    <w:rsid w:val="00C120BE"/>
    <w:rsid w:val="00C120BF"/>
    <w:rsid w:val="00C1239A"/>
    <w:rsid w:val="00C1395C"/>
    <w:rsid w:val="00C13FC1"/>
    <w:rsid w:val="00C14D5E"/>
    <w:rsid w:val="00C16076"/>
    <w:rsid w:val="00C16597"/>
    <w:rsid w:val="00C16645"/>
    <w:rsid w:val="00C1681D"/>
    <w:rsid w:val="00C16BB5"/>
    <w:rsid w:val="00C1778E"/>
    <w:rsid w:val="00C21733"/>
    <w:rsid w:val="00C22272"/>
    <w:rsid w:val="00C2268F"/>
    <w:rsid w:val="00C2272D"/>
    <w:rsid w:val="00C22C4F"/>
    <w:rsid w:val="00C22D58"/>
    <w:rsid w:val="00C24622"/>
    <w:rsid w:val="00C25155"/>
    <w:rsid w:val="00C25B79"/>
    <w:rsid w:val="00C26CAD"/>
    <w:rsid w:val="00C27C64"/>
    <w:rsid w:val="00C3055F"/>
    <w:rsid w:val="00C30898"/>
    <w:rsid w:val="00C31698"/>
    <w:rsid w:val="00C326BD"/>
    <w:rsid w:val="00C3308F"/>
    <w:rsid w:val="00C334AA"/>
    <w:rsid w:val="00C3352F"/>
    <w:rsid w:val="00C33E28"/>
    <w:rsid w:val="00C35259"/>
    <w:rsid w:val="00C36CDD"/>
    <w:rsid w:val="00C37592"/>
    <w:rsid w:val="00C3764C"/>
    <w:rsid w:val="00C40984"/>
    <w:rsid w:val="00C40C90"/>
    <w:rsid w:val="00C4201E"/>
    <w:rsid w:val="00C42600"/>
    <w:rsid w:val="00C433D8"/>
    <w:rsid w:val="00C437CA"/>
    <w:rsid w:val="00C440FD"/>
    <w:rsid w:val="00C4422D"/>
    <w:rsid w:val="00C44559"/>
    <w:rsid w:val="00C44645"/>
    <w:rsid w:val="00C447CA"/>
    <w:rsid w:val="00C44B8E"/>
    <w:rsid w:val="00C44BF8"/>
    <w:rsid w:val="00C45686"/>
    <w:rsid w:val="00C45878"/>
    <w:rsid w:val="00C46DE1"/>
    <w:rsid w:val="00C46F8C"/>
    <w:rsid w:val="00C47134"/>
    <w:rsid w:val="00C476A7"/>
    <w:rsid w:val="00C50151"/>
    <w:rsid w:val="00C50521"/>
    <w:rsid w:val="00C50EB7"/>
    <w:rsid w:val="00C519E9"/>
    <w:rsid w:val="00C527CC"/>
    <w:rsid w:val="00C54BBF"/>
    <w:rsid w:val="00C54E4A"/>
    <w:rsid w:val="00C55B54"/>
    <w:rsid w:val="00C55DA9"/>
    <w:rsid w:val="00C57278"/>
    <w:rsid w:val="00C575B0"/>
    <w:rsid w:val="00C57BD7"/>
    <w:rsid w:val="00C6191C"/>
    <w:rsid w:val="00C621EC"/>
    <w:rsid w:val="00C6307A"/>
    <w:rsid w:val="00C634C8"/>
    <w:rsid w:val="00C63760"/>
    <w:rsid w:val="00C638F5"/>
    <w:rsid w:val="00C63DCB"/>
    <w:rsid w:val="00C65595"/>
    <w:rsid w:val="00C656AF"/>
    <w:rsid w:val="00C65DBB"/>
    <w:rsid w:val="00C65FEC"/>
    <w:rsid w:val="00C669ED"/>
    <w:rsid w:val="00C6717E"/>
    <w:rsid w:val="00C7044D"/>
    <w:rsid w:val="00C70704"/>
    <w:rsid w:val="00C70742"/>
    <w:rsid w:val="00C718FB"/>
    <w:rsid w:val="00C72053"/>
    <w:rsid w:val="00C72342"/>
    <w:rsid w:val="00C72DBC"/>
    <w:rsid w:val="00C7324D"/>
    <w:rsid w:val="00C7385C"/>
    <w:rsid w:val="00C73D00"/>
    <w:rsid w:val="00C73DB7"/>
    <w:rsid w:val="00C73E2A"/>
    <w:rsid w:val="00C7473C"/>
    <w:rsid w:val="00C74AA4"/>
    <w:rsid w:val="00C75274"/>
    <w:rsid w:val="00C755A9"/>
    <w:rsid w:val="00C75DF7"/>
    <w:rsid w:val="00C75E06"/>
    <w:rsid w:val="00C772BD"/>
    <w:rsid w:val="00C8072F"/>
    <w:rsid w:val="00C8086D"/>
    <w:rsid w:val="00C80F91"/>
    <w:rsid w:val="00C81239"/>
    <w:rsid w:val="00C81264"/>
    <w:rsid w:val="00C81314"/>
    <w:rsid w:val="00C813F2"/>
    <w:rsid w:val="00C81E64"/>
    <w:rsid w:val="00C82AC4"/>
    <w:rsid w:val="00C830B6"/>
    <w:rsid w:val="00C834F1"/>
    <w:rsid w:val="00C83514"/>
    <w:rsid w:val="00C8436E"/>
    <w:rsid w:val="00C8754C"/>
    <w:rsid w:val="00C87EC8"/>
    <w:rsid w:val="00C91154"/>
    <w:rsid w:val="00C91457"/>
    <w:rsid w:val="00C917F4"/>
    <w:rsid w:val="00C92B87"/>
    <w:rsid w:val="00C92DA0"/>
    <w:rsid w:val="00C92FBA"/>
    <w:rsid w:val="00C94DFE"/>
    <w:rsid w:val="00C9514E"/>
    <w:rsid w:val="00C956D0"/>
    <w:rsid w:val="00C960EC"/>
    <w:rsid w:val="00C974F9"/>
    <w:rsid w:val="00CA02D3"/>
    <w:rsid w:val="00CA09B5"/>
    <w:rsid w:val="00CA0CD7"/>
    <w:rsid w:val="00CA1FC3"/>
    <w:rsid w:val="00CA2EEB"/>
    <w:rsid w:val="00CA38CB"/>
    <w:rsid w:val="00CA3A65"/>
    <w:rsid w:val="00CA4188"/>
    <w:rsid w:val="00CA4685"/>
    <w:rsid w:val="00CA49F4"/>
    <w:rsid w:val="00CA6072"/>
    <w:rsid w:val="00CA647E"/>
    <w:rsid w:val="00CA6E58"/>
    <w:rsid w:val="00CA7C7F"/>
    <w:rsid w:val="00CA7D7A"/>
    <w:rsid w:val="00CA7DE7"/>
    <w:rsid w:val="00CA7E14"/>
    <w:rsid w:val="00CB013F"/>
    <w:rsid w:val="00CB0FD3"/>
    <w:rsid w:val="00CB1BB1"/>
    <w:rsid w:val="00CB212E"/>
    <w:rsid w:val="00CB2A34"/>
    <w:rsid w:val="00CB2F05"/>
    <w:rsid w:val="00CB4062"/>
    <w:rsid w:val="00CB4BBD"/>
    <w:rsid w:val="00CB654D"/>
    <w:rsid w:val="00CB76B3"/>
    <w:rsid w:val="00CB7B0D"/>
    <w:rsid w:val="00CC303D"/>
    <w:rsid w:val="00CC3F5A"/>
    <w:rsid w:val="00CC49CB"/>
    <w:rsid w:val="00CC4E70"/>
    <w:rsid w:val="00CC5820"/>
    <w:rsid w:val="00CC5ACB"/>
    <w:rsid w:val="00CC6139"/>
    <w:rsid w:val="00CC7655"/>
    <w:rsid w:val="00CD1089"/>
    <w:rsid w:val="00CD2120"/>
    <w:rsid w:val="00CD21F6"/>
    <w:rsid w:val="00CD26B1"/>
    <w:rsid w:val="00CD2E09"/>
    <w:rsid w:val="00CD41A4"/>
    <w:rsid w:val="00CD4412"/>
    <w:rsid w:val="00CD515E"/>
    <w:rsid w:val="00CD5568"/>
    <w:rsid w:val="00CD5F8A"/>
    <w:rsid w:val="00CD66E2"/>
    <w:rsid w:val="00CD69A5"/>
    <w:rsid w:val="00CD6EF4"/>
    <w:rsid w:val="00CD734A"/>
    <w:rsid w:val="00CD7F53"/>
    <w:rsid w:val="00CE232B"/>
    <w:rsid w:val="00CE2992"/>
    <w:rsid w:val="00CE2D13"/>
    <w:rsid w:val="00CE3A2E"/>
    <w:rsid w:val="00CE3AEF"/>
    <w:rsid w:val="00CE3BC0"/>
    <w:rsid w:val="00CE3F87"/>
    <w:rsid w:val="00CE4E72"/>
    <w:rsid w:val="00CE5783"/>
    <w:rsid w:val="00CE5B9B"/>
    <w:rsid w:val="00CE64B6"/>
    <w:rsid w:val="00CE6BD2"/>
    <w:rsid w:val="00CF183C"/>
    <w:rsid w:val="00CF289D"/>
    <w:rsid w:val="00CF32FD"/>
    <w:rsid w:val="00CF4383"/>
    <w:rsid w:val="00CF4807"/>
    <w:rsid w:val="00CF5E08"/>
    <w:rsid w:val="00CF5E79"/>
    <w:rsid w:val="00CF656F"/>
    <w:rsid w:val="00CF712D"/>
    <w:rsid w:val="00CF777B"/>
    <w:rsid w:val="00CF7B43"/>
    <w:rsid w:val="00CF7DE5"/>
    <w:rsid w:val="00D00060"/>
    <w:rsid w:val="00D0040C"/>
    <w:rsid w:val="00D00718"/>
    <w:rsid w:val="00D01BFA"/>
    <w:rsid w:val="00D01FB4"/>
    <w:rsid w:val="00D024D2"/>
    <w:rsid w:val="00D068D9"/>
    <w:rsid w:val="00D06F0E"/>
    <w:rsid w:val="00D07743"/>
    <w:rsid w:val="00D07C07"/>
    <w:rsid w:val="00D11CEB"/>
    <w:rsid w:val="00D120F2"/>
    <w:rsid w:val="00D12BF3"/>
    <w:rsid w:val="00D13418"/>
    <w:rsid w:val="00D1357C"/>
    <w:rsid w:val="00D13D81"/>
    <w:rsid w:val="00D15727"/>
    <w:rsid w:val="00D15A27"/>
    <w:rsid w:val="00D15D90"/>
    <w:rsid w:val="00D15EC7"/>
    <w:rsid w:val="00D164B6"/>
    <w:rsid w:val="00D16E22"/>
    <w:rsid w:val="00D171C7"/>
    <w:rsid w:val="00D1726B"/>
    <w:rsid w:val="00D1732E"/>
    <w:rsid w:val="00D1745D"/>
    <w:rsid w:val="00D208F4"/>
    <w:rsid w:val="00D20910"/>
    <w:rsid w:val="00D2144C"/>
    <w:rsid w:val="00D21A6C"/>
    <w:rsid w:val="00D22CE7"/>
    <w:rsid w:val="00D22FBB"/>
    <w:rsid w:val="00D24134"/>
    <w:rsid w:val="00D24418"/>
    <w:rsid w:val="00D24A6A"/>
    <w:rsid w:val="00D24D78"/>
    <w:rsid w:val="00D24D84"/>
    <w:rsid w:val="00D2676A"/>
    <w:rsid w:val="00D26A3B"/>
    <w:rsid w:val="00D30FDF"/>
    <w:rsid w:val="00D32730"/>
    <w:rsid w:val="00D32A30"/>
    <w:rsid w:val="00D3446E"/>
    <w:rsid w:val="00D346B9"/>
    <w:rsid w:val="00D35BC0"/>
    <w:rsid w:val="00D36743"/>
    <w:rsid w:val="00D378BC"/>
    <w:rsid w:val="00D37C3E"/>
    <w:rsid w:val="00D4047E"/>
    <w:rsid w:val="00D40673"/>
    <w:rsid w:val="00D414EC"/>
    <w:rsid w:val="00D41581"/>
    <w:rsid w:val="00D41B84"/>
    <w:rsid w:val="00D4358C"/>
    <w:rsid w:val="00D43755"/>
    <w:rsid w:val="00D43EE0"/>
    <w:rsid w:val="00D44828"/>
    <w:rsid w:val="00D44D5A"/>
    <w:rsid w:val="00D45136"/>
    <w:rsid w:val="00D45383"/>
    <w:rsid w:val="00D4550E"/>
    <w:rsid w:val="00D45549"/>
    <w:rsid w:val="00D460DA"/>
    <w:rsid w:val="00D46106"/>
    <w:rsid w:val="00D47486"/>
    <w:rsid w:val="00D476F0"/>
    <w:rsid w:val="00D5008B"/>
    <w:rsid w:val="00D505ED"/>
    <w:rsid w:val="00D530A5"/>
    <w:rsid w:val="00D54535"/>
    <w:rsid w:val="00D5455A"/>
    <w:rsid w:val="00D54C20"/>
    <w:rsid w:val="00D56021"/>
    <w:rsid w:val="00D562A0"/>
    <w:rsid w:val="00D562BB"/>
    <w:rsid w:val="00D6022B"/>
    <w:rsid w:val="00D60657"/>
    <w:rsid w:val="00D60E35"/>
    <w:rsid w:val="00D613C1"/>
    <w:rsid w:val="00D629A9"/>
    <w:rsid w:val="00D62FEA"/>
    <w:rsid w:val="00D63607"/>
    <w:rsid w:val="00D6378D"/>
    <w:rsid w:val="00D637A1"/>
    <w:rsid w:val="00D637D0"/>
    <w:rsid w:val="00D63BF2"/>
    <w:rsid w:val="00D644F1"/>
    <w:rsid w:val="00D65B45"/>
    <w:rsid w:val="00D65B48"/>
    <w:rsid w:val="00D65BBE"/>
    <w:rsid w:val="00D66C6A"/>
    <w:rsid w:val="00D671FB"/>
    <w:rsid w:val="00D67A63"/>
    <w:rsid w:val="00D67B73"/>
    <w:rsid w:val="00D67D27"/>
    <w:rsid w:val="00D7155F"/>
    <w:rsid w:val="00D7174A"/>
    <w:rsid w:val="00D71903"/>
    <w:rsid w:val="00D72018"/>
    <w:rsid w:val="00D7240A"/>
    <w:rsid w:val="00D731C2"/>
    <w:rsid w:val="00D732AD"/>
    <w:rsid w:val="00D74706"/>
    <w:rsid w:val="00D749F7"/>
    <w:rsid w:val="00D75017"/>
    <w:rsid w:val="00D75A27"/>
    <w:rsid w:val="00D76102"/>
    <w:rsid w:val="00D7622D"/>
    <w:rsid w:val="00D76E28"/>
    <w:rsid w:val="00D77212"/>
    <w:rsid w:val="00D81023"/>
    <w:rsid w:val="00D8117E"/>
    <w:rsid w:val="00D82BAA"/>
    <w:rsid w:val="00D82D1C"/>
    <w:rsid w:val="00D82E16"/>
    <w:rsid w:val="00D833B1"/>
    <w:rsid w:val="00D840D3"/>
    <w:rsid w:val="00D84D78"/>
    <w:rsid w:val="00D850D7"/>
    <w:rsid w:val="00D86F2B"/>
    <w:rsid w:val="00D87039"/>
    <w:rsid w:val="00D873E6"/>
    <w:rsid w:val="00D87415"/>
    <w:rsid w:val="00D879E5"/>
    <w:rsid w:val="00D87D21"/>
    <w:rsid w:val="00D901F9"/>
    <w:rsid w:val="00D929B8"/>
    <w:rsid w:val="00D9311D"/>
    <w:rsid w:val="00D93895"/>
    <w:rsid w:val="00D940E4"/>
    <w:rsid w:val="00D9443D"/>
    <w:rsid w:val="00D945AD"/>
    <w:rsid w:val="00D94CCD"/>
    <w:rsid w:val="00D969CB"/>
    <w:rsid w:val="00D97C40"/>
    <w:rsid w:val="00DA05DA"/>
    <w:rsid w:val="00DA0FF9"/>
    <w:rsid w:val="00DA1806"/>
    <w:rsid w:val="00DA1BD8"/>
    <w:rsid w:val="00DA233B"/>
    <w:rsid w:val="00DA2BC4"/>
    <w:rsid w:val="00DA2CC2"/>
    <w:rsid w:val="00DA371B"/>
    <w:rsid w:val="00DA4F9F"/>
    <w:rsid w:val="00DA5BD9"/>
    <w:rsid w:val="00DA641B"/>
    <w:rsid w:val="00DA699B"/>
    <w:rsid w:val="00DA6C51"/>
    <w:rsid w:val="00DA7BD2"/>
    <w:rsid w:val="00DA7E17"/>
    <w:rsid w:val="00DB17AB"/>
    <w:rsid w:val="00DB1E3D"/>
    <w:rsid w:val="00DB23DF"/>
    <w:rsid w:val="00DB23E8"/>
    <w:rsid w:val="00DB284E"/>
    <w:rsid w:val="00DB2E3A"/>
    <w:rsid w:val="00DB33FE"/>
    <w:rsid w:val="00DB340D"/>
    <w:rsid w:val="00DB3602"/>
    <w:rsid w:val="00DB48B0"/>
    <w:rsid w:val="00DB48E7"/>
    <w:rsid w:val="00DB4CDE"/>
    <w:rsid w:val="00DB4D42"/>
    <w:rsid w:val="00DB5516"/>
    <w:rsid w:val="00DB66E3"/>
    <w:rsid w:val="00DB674C"/>
    <w:rsid w:val="00DB7058"/>
    <w:rsid w:val="00DB7261"/>
    <w:rsid w:val="00DB77D9"/>
    <w:rsid w:val="00DB77F1"/>
    <w:rsid w:val="00DC0212"/>
    <w:rsid w:val="00DC08FA"/>
    <w:rsid w:val="00DC174B"/>
    <w:rsid w:val="00DC2073"/>
    <w:rsid w:val="00DC2184"/>
    <w:rsid w:val="00DC2210"/>
    <w:rsid w:val="00DC2239"/>
    <w:rsid w:val="00DC419A"/>
    <w:rsid w:val="00DC4B6D"/>
    <w:rsid w:val="00DC5A8D"/>
    <w:rsid w:val="00DC5CED"/>
    <w:rsid w:val="00DC6033"/>
    <w:rsid w:val="00DC6791"/>
    <w:rsid w:val="00DC6E9A"/>
    <w:rsid w:val="00DC70E5"/>
    <w:rsid w:val="00DC7879"/>
    <w:rsid w:val="00DD12EE"/>
    <w:rsid w:val="00DD1AC8"/>
    <w:rsid w:val="00DD232E"/>
    <w:rsid w:val="00DD2E13"/>
    <w:rsid w:val="00DD2E69"/>
    <w:rsid w:val="00DD31A0"/>
    <w:rsid w:val="00DD4022"/>
    <w:rsid w:val="00DD5F8E"/>
    <w:rsid w:val="00DE0833"/>
    <w:rsid w:val="00DE0857"/>
    <w:rsid w:val="00DE1B14"/>
    <w:rsid w:val="00DE3200"/>
    <w:rsid w:val="00DE348C"/>
    <w:rsid w:val="00DE4A77"/>
    <w:rsid w:val="00DE642A"/>
    <w:rsid w:val="00DE6439"/>
    <w:rsid w:val="00DE69F0"/>
    <w:rsid w:val="00DE7705"/>
    <w:rsid w:val="00DE77F2"/>
    <w:rsid w:val="00DF050C"/>
    <w:rsid w:val="00DF1245"/>
    <w:rsid w:val="00DF126B"/>
    <w:rsid w:val="00DF16EF"/>
    <w:rsid w:val="00DF2D02"/>
    <w:rsid w:val="00DF3078"/>
    <w:rsid w:val="00DF3A0F"/>
    <w:rsid w:val="00DF3CEF"/>
    <w:rsid w:val="00DF43C9"/>
    <w:rsid w:val="00DF46C8"/>
    <w:rsid w:val="00DF4B8E"/>
    <w:rsid w:val="00DF5E68"/>
    <w:rsid w:val="00DF6D94"/>
    <w:rsid w:val="00DF751B"/>
    <w:rsid w:val="00E000C3"/>
    <w:rsid w:val="00E014F1"/>
    <w:rsid w:val="00E018E4"/>
    <w:rsid w:val="00E018F5"/>
    <w:rsid w:val="00E02AE5"/>
    <w:rsid w:val="00E02C0F"/>
    <w:rsid w:val="00E03885"/>
    <w:rsid w:val="00E05331"/>
    <w:rsid w:val="00E06040"/>
    <w:rsid w:val="00E06D7B"/>
    <w:rsid w:val="00E07673"/>
    <w:rsid w:val="00E07EFC"/>
    <w:rsid w:val="00E10140"/>
    <w:rsid w:val="00E101F4"/>
    <w:rsid w:val="00E11A0C"/>
    <w:rsid w:val="00E126BE"/>
    <w:rsid w:val="00E12760"/>
    <w:rsid w:val="00E13470"/>
    <w:rsid w:val="00E14596"/>
    <w:rsid w:val="00E14A2A"/>
    <w:rsid w:val="00E15678"/>
    <w:rsid w:val="00E15F5E"/>
    <w:rsid w:val="00E168F4"/>
    <w:rsid w:val="00E1715E"/>
    <w:rsid w:val="00E1763E"/>
    <w:rsid w:val="00E2005C"/>
    <w:rsid w:val="00E2072A"/>
    <w:rsid w:val="00E21736"/>
    <w:rsid w:val="00E23802"/>
    <w:rsid w:val="00E251DB"/>
    <w:rsid w:val="00E25B0B"/>
    <w:rsid w:val="00E25BAE"/>
    <w:rsid w:val="00E25D76"/>
    <w:rsid w:val="00E26874"/>
    <w:rsid w:val="00E26B80"/>
    <w:rsid w:val="00E2712F"/>
    <w:rsid w:val="00E30FA9"/>
    <w:rsid w:val="00E31C6F"/>
    <w:rsid w:val="00E31CA2"/>
    <w:rsid w:val="00E32043"/>
    <w:rsid w:val="00E325AE"/>
    <w:rsid w:val="00E327CC"/>
    <w:rsid w:val="00E32803"/>
    <w:rsid w:val="00E329CA"/>
    <w:rsid w:val="00E32F52"/>
    <w:rsid w:val="00E333AE"/>
    <w:rsid w:val="00E33918"/>
    <w:rsid w:val="00E33E47"/>
    <w:rsid w:val="00E33FC9"/>
    <w:rsid w:val="00E34054"/>
    <w:rsid w:val="00E36B42"/>
    <w:rsid w:val="00E37DA8"/>
    <w:rsid w:val="00E40F60"/>
    <w:rsid w:val="00E4261C"/>
    <w:rsid w:val="00E42A7A"/>
    <w:rsid w:val="00E4358F"/>
    <w:rsid w:val="00E43B04"/>
    <w:rsid w:val="00E455CE"/>
    <w:rsid w:val="00E4736A"/>
    <w:rsid w:val="00E47DC4"/>
    <w:rsid w:val="00E47F8A"/>
    <w:rsid w:val="00E5186A"/>
    <w:rsid w:val="00E52F8B"/>
    <w:rsid w:val="00E53834"/>
    <w:rsid w:val="00E538A1"/>
    <w:rsid w:val="00E545E5"/>
    <w:rsid w:val="00E54FE2"/>
    <w:rsid w:val="00E5604F"/>
    <w:rsid w:val="00E56873"/>
    <w:rsid w:val="00E568BF"/>
    <w:rsid w:val="00E57234"/>
    <w:rsid w:val="00E604F5"/>
    <w:rsid w:val="00E6092C"/>
    <w:rsid w:val="00E61DD5"/>
    <w:rsid w:val="00E62147"/>
    <w:rsid w:val="00E637F2"/>
    <w:rsid w:val="00E6536B"/>
    <w:rsid w:val="00E654CA"/>
    <w:rsid w:val="00E6595C"/>
    <w:rsid w:val="00E65E2A"/>
    <w:rsid w:val="00E66F90"/>
    <w:rsid w:val="00E67218"/>
    <w:rsid w:val="00E700F5"/>
    <w:rsid w:val="00E70AAB"/>
    <w:rsid w:val="00E72701"/>
    <w:rsid w:val="00E72D24"/>
    <w:rsid w:val="00E742E8"/>
    <w:rsid w:val="00E7573A"/>
    <w:rsid w:val="00E76ED2"/>
    <w:rsid w:val="00E809C6"/>
    <w:rsid w:val="00E81289"/>
    <w:rsid w:val="00E8173A"/>
    <w:rsid w:val="00E81C03"/>
    <w:rsid w:val="00E82956"/>
    <w:rsid w:val="00E832D9"/>
    <w:rsid w:val="00E833FE"/>
    <w:rsid w:val="00E843D4"/>
    <w:rsid w:val="00E84E37"/>
    <w:rsid w:val="00E85132"/>
    <w:rsid w:val="00E85488"/>
    <w:rsid w:val="00E865C9"/>
    <w:rsid w:val="00E8768E"/>
    <w:rsid w:val="00E87846"/>
    <w:rsid w:val="00E8798D"/>
    <w:rsid w:val="00E87CFF"/>
    <w:rsid w:val="00E900CB"/>
    <w:rsid w:val="00E909B2"/>
    <w:rsid w:val="00E910EA"/>
    <w:rsid w:val="00E91EC4"/>
    <w:rsid w:val="00E93D99"/>
    <w:rsid w:val="00E9412F"/>
    <w:rsid w:val="00E94735"/>
    <w:rsid w:val="00E95197"/>
    <w:rsid w:val="00E9552D"/>
    <w:rsid w:val="00E95DA8"/>
    <w:rsid w:val="00E9614B"/>
    <w:rsid w:val="00E9646A"/>
    <w:rsid w:val="00E968F7"/>
    <w:rsid w:val="00E9764A"/>
    <w:rsid w:val="00EA066A"/>
    <w:rsid w:val="00EA0704"/>
    <w:rsid w:val="00EA457D"/>
    <w:rsid w:val="00EA4E08"/>
    <w:rsid w:val="00EA4FEA"/>
    <w:rsid w:val="00EA57B2"/>
    <w:rsid w:val="00EA59AA"/>
    <w:rsid w:val="00EA6567"/>
    <w:rsid w:val="00EA67AA"/>
    <w:rsid w:val="00EA6BD0"/>
    <w:rsid w:val="00EA6CCD"/>
    <w:rsid w:val="00EA7335"/>
    <w:rsid w:val="00EA7F9C"/>
    <w:rsid w:val="00EB0378"/>
    <w:rsid w:val="00EB0F30"/>
    <w:rsid w:val="00EB2004"/>
    <w:rsid w:val="00EB4460"/>
    <w:rsid w:val="00EB525D"/>
    <w:rsid w:val="00EB64BF"/>
    <w:rsid w:val="00EB659F"/>
    <w:rsid w:val="00EB67C6"/>
    <w:rsid w:val="00EB7F76"/>
    <w:rsid w:val="00EC0993"/>
    <w:rsid w:val="00EC17D7"/>
    <w:rsid w:val="00EC229F"/>
    <w:rsid w:val="00EC231B"/>
    <w:rsid w:val="00EC2D63"/>
    <w:rsid w:val="00EC2E0A"/>
    <w:rsid w:val="00EC3CC8"/>
    <w:rsid w:val="00EC5C7D"/>
    <w:rsid w:val="00EC5E3A"/>
    <w:rsid w:val="00EC61A3"/>
    <w:rsid w:val="00EC6FF5"/>
    <w:rsid w:val="00EC7129"/>
    <w:rsid w:val="00EC71DC"/>
    <w:rsid w:val="00ED05BC"/>
    <w:rsid w:val="00ED0B33"/>
    <w:rsid w:val="00ED0F24"/>
    <w:rsid w:val="00ED115C"/>
    <w:rsid w:val="00ED1693"/>
    <w:rsid w:val="00ED18AC"/>
    <w:rsid w:val="00ED1B77"/>
    <w:rsid w:val="00ED3D95"/>
    <w:rsid w:val="00ED4725"/>
    <w:rsid w:val="00ED50E0"/>
    <w:rsid w:val="00ED52E5"/>
    <w:rsid w:val="00ED5B85"/>
    <w:rsid w:val="00ED6205"/>
    <w:rsid w:val="00ED641B"/>
    <w:rsid w:val="00ED71A1"/>
    <w:rsid w:val="00ED733C"/>
    <w:rsid w:val="00ED7367"/>
    <w:rsid w:val="00ED760A"/>
    <w:rsid w:val="00EE066F"/>
    <w:rsid w:val="00EE07F4"/>
    <w:rsid w:val="00EE0C91"/>
    <w:rsid w:val="00EE0D71"/>
    <w:rsid w:val="00EE0DF4"/>
    <w:rsid w:val="00EE2DC2"/>
    <w:rsid w:val="00EE3551"/>
    <w:rsid w:val="00EE50EB"/>
    <w:rsid w:val="00EE522C"/>
    <w:rsid w:val="00EE56CC"/>
    <w:rsid w:val="00EE5DA9"/>
    <w:rsid w:val="00EE6686"/>
    <w:rsid w:val="00EE6916"/>
    <w:rsid w:val="00EE69A8"/>
    <w:rsid w:val="00EE6CEC"/>
    <w:rsid w:val="00EE7CDD"/>
    <w:rsid w:val="00EE7F97"/>
    <w:rsid w:val="00EF172B"/>
    <w:rsid w:val="00EF17EA"/>
    <w:rsid w:val="00EF301A"/>
    <w:rsid w:val="00EF3B24"/>
    <w:rsid w:val="00EF3CF3"/>
    <w:rsid w:val="00EF5475"/>
    <w:rsid w:val="00EF6734"/>
    <w:rsid w:val="00EF6C04"/>
    <w:rsid w:val="00EF7462"/>
    <w:rsid w:val="00F00063"/>
    <w:rsid w:val="00F0085D"/>
    <w:rsid w:val="00F01021"/>
    <w:rsid w:val="00F01FB3"/>
    <w:rsid w:val="00F02625"/>
    <w:rsid w:val="00F02D12"/>
    <w:rsid w:val="00F02D17"/>
    <w:rsid w:val="00F0307B"/>
    <w:rsid w:val="00F043A8"/>
    <w:rsid w:val="00F04858"/>
    <w:rsid w:val="00F04C0B"/>
    <w:rsid w:val="00F04FF1"/>
    <w:rsid w:val="00F05124"/>
    <w:rsid w:val="00F053D5"/>
    <w:rsid w:val="00F06CE6"/>
    <w:rsid w:val="00F06CFB"/>
    <w:rsid w:val="00F07DD5"/>
    <w:rsid w:val="00F10112"/>
    <w:rsid w:val="00F1028C"/>
    <w:rsid w:val="00F10935"/>
    <w:rsid w:val="00F10B47"/>
    <w:rsid w:val="00F116DE"/>
    <w:rsid w:val="00F119A2"/>
    <w:rsid w:val="00F11CF5"/>
    <w:rsid w:val="00F11D3F"/>
    <w:rsid w:val="00F120AA"/>
    <w:rsid w:val="00F1211C"/>
    <w:rsid w:val="00F132BA"/>
    <w:rsid w:val="00F148BD"/>
    <w:rsid w:val="00F14B71"/>
    <w:rsid w:val="00F151BC"/>
    <w:rsid w:val="00F16158"/>
    <w:rsid w:val="00F1685E"/>
    <w:rsid w:val="00F21194"/>
    <w:rsid w:val="00F215AD"/>
    <w:rsid w:val="00F216F2"/>
    <w:rsid w:val="00F21752"/>
    <w:rsid w:val="00F227C1"/>
    <w:rsid w:val="00F22A9B"/>
    <w:rsid w:val="00F24B18"/>
    <w:rsid w:val="00F24F74"/>
    <w:rsid w:val="00F26217"/>
    <w:rsid w:val="00F27BEA"/>
    <w:rsid w:val="00F3047C"/>
    <w:rsid w:val="00F30566"/>
    <w:rsid w:val="00F30736"/>
    <w:rsid w:val="00F309B4"/>
    <w:rsid w:val="00F319EB"/>
    <w:rsid w:val="00F327AE"/>
    <w:rsid w:val="00F32CB7"/>
    <w:rsid w:val="00F335F6"/>
    <w:rsid w:val="00F339D0"/>
    <w:rsid w:val="00F343D2"/>
    <w:rsid w:val="00F348B3"/>
    <w:rsid w:val="00F3537A"/>
    <w:rsid w:val="00F36E5A"/>
    <w:rsid w:val="00F373F9"/>
    <w:rsid w:val="00F37831"/>
    <w:rsid w:val="00F37857"/>
    <w:rsid w:val="00F37AA7"/>
    <w:rsid w:val="00F40529"/>
    <w:rsid w:val="00F406B6"/>
    <w:rsid w:val="00F40FCA"/>
    <w:rsid w:val="00F45180"/>
    <w:rsid w:val="00F4591F"/>
    <w:rsid w:val="00F45AF9"/>
    <w:rsid w:val="00F46AC2"/>
    <w:rsid w:val="00F47DE0"/>
    <w:rsid w:val="00F50AB5"/>
    <w:rsid w:val="00F51F3E"/>
    <w:rsid w:val="00F52B8E"/>
    <w:rsid w:val="00F52BAF"/>
    <w:rsid w:val="00F530A0"/>
    <w:rsid w:val="00F5337F"/>
    <w:rsid w:val="00F53B27"/>
    <w:rsid w:val="00F544B4"/>
    <w:rsid w:val="00F54C2F"/>
    <w:rsid w:val="00F55BA5"/>
    <w:rsid w:val="00F56108"/>
    <w:rsid w:val="00F615EF"/>
    <w:rsid w:val="00F618DD"/>
    <w:rsid w:val="00F62148"/>
    <w:rsid w:val="00F6275B"/>
    <w:rsid w:val="00F62A8D"/>
    <w:rsid w:val="00F634C5"/>
    <w:rsid w:val="00F639A4"/>
    <w:rsid w:val="00F64564"/>
    <w:rsid w:val="00F64762"/>
    <w:rsid w:val="00F6489F"/>
    <w:rsid w:val="00F65032"/>
    <w:rsid w:val="00F666C3"/>
    <w:rsid w:val="00F67C08"/>
    <w:rsid w:val="00F7133F"/>
    <w:rsid w:val="00F715C4"/>
    <w:rsid w:val="00F722D9"/>
    <w:rsid w:val="00F72805"/>
    <w:rsid w:val="00F72AA4"/>
    <w:rsid w:val="00F73450"/>
    <w:rsid w:val="00F7395A"/>
    <w:rsid w:val="00F74B79"/>
    <w:rsid w:val="00F77D1F"/>
    <w:rsid w:val="00F80854"/>
    <w:rsid w:val="00F80AF4"/>
    <w:rsid w:val="00F816D3"/>
    <w:rsid w:val="00F829D0"/>
    <w:rsid w:val="00F82A8B"/>
    <w:rsid w:val="00F82CB5"/>
    <w:rsid w:val="00F835F7"/>
    <w:rsid w:val="00F8364F"/>
    <w:rsid w:val="00F83C6D"/>
    <w:rsid w:val="00F83F24"/>
    <w:rsid w:val="00F84A78"/>
    <w:rsid w:val="00F84D8F"/>
    <w:rsid w:val="00F857ED"/>
    <w:rsid w:val="00F86F72"/>
    <w:rsid w:val="00F871A1"/>
    <w:rsid w:val="00F873AA"/>
    <w:rsid w:val="00F87E3E"/>
    <w:rsid w:val="00F901E0"/>
    <w:rsid w:val="00F906B3"/>
    <w:rsid w:val="00F90E31"/>
    <w:rsid w:val="00F91349"/>
    <w:rsid w:val="00F91722"/>
    <w:rsid w:val="00F91B69"/>
    <w:rsid w:val="00F92E36"/>
    <w:rsid w:val="00F93624"/>
    <w:rsid w:val="00F9375B"/>
    <w:rsid w:val="00F937C4"/>
    <w:rsid w:val="00F93A82"/>
    <w:rsid w:val="00F949F8"/>
    <w:rsid w:val="00F94B42"/>
    <w:rsid w:val="00F94D4E"/>
    <w:rsid w:val="00F95493"/>
    <w:rsid w:val="00F95578"/>
    <w:rsid w:val="00F95976"/>
    <w:rsid w:val="00F95F1D"/>
    <w:rsid w:val="00F97C38"/>
    <w:rsid w:val="00FA030F"/>
    <w:rsid w:val="00FA092A"/>
    <w:rsid w:val="00FA0ADD"/>
    <w:rsid w:val="00FA0E77"/>
    <w:rsid w:val="00FA1083"/>
    <w:rsid w:val="00FA1114"/>
    <w:rsid w:val="00FA1CC1"/>
    <w:rsid w:val="00FA2439"/>
    <w:rsid w:val="00FA300B"/>
    <w:rsid w:val="00FA31C9"/>
    <w:rsid w:val="00FA3325"/>
    <w:rsid w:val="00FA3606"/>
    <w:rsid w:val="00FA4D23"/>
    <w:rsid w:val="00FA51B9"/>
    <w:rsid w:val="00FA51C1"/>
    <w:rsid w:val="00FA619C"/>
    <w:rsid w:val="00FA6D64"/>
    <w:rsid w:val="00FA6EF6"/>
    <w:rsid w:val="00FA71EB"/>
    <w:rsid w:val="00FA76C0"/>
    <w:rsid w:val="00FB2CAA"/>
    <w:rsid w:val="00FB3123"/>
    <w:rsid w:val="00FB3294"/>
    <w:rsid w:val="00FB3AF3"/>
    <w:rsid w:val="00FB423F"/>
    <w:rsid w:val="00FB447B"/>
    <w:rsid w:val="00FB628E"/>
    <w:rsid w:val="00FB6631"/>
    <w:rsid w:val="00FB66BF"/>
    <w:rsid w:val="00FB7532"/>
    <w:rsid w:val="00FC045F"/>
    <w:rsid w:val="00FC148A"/>
    <w:rsid w:val="00FC2240"/>
    <w:rsid w:val="00FC255D"/>
    <w:rsid w:val="00FC28DE"/>
    <w:rsid w:val="00FC37C6"/>
    <w:rsid w:val="00FC418F"/>
    <w:rsid w:val="00FC45BF"/>
    <w:rsid w:val="00FC55F1"/>
    <w:rsid w:val="00FC5F79"/>
    <w:rsid w:val="00FC6554"/>
    <w:rsid w:val="00FC6915"/>
    <w:rsid w:val="00FC6E88"/>
    <w:rsid w:val="00FC74ED"/>
    <w:rsid w:val="00FC7620"/>
    <w:rsid w:val="00FD00A6"/>
    <w:rsid w:val="00FD1D6C"/>
    <w:rsid w:val="00FD2630"/>
    <w:rsid w:val="00FD3053"/>
    <w:rsid w:val="00FD3F9A"/>
    <w:rsid w:val="00FD4BCC"/>
    <w:rsid w:val="00FD5E2D"/>
    <w:rsid w:val="00FD6506"/>
    <w:rsid w:val="00FD787E"/>
    <w:rsid w:val="00FD7932"/>
    <w:rsid w:val="00FD7938"/>
    <w:rsid w:val="00FD7BB5"/>
    <w:rsid w:val="00FD7E6C"/>
    <w:rsid w:val="00FE00F4"/>
    <w:rsid w:val="00FE0969"/>
    <w:rsid w:val="00FE0E2C"/>
    <w:rsid w:val="00FE1261"/>
    <w:rsid w:val="00FE20B6"/>
    <w:rsid w:val="00FE267F"/>
    <w:rsid w:val="00FE3C12"/>
    <w:rsid w:val="00FE50AB"/>
    <w:rsid w:val="00FE56F3"/>
    <w:rsid w:val="00FE581B"/>
    <w:rsid w:val="00FE6298"/>
    <w:rsid w:val="00FE6933"/>
    <w:rsid w:val="00FE6999"/>
    <w:rsid w:val="00FE6F24"/>
    <w:rsid w:val="00FE72AB"/>
    <w:rsid w:val="00FE7A27"/>
    <w:rsid w:val="00FE7C9C"/>
    <w:rsid w:val="00FE7D28"/>
    <w:rsid w:val="00FF02F6"/>
    <w:rsid w:val="00FF0A72"/>
    <w:rsid w:val="00FF1092"/>
    <w:rsid w:val="00FF1511"/>
    <w:rsid w:val="00FF2CBC"/>
    <w:rsid w:val="00FF32C6"/>
    <w:rsid w:val="00FF3A29"/>
    <w:rsid w:val="00FF3B27"/>
    <w:rsid w:val="00FF3BB4"/>
    <w:rsid w:val="00FF4341"/>
    <w:rsid w:val="00FF46AA"/>
    <w:rsid w:val="00FF4DCD"/>
    <w:rsid w:val="00FF51AA"/>
    <w:rsid w:val="00FF52BE"/>
    <w:rsid w:val="00FF5355"/>
    <w:rsid w:val="00FF53C4"/>
    <w:rsid w:val="00FF6431"/>
    <w:rsid w:val="00FF64C9"/>
    <w:rsid w:val="00FF7FCF"/>
    <w:rsid w:val="4447C96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A7DB2F"/>
  <w15:docId w15:val="{513757C1-7287-4876-B0A3-CB6F7F661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514"/>
    <w:pPr>
      <w:spacing w:line="360" w:lineRule="auto"/>
      <w:jc w:val="both"/>
    </w:pPr>
    <w:rPr>
      <w:rFonts w:ascii="Times New Roman" w:hAnsi="Times New Roman"/>
      <w:sz w:val="24"/>
    </w:rPr>
  </w:style>
  <w:style w:type="paragraph" w:styleId="Ttulo1">
    <w:name w:val="heading 1"/>
    <w:basedOn w:val="Normal"/>
    <w:next w:val="Normal"/>
    <w:link w:val="Ttulo1Car"/>
    <w:uiPriority w:val="9"/>
    <w:qFormat/>
    <w:rsid w:val="00F40F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F40FC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DC6E9A"/>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40FCA"/>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F40FCA"/>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semiHidden/>
    <w:rsid w:val="00DC6E9A"/>
    <w:rPr>
      <w:rFonts w:asciiTheme="majorHAnsi" w:eastAsiaTheme="majorEastAsia" w:hAnsiTheme="majorHAnsi" w:cstheme="majorBidi"/>
      <w:color w:val="1F3763" w:themeColor="accent1" w:themeShade="7F"/>
      <w:sz w:val="24"/>
      <w:szCs w:val="24"/>
    </w:rPr>
  </w:style>
  <w:style w:type="table" w:styleId="Tablaconcuadrcula">
    <w:name w:val="Table Grid"/>
    <w:basedOn w:val="Tablanormal"/>
    <w:uiPriority w:val="39"/>
    <w:rsid w:val="001738DF"/>
    <w:pPr>
      <w:spacing w:after="0" w:line="240" w:lineRule="auto"/>
    </w:p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FFF" w:themeFill="background1"/>
    </w:tcPr>
  </w:style>
  <w:style w:type="paragraph" w:customStyle="1" w:styleId="TITULO1">
    <w:name w:val="TITULO 1"/>
    <w:basedOn w:val="Ttulo1"/>
    <w:next w:val="Ttulo1"/>
    <w:link w:val="TITULO1Car"/>
    <w:rsid w:val="00F40FCA"/>
    <w:rPr>
      <w:rFonts w:ascii="Times New Roman" w:hAnsi="Times New Roman"/>
      <w:b/>
      <w:bCs/>
      <w:color w:val="000000" w:themeColor="text1"/>
      <w:sz w:val="28"/>
    </w:rPr>
  </w:style>
  <w:style w:type="character" w:customStyle="1" w:styleId="TITULO1Car">
    <w:name w:val="TITULO 1 Car"/>
    <w:basedOn w:val="Ttulo1Car"/>
    <w:link w:val="TITULO1"/>
    <w:rsid w:val="00F40FCA"/>
    <w:rPr>
      <w:rFonts w:ascii="Times New Roman" w:eastAsiaTheme="majorEastAsia" w:hAnsi="Times New Roman" w:cstheme="majorBidi"/>
      <w:b/>
      <w:bCs/>
      <w:color w:val="000000" w:themeColor="text1"/>
      <w:sz w:val="28"/>
      <w:szCs w:val="32"/>
    </w:rPr>
  </w:style>
  <w:style w:type="paragraph" w:customStyle="1" w:styleId="TITULO2">
    <w:name w:val="TITULO 2"/>
    <w:basedOn w:val="Ttulo2"/>
    <w:next w:val="Ttulo2"/>
    <w:link w:val="TITULO2Car"/>
    <w:rsid w:val="00F40FCA"/>
    <w:rPr>
      <w:rFonts w:ascii="Times New Roman" w:hAnsi="Times New Roman"/>
      <w:b/>
      <w:color w:val="000000" w:themeColor="text1"/>
      <w:sz w:val="24"/>
    </w:rPr>
  </w:style>
  <w:style w:type="character" w:customStyle="1" w:styleId="TITULO2Car">
    <w:name w:val="TITULO 2 Car"/>
    <w:basedOn w:val="Ttulo2Car"/>
    <w:link w:val="TITULO2"/>
    <w:rsid w:val="00F40FCA"/>
    <w:rPr>
      <w:rFonts w:ascii="Times New Roman" w:eastAsiaTheme="majorEastAsia" w:hAnsi="Times New Roman" w:cstheme="majorBidi"/>
      <w:b/>
      <w:color w:val="000000" w:themeColor="text1"/>
      <w:sz w:val="24"/>
      <w:szCs w:val="26"/>
    </w:rPr>
  </w:style>
  <w:style w:type="paragraph" w:styleId="TtuloTDC">
    <w:name w:val="TOC Heading"/>
    <w:basedOn w:val="Ttulo1"/>
    <w:next w:val="Normal"/>
    <w:uiPriority w:val="39"/>
    <w:unhideWhenUsed/>
    <w:qFormat/>
    <w:rsid w:val="00F40FCA"/>
    <w:pPr>
      <w:outlineLvl w:val="9"/>
    </w:pPr>
    <w:rPr>
      <w:lang w:eastAsia="es-CR"/>
    </w:rPr>
  </w:style>
  <w:style w:type="paragraph" w:styleId="TDC1">
    <w:name w:val="toc 1"/>
    <w:basedOn w:val="Normal"/>
    <w:next w:val="Normal"/>
    <w:autoRedefine/>
    <w:uiPriority w:val="39"/>
    <w:unhideWhenUsed/>
    <w:rsid w:val="004E3BA1"/>
    <w:pPr>
      <w:tabs>
        <w:tab w:val="right" w:leader="dot" w:pos="9350"/>
      </w:tabs>
      <w:spacing w:after="100" w:line="240" w:lineRule="auto"/>
    </w:pPr>
    <w:rPr>
      <w:color w:val="000000" w:themeColor="text1"/>
    </w:rPr>
  </w:style>
  <w:style w:type="paragraph" w:styleId="TDC2">
    <w:name w:val="toc 2"/>
    <w:basedOn w:val="Normal"/>
    <w:next w:val="Normal"/>
    <w:autoRedefine/>
    <w:uiPriority w:val="39"/>
    <w:unhideWhenUsed/>
    <w:rsid w:val="00117D5E"/>
    <w:pPr>
      <w:spacing w:after="0"/>
      <w:ind w:left="220"/>
    </w:pPr>
  </w:style>
  <w:style w:type="character" w:styleId="Hipervnculo">
    <w:name w:val="Hyperlink"/>
    <w:basedOn w:val="Fuentedeprrafopredeter"/>
    <w:uiPriority w:val="99"/>
    <w:unhideWhenUsed/>
    <w:rsid w:val="00F40FCA"/>
    <w:rPr>
      <w:color w:val="0563C1" w:themeColor="hyperlink"/>
      <w:u w:val="single"/>
    </w:rPr>
  </w:style>
  <w:style w:type="paragraph" w:styleId="Descripcin">
    <w:name w:val="caption"/>
    <w:basedOn w:val="Normal"/>
    <w:next w:val="Normal"/>
    <w:uiPriority w:val="35"/>
    <w:unhideWhenUsed/>
    <w:qFormat/>
    <w:rsid w:val="00F40FCA"/>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17D5E"/>
    <w:pPr>
      <w:spacing w:after="0"/>
    </w:pPr>
  </w:style>
  <w:style w:type="paragraph" w:styleId="Encabezado">
    <w:name w:val="header"/>
    <w:basedOn w:val="Normal"/>
    <w:link w:val="EncabezadoCar"/>
    <w:uiPriority w:val="99"/>
    <w:unhideWhenUsed/>
    <w:rsid w:val="00DC6E9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DC6E9A"/>
  </w:style>
  <w:style w:type="paragraph" w:styleId="Piedepgina">
    <w:name w:val="footer"/>
    <w:basedOn w:val="Normal"/>
    <w:link w:val="PiedepginaCar"/>
    <w:uiPriority w:val="99"/>
    <w:unhideWhenUsed/>
    <w:rsid w:val="00DC6E9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DC6E9A"/>
  </w:style>
  <w:style w:type="paragraph" w:styleId="Prrafodelista">
    <w:name w:val="List Paragraph"/>
    <w:basedOn w:val="Normal"/>
    <w:uiPriority w:val="34"/>
    <w:qFormat/>
    <w:rsid w:val="00DC6E9A"/>
    <w:pPr>
      <w:ind w:left="720"/>
      <w:contextualSpacing/>
    </w:pPr>
  </w:style>
  <w:style w:type="character" w:styleId="Refdecomentario">
    <w:name w:val="annotation reference"/>
    <w:basedOn w:val="Fuentedeprrafopredeter"/>
    <w:uiPriority w:val="99"/>
    <w:semiHidden/>
    <w:unhideWhenUsed/>
    <w:rsid w:val="00DC6E9A"/>
    <w:rPr>
      <w:sz w:val="16"/>
      <w:szCs w:val="16"/>
    </w:rPr>
  </w:style>
  <w:style w:type="character" w:customStyle="1" w:styleId="TextocomentarioCar">
    <w:name w:val="Texto comentario Car"/>
    <w:basedOn w:val="Fuentedeprrafopredeter"/>
    <w:link w:val="Textocomentario"/>
    <w:uiPriority w:val="99"/>
    <w:rsid w:val="00DC6E9A"/>
    <w:rPr>
      <w:sz w:val="20"/>
      <w:szCs w:val="20"/>
    </w:rPr>
  </w:style>
  <w:style w:type="paragraph" w:styleId="Textocomentario">
    <w:name w:val="annotation text"/>
    <w:basedOn w:val="Normal"/>
    <w:link w:val="TextocomentarioCar"/>
    <w:uiPriority w:val="99"/>
    <w:unhideWhenUsed/>
    <w:rsid w:val="00DC6E9A"/>
    <w:pPr>
      <w:spacing w:line="240" w:lineRule="auto"/>
    </w:pPr>
    <w:rPr>
      <w:sz w:val="20"/>
      <w:szCs w:val="20"/>
    </w:rPr>
  </w:style>
  <w:style w:type="character" w:customStyle="1" w:styleId="AsuntodelcomentarioCar">
    <w:name w:val="Asunto del comentario Car"/>
    <w:basedOn w:val="TextocomentarioCar"/>
    <w:link w:val="Asuntodelcomentario"/>
    <w:uiPriority w:val="99"/>
    <w:semiHidden/>
    <w:rsid w:val="00DC6E9A"/>
    <w:rPr>
      <w:b/>
      <w:bCs/>
      <w:sz w:val="20"/>
      <w:szCs w:val="20"/>
    </w:rPr>
  </w:style>
  <w:style w:type="paragraph" w:styleId="Asuntodelcomentario">
    <w:name w:val="annotation subject"/>
    <w:basedOn w:val="Textocomentario"/>
    <w:next w:val="Textocomentario"/>
    <w:link w:val="AsuntodelcomentarioCar"/>
    <w:uiPriority w:val="99"/>
    <w:semiHidden/>
    <w:unhideWhenUsed/>
    <w:rsid w:val="00DC6E9A"/>
    <w:rPr>
      <w:b/>
      <w:bCs/>
    </w:rPr>
  </w:style>
  <w:style w:type="character" w:customStyle="1" w:styleId="TextodegloboCar">
    <w:name w:val="Texto de globo Car"/>
    <w:basedOn w:val="Fuentedeprrafopredeter"/>
    <w:link w:val="Textodeglobo"/>
    <w:uiPriority w:val="99"/>
    <w:semiHidden/>
    <w:rsid w:val="00DC6E9A"/>
    <w:rPr>
      <w:rFonts w:ascii="Segoe UI" w:hAnsi="Segoe UI" w:cs="Segoe UI"/>
      <w:sz w:val="18"/>
      <w:szCs w:val="18"/>
    </w:rPr>
  </w:style>
  <w:style w:type="paragraph" w:styleId="Textodeglobo">
    <w:name w:val="Balloon Text"/>
    <w:basedOn w:val="Normal"/>
    <w:link w:val="TextodegloboCar"/>
    <w:uiPriority w:val="99"/>
    <w:semiHidden/>
    <w:unhideWhenUsed/>
    <w:rsid w:val="00DC6E9A"/>
    <w:pPr>
      <w:spacing w:after="0" w:line="240" w:lineRule="auto"/>
    </w:pPr>
    <w:rPr>
      <w:rFonts w:ascii="Segoe UI" w:hAnsi="Segoe UI" w:cs="Segoe UI"/>
      <w:sz w:val="18"/>
      <w:szCs w:val="18"/>
    </w:rPr>
  </w:style>
  <w:style w:type="paragraph" w:styleId="NormalWeb">
    <w:name w:val="Normal (Web)"/>
    <w:basedOn w:val="Normal"/>
    <w:uiPriority w:val="99"/>
    <w:unhideWhenUsed/>
    <w:rsid w:val="00DC6E9A"/>
    <w:pPr>
      <w:spacing w:before="100" w:beforeAutospacing="1" w:after="100" w:afterAutospacing="1" w:line="240" w:lineRule="auto"/>
    </w:pPr>
    <w:rPr>
      <w:rFonts w:eastAsia="Times New Roman" w:cs="Times New Roman"/>
      <w:szCs w:val="24"/>
      <w:lang w:eastAsia="es-CR"/>
    </w:rPr>
  </w:style>
  <w:style w:type="character" w:customStyle="1" w:styleId="apple-tab-span">
    <w:name w:val="apple-tab-span"/>
    <w:basedOn w:val="Fuentedeprrafopredeter"/>
    <w:rsid w:val="00DC6E9A"/>
  </w:style>
  <w:style w:type="table" w:styleId="Tablanormal2">
    <w:name w:val="Plain Table 2"/>
    <w:basedOn w:val="Tablanormal"/>
    <w:uiPriority w:val="42"/>
    <w:rsid w:val="00DC6E9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itulo10">
    <w:name w:val="Titulo 1"/>
    <w:basedOn w:val="Ttulo1"/>
    <w:link w:val="Titulo1Car0"/>
    <w:qFormat/>
    <w:rsid w:val="00DC6E9A"/>
    <w:pPr>
      <w:jc w:val="center"/>
    </w:pPr>
    <w:rPr>
      <w:rFonts w:ascii="Times New Roman" w:hAnsi="Times New Roman" w:cs="Times New Roman"/>
      <w:b/>
      <w:color w:val="auto"/>
      <w:sz w:val="28"/>
    </w:rPr>
  </w:style>
  <w:style w:type="character" w:customStyle="1" w:styleId="Titulo1Car0">
    <w:name w:val="Titulo 1 Car"/>
    <w:basedOn w:val="Fuentedeprrafopredeter"/>
    <w:link w:val="Titulo10"/>
    <w:rsid w:val="00DC6E9A"/>
    <w:rPr>
      <w:rFonts w:ascii="Times New Roman" w:eastAsiaTheme="majorEastAsia" w:hAnsi="Times New Roman" w:cs="Times New Roman"/>
      <w:b/>
      <w:sz w:val="28"/>
      <w:szCs w:val="32"/>
    </w:rPr>
  </w:style>
  <w:style w:type="paragraph" w:customStyle="1" w:styleId="Titulo20">
    <w:name w:val="Titulo 2"/>
    <w:basedOn w:val="Ttulo2"/>
    <w:next w:val="Ttulo2"/>
    <w:link w:val="Titulo2Car0"/>
    <w:qFormat/>
    <w:rsid w:val="00DC6E9A"/>
    <w:pPr>
      <w:spacing w:after="240"/>
    </w:pPr>
    <w:rPr>
      <w:rFonts w:ascii="Times New Roman" w:hAnsi="Times New Roman" w:cs="Times New Roman"/>
      <w:b/>
      <w:color w:val="000000" w:themeColor="text1"/>
      <w:sz w:val="24"/>
      <w:szCs w:val="20"/>
    </w:rPr>
  </w:style>
  <w:style w:type="character" w:customStyle="1" w:styleId="Titulo2Car0">
    <w:name w:val="Titulo 2 Car"/>
    <w:basedOn w:val="Fuentedeprrafopredeter"/>
    <w:link w:val="Titulo20"/>
    <w:rsid w:val="00DC6E9A"/>
    <w:rPr>
      <w:rFonts w:ascii="Times New Roman" w:eastAsiaTheme="majorEastAsia" w:hAnsi="Times New Roman" w:cs="Times New Roman"/>
      <w:b/>
      <w:color w:val="000000" w:themeColor="text1"/>
      <w:sz w:val="24"/>
      <w:szCs w:val="20"/>
    </w:rPr>
  </w:style>
  <w:style w:type="paragraph" w:customStyle="1" w:styleId="Titulo3">
    <w:name w:val="Titulo 3"/>
    <w:basedOn w:val="Ttulo3"/>
    <w:next w:val="Ttulo3"/>
    <w:link w:val="Titulo3Car"/>
    <w:qFormat/>
    <w:rsid w:val="002733CE"/>
    <w:pPr>
      <w:spacing w:before="240"/>
    </w:pPr>
    <w:rPr>
      <w:rFonts w:ascii="Times New Roman" w:hAnsi="Times New Roman"/>
      <w:b/>
      <w:color w:val="000000" w:themeColor="text1"/>
    </w:rPr>
  </w:style>
  <w:style w:type="character" w:customStyle="1" w:styleId="Titulo3Car">
    <w:name w:val="Titulo 3 Car"/>
    <w:basedOn w:val="Titulo2Car0"/>
    <w:link w:val="Titulo3"/>
    <w:rsid w:val="002733CE"/>
    <w:rPr>
      <w:rFonts w:ascii="Times New Roman" w:eastAsiaTheme="majorEastAsia" w:hAnsi="Times New Roman" w:cstheme="majorBidi"/>
      <w:b/>
      <w:color w:val="000000" w:themeColor="text1"/>
      <w:sz w:val="24"/>
      <w:szCs w:val="24"/>
    </w:rPr>
  </w:style>
  <w:style w:type="paragraph" w:styleId="TDC3">
    <w:name w:val="toc 3"/>
    <w:basedOn w:val="Normal"/>
    <w:next w:val="Normal"/>
    <w:autoRedefine/>
    <w:uiPriority w:val="39"/>
    <w:unhideWhenUsed/>
    <w:rsid w:val="00117D5E"/>
    <w:pPr>
      <w:spacing w:after="100" w:line="240" w:lineRule="auto"/>
      <w:ind w:left="440"/>
    </w:pPr>
    <w:rPr>
      <w:color w:val="000000" w:themeColor="text1"/>
    </w:rPr>
  </w:style>
  <w:style w:type="paragraph" w:styleId="TDC4">
    <w:name w:val="toc 4"/>
    <w:basedOn w:val="Normal"/>
    <w:next w:val="Normal"/>
    <w:autoRedefine/>
    <w:uiPriority w:val="39"/>
    <w:semiHidden/>
    <w:unhideWhenUsed/>
    <w:rsid w:val="00117D5E"/>
    <w:pPr>
      <w:spacing w:after="100"/>
      <w:ind w:left="660"/>
    </w:pPr>
  </w:style>
  <w:style w:type="character" w:styleId="Nmerodelnea">
    <w:name w:val="line number"/>
    <w:basedOn w:val="Fuentedeprrafopredeter"/>
    <w:uiPriority w:val="99"/>
    <w:semiHidden/>
    <w:unhideWhenUsed/>
    <w:rsid w:val="008F0C64"/>
  </w:style>
  <w:style w:type="table" w:styleId="Tablaconcuadrculaclara">
    <w:name w:val="Grid Table Light"/>
    <w:basedOn w:val="Tablanormal"/>
    <w:uiPriority w:val="40"/>
    <w:rsid w:val="00AE2E8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6A6A2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nchor-text">
    <w:name w:val="anchor-text"/>
    <w:basedOn w:val="Fuentedeprrafopredeter"/>
    <w:rsid w:val="003E14CE"/>
  </w:style>
  <w:style w:type="table" w:styleId="Tablaconcuadrcula1clara">
    <w:name w:val="Grid Table 1 Light"/>
    <w:basedOn w:val="Tablanormal"/>
    <w:uiPriority w:val="46"/>
    <w:rsid w:val="003B4B5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n">
    <w:name w:val="Revision"/>
    <w:hidden/>
    <w:uiPriority w:val="99"/>
    <w:semiHidden/>
    <w:rsid w:val="00152195"/>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72641">
      <w:bodyDiv w:val="1"/>
      <w:marLeft w:val="0"/>
      <w:marRight w:val="0"/>
      <w:marTop w:val="0"/>
      <w:marBottom w:val="0"/>
      <w:divBdr>
        <w:top w:val="none" w:sz="0" w:space="0" w:color="auto"/>
        <w:left w:val="none" w:sz="0" w:space="0" w:color="auto"/>
        <w:bottom w:val="none" w:sz="0" w:space="0" w:color="auto"/>
        <w:right w:val="none" w:sz="0" w:space="0" w:color="auto"/>
      </w:divBdr>
    </w:div>
    <w:div w:id="178980023">
      <w:bodyDiv w:val="1"/>
      <w:marLeft w:val="0"/>
      <w:marRight w:val="0"/>
      <w:marTop w:val="0"/>
      <w:marBottom w:val="0"/>
      <w:divBdr>
        <w:top w:val="none" w:sz="0" w:space="0" w:color="auto"/>
        <w:left w:val="none" w:sz="0" w:space="0" w:color="auto"/>
        <w:bottom w:val="none" w:sz="0" w:space="0" w:color="auto"/>
        <w:right w:val="none" w:sz="0" w:space="0" w:color="auto"/>
      </w:divBdr>
    </w:div>
    <w:div w:id="253054384">
      <w:bodyDiv w:val="1"/>
      <w:marLeft w:val="0"/>
      <w:marRight w:val="0"/>
      <w:marTop w:val="0"/>
      <w:marBottom w:val="0"/>
      <w:divBdr>
        <w:top w:val="none" w:sz="0" w:space="0" w:color="auto"/>
        <w:left w:val="none" w:sz="0" w:space="0" w:color="auto"/>
        <w:bottom w:val="none" w:sz="0" w:space="0" w:color="auto"/>
        <w:right w:val="none" w:sz="0" w:space="0" w:color="auto"/>
      </w:divBdr>
    </w:div>
    <w:div w:id="330763635">
      <w:bodyDiv w:val="1"/>
      <w:marLeft w:val="0"/>
      <w:marRight w:val="0"/>
      <w:marTop w:val="0"/>
      <w:marBottom w:val="0"/>
      <w:divBdr>
        <w:top w:val="none" w:sz="0" w:space="0" w:color="auto"/>
        <w:left w:val="none" w:sz="0" w:space="0" w:color="auto"/>
        <w:bottom w:val="none" w:sz="0" w:space="0" w:color="auto"/>
        <w:right w:val="none" w:sz="0" w:space="0" w:color="auto"/>
      </w:divBdr>
    </w:div>
    <w:div w:id="422537453">
      <w:bodyDiv w:val="1"/>
      <w:marLeft w:val="0"/>
      <w:marRight w:val="0"/>
      <w:marTop w:val="0"/>
      <w:marBottom w:val="0"/>
      <w:divBdr>
        <w:top w:val="none" w:sz="0" w:space="0" w:color="auto"/>
        <w:left w:val="none" w:sz="0" w:space="0" w:color="auto"/>
        <w:bottom w:val="none" w:sz="0" w:space="0" w:color="auto"/>
        <w:right w:val="none" w:sz="0" w:space="0" w:color="auto"/>
      </w:divBdr>
    </w:div>
    <w:div w:id="546912065">
      <w:bodyDiv w:val="1"/>
      <w:marLeft w:val="0"/>
      <w:marRight w:val="0"/>
      <w:marTop w:val="0"/>
      <w:marBottom w:val="0"/>
      <w:divBdr>
        <w:top w:val="none" w:sz="0" w:space="0" w:color="auto"/>
        <w:left w:val="none" w:sz="0" w:space="0" w:color="auto"/>
        <w:bottom w:val="none" w:sz="0" w:space="0" w:color="auto"/>
        <w:right w:val="none" w:sz="0" w:space="0" w:color="auto"/>
      </w:divBdr>
    </w:div>
    <w:div w:id="651953884">
      <w:bodyDiv w:val="1"/>
      <w:marLeft w:val="0"/>
      <w:marRight w:val="0"/>
      <w:marTop w:val="0"/>
      <w:marBottom w:val="0"/>
      <w:divBdr>
        <w:top w:val="none" w:sz="0" w:space="0" w:color="auto"/>
        <w:left w:val="none" w:sz="0" w:space="0" w:color="auto"/>
        <w:bottom w:val="none" w:sz="0" w:space="0" w:color="auto"/>
        <w:right w:val="none" w:sz="0" w:space="0" w:color="auto"/>
      </w:divBdr>
    </w:div>
    <w:div w:id="878929948">
      <w:bodyDiv w:val="1"/>
      <w:marLeft w:val="0"/>
      <w:marRight w:val="0"/>
      <w:marTop w:val="0"/>
      <w:marBottom w:val="0"/>
      <w:divBdr>
        <w:top w:val="none" w:sz="0" w:space="0" w:color="auto"/>
        <w:left w:val="none" w:sz="0" w:space="0" w:color="auto"/>
        <w:bottom w:val="none" w:sz="0" w:space="0" w:color="auto"/>
        <w:right w:val="none" w:sz="0" w:space="0" w:color="auto"/>
      </w:divBdr>
    </w:div>
    <w:div w:id="1016342718">
      <w:bodyDiv w:val="1"/>
      <w:marLeft w:val="0"/>
      <w:marRight w:val="0"/>
      <w:marTop w:val="0"/>
      <w:marBottom w:val="0"/>
      <w:divBdr>
        <w:top w:val="none" w:sz="0" w:space="0" w:color="auto"/>
        <w:left w:val="none" w:sz="0" w:space="0" w:color="auto"/>
        <w:bottom w:val="none" w:sz="0" w:space="0" w:color="auto"/>
        <w:right w:val="none" w:sz="0" w:space="0" w:color="auto"/>
      </w:divBdr>
    </w:div>
    <w:div w:id="1074279559">
      <w:bodyDiv w:val="1"/>
      <w:marLeft w:val="0"/>
      <w:marRight w:val="0"/>
      <w:marTop w:val="0"/>
      <w:marBottom w:val="0"/>
      <w:divBdr>
        <w:top w:val="none" w:sz="0" w:space="0" w:color="auto"/>
        <w:left w:val="none" w:sz="0" w:space="0" w:color="auto"/>
        <w:bottom w:val="none" w:sz="0" w:space="0" w:color="auto"/>
        <w:right w:val="none" w:sz="0" w:space="0" w:color="auto"/>
      </w:divBdr>
    </w:div>
    <w:div w:id="1115752637">
      <w:bodyDiv w:val="1"/>
      <w:marLeft w:val="0"/>
      <w:marRight w:val="0"/>
      <w:marTop w:val="0"/>
      <w:marBottom w:val="0"/>
      <w:divBdr>
        <w:top w:val="none" w:sz="0" w:space="0" w:color="auto"/>
        <w:left w:val="none" w:sz="0" w:space="0" w:color="auto"/>
        <w:bottom w:val="none" w:sz="0" w:space="0" w:color="auto"/>
        <w:right w:val="none" w:sz="0" w:space="0" w:color="auto"/>
      </w:divBdr>
      <w:divsChild>
        <w:div w:id="322046775">
          <w:marLeft w:val="1530"/>
          <w:marRight w:val="0"/>
          <w:marTop w:val="0"/>
          <w:marBottom w:val="0"/>
          <w:divBdr>
            <w:top w:val="none" w:sz="0" w:space="0" w:color="auto"/>
            <w:left w:val="none" w:sz="0" w:space="0" w:color="auto"/>
            <w:bottom w:val="none" w:sz="0" w:space="0" w:color="auto"/>
            <w:right w:val="none" w:sz="0" w:space="0" w:color="auto"/>
          </w:divBdr>
        </w:div>
      </w:divsChild>
    </w:div>
    <w:div w:id="1336153303">
      <w:bodyDiv w:val="1"/>
      <w:marLeft w:val="0"/>
      <w:marRight w:val="0"/>
      <w:marTop w:val="0"/>
      <w:marBottom w:val="0"/>
      <w:divBdr>
        <w:top w:val="none" w:sz="0" w:space="0" w:color="auto"/>
        <w:left w:val="none" w:sz="0" w:space="0" w:color="auto"/>
        <w:bottom w:val="none" w:sz="0" w:space="0" w:color="auto"/>
        <w:right w:val="none" w:sz="0" w:space="0" w:color="auto"/>
      </w:divBdr>
    </w:div>
    <w:div w:id="1362707692">
      <w:bodyDiv w:val="1"/>
      <w:marLeft w:val="0"/>
      <w:marRight w:val="0"/>
      <w:marTop w:val="0"/>
      <w:marBottom w:val="0"/>
      <w:divBdr>
        <w:top w:val="none" w:sz="0" w:space="0" w:color="auto"/>
        <w:left w:val="none" w:sz="0" w:space="0" w:color="auto"/>
        <w:bottom w:val="none" w:sz="0" w:space="0" w:color="auto"/>
        <w:right w:val="none" w:sz="0" w:space="0" w:color="auto"/>
      </w:divBdr>
    </w:div>
    <w:div w:id="1440372910">
      <w:bodyDiv w:val="1"/>
      <w:marLeft w:val="0"/>
      <w:marRight w:val="0"/>
      <w:marTop w:val="0"/>
      <w:marBottom w:val="0"/>
      <w:divBdr>
        <w:top w:val="none" w:sz="0" w:space="0" w:color="auto"/>
        <w:left w:val="none" w:sz="0" w:space="0" w:color="auto"/>
        <w:bottom w:val="none" w:sz="0" w:space="0" w:color="auto"/>
        <w:right w:val="none" w:sz="0" w:space="0" w:color="auto"/>
      </w:divBdr>
    </w:div>
    <w:div w:id="1548032364">
      <w:bodyDiv w:val="1"/>
      <w:marLeft w:val="0"/>
      <w:marRight w:val="0"/>
      <w:marTop w:val="0"/>
      <w:marBottom w:val="0"/>
      <w:divBdr>
        <w:top w:val="none" w:sz="0" w:space="0" w:color="auto"/>
        <w:left w:val="none" w:sz="0" w:space="0" w:color="auto"/>
        <w:bottom w:val="none" w:sz="0" w:space="0" w:color="auto"/>
        <w:right w:val="none" w:sz="0" w:space="0" w:color="auto"/>
      </w:divBdr>
    </w:div>
    <w:div w:id="1598635136">
      <w:bodyDiv w:val="1"/>
      <w:marLeft w:val="0"/>
      <w:marRight w:val="0"/>
      <w:marTop w:val="0"/>
      <w:marBottom w:val="0"/>
      <w:divBdr>
        <w:top w:val="none" w:sz="0" w:space="0" w:color="auto"/>
        <w:left w:val="none" w:sz="0" w:space="0" w:color="auto"/>
        <w:bottom w:val="none" w:sz="0" w:space="0" w:color="auto"/>
        <w:right w:val="none" w:sz="0" w:space="0" w:color="auto"/>
      </w:divBdr>
    </w:div>
    <w:div w:id="1692687282">
      <w:bodyDiv w:val="1"/>
      <w:marLeft w:val="0"/>
      <w:marRight w:val="0"/>
      <w:marTop w:val="0"/>
      <w:marBottom w:val="0"/>
      <w:divBdr>
        <w:top w:val="none" w:sz="0" w:space="0" w:color="auto"/>
        <w:left w:val="none" w:sz="0" w:space="0" w:color="auto"/>
        <w:bottom w:val="none" w:sz="0" w:space="0" w:color="auto"/>
        <w:right w:val="none" w:sz="0" w:space="0" w:color="auto"/>
      </w:divBdr>
    </w:div>
    <w:div w:id="1880165887">
      <w:bodyDiv w:val="1"/>
      <w:marLeft w:val="0"/>
      <w:marRight w:val="0"/>
      <w:marTop w:val="0"/>
      <w:marBottom w:val="0"/>
      <w:divBdr>
        <w:top w:val="none" w:sz="0" w:space="0" w:color="auto"/>
        <w:left w:val="none" w:sz="0" w:space="0" w:color="auto"/>
        <w:bottom w:val="none" w:sz="0" w:space="0" w:color="auto"/>
        <w:right w:val="none" w:sz="0" w:space="0" w:color="auto"/>
      </w:divBdr>
    </w:div>
    <w:div w:id="20902239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2D56BE-CFA1-49A1-8110-CAE27DA1D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86</Pages>
  <Words>87140</Words>
  <Characters>479272</Characters>
  <Application>Microsoft Office Word</Application>
  <DocSecurity>0</DocSecurity>
  <Lines>3993</Lines>
  <Paragraphs>1130</Paragraphs>
  <ScaleCrop>false</ScaleCrop>
  <Company/>
  <LinksUpToDate>false</LinksUpToDate>
  <CharactersWithSpaces>565282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Stephanny Sánchez Vargas</dc:creator>
  <cp:keywords/>
  <dc:description/>
  <cp:lastModifiedBy>Stephanny Sánchez Vargas</cp:lastModifiedBy>
  <cp:revision>2</cp:revision>
  <dcterms:created xsi:type="dcterms:W3CDTF">2023-08-07T09:59:00Z</dcterms:created>
  <dcterms:modified xsi:type="dcterms:W3CDTF">2023-08-07T09:59:00Z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17579913-614c-314a-8dbd-633965fd7708</vt:lpwstr>
  </property>
  <property fmtid="{D5CDD505-2E9C-101B-9397-08002B2CF9AE}" pid="24" name="Mendeley Citation Style_1">
    <vt:lpwstr>http://www.zotero.org/styles/apa</vt:lpwstr>
  </property>
</Properties>
</file>