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1E26" w:rsidRPr="00AC1FD5" w:rsidRDefault="001D79C8">
      <w:pPr>
        <w:numPr>
          <w:ilvl w:val="0"/>
          <w:numId w:val="8"/>
        </w:numPr>
        <w:spacing w:before="360" w:after="240" w:line="276" w:lineRule="auto"/>
        <w:ind w:left="708" w:hanging="640"/>
        <w:jc w:val="both"/>
        <w:rPr>
          <w:rFonts w:ascii="Arial" w:eastAsia="Arial" w:hAnsi="Arial" w:cs="Arial"/>
          <w:color w:val="000080"/>
          <w:u w:val="single"/>
        </w:rPr>
      </w:pPr>
      <w:r w:rsidRPr="00AC1FD5">
        <w:rPr>
          <w:rFonts w:ascii="Arial" w:eastAsia="Arial" w:hAnsi="Arial" w:cs="Arial"/>
          <w:b/>
          <w:color w:val="000080"/>
          <w:u w:val="single"/>
        </w:rPr>
        <w:t>PROPÓSITO</w:t>
      </w:r>
      <w:bookmarkStart w:id="0" w:name="_GoBack"/>
      <w:bookmarkEnd w:id="0"/>
    </w:p>
    <w:p w:rsidR="004B1E26" w:rsidRPr="00AC1FD5" w:rsidRDefault="001D79C8">
      <w:pPr>
        <w:spacing w:line="360" w:lineRule="auto"/>
        <w:jc w:val="both"/>
        <w:rPr>
          <w:rFonts w:ascii="Arial" w:eastAsia="Arial" w:hAnsi="Arial" w:cs="Arial"/>
          <w:sz w:val="22"/>
          <w:szCs w:val="22"/>
        </w:rPr>
      </w:pPr>
      <w:r w:rsidRPr="00AC1FD5">
        <w:rPr>
          <w:rFonts w:ascii="Arial" w:eastAsia="Arial" w:hAnsi="Arial" w:cs="Arial"/>
          <w:sz w:val="22"/>
          <w:szCs w:val="22"/>
        </w:rPr>
        <w:t xml:space="preserve">El propósito de este procedimiento es describir las actividades y metodología a seguir para la cuantificación del inventario de emisiones de gases de efecto invernadero (GEI) generadas por las operaciones de 13 edificios de la Asamblea Legislativa durante un período de un año. </w:t>
      </w:r>
    </w:p>
    <w:p w:rsidR="004B1E26" w:rsidRPr="00AC1FD5" w:rsidRDefault="001D79C8">
      <w:pPr>
        <w:numPr>
          <w:ilvl w:val="0"/>
          <w:numId w:val="8"/>
        </w:numPr>
        <w:spacing w:before="360" w:after="240" w:line="276" w:lineRule="auto"/>
        <w:ind w:left="425" w:hanging="357"/>
        <w:jc w:val="both"/>
        <w:rPr>
          <w:rFonts w:ascii="Arial" w:eastAsia="Arial" w:hAnsi="Arial" w:cs="Arial"/>
          <w:color w:val="000080"/>
          <w:u w:val="single"/>
        </w:rPr>
      </w:pPr>
      <w:r w:rsidRPr="00AC1FD5">
        <w:rPr>
          <w:rFonts w:ascii="Arial" w:eastAsia="Arial" w:hAnsi="Arial" w:cs="Arial"/>
          <w:b/>
          <w:color w:val="000080"/>
          <w:u w:val="single"/>
        </w:rPr>
        <w:t xml:space="preserve">ALCANCE </w:t>
      </w:r>
    </w:p>
    <w:p w:rsidR="004B1E26" w:rsidRPr="00AC1FD5" w:rsidRDefault="001D79C8">
      <w:pPr>
        <w:spacing w:line="360" w:lineRule="auto"/>
        <w:jc w:val="both"/>
        <w:rPr>
          <w:rFonts w:ascii="Arial" w:eastAsia="Arial" w:hAnsi="Arial" w:cs="Arial"/>
          <w:sz w:val="22"/>
          <w:szCs w:val="22"/>
          <w:highlight w:val="yellow"/>
        </w:rPr>
      </w:pPr>
      <w:r w:rsidRPr="00AC1FD5">
        <w:rPr>
          <w:rFonts w:ascii="Arial" w:eastAsia="Arial" w:hAnsi="Arial" w:cs="Arial"/>
          <w:sz w:val="22"/>
          <w:szCs w:val="22"/>
        </w:rPr>
        <w:t xml:space="preserve">Este procedimiento aplica para la cuantificación de emisiones de GEI dentro del alcance seleccionado (13 edificios en todos sus niveles). </w:t>
      </w:r>
    </w:p>
    <w:p w:rsidR="004B1E26" w:rsidRPr="00AC1FD5" w:rsidRDefault="001D79C8">
      <w:pPr>
        <w:numPr>
          <w:ilvl w:val="0"/>
          <w:numId w:val="8"/>
        </w:numPr>
        <w:spacing w:before="360" w:after="240" w:line="276" w:lineRule="auto"/>
        <w:ind w:left="425" w:hanging="357"/>
        <w:jc w:val="both"/>
        <w:rPr>
          <w:rFonts w:ascii="Arial" w:eastAsia="Arial" w:hAnsi="Arial" w:cs="Arial"/>
          <w:color w:val="000080"/>
          <w:u w:val="single"/>
        </w:rPr>
      </w:pPr>
      <w:r w:rsidRPr="00AC1FD5">
        <w:rPr>
          <w:rFonts w:ascii="Arial" w:eastAsia="Arial" w:hAnsi="Arial" w:cs="Arial"/>
          <w:b/>
          <w:color w:val="000080"/>
          <w:u w:val="single"/>
        </w:rPr>
        <w:t>REFERENCIAS Y DOCUMENTOS RELACIONADOS</w:t>
      </w:r>
    </w:p>
    <w:tbl>
      <w:tblPr>
        <w:tblStyle w:val="a"/>
        <w:tblW w:w="94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66"/>
        <w:gridCol w:w="6798"/>
      </w:tblGrid>
      <w:tr w:rsidR="004B1E26" w:rsidRPr="00AC1FD5">
        <w:trPr>
          <w:trHeight w:val="380"/>
        </w:trPr>
        <w:tc>
          <w:tcPr>
            <w:tcW w:w="2666" w:type="dxa"/>
            <w:shd w:val="clear" w:color="auto" w:fill="C2D69B"/>
            <w:vAlign w:val="center"/>
          </w:tcPr>
          <w:p w:rsidR="004B1E26" w:rsidRPr="00AC1FD5" w:rsidRDefault="001D79C8">
            <w:pPr>
              <w:jc w:val="center"/>
              <w:rPr>
                <w:rFonts w:ascii="Arial" w:eastAsia="Arial" w:hAnsi="Arial" w:cs="Arial"/>
                <w:sz w:val="18"/>
                <w:szCs w:val="18"/>
              </w:rPr>
            </w:pPr>
            <w:r w:rsidRPr="00AC1FD5">
              <w:rPr>
                <w:rFonts w:ascii="Arial" w:eastAsia="Arial" w:hAnsi="Arial" w:cs="Arial"/>
                <w:b/>
                <w:sz w:val="18"/>
                <w:szCs w:val="18"/>
              </w:rPr>
              <w:t>Referencia</w:t>
            </w:r>
          </w:p>
        </w:tc>
        <w:tc>
          <w:tcPr>
            <w:tcW w:w="6798" w:type="dxa"/>
            <w:shd w:val="clear" w:color="auto" w:fill="C2D69B"/>
            <w:vAlign w:val="center"/>
          </w:tcPr>
          <w:p w:rsidR="004B1E26" w:rsidRPr="00AC1FD5" w:rsidRDefault="001D79C8">
            <w:pPr>
              <w:jc w:val="center"/>
              <w:rPr>
                <w:rFonts w:ascii="Arial" w:eastAsia="Arial" w:hAnsi="Arial" w:cs="Arial"/>
                <w:sz w:val="18"/>
                <w:szCs w:val="18"/>
              </w:rPr>
            </w:pPr>
            <w:r w:rsidRPr="00AC1FD5">
              <w:rPr>
                <w:rFonts w:ascii="Arial" w:eastAsia="Arial" w:hAnsi="Arial" w:cs="Arial"/>
                <w:b/>
                <w:sz w:val="18"/>
                <w:szCs w:val="18"/>
              </w:rPr>
              <w:t>Título</w:t>
            </w:r>
          </w:p>
        </w:tc>
      </w:tr>
      <w:tr w:rsidR="004B1E26" w:rsidRPr="00AC1FD5">
        <w:trPr>
          <w:trHeight w:val="380"/>
        </w:trPr>
        <w:tc>
          <w:tcPr>
            <w:tcW w:w="2666" w:type="dxa"/>
          </w:tcPr>
          <w:p w:rsidR="004B1E26" w:rsidRPr="00AC1FD5" w:rsidRDefault="001D79C8">
            <w:pPr>
              <w:rPr>
                <w:rFonts w:ascii="Arial" w:eastAsia="Arial" w:hAnsi="Arial" w:cs="Arial"/>
                <w:sz w:val="18"/>
                <w:szCs w:val="18"/>
              </w:rPr>
            </w:pPr>
            <w:r w:rsidRPr="00AC1FD5">
              <w:rPr>
                <w:rFonts w:ascii="Arial" w:eastAsia="Arial" w:hAnsi="Arial" w:cs="Arial"/>
                <w:sz w:val="18"/>
                <w:szCs w:val="18"/>
              </w:rPr>
              <w:t xml:space="preserve">Acuerdo -36-2012 MINAET </w:t>
            </w:r>
          </w:p>
        </w:tc>
        <w:tc>
          <w:tcPr>
            <w:tcW w:w="6798" w:type="dxa"/>
          </w:tcPr>
          <w:p w:rsidR="004B1E26" w:rsidRPr="00AC1FD5" w:rsidRDefault="001D79C8">
            <w:pPr>
              <w:rPr>
                <w:rFonts w:ascii="Arial" w:eastAsia="Arial" w:hAnsi="Arial" w:cs="Arial"/>
                <w:sz w:val="18"/>
                <w:szCs w:val="18"/>
              </w:rPr>
            </w:pPr>
            <w:r w:rsidRPr="00AC1FD5">
              <w:rPr>
                <w:rFonts w:ascii="Arial" w:eastAsia="Arial" w:hAnsi="Arial" w:cs="Arial"/>
                <w:sz w:val="18"/>
                <w:szCs w:val="18"/>
              </w:rPr>
              <w:t>Programa País C Neutralidad</w:t>
            </w:r>
          </w:p>
        </w:tc>
      </w:tr>
      <w:tr w:rsidR="004B1E26" w:rsidRPr="00AC1FD5">
        <w:trPr>
          <w:trHeight w:val="380"/>
        </w:trPr>
        <w:tc>
          <w:tcPr>
            <w:tcW w:w="2666" w:type="dxa"/>
          </w:tcPr>
          <w:p w:rsidR="004B1E26" w:rsidRPr="00AC1FD5" w:rsidRDefault="001D79C8">
            <w:pPr>
              <w:rPr>
                <w:rFonts w:ascii="Arial" w:eastAsia="Arial" w:hAnsi="Arial" w:cs="Arial"/>
                <w:sz w:val="18"/>
                <w:szCs w:val="18"/>
              </w:rPr>
            </w:pPr>
            <w:r w:rsidRPr="00AC1FD5">
              <w:rPr>
                <w:rFonts w:ascii="Arial" w:eastAsia="Arial" w:hAnsi="Arial" w:cs="Arial"/>
                <w:sz w:val="18"/>
                <w:szCs w:val="18"/>
              </w:rPr>
              <w:t>INTE-ISO 14064-1 2006 (Inventarios de GEI)</w:t>
            </w:r>
          </w:p>
        </w:tc>
        <w:tc>
          <w:tcPr>
            <w:tcW w:w="6798" w:type="dxa"/>
          </w:tcPr>
          <w:p w:rsidR="004B1E26" w:rsidRPr="00AC1FD5" w:rsidRDefault="001D79C8">
            <w:pPr>
              <w:rPr>
                <w:rFonts w:ascii="Arial" w:eastAsia="Arial" w:hAnsi="Arial" w:cs="Arial"/>
                <w:sz w:val="18"/>
                <w:szCs w:val="18"/>
              </w:rPr>
            </w:pPr>
            <w:r w:rsidRPr="00AC1FD5">
              <w:rPr>
                <w:rFonts w:ascii="Arial" w:eastAsia="Arial" w:hAnsi="Arial" w:cs="Arial"/>
                <w:sz w:val="18"/>
                <w:szCs w:val="18"/>
              </w:rPr>
              <w:t>“Gases de efecto invernadero – Parte 1: Especificación con orientación a nivel de organizaciones para la cuantificación y el informe de las emisiones y remociones de GEI”</w:t>
            </w:r>
          </w:p>
        </w:tc>
      </w:tr>
      <w:tr w:rsidR="004B1E26" w:rsidRPr="00AC1FD5">
        <w:trPr>
          <w:trHeight w:val="340"/>
        </w:trPr>
        <w:tc>
          <w:tcPr>
            <w:tcW w:w="2666" w:type="dxa"/>
          </w:tcPr>
          <w:p w:rsidR="004B1E26" w:rsidRPr="00AC1FD5" w:rsidRDefault="001D79C8">
            <w:pPr>
              <w:rPr>
                <w:rFonts w:ascii="Arial" w:eastAsia="Arial" w:hAnsi="Arial" w:cs="Arial"/>
                <w:sz w:val="18"/>
                <w:szCs w:val="18"/>
              </w:rPr>
            </w:pPr>
            <w:r w:rsidRPr="00AC1FD5">
              <w:rPr>
                <w:rFonts w:ascii="Arial" w:eastAsia="Arial" w:hAnsi="Arial" w:cs="Arial"/>
                <w:sz w:val="18"/>
                <w:szCs w:val="18"/>
              </w:rPr>
              <w:t>INTE B 5 2016</w:t>
            </w:r>
          </w:p>
          <w:p w:rsidR="004B1E26" w:rsidRPr="00AC1FD5" w:rsidRDefault="001D79C8">
            <w:pPr>
              <w:rPr>
                <w:rFonts w:ascii="Arial" w:eastAsia="Arial" w:hAnsi="Arial" w:cs="Arial"/>
                <w:sz w:val="18"/>
                <w:szCs w:val="18"/>
              </w:rPr>
            </w:pPr>
            <w:r w:rsidRPr="00AC1FD5">
              <w:rPr>
                <w:rFonts w:ascii="Arial" w:eastAsia="Arial" w:hAnsi="Arial" w:cs="Arial"/>
                <w:sz w:val="18"/>
                <w:szCs w:val="18"/>
              </w:rPr>
              <w:t>( Carbono Neutralidad)</w:t>
            </w:r>
          </w:p>
        </w:tc>
        <w:tc>
          <w:tcPr>
            <w:tcW w:w="6798" w:type="dxa"/>
          </w:tcPr>
          <w:p w:rsidR="004B1E26" w:rsidRPr="00AC1FD5" w:rsidRDefault="001D79C8">
            <w:pPr>
              <w:jc w:val="both"/>
              <w:rPr>
                <w:rFonts w:ascii="Arial" w:eastAsia="Arial" w:hAnsi="Arial" w:cs="Arial"/>
                <w:sz w:val="18"/>
                <w:szCs w:val="18"/>
              </w:rPr>
            </w:pPr>
            <w:r w:rsidRPr="00AC1FD5">
              <w:rPr>
                <w:rFonts w:ascii="Arial" w:eastAsia="Arial" w:hAnsi="Arial" w:cs="Arial"/>
                <w:sz w:val="18"/>
                <w:szCs w:val="18"/>
              </w:rPr>
              <w:t>“Norma nacional para demostrar la C-neutralidad”.  MINAE, 2016”</w:t>
            </w:r>
          </w:p>
        </w:tc>
      </w:tr>
      <w:tr w:rsidR="004B1E26" w:rsidRPr="00AC1FD5">
        <w:trPr>
          <w:trHeight w:val="380"/>
        </w:trPr>
        <w:tc>
          <w:tcPr>
            <w:tcW w:w="2666" w:type="dxa"/>
          </w:tcPr>
          <w:p w:rsidR="004B1E26" w:rsidRPr="00AC1FD5" w:rsidRDefault="001D79C8">
            <w:pPr>
              <w:rPr>
                <w:rFonts w:ascii="Arial" w:eastAsia="Arial" w:hAnsi="Arial" w:cs="Arial"/>
                <w:sz w:val="18"/>
                <w:szCs w:val="18"/>
              </w:rPr>
            </w:pPr>
            <w:r w:rsidRPr="00AC1FD5">
              <w:rPr>
                <w:rFonts w:ascii="Arial" w:eastAsia="Arial" w:hAnsi="Arial" w:cs="Arial"/>
                <w:sz w:val="18"/>
                <w:szCs w:val="18"/>
              </w:rPr>
              <w:t>Instituto Meteorológico Nacional de Costa Rica</w:t>
            </w:r>
          </w:p>
        </w:tc>
        <w:tc>
          <w:tcPr>
            <w:tcW w:w="6798" w:type="dxa"/>
          </w:tcPr>
          <w:p w:rsidR="004B1E26" w:rsidRPr="00AC1FD5" w:rsidRDefault="001D79C8">
            <w:pPr>
              <w:rPr>
                <w:rFonts w:ascii="Arial" w:eastAsia="Arial" w:hAnsi="Arial" w:cs="Arial"/>
                <w:sz w:val="18"/>
                <w:szCs w:val="18"/>
              </w:rPr>
            </w:pPr>
            <w:r w:rsidRPr="00AC1FD5">
              <w:rPr>
                <w:rFonts w:ascii="Arial" w:eastAsia="Arial" w:hAnsi="Arial" w:cs="Arial"/>
                <w:sz w:val="18"/>
                <w:szCs w:val="18"/>
              </w:rPr>
              <w:t>Factores de emisión de GEI, Edición 2017</w:t>
            </w:r>
          </w:p>
        </w:tc>
      </w:tr>
      <w:tr w:rsidR="004B1E26" w:rsidRPr="00AC1FD5">
        <w:trPr>
          <w:trHeight w:val="340"/>
        </w:trPr>
        <w:tc>
          <w:tcPr>
            <w:tcW w:w="2666" w:type="dxa"/>
          </w:tcPr>
          <w:p w:rsidR="004B1E26" w:rsidRPr="00AC1FD5" w:rsidRDefault="001D79C8">
            <w:pPr>
              <w:rPr>
                <w:rFonts w:ascii="Arial" w:eastAsia="Arial" w:hAnsi="Arial" w:cs="Arial"/>
                <w:sz w:val="18"/>
                <w:szCs w:val="18"/>
              </w:rPr>
            </w:pPr>
            <w:r w:rsidRPr="00AC1FD5">
              <w:rPr>
                <w:rFonts w:ascii="Arial" w:eastAsia="Arial" w:hAnsi="Arial" w:cs="Arial"/>
                <w:sz w:val="18"/>
                <w:szCs w:val="18"/>
              </w:rPr>
              <w:t>IPCC</w:t>
            </w:r>
          </w:p>
        </w:tc>
        <w:tc>
          <w:tcPr>
            <w:tcW w:w="6798" w:type="dxa"/>
          </w:tcPr>
          <w:p w:rsidR="004B1E26" w:rsidRPr="00AC1FD5" w:rsidRDefault="001D79C8">
            <w:pPr>
              <w:jc w:val="both"/>
              <w:rPr>
                <w:rFonts w:ascii="Arial" w:eastAsia="Arial" w:hAnsi="Arial" w:cs="Arial"/>
                <w:sz w:val="18"/>
                <w:szCs w:val="18"/>
              </w:rPr>
            </w:pPr>
            <w:r w:rsidRPr="00AC1FD5">
              <w:rPr>
                <w:rFonts w:ascii="Arial" w:eastAsia="Arial" w:hAnsi="Arial" w:cs="Arial"/>
                <w:sz w:val="18"/>
                <w:szCs w:val="18"/>
              </w:rPr>
              <w:t>Metodología de Protocolos técnicos relacionados</w:t>
            </w:r>
          </w:p>
        </w:tc>
      </w:tr>
      <w:tr w:rsidR="004B1E26" w:rsidRPr="00AC1FD5">
        <w:trPr>
          <w:trHeight w:val="340"/>
        </w:trPr>
        <w:tc>
          <w:tcPr>
            <w:tcW w:w="2666" w:type="dxa"/>
          </w:tcPr>
          <w:p w:rsidR="004B1E26" w:rsidRPr="00AC1FD5" w:rsidRDefault="001D79C8">
            <w:pPr>
              <w:rPr>
                <w:rFonts w:ascii="Arial" w:eastAsia="Arial" w:hAnsi="Arial" w:cs="Arial"/>
                <w:sz w:val="18"/>
                <w:szCs w:val="18"/>
              </w:rPr>
            </w:pPr>
            <w:r w:rsidRPr="00AC1FD5">
              <w:rPr>
                <w:rFonts w:ascii="Arial" w:eastAsia="Arial" w:hAnsi="Arial" w:cs="Arial"/>
                <w:sz w:val="18"/>
                <w:szCs w:val="18"/>
              </w:rPr>
              <w:t>Gobierno del Reino Unido</w:t>
            </w:r>
          </w:p>
        </w:tc>
        <w:tc>
          <w:tcPr>
            <w:tcW w:w="6798" w:type="dxa"/>
          </w:tcPr>
          <w:p w:rsidR="004B1E26" w:rsidRPr="00AC1FD5" w:rsidRDefault="001D79C8">
            <w:pPr>
              <w:jc w:val="both"/>
              <w:rPr>
                <w:rFonts w:ascii="Arial" w:eastAsia="Arial" w:hAnsi="Arial" w:cs="Arial"/>
                <w:sz w:val="18"/>
                <w:szCs w:val="18"/>
                <w:lang w:val="en-US"/>
              </w:rPr>
            </w:pPr>
            <w:r w:rsidRPr="00AC1FD5">
              <w:rPr>
                <w:rFonts w:ascii="Arial" w:eastAsia="Arial" w:hAnsi="Arial" w:cs="Arial"/>
                <w:sz w:val="18"/>
                <w:szCs w:val="18"/>
                <w:lang w:val="en-US"/>
              </w:rPr>
              <w:t>Methodology paper for emission factors, 2016</w:t>
            </w:r>
          </w:p>
        </w:tc>
      </w:tr>
      <w:tr w:rsidR="004B1E26" w:rsidRPr="00AC1FD5">
        <w:trPr>
          <w:trHeight w:val="340"/>
        </w:trPr>
        <w:tc>
          <w:tcPr>
            <w:tcW w:w="2666" w:type="dxa"/>
          </w:tcPr>
          <w:p w:rsidR="004B1E26" w:rsidRPr="00AC1FD5" w:rsidRDefault="001D79C8">
            <w:pPr>
              <w:rPr>
                <w:rFonts w:ascii="Arial" w:eastAsia="Arial" w:hAnsi="Arial" w:cs="Arial"/>
                <w:sz w:val="18"/>
                <w:szCs w:val="18"/>
              </w:rPr>
            </w:pPr>
            <w:r w:rsidRPr="00AC1FD5">
              <w:rPr>
                <w:rFonts w:ascii="Arial" w:eastAsia="Arial" w:hAnsi="Arial" w:cs="Arial"/>
                <w:sz w:val="18"/>
                <w:szCs w:val="18"/>
              </w:rPr>
              <w:t>RCN - 01 2016</w:t>
            </w:r>
          </w:p>
        </w:tc>
        <w:tc>
          <w:tcPr>
            <w:tcW w:w="6798" w:type="dxa"/>
          </w:tcPr>
          <w:p w:rsidR="004B1E26" w:rsidRPr="00AC1FD5" w:rsidRDefault="001D79C8">
            <w:pPr>
              <w:jc w:val="both"/>
              <w:rPr>
                <w:rFonts w:ascii="Arial" w:eastAsia="Arial" w:hAnsi="Arial" w:cs="Arial"/>
                <w:sz w:val="18"/>
                <w:szCs w:val="18"/>
              </w:rPr>
            </w:pPr>
            <w:r w:rsidRPr="00AC1FD5">
              <w:rPr>
                <w:rFonts w:ascii="Arial" w:eastAsia="Arial" w:hAnsi="Arial" w:cs="Arial"/>
                <w:sz w:val="18"/>
                <w:szCs w:val="18"/>
                <w:highlight w:val="white"/>
              </w:rPr>
              <w:t>Registro de control y  cuantificación de emisiones de GEI</w:t>
            </w:r>
          </w:p>
        </w:tc>
      </w:tr>
      <w:tr w:rsidR="004B1E26" w:rsidRPr="00AC1FD5">
        <w:trPr>
          <w:trHeight w:val="340"/>
        </w:trPr>
        <w:tc>
          <w:tcPr>
            <w:tcW w:w="2666" w:type="dxa"/>
          </w:tcPr>
          <w:p w:rsidR="004B1E26" w:rsidRPr="00AC1FD5" w:rsidRDefault="001D79C8">
            <w:pPr>
              <w:rPr>
                <w:rFonts w:ascii="Arial" w:eastAsia="Arial" w:hAnsi="Arial" w:cs="Arial"/>
                <w:sz w:val="18"/>
                <w:szCs w:val="18"/>
              </w:rPr>
            </w:pPr>
            <w:r w:rsidRPr="00AC1FD5">
              <w:rPr>
                <w:rFonts w:ascii="Arial" w:eastAsia="Arial" w:hAnsi="Arial" w:cs="Arial"/>
                <w:sz w:val="18"/>
                <w:szCs w:val="18"/>
              </w:rPr>
              <w:t>I-01</w:t>
            </w:r>
          </w:p>
        </w:tc>
        <w:tc>
          <w:tcPr>
            <w:tcW w:w="6798" w:type="dxa"/>
          </w:tcPr>
          <w:p w:rsidR="004B1E26" w:rsidRPr="00AC1FD5" w:rsidRDefault="001D79C8">
            <w:pPr>
              <w:jc w:val="both"/>
              <w:rPr>
                <w:rFonts w:ascii="Arial" w:eastAsia="Arial" w:hAnsi="Arial" w:cs="Arial"/>
                <w:sz w:val="18"/>
                <w:szCs w:val="18"/>
                <w:highlight w:val="white"/>
              </w:rPr>
            </w:pPr>
            <w:r w:rsidRPr="00AC1FD5">
              <w:rPr>
                <w:rFonts w:ascii="Arial" w:eastAsia="Arial" w:hAnsi="Arial" w:cs="Arial"/>
                <w:sz w:val="18"/>
                <w:szCs w:val="18"/>
                <w:highlight w:val="white"/>
              </w:rPr>
              <w:t>Informe inventario GEI 2016</w:t>
            </w:r>
          </w:p>
        </w:tc>
      </w:tr>
    </w:tbl>
    <w:p w:rsidR="004B1E26" w:rsidRPr="00AC1FD5" w:rsidRDefault="004B1E26">
      <w:pPr>
        <w:jc w:val="both"/>
        <w:rPr>
          <w:rFonts w:ascii="Arial" w:eastAsia="Arial" w:hAnsi="Arial" w:cs="Arial"/>
          <w:sz w:val="20"/>
          <w:szCs w:val="20"/>
        </w:rPr>
      </w:pPr>
    </w:p>
    <w:p w:rsidR="004B1E26" w:rsidRPr="00AC1FD5" w:rsidRDefault="001D79C8">
      <w:pPr>
        <w:jc w:val="both"/>
        <w:rPr>
          <w:rFonts w:ascii="Arial" w:eastAsia="Arial" w:hAnsi="Arial" w:cs="Arial"/>
          <w:sz w:val="22"/>
          <w:szCs w:val="22"/>
        </w:rPr>
      </w:pPr>
      <w:r w:rsidRPr="00AC1FD5">
        <w:rPr>
          <w:rFonts w:ascii="Arial" w:eastAsia="Arial" w:hAnsi="Arial" w:cs="Arial"/>
          <w:sz w:val="22"/>
          <w:szCs w:val="22"/>
        </w:rPr>
        <w:t xml:space="preserve"> </w:t>
      </w:r>
    </w:p>
    <w:p w:rsidR="009922CB" w:rsidRPr="00AC1FD5" w:rsidRDefault="009922CB">
      <w:pPr>
        <w:jc w:val="both"/>
        <w:rPr>
          <w:rFonts w:ascii="Arial" w:eastAsia="Arial" w:hAnsi="Arial" w:cs="Arial"/>
          <w:sz w:val="22"/>
          <w:szCs w:val="22"/>
        </w:rPr>
      </w:pPr>
    </w:p>
    <w:p w:rsidR="009922CB" w:rsidRPr="00AC1FD5" w:rsidRDefault="009922CB">
      <w:pPr>
        <w:jc w:val="both"/>
        <w:rPr>
          <w:rFonts w:ascii="Arial" w:eastAsia="Arial" w:hAnsi="Arial" w:cs="Arial"/>
          <w:sz w:val="20"/>
          <w:szCs w:val="20"/>
        </w:rPr>
      </w:pPr>
    </w:p>
    <w:p w:rsidR="004B1E26" w:rsidRPr="00AC1FD5" w:rsidRDefault="001D79C8">
      <w:pPr>
        <w:numPr>
          <w:ilvl w:val="0"/>
          <w:numId w:val="8"/>
        </w:numPr>
        <w:spacing w:before="360" w:after="240" w:line="276" w:lineRule="auto"/>
        <w:ind w:left="425" w:hanging="357"/>
        <w:jc w:val="both"/>
        <w:rPr>
          <w:rFonts w:ascii="Arial" w:eastAsia="Arial" w:hAnsi="Arial" w:cs="Arial"/>
          <w:color w:val="000080"/>
          <w:u w:val="single"/>
        </w:rPr>
      </w:pPr>
      <w:bookmarkStart w:id="1" w:name="_gjdgxs" w:colFirst="0" w:colLast="0"/>
      <w:bookmarkEnd w:id="1"/>
      <w:r w:rsidRPr="00AC1FD5">
        <w:rPr>
          <w:rFonts w:ascii="Arial" w:eastAsia="Arial" w:hAnsi="Arial" w:cs="Arial"/>
          <w:b/>
          <w:color w:val="000080"/>
          <w:u w:val="single"/>
        </w:rPr>
        <w:lastRenderedPageBreak/>
        <w:t>DEFINICIONES</w:t>
      </w:r>
    </w:p>
    <w:p w:rsidR="004B1E26" w:rsidRPr="00AC1FD5" w:rsidRDefault="001D79C8">
      <w:pPr>
        <w:numPr>
          <w:ilvl w:val="0"/>
          <w:numId w:val="4"/>
        </w:numPr>
        <w:spacing w:line="276" w:lineRule="auto"/>
        <w:ind w:left="426"/>
        <w:jc w:val="both"/>
        <w:rPr>
          <w:rFonts w:ascii="Arial" w:hAnsi="Arial" w:cs="Arial"/>
          <w:sz w:val="22"/>
          <w:szCs w:val="22"/>
        </w:rPr>
      </w:pPr>
      <w:bookmarkStart w:id="2" w:name="_30j0zll" w:colFirst="0" w:colLast="0"/>
      <w:bookmarkEnd w:id="2"/>
      <w:r w:rsidRPr="00AC1FD5">
        <w:rPr>
          <w:rFonts w:ascii="Arial" w:eastAsia="Arial" w:hAnsi="Arial" w:cs="Arial"/>
          <w:b/>
          <w:sz w:val="22"/>
          <w:szCs w:val="22"/>
        </w:rPr>
        <w:t>Año base:</w:t>
      </w:r>
      <w:r w:rsidRPr="00AC1FD5">
        <w:rPr>
          <w:rFonts w:ascii="Arial" w:eastAsia="Arial" w:hAnsi="Arial" w:cs="Arial"/>
          <w:sz w:val="22"/>
          <w:szCs w:val="22"/>
        </w:rPr>
        <w:t xml:space="preserve"> periodo histórico especificado, para propósitos de comparar emisiones o remociones de GEI u otra información relacionada con los GEI en un periodo de tiempo.</w:t>
      </w:r>
    </w:p>
    <w:p w:rsidR="004B1E26" w:rsidRPr="00AC1FD5" w:rsidRDefault="001D79C8">
      <w:pPr>
        <w:numPr>
          <w:ilvl w:val="0"/>
          <w:numId w:val="4"/>
        </w:numPr>
        <w:spacing w:line="276" w:lineRule="auto"/>
        <w:ind w:left="426"/>
        <w:jc w:val="both"/>
        <w:rPr>
          <w:rFonts w:ascii="Arial" w:hAnsi="Arial" w:cs="Arial"/>
          <w:sz w:val="22"/>
          <w:szCs w:val="22"/>
        </w:rPr>
      </w:pPr>
      <w:bookmarkStart w:id="3" w:name="_1fob9te" w:colFirst="0" w:colLast="0"/>
      <w:bookmarkEnd w:id="3"/>
      <w:r w:rsidRPr="00AC1FD5">
        <w:rPr>
          <w:rFonts w:ascii="Arial" w:eastAsia="Arial" w:hAnsi="Arial" w:cs="Arial"/>
          <w:b/>
          <w:sz w:val="22"/>
          <w:szCs w:val="22"/>
        </w:rPr>
        <w:t>Datos de la actividad del gas de efecto invernadero:</w:t>
      </w:r>
      <w:r w:rsidRPr="00AC1FD5">
        <w:rPr>
          <w:rFonts w:ascii="Arial" w:eastAsia="Arial" w:hAnsi="Arial" w:cs="Arial"/>
          <w:sz w:val="22"/>
          <w:szCs w:val="22"/>
        </w:rPr>
        <w:t xml:space="preserve"> medida cuantitativa de la actividad que produce una emisión o remoción de GEI.</w:t>
      </w:r>
    </w:p>
    <w:p w:rsidR="004B1E26" w:rsidRPr="00AC1FD5" w:rsidRDefault="001D79C8">
      <w:pPr>
        <w:numPr>
          <w:ilvl w:val="0"/>
          <w:numId w:val="4"/>
        </w:numPr>
        <w:spacing w:line="276" w:lineRule="auto"/>
        <w:ind w:left="426"/>
        <w:jc w:val="both"/>
        <w:rPr>
          <w:rFonts w:ascii="Arial" w:hAnsi="Arial" w:cs="Arial"/>
          <w:sz w:val="22"/>
          <w:szCs w:val="22"/>
        </w:rPr>
      </w:pPr>
      <w:bookmarkStart w:id="4" w:name="_3znysh7" w:colFirst="0" w:colLast="0"/>
      <w:bookmarkEnd w:id="4"/>
      <w:r w:rsidRPr="00AC1FD5">
        <w:rPr>
          <w:rFonts w:ascii="Arial" w:eastAsia="Arial" w:hAnsi="Arial" w:cs="Arial"/>
          <w:b/>
          <w:sz w:val="22"/>
          <w:szCs w:val="22"/>
        </w:rPr>
        <w:t>Declaración sobre gases de efecto invernadero:</w:t>
      </w:r>
      <w:r w:rsidRPr="00AC1FD5">
        <w:rPr>
          <w:rFonts w:ascii="Arial" w:eastAsia="Arial" w:hAnsi="Arial" w:cs="Arial"/>
          <w:sz w:val="22"/>
          <w:szCs w:val="22"/>
        </w:rPr>
        <w:t xml:space="preserve"> declaración o aseveración objetiva, basada en hechos y realizada por la parte responsable. </w:t>
      </w:r>
    </w:p>
    <w:p w:rsidR="004B1E26" w:rsidRPr="00AC1FD5" w:rsidRDefault="001D79C8">
      <w:pPr>
        <w:numPr>
          <w:ilvl w:val="0"/>
          <w:numId w:val="4"/>
        </w:numPr>
        <w:spacing w:line="276" w:lineRule="auto"/>
        <w:ind w:left="426"/>
        <w:jc w:val="both"/>
        <w:rPr>
          <w:rFonts w:ascii="Arial" w:hAnsi="Arial" w:cs="Arial"/>
          <w:sz w:val="22"/>
          <w:szCs w:val="22"/>
        </w:rPr>
      </w:pPr>
      <w:bookmarkStart w:id="5" w:name="_2et92p0" w:colFirst="0" w:colLast="0"/>
      <w:bookmarkEnd w:id="5"/>
      <w:r w:rsidRPr="00AC1FD5">
        <w:rPr>
          <w:rFonts w:ascii="Arial" w:eastAsia="Arial" w:hAnsi="Arial" w:cs="Arial"/>
          <w:b/>
          <w:sz w:val="22"/>
          <w:szCs w:val="22"/>
        </w:rPr>
        <w:t>Emisión de gases de efecto invernadero:</w:t>
      </w:r>
      <w:r w:rsidRPr="00AC1FD5">
        <w:rPr>
          <w:rFonts w:ascii="Arial" w:eastAsia="Arial" w:hAnsi="Arial" w:cs="Arial"/>
          <w:sz w:val="22"/>
          <w:szCs w:val="22"/>
        </w:rPr>
        <w:t xml:space="preserve"> masa total de un GEI liberado a la atmósfera en un determinado periodo.</w:t>
      </w:r>
    </w:p>
    <w:p w:rsidR="004B1E26" w:rsidRPr="00AC1FD5" w:rsidRDefault="001D79C8">
      <w:pPr>
        <w:numPr>
          <w:ilvl w:val="0"/>
          <w:numId w:val="4"/>
        </w:numPr>
        <w:spacing w:line="276" w:lineRule="auto"/>
        <w:ind w:left="426"/>
        <w:jc w:val="both"/>
        <w:rPr>
          <w:rFonts w:ascii="Arial" w:hAnsi="Arial" w:cs="Arial"/>
          <w:sz w:val="22"/>
          <w:szCs w:val="22"/>
        </w:rPr>
      </w:pPr>
      <w:bookmarkStart w:id="6" w:name="_tyjcwt" w:colFirst="0" w:colLast="0"/>
      <w:bookmarkEnd w:id="6"/>
      <w:r w:rsidRPr="00AC1FD5">
        <w:rPr>
          <w:rFonts w:ascii="Arial" w:eastAsia="Arial" w:hAnsi="Arial" w:cs="Arial"/>
          <w:b/>
          <w:sz w:val="22"/>
          <w:szCs w:val="22"/>
        </w:rPr>
        <w:t>Emisión directa de gases de efecto invernadero:</w:t>
      </w:r>
      <w:r w:rsidRPr="00AC1FD5">
        <w:rPr>
          <w:rFonts w:ascii="Arial" w:eastAsia="Arial" w:hAnsi="Arial" w:cs="Arial"/>
          <w:sz w:val="22"/>
          <w:szCs w:val="22"/>
        </w:rPr>
        <w:t xml:space="preserve"> emisión de GEI proveniente de fuentes de GEI que pertenecen o son controladas por la organización.</w:t>
      </w:r>
    </w:p>
    <w:p w:rsidR="004B1E26" w:rsidRPr="00AC1FD5" w:rsidRDefault="001D79C8">
      <w:pPr>
        <w:numPr>
          <w:ilvl w:val="0"/>
          <w:numId w:val="4"/>
        </w:numPr>
        <w:spacing w:line="276" w:lineRule="auto"/>
        <w:ind w:left="426"/>
        <w:jc w:val="both"/>
        <w:rPr>
          <w:rFonts w:ascii="Arial" w:hAnsi="Arial" w:cs="Arial"/>
          <w:sz w:val="22"/>
          <w:szCs w:val="22"/>
        </w:rPr>
      </w:pPr>
      <w:bookmarkStart w:id="7" w:name="_3dy6vkm" w:colFirst="0" w:colLast="0"/>
      <w:bookmarkEnd w:id="7"/>
      <w:r w:rsidRPr="00AC1FD5">
        <w:rPr>
          <w:rFonts w:ascii="Arial" w:eastAsia="Arial" w:hAnsi="Arial" w:cs="Arial"/>
          <w:b/>
          <w:sz w:val="22"/>
          <w:szCs w:val="22"/>
        </w:rPr>
        <w:t>Emisión indirecta de gases de efecto invernadero por energía:</w:t>
      </w:r>
      <w:r w:rsidRPr="00AC1FD5">
        <w:rPr>
          <w:rFonts w:ascii="Arial" w:eastAsia="Arial" w:hAnsi="Arial" w:cs="Arial"/>
          <w:sz w:val="22"/>
          <w:szCs w:val="22"/>
        </w:rPr>
        <w:t xml:space="preserve"> emisión de GEI que proviene de la generación de electricidad, calor o vapor de origen externo consumidos por la organización.</w:t>
      </w:r>
    </w:p>
    <w:p w:rsidR="004B1E26" w:rsidRPr="00AC1FD5" w:rsidRDefault="001D79C8">
      <w:pPr>
        <w:numPr>
          <w:ilvl w:val="0"/>
          <w:numId w:val="4"/>
        </w:numPr>
        <w:spacing w:line="276" w:lineRule="auto"/>
        <w:ind w:left="426"/>
        <w:jc w:val="both"/>
        <w:rPr>
          <w:rFonts w:ascii="Arial" w:hAnsi="Arial" w:cs="Arial"/>
          <w:sz w:val="22"/>
          <w:szCs w:val="22"/>
        </w:rPr>
      </w:pPr>
      <w:bookmarkStart w:id="8" w:name="_1t3h5sf" w:colFirst="0" w:colLast="0"/>
      <w:bookmarkEnd w:id="8"/>
      <w:r w:rsidRPr="00AC1FD5">
        <w:rPr>
          <w:rFonts w:ascii="Arial" w:eastAsia="Arial" w:hAnsi="Arial" w:cs="Arial"/>
          <w:b/>
          <w:sz w:val="22"/>
          <w:szCs w:val="22"/>
        </w:rPr>
        <w:t xml:space="preserve">Equivalente de dióxido de carbono: </w:t>
      </w:r>
      <w:r w:rsidRPr="00AC1FD5">
        <w:rPr>
          <w:rFonts w:ascii="Arial" w:eastAsia="Arial" w:hAnsi="Arial" w:cs="Arial"/>
          <w:sz w:val="22"/>
          <w:szCs w:val="22"/>
        </w:rPr>
        <w:t>unidad para comparar la fuerza de radiación de un GEI con el dióxido de carbono.</w:t>
      </w:r>
    </w:p>
    <w:p w:rsidR="004B1E26" w:rsidRPr="00AC1FD5" w:rsidRDefault="001D79C8">
      <w:pPr>
        <w:numPr>
          <w:ilvl w:val="0"/>
          <w:numId w:val="4"/>
        </w:numPr>
        <w:spacing w:line="276" w:lineRule="auto"/>
        <w:ind w:left="426"/>
        <w:jc w:val="both"/>
        <w:rPr>
          <w:rFonts w:ascii="Arial" w:hAnsi="Arial" w:cs="Arial"/>
          <w:sz w:val="22"/>
          <w:szCs w:val="22"/>
        </w:rPr>
      </w:pPr>
      <w:bookmarkStart w:id="9" w:name="_4d34og8" w:colFirst="0" w:colLast="0"/>
      <w:bookmarkEnd w:id="9"/>
      <w:r w:rsidRPr="00AC1FD5">
        <w:rPr>
          <w:rFonts w:ascii="Arial" w:eastAsia="Arial" w:hAnsi="Arial" w:cs="Arial"/>
          <w:b/>
          <w:sz w:val="22"/>
          <w:szCs w:val="22"/>
        </w:rPr>
        <w:t>Factor de emisión o remoción de gases de efecto invernadero:</w:t>
      </w:r>
      <w:r w:rsidRPr="00AC1FD5">
        <w:rPr>
          <w:rFonts w:ascii="Arial" w:eastAsia="Arial" w:hAnsi="Arial" w:cs="Arial"/>
          <w:sz w:val="22"/>
          <w:szCs w:val="22"/>
        </w:rPr>
        <w:t xml:space="preserve"> factor que relaciona los datos de la actividad con las emisiones o remociones de GEI.</w:t>
      </w:r>
    </w:p>
    <w:p w:rsidR="004B1E26" w:rsidRPr="00AC1FD5" w:rsidRDefault="001D79C8">
      <w:pPr>
        <w:numPr>
          <w:ilvl w:val="0"/>
          <w:numId w:val="4"/>
        </w:numPr>
        <w:spacing w:line="276" w:lineRule="auto"/>
        <w:ind w:left="426"/>
        <w:jc w:val="both"/>
        <w:rPr>
          <w:rFonts w:ascii="Arial" w:hAnsi="Arial" w:cs="Arial"/>
          <w:sz w:val="22"/>
          <w:szCs w:val="22"/>
        </w:rPr>
      </w:pPr>
      <w:bookmarkStart w:id="10" w:name="_2s8eyo1" w:colFirst="0" w:colLast="0"/>
      <w:bookmarkEnd w:id="10"/>
      <w:r w:rsidRPr="00AC1FD5">
        <w:rPr>
          <w:rFonts w:ascii="Arial" w:eastAsia="Arial" w:hAnsi="Arial" w:cs="Arial"/>
          <w:b/>
          <w:sz w:val="22"/>
          <w:szCs w:val="22"/>
        </w:rPr>
        <w:t>Fuente de gases de efecto invernadero:</w:t>
      </w:r>
      <w:r w:rsidRPr="00AC1FD5">
        <w:rPr>
          <w:rFonts w:ascii="Arial" w:eastAsia="Arial" w:hAnsi="Arial" w:cs="Arial"/>
          <w:sz w:val="22"/>
          <w:szCs w:val="22"/>
        </w:rPr>
        <w:t xml:space="preserve"> unidad o proceso físico que libera un GEI hacia la atmósfera.</w:t>
      </w:r>
    </w:p>
    <w:p w:rsidR="004B1E26" w:rsidRPr="00AC1FD5" w:rsidRDefault="001D79C8">
      <w:pPr>
        <w:numPr>
          <w:ilvl w:val="0"/>
          <w:numId w:val="4"/>
        </w:numPr>
        <w:spacing w:line="276" w:lineRule="auto"/>
        <w:ind w:left="426"/>
        <w:jc w:val="both"/>
        <w:rPr>
          <w:rFonts w:ascii="Arial" w:hAnsi="Arial" w:cs="Arial"/>
          <w:sz w:val="22"/>
          <w:szCs w:val="22"/>
        </w:rPr>
      </w:pPr>
      <w:bookmarkStart w:id="11" w:name="_17dp8vu" w:colFirst="0" w:colLast="0"/>
      <w:bookmarkEnd w:id="11"/>
      <w:r w:rsidRPr="00AC1FD5">
        <w:rPr>
          <w:rFonts w:ascii="Arial" w:eastAsia="Arial" w:hAnsi="Arial" w:cs="Arial"/>
          <w:b/>
          <w:sz w:val="22"/>
          <w:szCs w:val="22"/>
        </w:rPr>
        <w:t>Gases de efecto invernadero:</w:t>
      </w:r>
      <w:r w:rsidRPr="00AC1FD5">
        <w:rPr>
          <w:rFonts w:ascii="Arial" w:eastAsia="Arial" w:hAnsi="Arial" w:cs="Arial"/>
          <w:sz w:val="22"/>
          <w:szCs w:val="22"/>
        </w:rPr>
        <w:t xml:space="preserve"> componente gaseoso de la atmósfera, tanto natural como antropogénico, que absorbe y emite radiación a longitudes de onda específicas dentro del espectro de radiación infrarroja emitida por la superficie de la Tierra, la atmósfera y las nubes. Nota:</w:t>
      </w:r>
      <w:r w:rsidRPr="00AC1FD5">
        <w:rPr>
          <w:rFonts w:ascii="Arial" w:eastAsia="Arial" w:hAnsi="Arial" w:cs="Arial"/>
          <w:sz w:val="22"/>
          <w:szCs w:val="22"/>
        </w:rPr>
        <w:tab/>
        <w:t xml:space="preserve"> Algunos de los GEI son: dióxido de carbono (CO</w:t>
      </w:r>
      <w:r w:rsidRPr="00AC1FD5">
        <w:rPr>
          <w:rFonts w:ascii="Arial" w:eastAsia="Arial" w:hAnsi="Arial" w:cs="Arial"/>
          <w:sz w:val="22"/>
          <w:szCs w:val="22"/>
          <w:vertAlign w:val="subscript"/>
        </w:rPr>
        <w:t>2</w:t>
      </w:r>
      <w:r w:rsidRPr="00AC1FD5">
        <w:rPr>
          <w:rFonts w:ascii="Arial" w:eastAsia="Arial" w:hAnsi="Arial" w:cs="Arial"/>
          <w:sz w:val="22"/>
          <w:szCs w:val="22"/>
        </w:rPr>
        <w:t>), metano (CH</w:t>
      </w:r>
      <w:r w:rsidRPr="00AC1FD5">
        <w:rPr>
          <w:rFonts w:ascii="Arial" w:eastAsia="Arial" w:hAnsi="Arial" w:cs="Arial"/>
          <w:sz w:val="22"/>
          <w:szCs w:val="22"/>
          <w:vertAlign w:val="subscript"/>
        </w:rPr>
        <w:t>4</w:t>
      </w:r>
      <w:r w:rsidRPr="00AC1FD5">
        <w:rPr>
          <w:rFonts w:ascii="Arial" w:eastAsia="Arial" w:hAnsi="Arial" w:cs="Arial"/>
          <w:sz w:val="22"/>
          <w:szCs w:val="22"/>
        </w:rPr>
        <w:t>), óxido nitroso (N</w:t>
      </w:r>
      <w:r w:rsidRPr="00AC1FD5">
        <w:rPr>
          <w:rFonts w:ascii="Arial" w:eastAsia="Arial" w:hAnsi="Arial" w:cs="Arial"/>
          <w:sz w:val="22"/>
          <w:szCs w:val="22"/>
          <w:vertAlign w:val="subscript"/>
        </w:rPr>
        <w:t>2</w:t>
      </w:r>
      <w:r w:rsidRPr="00AC1FD5">
        <w:rPr>
          <w:rFonts w:ascii="Arial" w:eastAsia="Arial" w:hAnsi="Arial" w:cs="Arial"/>
          <w:sz w:val="22"/>
          <w:szCs w:val="22"/>
        </w:rPr>
        <w:t>O), hidrofluorocarbonos (HFC), perfluorocarbonos (PFC) y hexafluoruro de azufre (SF</w:t>
      </w:r>
      <w:r w:rsidRPr="00AC1FD5">
        <w:rPr>
          <w:rFonts w:ascii="Arial" w:eastAsia="Arial" w:hAnsi="Arial" w:cs="Arial"/>
          <w:sz w:val="22"/>
          <w:szCs w:val="22"/>
          <w:vertAlign w:val="subscript"/>
        </w:rPr>
        <w:t>6</w:t>
      </w:r>
      <w:r w:rsidRPr="00AC1FD5">
        <w:rPr>
          <w:rFonts w:ascii="Arial" w:eastAsia="Arial" w:hAnsi="Arial" w:cs="Arial"/>
          <w:sz w:val="22"/>
          <w:szCs w:val="22"/>
        </w:rPr>
        <w:t>).</w:t>
      </w:r>
    </w:p>
    <w:p w:rsidR="004B1E26" w:rsidRPr="00AC1FD5" w:rsidRDefault="001D79C8">
      <w:pPr>
        <w:numPr>
          <w:ilvl w:val="0"/>
          <w:numId w:val="4"/>
        </w:numPr>
        <w:spacing w:line="276" w:lineRule="auto"/>
        <w:ind w:left="426"/>
        <w:jc w:val="both"/>
        <w:rPr>
          <w:rFonts w:ascii="Arial" w:hAnsi="Arial" w:cs="Arial"/>
          <w:sz w:val="22"/>
          <w:szCs w:val="22"/>
        </w:rPr>
      </w:pPr>
      <w:bookmarkStart w:id="12" w:name="_3rdcrjn" w:colFirst="0" w:colLast="0"/>
      <w:bookmarkEnd w:id="12"/>
      <w:r w:rsidRPr="00AC1FD5">
        <w:rPr>
          <w:rFonts w:ascii="Arial" w:eastAsia="Arial" w:hAnsi="Arial" w:cs="Arial"/>
          <w:b/>
          <w:sz w:val="22"/>
          <w:szCs w:val="22"/>
        </w:rPr>
        <w:t>Inventario de gases de efecto invernadero:</w:t>
      </w:r>
      <w:r w:rsidRPr="00AC1FD5">
        <w:rPr>
          <w:rFonts w:ascii="Arial" w:eastAsia="Arial" w:hAnsi="Arial" w:cs="Arial"/>
          <w:sz w:val="22"/>
          <w:szCs w:val="22"/>
        </w:rPr>
        <w:t xml:space="preserve"> las fuentes de GEI, sumideros de GEI, emisiones y remociones de GEI de una organización.</w:t>
      </w:r>
    </w:p>
    <w:p w:rsidR="004B1E26" w:rsidRPr="00AC1FD5" w:rsidRDefault="001D79C8">
      <w:pPr>
        <w:numPr>
          <w:ilvl w:val="0"/>
          <w:numId w:val="4"/>
        </w:numPr>
        <w:spacing w:line="276" w:lineRule="auto"/>
        <w:ind w:left="426"/>
        <w:jc w:val="both"/>
        <w:rPr>
          <w:rFonts w:ascii="Arial" w:hAnsi="Arial" w:cs="Arial"/>
          <w:sz w:val="22"/>
          <w:szCs w:val="22"/>
        </w:rPr>
      </w:pPr>
      <w:bookmarkStart w:id="13" w:name="_26in1rg" w:colFirst="0" w:colLast="0"/>
      <w:bookmarkEnd w:id="13"/>
      <w:r w:rsidRPr="00AC1FD5">
        <w:rPr>
          <w:rFonts w:ascii="Arial" w:eastAsia="Arial" w:hAnsi="Arial" w:cs="Arial"/>
          <w:b/>
          <w:sz w:val="22"/>
          <w:szCs w:val="22"/>
        </w:rPr>
        <w:t>Otras emisiones indirectas de gas de efecto invernadero:</w:t>
      </w:r>
      <w:r w:rsidRPr="00AC1FD5">
        <w:rPr>
          <w:rFonts w:ascii="Arial" w:eastAsia="Arial" w:hAnsi="Arial" w:cs="Arial"/>
          <w:sz w:val="22"/>
          <w:szCs w:val="22"/>
        </w:rPr>
        <w:t xml:space="preserve"> emisión de GEI diferente de la emisión indirecta de gases de efecto invernadero por energía, que es una consecuencia de las actividades de la organización, pero que se origina en fuentes de GEI que pertenecen o son controladas por otras organizaciones.</w:t>
      </w:r>
    </w:p>
    <w:p w:rsidR="004B1E26" w:rsidRPr="00AC1FD5" w:rsidRDefault="001D79C8">
      <w:pPr>
        <w:numPr>
          <w:ilvl w:val="0"/>
          <w:numId w:val="4"/>
        </w:numPr>
        <w:spacing w:line="276" w:lineRule="auto"/>
        <w:ind w:left="426"/>
        <w:jc w:val="both"/>
        <w:rPr>
          <w:rFonts w:ascii="Arial" w:hAnsi="Arial" w:cs="Arial"/>
          <w:sz w:val="22"/>
          <w:szCs w:val="22"/>
        </w:rPr>
      </w:pPr>
      <w:r w:rsidRPr="00AC1FD5">
        <w:rPr>
          <w:rFonts w:ascii="Arial" w:eastAsia="Arial" w:hAnsi="Arial" w:cs="Arial"/>
          <w:b/>
          <w:sz w:val="22"/>
          <w:szCs w:val="22"/>
        </w:rPr>
        <w:t xml:space="preserve">Potencial de calentamiento global: </w:t>
      </w:r>
      <w:r w:rsidRPr="00AC1FD5">
        <w:rPr>
          <w:rFonts w:ascii="Arial" w:eastAsia="Arial" w:hAnsi="Arial" w:cs="Arial"/>
          <w:sz w:val="22"/>
          <w:szCs w:val="22"/>
        </w:rPr>
        <w:t>factor que describe el impacto de la fuerza de radiación de una unidad con base en la masa de un GEI determinado, con relación a la unidad equivalente de dióxido de carbono de un periodo determinado.</w:t>
      </w:r>
    </w:p>
    <w:p w:rsidR="004B1E26" w:rsidRPr="00AC1FD5" w:rsidRDefault="001D79C8">
      <w:pPr>
        <w:numPr>
          <w:ilvl w:val="0"/>
          <w:numId w:val="4"/>
        </w:numPr>
        <w:spacing w:line="276" w:lineRule="auto"/>
        <w:ind w:left="426"/>
        <w:jc w:val="both"/>
        <w:rPr>
          <w:rFonts w:ascii="Arial" w:hAnsi="Arial" w:cs="Arial"/>
          <w:sz w:val="22"/>
          <w:szCs w:val="22"/>
        </w:rPr>
      </w:pPr>
      <w:r w:rsidRPr="00AC1FD5">
        <w:rPr>
          <w:rFonts w:ascii="Arial" w:eastAsia="Arial" w:hAnsi="Arial" w:cs="Arial"/>
          <w:b/>
          <w:sz w:val="22"/>
          <w:szCs w:val="22"/>
        </w:rPr>
        <w:t>Reporte o Informe de gases de efecto invernadero:</w:t>
      </w:r>
      <w:r w:rsidRPr="00AC1FD5">
        <w:rPr>
          <w:rFonts w:ascii="Arial" w:eastAsia="Arial" w:hAnsi="Arial" w:cs="Arial"/>
          <w:sz w:val="22"/>
          <w:szCs w:val="22"/>
        </w:rPr>
        <w:t xml:space="preserve"> documento independiente destinado a comunicar información relacionada con los GEI de una organización o proyecto a su usuario previsto.</w:t>
      </w:r>
    </w:p>
    <w:p w:rsidR="004B1E26" w:rsidRPr="00AC1FD5" w:rsidRDefault="001D79C8">
      <w:pPr>
        <w:numPr>
          <w:ilvl w:val="0"/>
          <w:numId w:val="8"/>
        </w:numPr>
        <w:spacing w:before="360" w:after="240" w:line="276" w:lineRule="auto"/>
        <w:ind w:left="425" w:hanging="357"/>
        <w:jc w:val="both"/>
        <w:rPr>
          <w:rFonts w:ascii="Arial" w:eastAsia="Arial" w:hAnsi="Arial" w:cs="Arial"/>
          <w:color w:val="000080"/>
          <w:u w:val="single"/>
        </w:rPr>
      </w:pPr>
      <w:r w:rsidRPr="00AC1FD5">
        <w:rPr>
          <w:rFonts w:ascii="Arial" w:eastAsia="Arial" w:hAnsi="Arial" w:cs="Arial"/>
          <w:b/>
          <w:color w:val="000080"/>
          <w:u w:val="single"/>
        </w:rPr>
        <w:lastRenderedPageBreak/>
        <w:t>RESPONSABILIDADES</w:t>
      </w:r>
    </w:p>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sz w:val="22"/>
          <w:szCs w:val="22"/>
        </w:rPr>
        <w:t>Cada persona involucrada en el proceso de GEI, en coordinación con el asesor ambiental, debe cumplir con las siguientes funciones y responsabilidades:</w:t>
      </w:r>
    </w:p>
    <w:tbl>
      <w:tblPr>
        <w:tblStyle w:val="a0"/>
        <w:tblW w:w="8786" w:type="dxa"/>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Look w:val="0000" w:firstRow="0" w:lastRow="0" w:firstColumn="0" w:lastColumn="0" w:noHBand="0" w:noVBand="0"/>
      </w:tblPr>
      <w:tblGrid>
        <w:gridCol w:w="4393"/>
        <w:gridCol w:w="4393"/>
      </w:tblGrid>
      <w:tr w:rsidR="004B1E26" w:rsidRPr="00AC1FD5">
        <w:tc>
          <w:tcPr>
            <w:tcW w:w="4393" w:type="dxa"/>
            <w:shd w:val="clear" w:color="auto" w:fill="000080"/>
          </w:tcPr>
          <w:p w:rsidR="004B1E26" w:rsidRPr="00AC1FD5" w:rsidRDefault="001D79C8">
            <w:pPr>
              <w:jc w:val="center"/>
              <w:rPr>
                <w:rFonts w:ascii="Arial" w:eastAsia="Arial" w:hAnsi="Arial" w:cs="Arial"/>
                <w:color w:val="FFFFFF"/>
                <w:sz w:val="20"/>
                <w:szCs w:val="20"/>
              </w:rPr>
            </w:pPr>
            <w:r w:rsidRPr="00AC1FD5">
              <w:rPr>
                <w:rFonts w:ascii="Arial" w:eastAsia="Arial" w:hAnsi="Arial" w:cs="Arial"/>
                <w:b/>
                <w:color w:val="FFFFFF"/>
                <w:sz w:val="20"/>
                <w:szCs w:val="20"/>
              </w:rPr>
              <w:t>Puesto</w:t>
            </w:r>
          </w:p>
        </w:tc>
        <w:tc>
          <w:tcPr>
            <w:tcW w:w="4393" w:type="dxa"/>
            <w:shd w:val="clear" w:color="auto" w:fill="000080"/>
          </w:tcPr>
          <w:p w:rsidR="004B1E26" w:rsidRPr="00AC1FD5" w:rsidRDefault="001D79C8">
            <w:pPr>
              <w:jc w:val="center"/>
              <w:rPr>
                <w:rFonts w:ascii="Arial" w:eastAsia="Arial" w:hAnsi="Arial" w:cs="Arial"/>
                <w:color w:val="FFFFFF"/>
                <w:sz w:val="20"/>
                <w:szCs w:val="20"/>
              </w:rPr>
            </w:pPr>
            <w:r w:rsidRPr="00AC1FD5">
              <w:rPr>
                <w:rFonts w:ascii="Arial" w:eastAsia="Arial" w:hAnsi="Arial" w:cs="Arial"/>
                <w:b/>
                <w:color w:val="FFFFFF"/>
                <w:sz w:val="20"/>
                <w:szCs w:val="20"/>
              </w:rPr>
              <w:t>Responsabilidad</w:t>
            </w:r>
          </w:p>
        </w:tc>
      </w:tr>
      <w:tr w:rsidR="004B1E26" w:rsidRPr="00AC1FD5">
        <w:tc>
          <w:tcPr>
            <w:tcW w:w="4393" w:type="dxa"/>
          </w:tcPr>
          <w:p w:rsidR="004B1E26" w:rsidRPr="00AC1FD5" w:rsidRDefault="001D79C8">
            <w:pPr>
              <w:jc w:val="center"/>
              <w:rPr>
                <w:rFonts w:ascii="Arial" w:eastAsia="Arial" w:hAnsi="Arial" w:cs="Arial"/>
                <w:sz w:val="20"/>
                <w:szCs w:val="20"/>
              </w:rPr>
            </w:pPr>
            <w:r w:rsidRPr="00AC1FD5">
              <w:rPr>
                <w:rFonts w:ascii="Arial" w:eastAsia="Arial" w:hAnsi="Arial" w:cs="Arial"/>
                <w:sz w:val="20"/>
                <w:szCs w:val="20"/>
              </w:rPr>
              <w:t>Asesor(a)/pasante</w:t>
            </w:r>
          </w:p>
        </w:tc>
        <w:tc>
          <w:tcPr>
            <w:tcW w:w="4393" w:type="dxa"/>
          </w:tcPr>
          <w:p w:rsidR="004B1E26" w:rsidRPr="00AC1FD5" w:rsidRDefault="001D79C8">
            <w:pPr>
              <w:numPr>
                <w:ilvl w:val="0"/>
                <w:numId w:val="6"/>
              </w:numPr>
              <w:jc w:val="center"/>
              <w:rPr>
                <w:rFonts w:ascii="Arial" w:hAnsi="Arial" w:cs="Arial"/>
                <w:sz w:val="20"/>
                <w:szCs w:val="20"/>
              </w:rPr>
            </w:pPr>
            <w:r w:rsidRPr="00AC1FD5">
              <w:rPr>
                <w:rFonts w:ascii="Arial" w:eastAsia="Arial" w:hAnsi="Arial" w:cs="Arial"/>
                <w:sz w:val="20"/>
                <w:szCs w:val="20"/>
              </w:rPr>
              <w:t xml:space="preserve">Elabora el inventario de GEI, actualiza el sistema de información y el reporte. </w:t>
            </w:r>
          </w:p>
        </w:tc>
      </w:tr>
      <w:tr w:rsidR="004B1E26" w:rsidRPr="00AC1FD5">
        <w:tc>
          <w:tcPr>
            <w:tcW w:w="4393" w:type="dxa"/>
          </w:tcPr>
          <w:p w:rsidR="004B1E26" w:rsidRPr="00AC1FD5" w:rsidRDefault="001D79C8">
            <w:pPr>
              <w:jc w:val="center"/>
              <w:rPr>
                <w:rFonts w:ascii="Arial" w:eastAsia="Arial" w:hAnsi="Arial" w:cs="Arial"/>
                <w:sz w:val="20"/>
                <w:szCs w:val="20"/>
              </w:rPr>
            </w:pPr>
            <w:r w:rsidRPr="00AC1FD5">
              <w:rPr>
                <w:rFonts w:ascii="Arial" w:eastAsia="Arial" w:hAnsi="Arial" w:cs="Arial"/>
                <w:sz w:val="20"/>
                <w:szCs w:val="20"/>
              </w:rPr>
              <w:t>Coordinador de la Comisión Institucional de Sostenibilidad de la Asamblea Legislativa (CISAL)</w:t>
            </w:r>
          </w:p>
        </w:tc>
        <w:tc>
          <w:tcPr>
            <w:tcW w:w="4393" w:type="dxa"/>
          </w:tcPr>
          <w:p w:rsidR="004B1E26" w:rsidRPr="00AC1FD5" w:rsidRDefault="001D79C8">
            <w:pPr>
              <w:numPr>
                <w:ilvl w:val="0"/>
                <w:numId w:val="6"/>
              </w:numPr>
              <w:jc w:val="center"/>
              <w:rPr>
                <w:rFonts w:ascii="Arial" w:hAnsi="Arial" w:cs="Arial"/>
                <w:sz w:val="20"/>
                <w:szCs w:val="20"/>
              </w:rPr>
            </w:pPr>
            <w:r w:rsidRPr="00AC1FD5">
              <w:rPr>
                <w:rFonts w:ascii="Arial" w:eastAsia="Arial" w:hAnsi="Arial" w:cs="Arial"/>
                <w:sz w:val="20"/>
                <w:szCs w:val="20"/>
              </w:rPr>
              <w:t xml:space="preserve">Aprueba la versión final del sistema de información, inventario y reportes de GEI. </w:t>
            </w:r>
          </w:p>
          <w:p w:rsidR="004B1E26" w:rsidRPr="00AC1FD5" w:rsidRDefault="001D79C8">
            <w:pPr>
              <w:numPr>
                <w:ilvl w:val="0"/>
                <w:numId w:val="6"/>
              </w:numPr>
              <w:jc w:val="center"/>
              <w:rPr>
                <w:rFonts w:ascii="Arial" w:hAnsi="Arial" w:cs="Arial"/>
                <w:sz w:val="20"/>
                <w:szCs w:val="20"/>
              </w:rPr>
            </w:pPr>
            <w:r w:rsidRPr="00AC1FD5">
              <w:rPr>
                <w:rFonts w:ascii="Arial" w:eastAsia="Arial" w:hAnsi="Arial" w:cs="Arial"/>
                <w:sz w:val="20"/>
                <w:szCs w:val="20"/>
              </w:rPr>
              <w:t>Coordina al equipo de carbono neutralidad.</w:t>
            </w:r>
          </w:p>
        </w:tc>
      </w:tr>
      <w:tr w:rsidR="004B1E26" w:rsidRPr="00AC1FD5">
        <w:tc>
          <w:tcPr>
            <w:tcW w:w="4393" w:type="dxa"/>
          </w:tcPr>
          <w:p w:rsidR="004B1E26" w:rsidRPr="00AC1FD5" w:rsidRDefault="001D79C8">
            <w:pPr>
              <w:jc w:val="center"/>
              <w:rPr>
                <w:rFonts w:ascii="Arial" w:eastAsia="Arial" w:hAnsi="Arial" w:cs="Arial"/>
                <w:sz w:val="20"/>
                <w:szCs w:val="20"/>
              </w:rPr>
            </w:pPr>
            <w:r w:rsidRPr="00AC1FD5">
              <w:rPr>
                <w:rFonts w:ascii="Arial" w:eastAsia="Arial" w:hAnsi="Arial" w:cs="Arial"/>
                <w:sz w:val="20"/>
                <w:szCs w:val="20"/>
              </w:rPr>
              <w:t>Gestor ambiental</w:t>
            </w:r>
          </w:p>
        </w:tc>
        <w:tc>
          <w:tcPr>
            <w:tcW w:w="4393" w:type="dxa"/>
          </w:tcPr>
          <w:p w:rsidR="004B1E26" w:rsidRPr="00AC1FD5" w:rsidRDefault="001D79C8">
            <w:pPr>
              <w:numPr>
                <w:ilvl w:val="0"/>
                <w:numId w:val="6"/>
              </w:numPr>
              <w:jc w:val="center"/>
              <w:rPr>
                <w:rFonts w:ascii="Arial" w:hAnsi="Arial" w:cs="Arial"/>
                <w:sz w:val="20"/>
                <w:szCs w:val="20"/>
              </w:rPr>
            </w:pPr>
            <w:r w:rsidRPr="00AC1FD5">
              <w:rPr>
                <w:rFonts w:ascii="Arial" w:eastAsia="Arial" w:hAnsi="Arial" w:cs="Arial"/>
                <w:sz w:val="20"/>
                <w:szCs w:val="20"/>
              </w:rPr>
              <w:t>Apoya en la recolección de información y coordinación del equipo.</w:t>
            </w:r>
          </w:p>
        </w:tc>
      </w:tr>
    </w:tbl>
    <w:p w:rsidR="004B1E26" w:rsidRPr="00AC1FD5" w:rsidRDefault="004B1E26">
      <w:pPr>
        <w:jc w:val="both"/>
        <w:rPr>
          <w:rFonts w:ascii="Arial" w:eastAsia="Arial" w:hAnsi="Arial" w:cs="Arial"/>
          <w:sz w:val="20"/>
          <w:szCs w:val="20"/>
        </w:rPr>
      </w:pPr>
    </w:p>
    <w:p w:rsidR="004B1E26" w:rsidRPr="00AC1FD5" w:rsidRDefault="001D79C8">
      <w:pPr>
        <w:numPr>
          <w:ilvl w:val="0"/>
          <w:numId w:val="8"/>
        </w:numPr>
        <w:spacing w:before="360" w:after="240" w:line="276" w:lineRule="auto"/>
        <w:ind w:left="425" w:hanging="357"/>
        <w:jc w:val="both"/>
        <w:rPr>
          <w:rFonts w:ascii="Arial" w:eastAsia="Arial" w:hAnsi="Arial" w:cs="Arial"/>
          <w:color w:val="000080"/>
          <w:u w:val="single"/>
        </w:rPr>
      </w:pPr>
      <w:r w:rsidRPr="00AC1FD5">
        <w:rPr>
          <w:rFonts w:ascii="Arial" w:eastAsia="Arial" w:hAnsi="Arial" w:cs="Arial"/>
          <w:b/>
          <w:color w:val="000080"/>
          <w:u w:val="single"/>
        </w:rPr>
        <w:t>PROCEDIMIENTO</w:t>
      </w:r>
    </w:p>
    <w:p w:rsidR="004B1E26" w:rsidRPr="00AC1FD5" w:rsidRDefault="001D79C8">
      <w:pPr>
        <w:jc w:val="both"/>
        <w:rPr>
          <w:rFonts w:ascii="Arial" w:eastAsia="Arial" w:hAnsi="Arial" w:cs="Arial"/>
          <w:sz w:val="22"/>
        </w:rPr>
      </w:pPr>
      <w:r w:rsidRPr="00AC1FD5">
        <w:rPr>
          <w:rFonts w:ascii="Arial" w:eastAsia="Arial" w:hAnsi="Arial" w:cs="Arial"/>
          <w:sz w:val="22"/>
        </w:rPr>
        <w:t>El desarrollo de la cuantificación e inventario de emisiones de GEI, se realiza de forma anual, es decir que se contabilizan las emisiones de enero a diciembre de cada año. Según cada fuente de emisión que se identifique se inicia el proceso con la entrada de datos de consumo o se realiza un cálculo de estimación, estos consumos se registran por día, mes y/o año. Estos datos deben ser solicitados por gestió</w:t>
      </w:r>
      <w:r w:rsidR="00226779" w:rsidRPr="00AC1FD5">
        <w:rPr>
          <w:rFonts w:ascii="Arial" w:eastAsia="Arial" w:hAnsi="Arial" w:cs="Arial"/>
          <w:sz w:val="22"/>
        </w:rPr>
        <w:t xml:space="preserve">n ambiental a los departamentos </w:t>
      </w:r>
      <w:r w:rsidRPr="00AC1FD5">
        <w:rPr>
          <w:rFonts w:ascii="Arial" w:eastAsia="Arial" w:hAnsi="Arial" w:cs="Arial"/>
          <w:sz w:val="22"/>
        </w:rPr>
        <w:t>correspondientes (ejemplo: financiero, mantenimiento, etc.). Posteriormente cada dato es multiplicado por el factor de emisión (según IMN, IPCC u otra organización válida) y por el potencial de calentamiento global (PCG) para obtener el dato de CO</w:t>
      </w:r>
      <w:r w:rsidRPr="00AC1FD5">
        <w:rPr>
          <w:rFonts w:ascii="Arial" w:eastAsia="Arial" w:hAnsi="Arial" w:cs="Arial"/>
          <w:sz w:val="22"/>
          <w:vertAlign w:val="subscript"/>
        </w:rPr>
        <w:t>2</w:t>
      </w:r>
      <w:r w:rsidRPr="00AC1FD5">
        <w:rPr>
          <w:rFonts w:ascii="Arial" w:eastAsia="Arial" w:hAnsi="Arial" w:cs="Arial"/>
          <w:sz w:val="22"/>
        </w:rPr>
        <w:t xml:space="preserve"> equivalente, el cual debe ser presentado en toneladas. Una vez se obtenga el dato en términos </w:t>
      </w:r>
      <w:r w:rsidR="009922CB" w:rsidRPr="00AC1FD5">
        <w:rPr>
          <w:rFonts w:ascii="Arial" w:eastAsia="Arial" w:hAnsi="Arial" w:cs="Arial"/>
          <w:sz w:val="22"/>
        </w:rPr>
        <w:t>anuales se</w:t>
      </w:r>
      <w:r w:rsidRPr="00AC1FD5">
        <w:rPr>
          <w:rFonts w:ascii="Arial" w:eastAsia="Arial" w:hAnsi="Arial" w:cs="Arial"/>
          <w:sz w:val="22"/>
        </w:rPr>
        <w:t xml:space="preserve"> incluye en el reporte e informe de Inventario de emisiones de la organización para ser verificado por un ente acreditado.</w:t>
      </w:r>
    </w:p>
    <w:p w:rsidR="004B1E26" w:rsidRPr="00AC1FD5" w:rsidRDefault="004B1E26">
      <w:pPr>
        <w:rPr>
          <w:rFonts w:ascii="Arial" w:eastAsia="Arial" w:hAnsi="Arial" w:cs="Arial"/>
        </w:rPr>
      </w:pPr>
    </w:p>
    <w:p w:rsidR="004B1E26" w:rsidRPr="00AC1FD5" w:rsidRDefault="009922CB">
      <w:pPr>
        <w:spacing w:line="276" w:lineRule="auto"/>
        <w:jc w:val="both"/>
        <w:rPr>
          <w:rFonts w:ascii="Arial" w:eastAsia="Arial" w:hAnsi="Arial" w:cs="Arial"/>
          <w:sz w:val="22"/>
          <w:szCs w:val="22"/>
        </w:rPr>
      </w:pPr>
      <w:r w:rsidRPr="00AC1FD5">
        <w:rPr>
          <w:rFonts w:ascii="Arial" w:eastAsia="Arial" w:hAnsi="Arial" w:cs="Arial"/>
          <w:b/>
          <w:sz w:val="22"/>
          <w:szCs w:val="22"/>
        </w:rPr>
        <w:t>6.1 Cuantificación</w:t>
      </w:r>
      <w:r w:rsidR="001D79C8" w:rsidRPr="00AC1FD5">
        <w:rPr>
          <w:rFonts w:ascii="Arial" w:eastAsia="Arial" w:hAnsi="Arial" w:cs="Arial"/>
          <w:b/>
          <w:sz w:val="22"/>
          <w:szCs w:val="22"/>
        </w:rPr>
        <w:t xml:space="preserve"> de Emisiones de GEI</w:t>
      </w:r>
    </w:p>
    <w:p w:rsidR="004B1E26" w:rsidRPr="00AC1FD5" w:rsidRDefault="009922CB">
      <w:pPr>
        <w:spacing w:line="276" w:lineRule="auto"/>
        <w:jc w:val="both"/>
        <w:rPr>
          <w:rFonts w:ascii="Arial" w:eastAsia="Arial" w:hAnsi="Arial" w:cs="Arial"/>
          <w:sz w:val="22"/>
          <w:szCs w:val="22"/>
        </w:rPr>
      </w:pPr>
      <w:r w:rsidRPr="00AC1FD5">
        <w:rPr>
          <w:rFonts w:ascii="Arial" w:eastAsia="Arial" w:hAnsi="Arial" w:cs="Arial"/>
          <w:sz w:val="22"/>
          <w:szCs w:val="22"/>
        </w:rPr>
        <w:tab/>
        <w:t xml:space="preserve">A continuación, se describen los procedimientos: </w:t>
      </w:r>
    </w:p>
    <w:p w:rsidR="009922CB" w:rsidRPr="00AC1FD5" w:rsidRDefault="009922CB">
      <w:pPr>
        <w:spacing w:line="276" w:lineRule="auto"/>
        <w:jc w:val="both"/>
        <w:rPr>
          <w:rFonts w:ascii="Arial" w:eastAsia="Arial" w:hAnsi="Arial" w:cs="Arial"/>
          <w:sz w:val="22"/>
          <w:szCs w:val="22"/>
        </w:rPr>
      </w:pPr>
    </w:p>
    <w:p w:rsidR="004B1E26" w:rsidRPr="00AC1FD5" w:rsidRDefault="009922CB">
      <w:pPr>
        <w:spacing w:line="276" w:lineRule="auto"/>
        <w:ind w:left="142"/>
        <w:jc w:val="both"/>
        <w:rPr>
          <w:rFonts w:ascii="Arial" w:eastAsia="Arial" w:hAnsi="Arial" w:cs="Arial"/>
          <w:sz w:val="22"/>
          <w:szCs w:val="22"/>
        </w:rPr>
      </w:pPr>
      <w:r w:rsidRPr="00AC1FD5">
        <w:rPr>
          <w:rFonts w:ascii="Arial" w:eastAsia="Arial" w:hAnsi="Arial" w:cs="Arial"/>
          <w:b/>
          <w:sz w:val="22"/>
          <w:szCs w:val="22"/>
        </w:rPr>
        <w:t>6.1.1 Identificación</w:t>
      </w:r>
      <w:r w:rsidR="001D79C8" w:rsidRPr="00AC1FD5">
        <w:rPr>
          <w:rFonts w:ascii="Arial" w:eastAsia="Arial" w:hAnsi="Arial" w:cs="Arial"/>
          <w:b/>
          <w:sz w:val="22"/>
          <w:szCs w:val="22"/>
        </w:rPr>
        <w:t xml:space="preserve"> y selección de Fuentes de Emisión de GEI</w:t>
      </w:r>
    </w:p>
    <w:p w:rsidR="004B1E26" w:rsidRPr="00AC1FD5" w:rsidRDefault="004B1E26">
      <w:pPr>
        <w:spacing w:line="276" w:lineRule="auto"/>
        <w:ind w:left="360"/>
        <w:jc w:val="both"/>
        <w:rPr>
          <w:rFonts w:ascii="Arial" w:eastAsia="Arial" w:hAnsi="Arial" w:cs="Arial"/>
          <w:sz w:val="22"/>
          <w:szCs w:val="22"/>
        </w:rPr>
      </w:pPr>
    </w:p>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sz w:val="22"/>
          <w:szCs w:val="22"/>
        </w:rPr>
        <w:t>La identificación y selección de las fuentes de GEI es gestionada por el coordinador de la CISAL en conjunto con el equipo de carbono neutralidad y el procedimiento considera lo siguiente:</w:t>
      </w:r>
    </w:p>
    <w:p w:rsidR="004B1E26" w:rsidRPr="00AC1FD5" w:rsidRDefault="001D79C8">
      <w:pPr>
        <w:numPr>
          <w:ilvl w:val="0"/>
          <w:numId w:val="1"/>
        </w:numPr>
        <w:spacing w:line="276" w:lineRule="auto"/>
        <w:ind w:left="709"/>
        <w:jc w:val="both"/>
        <w:rPr>
          <w:rFonts w:ascii="Arial" w:hAnsi="Arial" w:cs="Arial"/>
          <w:sz w:val="22"/>
          <w:szCs w:val="22"/>
        </w:rPr>
      </w:pPr>
      <w:r w:rsidRPr="00AC1FD5">
        <w:rPr>
          <w:rFonts w:ascii="Arial" w:eastAsia="Arial" w:hAnsi="Arial" w:cs="Arial"/>
          <w:sz w:val="22"/>
          <w:szCs w:val="22"/>
        </w:rPr>
        <w:t xml:space="preserve">Se realiza la identificación y selección de las fuentes cuando se hace y documenta por primera vez el inventario de GEI de la institución, para cada instalación en el alcance definido. </w:t>
      </w:r>
    </w:p>
    <w:p w:rsidR="004B1E26" w:rsidRPr="00AC1FD5" w:rsidRDefault="001D79C8">
      <w:pPr>
        <w:numPr>
          <w:ilvl w:val="0"/>
          <w:numId w:val="1"/>
        </w:numPr>
        <w:spacing w:line="276" w:lineRule="auto"/>
        <w:ind w:left="709"/>
        <w:jc w:val="both"/>
        <w:rPr>
          <w:rFonts w:ascii="Arial" w:hAnsi="Arial" w:cs="Arial"/>
          <w:sz w:val="22"/>
          <w:szCs w:val="22"/>
        </w:rPr>
      </w:pPr>
      <w:r w:rsidRPr="00AC1FD5">
        <w:rPr>
          <w:rFonts w:ascii="Arial" w:eastAsia="Arial" w:hAnsi="Arial" w:cs="Arial"/>
          <w:sz w:val="22"/>
          <w:szCs w:val="22"/>
        </w:rPr>
        <w:t xml:space="preserve">Se actualizan de forma anual o, de ser necesario, cuando se desarrollen actividades que puedan generar nuevas fuentes de emisiones en cada instalación. </w:t>
      </w:r>
    </w:p>
    <w:p w:rsidR="004B1E26" w:rsidRPr="00AC1FD5" w:rsidRDefault="001D79C8">
      <w:pPr>
        <w:numPr>
          <w:ilvl w:val="0"/>
          <w:numId w:val="1"/>
        </w:numPr>
        <w:spacing w:line="276" w:lineRule="auto"/>
        <w:ind w:left="709"/>
        <w:jc w:val="both"/>
        <w:rPr>
          <w:rFonts w:ascii="Arial" w:hAnsi="Arial" w:cs="Arial"/>
          <w:sz w:val="22"/>
          <w:szCs w:val="22"/>
        </w:rPr>
      </w:pPr>
      <w:r w:rsidRPr="00AC1FD5">
        <w:rPr>
          <w:rFonts w:ascii="Arial" w:eastAsia="Arial" w:hAnsi="Arial" w:cs="Arial"/>
          <w:sz w:val="22"/>
          <w:szCs w:val="22"/>
        </w:rPr>
        <w:lastRenderedPageBreak/>
        <w:t>Para la clasificación de las fuentes se realiza con base las normas aplicables y vigente para tal proceso, de forma tal que puedan ser verificadas de forma confiable a través del tiempo.</w:t>
      </w:r>
    </w:p>
    <w:p w:rsidR="004B1E26" w:rsidRPr="00AC1FD5" w:rsidRDefault="004B1E26">
      <w:pPr>
        <w:spacing w:line="276" w:lineRule="auto"/>
        <w:ind w:left="1080"/>
        <w:jc w:val="both"/>
        <w:rPr>
          <w:rFonts w:ascii="Arial" w:eastAsia="Arial" w:hAnsi="Arial" w:cs="Arial"/>
          <w:sz w:val="22"/>
          <w:szCs w:val="22"/>
        </w:rPr>
      </w:pPr>
    </w:p>
    <w:p w:rsidR="004B1E26" w:rsidRPr="00AC1FD5" w:rsidRDefault="001D79C8">
      <w:pPr>
        <w:spacing w:line="276" w:lineRule="auto"/>
        <w:jc w:val="both"/>
        <w:rPr>
          <w:rFonts w:ascii="Arial" w:hAnsi="Arial" w:cs="Arial"/>
          <w:sz w:val="22"/>
          <w:szCs w:val="22"/>
        </w:rPr>
      </w:pPr>
      <w:r w:rsidRPr="00AC1FD5">
        <w:rPr>
          <w:rFonts w:ascii="Arial" w:eastAsia="Arial" w:hAnsi="Arial" w:cs="Arial"/>
          <w:sz w:val="22"/>
          <w:szCs w:val="22"/>
        </w:rPr>
        <w:t xml:space="preserve">Se identifican y clasifican los GEI en fuentes de emisiones </w:t>
      </w:r>
      <w:r w:rsidRPr="00AC1FD5">
        <w:rPr>
          <w:rFonts w:ascii="Arial" w:eastAsia="Arial" w:hAnsi="Arial" w:cs="Arial"/>
          <w:b/>
          <w:sz w:val="22"/>
          <w:szCs w:val="22"/>
        </w:rPr>
        <w:t>directas</w:t>
      </w:r>
      <w:r w:rsidRPr="00AC1FD5">
        <w:rPr>
          <w:rFonts w:ascii="Arial" w:eastAsia="Arial" w:hAnsi="Arial" w:cs="Arial"/>
          <w:sz w:val="22"/>
          <w:szCs w:val="22"/>
        </w:rPr>
        <w:t xml:space="preserve">/Alcance 1, </w:t>
      </w:r>
      <w:r w:rsidRPr="00AC1FD5">
        <w:rPr>
          <w:rFonts w:ascii="Arial" w:eastAsia="Arial" w:hAnsi="Arial" w:cs="Arial"/>
          <w:b/>
          <w:sz w:val="22"/>
          <w:szCs w:val="22"/>
        </w:rPr>
        <w:t>indirectas por consumo de energía</w:t>
      </w:r>
      <w:r w:rsidRPr="00AC1FD5">
        <w:rPr>
          <w:rFonts w:ascii="Arial" w:eastAsia="Arial" w:hAnsi="Arial" w:cs="Arial"/>
          <w:sz w:val="22"/>
          <w:szCs w:val="22"/>
        </w:rPr>
        <w:t xml:space="preserve">/Alcance 2 y </w:t>
      </w:r>
      <w:r w:rsidRPr="00AC1FD5">
        <w:rPr>
          <w:rFonts w:ascii="Arial" w:eastAsia="Arial" w:hAnsi="Arial" w:cs="Arial"/>
          <w:b/>
          <w:sz w:val="22"/>
          <w:szCs w:val="22"/>
        </w:rPr>
        <w:t>otras emisiones indirectas</w:t>
      </w:r>
      <w:r w:rsidRPr="00AC1FD5">
        <w:rPr>
          <w:rFonts w:ascii="Arial" w:eastAsia="Arial" w:hAnsi="Arial" w:cs="Arial"/>
          <w:sz w:val="22"/>
          <w:szCs w:val="22"/>
        </w:rPr>
        <w:t xml:space="preserve">/Alcance 3, velando por el cumplimiento del Principio normativo de Cobertura total, es decir que se incluyan todas las emisiones de GEI que sean pertinentes para la institución. A </w:t>
      </w:r>
      <w:r w:rsidR="009922CB" w:rsidRPr="00AC1FD5">
        <w:rPr>
          <w:rFonts w:ascii="Arial" w:eastAsia="Arial" w:hAnsi="Arial" w:cs="Arial"/>
          <w:sz w:val="22"/>
          <w:szCs w:val="22"/>
        </w:rPr>
        <w:t>continuación,</w:t>
      </w:r>
      <w:r w:rsidRPr="00AC1FD5">
        <w:rPr>
          <w:rFonts w:ascii="Arial" w:eastAsia="Arial" w:hAnsi="Arial" w:cs="Arial"/>
          <w:sz w:val="22"/>
          <w:szCs w:val="22"/>
        </w:rPr>
        <w:t xml:space="preserve"> se muestran las fuentes de emisiones identificadas y se indica en color verde oscuro aquellas fuentes que se excluyeron de la cuantificación de emisiones de GEI.</w:t>
      </w:r>
    </w:p>
    <w:p w:rsidR="004B1E26" w:rsidRPr="00AC1FD5" w:rsidRDefault="004B1E26">
      <w:pPr>
        <w:spacing w:line="276" w:lineRule="auto"/>
        <w:ind w:left="360"/>
        <w:jc w:val="both"/>
        <w:rPr>
          <w:rFonts w:ascii="Arial" w:hAnsi="Arial" w:cs="Arial"/>
          <w:sz w:val="22"/>
          <w:szCs w:val="22"/>
        </w:rPr>
      </w:pPr>
    </w:p>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b/>
          <w:sz w:val="22"/>
          <w:szCs w:val="22"/>
        </w:rPr>
        <w:t xml:space="preserve">6.1.1a Identificación de las fuentes de emisiones de GEI para la Asamblea Legislativa de Costa Rica: </w:t>
      </w:r>
      <w:r w:rsidRPr="00AC1FD5">
        <w:rPr>
          <w:rFonts w:ascii="Arial" w:eastAsia="Arial" w:hAnsi="Arial" w:cs="Arial"/>
          <w:sz w:val="22"/>
          <w:szCs w:val="22"/>
        </w:rPr>
        <w:t xml:space="preserve">(el alcance físico del inventario son todos los edificios en todos los niveles) </w:t>
      </w:r>
    </w:p>
    <w:p w:rsidR="004B1E26" w:rsidRPr="00AC1FD5" w:rsidRDefault="004B1E26">
      <w:pPr>
        <w:spacing w:line="276" w:lineRule="auto"/>
        <w:jc w:val="both"/>
        <w:rPr>
          <w:rFonts w:ascii="Arial" w:eastAsia="Arial" w:hAnsi="Arial" w:cs="Arial"/>
          <w:sz w:val="22"/>
          <w:szCs w:val="22"/>
        </w:rPr>
      </w:pPr>
    </w:p>
    <w:p w:rsidR="004B1E26" w:rsidRPr="00AC1FD5" w:rsidRDefault="001D79C8">
      <w:pPr>
        <w:spacing w:after="240"/>
        <w:jc w:val="center"/>
        <w:rPr>
          <w:rFonts w:ascii="Arial" w:eastAsia="Arial" w:hAnsi="Arial" w:cs="Arial"/>
          <w:color w:val="4F6228"/>
          <w:sz w:val="22"/>
          <w:szCs w:val="22"/>
        </w:rPr>
      </w:pPr>
      <w:r w:rsidRPr="00AC1FD5">
        <w:rPr>
          <w:rFonts w:ascii="Arial" w:eastAsia="Arial" w:hAnsi="Arial" w:cs="Arial"/>
          <w:b/>
          <w:color w:val="4F6228"/>
          <w:sz w:val="22"/>
          <w:szCs w:val="22"/>
        </w:rPr>
        <w:t>Asamblea Legislativa de Costa Rica</w:t>
      </w:r>
      <w:r w:rsidRPr="00AC1FD5">
        <w:rPr>
          <w:rFonts w:ascii="Arial" w:hAnsi="Arial" w:cs="Arial"/>
          <w:noProof/>
          <w:lang w:val="en-US"/>
        </w:rPr>
        <mc:AlternateContent>
          <mc:Choice Requires="wpg">
            <w:drawing>
              <wp:anchor distT="0" distB="0" distL="114300" distR="114300" simplePos="0" relativeHeight="251658240" behindDoc="0" locked="0" layoutInCell="1" hidden="0" allowOverlap="1">
                <wp:simplePos x="0" y="0"/>
                <wp:positionH relativeFrom="column">
                  <wp:posOffset>2120900</wp:posOffset>
                </wp:positionH>
                <wp:positionV relativeFrom="paragraph">
                  <wp:posOffset>241300</wp:posOffset>
                </wp:positionV>
                <wp:extent cx="1762125" cy="436245"/>
                <wp:effectExtent l="0" t="0" r="0" b="0"/>
                <wp:wrapNone/>
                <wp:docPr id="7" name="Rectángulo 7"/>
                <wp:cNvGraphicFramePr/>
                <a:graphic xmlns:a="http://schemas.openxmlformats.org/drawingml/2006/main">
                  <a:graphicData uri="http://schemas.microsoft.com/office/word/2010/wordprocessingShape">
                    <wps:wsp>
                      <wps:cNvSpPr/>
                      <wps:spPr>
                        <a:xfrm>
                          <a:off x="4469700" y="3566640"/>
                          <a:ext cx="1752600" cy="426720"/>
                        </a:xfrm>
                        <a:prstGeom prst="rect">
                          <a:avLst/>
                        </a:prstGeom>
                        <a:solidFill>
                          <a:srgbClr val="95B3D7"/>
                        </a:solidFill>
                        <a:ln>
                          <a:noFill/>
                        </a:ln>
                      </wps:spPr>
                      <wps:txbx>
                        <w:txbxContent>
                          <w:p w:rsidR="004B1E26" w:rsidRDefault="001D79C8">
                            <w:pPr>
                              <w:jc w:val="center"/>
                              <w:textDirection w:val="btLr"/>
                            </w:pPr>
                            <w:r>
                              <w:rPr>
                                <w:rFonts w:ascii="Arial" w:eastAsia="Arial" w:hAnsi="Arial" w:cs="Arial"/>
                                <w:b/>
                                <w:color w:val="000000"/>
                                <w:sz w:val="20"/>
                              </w:rPr>
                              <w:t xml:space="preserve">Tipos de emisiones de GEI </w:t>
                            </w:r>
                          </w:p>
                          <w:p w:rsidR="004B1E26" w:rsidRDefault="004B1E26">
                            <w:pPr>
                              <w:textDirection w:val="btLr"/>
                            </w:pP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2120900</wp:posOffset>
                </wp:positionH>
                <wp:positionV relativeFrom="paragraph">
                  <wp:posOffset>241300</wp:posOffset>
                </wp:positionV>
                <wp:extent cx="1762125" cy="436245"/>
                <wp:effectExtent b="0" l="0" r="0" t="0"/>
                <wp:wrapNone/>
                <wp:docPr id="7" name="image11.png"/>
                <a:graphic>
                  <a:graphicData uri="http://schemas.openxmlformats.org/drawingml/2006/picture">
                    <pic:pic>
                      <pic:nvPicPr>
                        <pic:cNvPr id="0" name="image11.png"/>
                        <pic:cNvPicPr preferRelativeResize="0"/>
                      </pic:nvPicPr>
                      <pic:blipFill>
                        <a:blip r:embed="rId7"/>
                        <a:srcRect/>
                        <a:stretch>
                          <a:fillRect/>
                        </a:stretch>
                      </pic:blipFill>
                      <pic:spPr>
                        <a:xfrm>
                          <a:off x="0" y="0"/>
                          <a:ext cx="1762125" cy="436245"/>
                        </a:xfrm>
                        <a:prstGeom prst="rect"/>
                        <a:ln/>
                      </pic:spPr>
                    </pic:pic>
                  </a:graphicData>
                </a:graphic>
              </wp:anchor>
            </w:drawing>
          </mc:Fallback>
        </mc:AlternateContent>
      </w:r>
    </w:p>
    <w:p w:rsidR="004B1E26" w:rsidRPr="00AC1FD5" w:rsidRDefault="004B1E26">
      <w:pPr>
        <w:spacing w:after="240"/>
        <w:jc w:val="center"/>
        <w:rPr>
          <w:rFonts w:ascii="Arial" w:hAnsi="Arial" w:cs="Arial"/>
        </w:rPr>
      </w:pPr>
    </w:p>
    <w:p w:rsidR="004B1E26" w:rsidRPr="00AC1FD5" w:rsidRDefault="001D79C8">
      <w:pPr>
        <w:spacing w:after="240"/>
        <w:jc w:val="center"/>
        <w:rPr>
          <w:rFonts w:ascii="Arial" w:hAnsi="Arial" w:cs="Arial"/>
        </w:rPr>
      </w:pPr>
      <w:r w:rsidRPr="00AC1FD5">
        <w:rPr>
          <w:rFonts w:ascii="Arial" w:hAnsi="Arial" w:cs="Arial"/>
          <w:noProof/>
          <w:lang w:val="en-US"/>
        </w:rPr>
        <mc:AlternateContent>
          <mc:Choice Requires="wpg">
            <w:drawing>
              <wp:anchor distT="0" distB="0" distL="114300" distR="114300" simplePos="0" relativeHeight="251659264" behindDoc="0" locked="0" layoutInCell="1" hidden="0" allowOverlap="1">
                <wp:simplePos x="0" y="0"/>
                <wp:positionH relativeFrom="column">
                  <wp:posOffset>1168400</wp:posOffset>
                </wp:positionH>
                <wp:positionV relativeFrom="paragraph">
                  <wp:posOffset>177800</wp:posOffset>
                </wp:positionV>
                <wp:extent cx="25400" cy="167640"/>
                <wp:effectExtent l="0" t="0" r="0" b="0"/>
                <wp:wrapNone/>
                <wp:docPr id="6" name="Conector recto de flecha 6"/>
                <wp:cNvGraphicFramePr/>
                <a:graphic xmlns:a="http://schemas.openxmlformats.org/drawingml/2006/main">
                  <a:graphicData uri="http://schemas.microsoft.com/office/word/2010/wordprocessingShape">
                    <wps:wsp>
                      <wps:cNvCnPr/>
                      <wps:spPr>
                        <a:xfrm rot="10800000">
                          <a:off x="5346000" y="3696180"/>
                          <a:ext cx="0" cy="167640"/>
                        </a:xfrm>
                        <a:prstGeom prst="straightConnector1">
                          <a:avLst/>
                        </a:prstGeom>
                        <a:noFill/>
                        <a:ln w="25400" cap="flat" cmpd="sng">
                          <a:solidFill>
                            <a:srgbClr val="4F81BD"/>
                          </a:solidFill>
                          <a:prstDash val="solid"/>
                          <a:round/>
                          <a:headEnd type="stealth" w="med" len="med"/>
                          <a:tailEnd type="none" w="sm" len="sm"/>
                        </a:ln>
                        <a:effectLst>
                          <a:outerShdw blurRad="40000" dist="20000" dir="5400000" rotWithShape="0">
                            <a:srgbClr val="000000">
                              <a:alpha val="37647"/>
                            </a:srgbClr>
                          </a:outerShdw>
                        </a:effectLst>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1168400</wp:posOffset>
                </wp:positionH>
                <wp:positionV relativeFrom="paragraph">
                  <wp:posOffset>177800</wp:posOffset>
                </wp:positionV>
                <wp:extent cx="25400" cy="167640"/>
                <wp:effectExtent b="0" l="0" r="0" t="0"/>
                <wp:wrapNone/>
                <wp:docPr id="6" name="image10.png"/>
                <a:graphic>
                  <a:graphicData uri="http://schemas.openxmlformats.org/drawingml/2006/picture">
                    <pic:pic>
                      <pic:nvPicPr>
                        <pic:cNvPr id="0" name="image10.png"/>
                        <pic:cNvPicPr preferRelativeResize="0"/>
                      </pic:nvPicPr>
                      <pic:blipFill>
                        <a:blip r:embed="rId8"/>
                        <a:srcRect/>
                        <a:stretch>
                          <a:fillRect/>
                        </a:stretch>
                      </pic:blipFill>
                      <pic:spPr>
                        <a:xfrm>
                          <a:off x="0" y="0"/>
                          <a:ext cx="25400" cy="167640"/>
                        </a:xfrm>
                        <a:prstGeom prst="rect"/>
                        <a:ln/>
                      </pic:spPr>
                    </pic:pic>
                  </a:graphicData>
                </a:graphic>
              </wp:anchor>
            </w:drawing>
          </mc:Fallback>
        </mc:AlternateContent>
      </w:r>
      <w:r w:rsidRPr="00AC1FD5">
        <w:rPr>
          <w:rFonts w:ascii="Arial" w:hAnsi="Arial" w:cs="Arial"/>
          <w:noProof/>
          <w:lang w:val="en-US"/>
        </w:rPr>
        <mc:AlternateContent>
          <mc:Choice Requires="wpg">
            <w:drawing>
              <wp:anchor distT="0" distB="0" distL="114300" distR="114300" simplePos="0" relativeHeight="251660288" behindDoc="0" locked="0" layoutInCell="1" hidden="0" allowOverlap="1">
                <wp:simplePos x="0" y="0"/>
                <wp:positionH relativeFrom="column">
                  <wp:posOffset>2933700</wp:posOffset>
                </wp:positionH>
                <wp:positionV relativeFrom="paragraph">
                  <wp:posOffset>177800</wp:posOffset>
                </wp:positionV>
                <wp:extent cx="25400" cy="167640"/>
                <wp:effectExtent l="0" t="0" r="0" b="0"/>
                <wp:wrapNone/>
                <wp:docPr id="9" name="Conector recto de flecha 9"/>
                <wp:cNvGraphicFramePr/>
                <a:graphic xmlns:a="http://schemas.openxmlformats.org/drawingml/2006/main">
                  <a:graphicData uri="http://schemas.microsoft.com/office/word/2010/wordprocessingShape">
                    <wps:wsp>
                      <wps:cNvCnPr/>
                      <wps:spPr>
                        <a:xfrm rot="10800000">
                          <a:off x="5346000" y="3696180"/>
                          <a:ext cx="0" cy="167640"/>
                        </a:xfrm>
                        <a:prstGeom prst="straightConnector1">
                          <a:avLst/>
                        </a:prstGeom>
                        <a:noFill/>
                        <a:ln w="25400" cap="flat" cmpd="sng">
                          <a:solidFill>
                            <a:srgbClr val="4F81BD"/>
                          </a:solidFill>
                          <a:prstDash val="solid"/>
                          <a:round/>
                          <a:headEnd type="stealth" w="med" len="med"/>
                          <a:tailEnd type="none" w="sm" len="sm"/>
                        </a:ln>
                        <a:effectLst>
                          <a:outerShdw blurRad="40000" dist="20000" dir="5400000" rotWithShape="0">
                            <a:srgbClr val="000000">
                              <a:alpha val="37647"/>
                            </a:srgbClr>
                          </a:outerShdw>
                        </a:effectLst>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2933700</wp:posOffset>
                </wp:positionH>
                <wp:positionV relativeFrom="paragraph">
                  <wp:posOffset>177800</wp:posOffset>
                </wp:positionV>
                <wp:extent cx="25400" cy="167640"/>
                <wp:effectExtent b="0" l="0" r="0" t="0"/>
                <wp:wrapNone/>
                <wp:docPr id="9" name="image13.png"/>
                <a:graphic>
                  <a:graphicData uri="http://schemas.openxmlformats.org/drawingml/2006/picture">
                    <pic:pic>
                      <pic:nvPicPr>
                        <pic:cNvPr id="0" name="image13.png"/>
                        <pic:cNvPicPr preferRelativeResize="0"/>
                      </pic:nvPicPr>
                      <pic:blipFill>
                        <a:blip r:embed="rId9"/>
                        <a:srcRect/>
                        <a:stretch>
                          <a:fillRect/>
                        </a:stretch>
                      </pic:blipFill>
                      <pic:spPr>
                        <a:xfrm>
                          <a:off x="0" y="0"/>
                          <a:ext cx="25400" cy="167640"/>
                        </a:xfrm>
                        <a:prstGeom prst="rect"/>
                        <a:ln/>
                      </pic:spPr>
                    </pic:pic>
                  </a:graphicData>
                </a:graphic>
              </wp:anchor>
            </w:drawing>
          </mc:Fallback>
        </mc:AlternateContent>
      </w:r>
      <w:r w:rsidRPr="00AC1FD5">
        <w:rPr>
          <w:rFonts w:ascii="Arial" w:hAnsi="Arial" w:cs="Arial"/>
          <w:noProof/>
          <w:lang w:val="en-US"/>
        </w:rPr>
        <mc:AlternateContent>
          <mc:Choice Requires="wpg">
            <w:drawing>
              <wp:anchor distT="0" distB="0" distL="114300" distR="114300" simplePos="0" relativeHeight="251661312" behindDoc="0" locked="0" layoutInCell="1" hidden="0" allowOverlap="1">
                <wp:simplePos x="0" y="0"/>
                <wp:positionH relativeFrom="column">
                  <wp:posOffset>4762500</wp:posOffset>
                </wp:positionH>
                <wp:positionV relativeFrom="paragraph">
                  <wp:posOffset>177800</wp:posOffset>
                </wp:positionV>
                <wp:extent cx="25400" cy="167640"/>
                <wp:effectExtent l="0" t="0" r="0" b="0"/>
                <wp:wrapNone/>
                <wp:docPr id="8" name="Conector recto de flecha 8"/>
                <wp:cNvGraphicFramePr/>
                <a:graphic xmlns:a="http://schemas.openxmlformats.org/drawingml/2006/main">
                  <a:graphicData uri="http://schemas.microsoft.com/office/word/2010/wordprocessingShape">
                    <wps:wsp>
                      <wps:cNvCnPr/>
                      <wps:spPr>
                        <a:xfrm rot="10800000">
                          <a:off x="5346000" y="3696180"/>
                          <a:ext cx="0" cy="167640"/>
                        </a:xfrm>
                        <a:prstGeom prst="straightConnector1">
                          <a:avLst/>
                        </a:prstGeom>
                        <a:noFill/>
                        <a:ln w="25400" cap="flat" cmpd="sng">
                          <a:solidFill>
                            <a:srgbClr val="4F81BD"/>
                          </a:solidFill>
                          <a:prstDash val="solid"/>
                          <a:round/>
                          <a:headEnd type="stealth" w="med" len="med"/>
                          <a:tailEnd type="none" w="sm" len="sm"/>
                        </a:ln>
                        <a:effectLst>
                          <a:outerShdw blurRad="40000" dist="20000" dir="5400000" rotWithShape="0">
                            <a:srgbClr val="000000">
                              <a:alpha val="37647"/>
                            </a:srgbClr>
                          </a:outerShdw>
                        </a:effectLst>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4762500</wp:posOffset>
                </wp:positionH>
                <wp:positionV relativeFrom="paragraph">
                  <wp:posOffset>177800</wp:posOffset>
                </wp:positionV>
                <wp:extent cx="25400" cy="167640"/>
                <wp:effectExtent b="0" l="0" r="0" t="0"/>
                <wp:wrapNone/>
                <wp:docPr id="8" name="image12.png"/>
                <a:graphic>
                  <a:graphicData uri="http://schemas.openxmlformats.org/drawingml/2006/picture">
                    <pic:pic>
                      <pic:nvPicPr>
                        <pic:cNvPr id="0" name="image12.png"/>
                        <pic:cNvPicPr preferRelativeResize="0"/>
                      </pic:nvPicPr>
                      <pic:blipFill>
                        <a:blip r:embed="rId10"/>
                        <a:srcRect/>
                        <a:stretch>
                          <a:fillRect/>
                        </a:stretch>
                      </pic:blipFill>
                      <pic:spPr>
                        <a:xfrm>
                          <a:off x="0" y="0"/>
                          <a:ext cx="25400" cy="167640"/>
                        </a:xfrm>
                        <a:prstGeom prst="rect"/>
                        <a:ln/>
                      </pic:spPr>
                    </pic:pic>
                  </a:graphicData>
                </a:graphic>
              </wp:anchor>
            </w:drawing>
          </mc:Fallback>
        </mc:AlternateContent>
      </w:r>
      <w:r w:rsidRPr="00AC1FD5">
        <w:rPr>
          <w:rFonts w:ascii="Arial" w:hAnsi="Arial" w:cs="Arial"/>
          <w:noProof/>
          <w:lang w:val="en-US"/>
        </w:rPr>
        <mc:AlternateContent>
          <mc:Choice Requires="wpg">
            <w:drawing>
              <wp:anchor distT="0" distB="0" distL="114300" distR="114300" simplePos="0" relativeHeight="251662336" behindDoc="0" locked="0" layoutInCell="1" hidden="0" allowOverlap="1">
                <wp:simplePos x="0" y="0"/>
                <wp:positionH relativeFrom="column">
                  <wp:posOffset>1181100</wp:posOffset>
                </wp:positionH>
                <wp:positionV relativeFrom="paragraph">
                  <wp:posOffset>165100</wp:posOffset>
                </wp:positionV>
                <wp:extent cx="3589020" cy="25400"/>
                <wp:effectExtent l="0" t="0" r="0" b="0"/>
                <wp:wrapNone/>
                <wp:docPr id="3" name="Conector recto de flecha 3"/>
                <wp:cNvGraphicFramePr/>
                <a:graphic xmlns:a="http://schemas.openxmlformats.org/drawingml/2006/main">
                  <a:graphicData uri="http://schemas.microsoft.com/office/word/2010/wordprocessingShape">
                    <wps:wsp>
                      <wps:cNvCnPr/>
                      <wps:spPr>
                        <a:xfrm>
                          <a:off x="4313490" y="3780000"/>
                          <a:ext cx="2065020" cy="0"/>
                        </a:xfrm>
                        <a:prstGeom prst="straightConnector1">
                          <a:avLst/>
                        </a:prstGeom>
                        <a:noFill/>
                        <a:ln w="25400" cap="flat" cmpd="sng">
                          <a:solidFill>
                            <a:srgbClr val="4F81BD"/>
                          </a:solidFill>
                          <a:prstDash val="solid"/>
                          <a:round/>
                          <a:headEnd type="none" w="sm" len="sm"/>
                          <a:tailEnd type="none" w="sm" len="sm"/>
                        </a:ln>
                        <a:effectLst>
                          <a:outerShdw blurRad="40000" dist="20000" dir="5400000" rotWithShape="0">
                            <a:srgbClr val="000000">
                              <a:alpha val="37647"/>
                            </a:srgbClr>
                          </a:outerShdw>
                        </a:effectLst>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1181100</wp:posOffset>
                </wp:positionH>
                <wp:positionV relativeFrom="paragraph">
                  <wp:posOffset>165100</wp:posOffset>
                </wp:positionV>
                <wp:extent cx="3589020" cy="25400"/>
                <wp:effectExtent b="0" l="0" r="0" t="0"/>
                <wp:wrapNone/>
                <wp:docPr id="3" name="image7.png"/>
                <a:graphic>
                  <a:graphicData uri="http://schemas.openxmlformats.org/drawingml/2006/picture">
                    <pic:pic>
                      <pic:nvPicPr>
                        <pic:cNvPr id="0" name="image7.png"/>
                        <pic:cNvPicPr preferRelativeResize="0"/>
                      </pic:nvPicPr>
                      <pic:blipFill>
                        <a:blip r:embed="rId11"/>
                        <a:srcRect/>
                        <a:stretch>
                          <a:fillRect/>
                        </a:stretch>
                      </pic:blipFill>
                      <pic:spPr>
                        <a:xfrm>
                          <a:off x="0" y="0"/>
                          <a:ext cx="3589020" cy="25400"/>
                        </a:xfrm>
                        <a:prstGeom prst="rect"/>
                        <a:ln/>
                      </pic:spPr>
                    </pic:pic>
                  </a:graphicData>
                </a:graphic>
              </wp:anchor>
            </w:drawing>
          </mc:Fallback>
        </mc:AlternateContent>
      </w:r>
      <w:r w:rsidRPr="00AC1FD5">
        <w:rPr>
          <w:rFonts w:ascii="Arial" w:hAnsi="Arial" w:cs="Arial"/>
          <w:noProof/>
          <w:lang w:val="en-US"/>
        </w:rPr>
        <mc:AlternateContent>
          <mc:Choice Requires="wpg">
            <w:drawing>
              <wp:anchor distT="0" distB="0" distL="114300" distR="114300" simplePos="0" relativeHeight="251663360" behindDoc="0" locked="0" layoutInCell="1" hidden="0" allowOverlap="1">
                <wp:simplePos x="0" y="0"/>
                <wp:positionH relativeFrom="column">
                  <wp:posOffset>2933700</wp:posOffset>
                </wp:positionH>
                <wp:positionV relativeFrom="paragraph">
                  <wp:posOffset>38100</wp:posOffset>
                </wp:positionV>
                <wp:extent cx="25400" cy="144780"/>
                <wp:effectExtent l="0" t="0" r="0" b="0"/>
                <wp:wrapNone/>
                <wp:docPr id="2" name="Conector recto de flecha 2"/>
                <wp:cNvGraphicFramePr/>
                <a:graphic xmlns:a="http://schemas.openxmlformats.org/drawingml/2006/main">
                  <a:graphicData uri="http://schemas.microsoft.com/office/word/2010/wordprocessingShape">
                    <wps:wsp>
                      <wps:cNvCnPr/>
                      <wps:spPr>
                        <a:xfrm>
                          <a:off x="5346000" y="3707610"/>
                          <a:ext cx="0" cy="144780"/>
                        </a:xfrm>
                        <a:prstGeom prst="straightConnector1">
                          <a:avLst/>
                        </a:prstGeom>
                        <a:noFill/>
                        <a:ln w="25400" cap="flat" cmpd="sng">
                          <a:solidFill>
                            <a:srgbClr val="4F81BD"/>
                          </a:solidFill>
                          <a:prstDash val="solid"/>
                          <a:round/>
                          <a:headEnd type="none" w="sm" len="sm"/>
                          <a:tailEnd type="none" w="sm" len="sm"/>
                        </a:ln>
                        <a:effectLst>
                          <a:outerShdw blurRad="40000" dist="20000" dir="5400000" rotWithShape="0">
                            <a:srgbClr val="000000">
                              <a:alpha val="37647"/>
                            </a:srgbClr>
                          </a:outerShdw>
                        </a:effectLst>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2933700</wp:posOffset>
                </wp:positionH>
                <wp:positionV relativeFrom="paragraph">
                  <wp:posOffset>38100</wp:posOffset>
                </wp:positionV>
                <wp:extent cx="25400" cy="144780"/>
                <wp:effectExtent b="0" l="0" r="0" t="0"/>
                <wp:wrapNone/>
                <wp:docPr id="2" name="image6.png"/>
                <a:graphic>
                  <a:graphicData uri="http://schemas.openxmlformats.org/drawingml/2006/picture">
                    <pic:pic>
                      <pic:nvPicPr>
                        <pic:cNvPr id="0" name="image6.png"/>
                        <pic:cNvPicPr preferRelativeResize="0"/>
                      </pic:nvPicPr>
                      <pic:blipFill>
                        <a:blip r:embed="rId12"/>
                        <a:srcRect/>
                        <a:stretch>
                          <a:fillRect/>
                        </a:stretch>
                      </pic:blipFill>
                      <pic:spPr>
                        <a:xfrm>
                          <a:off x="0" y="0"/>
                          <a:ext cx="25400" cy="144780"/>
                        </a:xfrm>
                        <a:prstGeom prst="rect"/>
                        <a:ln/>
                      </pic:spPr>
                    </pic:pic>
                  </a:graphicData>
                </a:graphic>
              </wp:anchor>
            </w:drawing>
          </mc:Fallback>
        </mc:AlternateContent>
      </w:r>
    </w:p>
    <w:p w:rsidR="004B1E26" w:rsidRPr="00AC1FD5" w:rsidRDefault="009922CB">
      <w:pPr>
        <w:spacing w:after="240"/>
        <w:jc w:val="center"/>
        <w:rPr>
          <w:rFonts w:ascii="Arial" w:hAnsi="Arial" w:cs="Arial"/>
        </w:rPr>
      </w:pPr>
      <w:r w:rsidRPr="00AC1FD5">
        <w:rPr>
          <w:rFonts w:ascii="Arial" w:hAnsi="Arial" w:cs="Arial"/>
          <w:noProof/>
          <w:lang w:val="en-US"/>
        </w:rPr>
        <mc:AlternateContent>
          <mc:Choice Requires="wps">
            <w:drawing>
              <wp:anchor distT="0" distB="0" distL="114300" distR="114300" simplePos="0" relativeHeight="251664384" behindDoc="0" locked="0" layoutInCell="1" hidden="0" allowOverlap="1" wp14:anchorId="08165DD7" wp14:editId="5D1AB302">
                <wp:simplePos x="0" y="0"/>
                <wp:positionH relativeFrom="column">
                  <wp:posOffset>3965743</wp:posOffset>
                </wp:positionH>
                <wp:positionV relativeFrom="paragraph">
                  <wp:posOffset>10149</wp:posOffset>
                </wp:positionV>
                <wp:extent cx="2385695" cy="1242204"/>
                <wp:effectExtent l="0" t="0" r="14605" b="15240"/>
                <wp:wrapNone/>
                <wp:docPr id="5" name="Rectángulo 5"/>
                <wp:cNvGraphicFramePr/>
                <a:graphic xmlns:a="http://schemas.openxmlformats.org/drawingml/2006/main">
                  <a:graphicData uri="http://schemas.microsoft.com/office/word/2010/wordprocessingShape">
                    <wps:wsp>
                      <wps:cNvSpPr/>
                      <wps:spPr>
                        <a:xfrm>
                          <a:off x="0" y="0"/>
                          <a:ext cx="2385695" cy="1242204"/>
                        </a:xfrm>
                        <a:prstGeom prst="rect">
                          <a:avLst/>
                        </a:prstGeom>
                        <a:solidFill>
                          <a:srgbClr val="95B3D7"/>
                        </a:solidFill>
                        <a:ln w="12700" cap="flat" cmpd="sng">
                          <a:solidFill>
                            <a:srgbClr val="4F81BD"/>
                          </a:solidFill>
                          <a:prstDash val="solid"/>
                          <a:miter lim="800000"/>
                          <a:headEnd type="none" w="sm" len="sm"/>
                          <a:tailEnd type="none" w="sm" len="sm"/>
                        </a:ln>
                      </wps:spPr>
                      <wps:txbx>
                        <w:txbxContent>
                          <w:p w:rsidR="004B1E26" w:rsidRDefault="001D79C8">
                            <w:pPr>
                              <w:jc w:val="center"/>
                              <w:textDirection w:val="btLr"/>
                              <w:rPr>
                                <w:rFonts w:ascii="Arial" w:eastAsia="Arial" w:hAnsi="Arial" w:cs="Arial"/>
                                <w:b/>
                                <w:color w:val="000000"/>
                                <w:sz w:val="20"/>
                              </w:rPr>
                            </w:pPr>
                            <w:r>
                              <w:rPr>
                                <w:rFonts w:ascii="Arial" w:eastAsia="Arial" w:hAnsi="Arial" w:cs="Arial"/>
                                <w:b/>
                                <w:color w:val="000000"/>
                                <w:sz w:val="20"/>
                              </w:rPr>
                              <w:t>Otras emisiones indirectas / Alcance 3:</w:t>
                            </w:r>
                          </w:p>
                          <w:p w:rsidR="009922CB" w:rsidRDefault="009922CB">
                            <w:pPr>
                              <w:jc w:val="center"/>
                              <w:textDirection w:val="btLr"/>
                            </w:pPr>
                          </w:p>
                          <w:p w:rsidR="004B1E26" w:rsidRDefault="001D79C8">
                            <w:pPr>
                              <w:spacing w:after="200"/>
                              <w:ind w:left="266" w:firstLine="65"/>
                              <w:textDirection w:val="btLr"/>
                            </w:pPr>
                            <w:r>
                              <w:rPr>
                                <w:rFonts w:ascii="Arial" w:eastAsia="Arial" w:hAnsi="Arial" w:cs="Arial"/>
                                <w:color w:val="000000"/>
                                <w:sz w:val="20"/>
                              </w:rPr>
                              <w:t>Viajes aéreos efectuados por funcionarios y funcionarias.</w:t>
                            </w:r>
                          </w:p>
                          <w:p w:rsidR="004B1E26" w:rsidRDefault="001D79C8">
                            <w:pPr>
                              <w:spacing w:after="200"/>
                              <w:ind w:left="266" w:firstLine="65"/>
                              <w:textDirection w:val="btLr"/>
                            </w:pPr>
                            <w:r>
                              <w:rPr>
                                <w:rFonts w:ascii="Arial" w:eastAsia="Arial" w:hAnsi="Arial" w:cs="Arial"/>
                                <w:color w:val="000000"/>
                                <w:sz w:val="20"/>
                              </w:rPr>
                              <w:t>Gasolina de vehículos alquilados.</w:t>
                            </w:r>
                          </w:p>
                          <w:p w:rsidR="004B1E26" w:rsidRDefault="004B1E26">
                            <w:pPr>
                              <w:textDirection w:val="btLr"/>
                            </w:pP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08165DD7" id="Rectángulo 5" o:spid="_x0000_s1027" style="position:absolute;left:0;text-align:left;margin-left:312.25pt;margin-top:.8pt;width:187.85pt;height:97.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" fillcolor="#95b3d7" strokecolor="#4f81bd" strokeweight="1pt">
                <v:stroke startarrowwidth="narrow" startarrowlength="short" endarrowwidth="narrow" endarrowlength="short"/>
                <v:textbox inset="2.53958mm,1.2694mm,2.53958mm,1.2694mm">
                  <w:txbxContent>
                    <w:p w:rsidR="004B1E26" w:rsidRDefault="001D79C8">
                      <w:pPr>
                        <w:jc w:val="center"/>
                        <w:textDirection w:val="btLr"/>
                        <w:rPr>
                          <w:rFonts w:ascii="Arial" w:eastAsia="Arial" w:hAnsi="Arial" w:cs="Arial"/>
                          <w:b/>
                          <w:color w:val="000000"/>
                          <w:sz w:val="20"/>
                        </w:rPr>
                      </w:pPr>
                      <w:r>
                        <w:rPr>
                          <w:rFonts w:ascii="Arial" w:eastAsia="Arial" w:hAnsi="Arial" w:cs="Arial"/>
                          <w:b/>
                          <w:color w:val="000000"/>
                          <w:sz w:val="20"/>
                        </w:rPr>
                        <w:t>Otras emisiones indirectas / Alcance 3:</w:t>
                      </w:r>
                    </w:p>
                    <w:p w:rsidR="009922CB" w:rsidRDefault="009922CB">
                      <w:pPr>
                        <w:jc w:val="center"/>
                        <w:textDirection w:val="btLr"/>
                      </w:pPr>
                    </w:p>
                    <w:p w:rsidR="004B1E26" w:rsidRDefault="001D79C8">
                      <w:pPr>
                        <w:spacing w:after="200"/>
                        <w:ind w:left="266" w:firstLine="65"/>
                        <w:textDirection w:val="btLr"/>
                      </w:pPr>
                      <w:r>
                        <w:rPr>
                          <w:rFonts w:ascii="Arial" w:eastAsia="Arial" w:hAnsi="Arial" w:cs="Arial"/>
                          <w:color w:val="000000"/>
                          <w:sz w:val="20"/>
                        </w:rPr>
                        <w:t>Viajes aéreos efectuados por funcionarios y funcionarias.</w:t>
                      </w:r>
                    </w:p>
                    <w:p w:rsidR="004B1E26" w:rsidRDefault="001D79C8">
                      <w:pPr>
                        <w:spacing w:after="200"/>
                        <w:ind w:left="266" w:firstLine="65"/>
                        <w:textDirection w:val="btLr"/>
                      </w:pPr>
                      <w:r>
                        <w:rPr>
                          <w:rFonts w:ascii="Arial" w:eastAsia="Arial" w:hAnsi="Arial" w:cs="Arial"/>
                          <w:color w:val="000000"/>
                          <w:sz w:val="20"/>
                        </w:rPr>
                        <w:t>Gasolina de vehículos alquilados.</w:t>
                      </w:r>
                    </w:p>
                    <w:p w:rsidR="004B1E26" w:rsidRDefault="004B1E26">
                      <w:pPr>
                        <w:textDirection w:val="btLr"/>
                      </w:pPr>
                    </w:p>
                  </w:txbxContent>
                </v:textbox>
              </v:rect>
            </w:pict>
          </mc:Fallback>
        </mc:AlternateContent>
      </w:r>
      <w:r w:rsidRPr="00AC1FD5">
        <w:rPr>
          <w:rFonts w:ascii="Arial" w:hAnsi="Arial" w:cs="Arial"/>
          <w:noProof/>
          <w:lang w:val="en-US"/>
        </w:rPr>
        <mc:AlternateContent>
          <mc:Choice Requires="wps">
            <w:drawing>
              <wp:anchor distT="0" distB="0" distL="114300" distR="114300" simplePos="0" relativeHeight="251666432" behindDoc="0" locked="0" layoutInCell="1" hidden="0" allowOverlap="1" wp14:anchorId="51E9BF5C" wp14:editId="0F5F1733">
                <wp:simplePos x="0" y="0"/>
                <wp:positionH relativeFrom="column">
                  <wp:posOffset>278130</wp:posOffset>
                </wp:positionH>
                <wp:positionV relativeFrom="paragraph">
                  <wp:posOffset>10794</wp:posOffset>
                </wp:positionV>
                <wp:extent cx="1699260" cy="1266825"/>
                <wp:effectExtent l="0" t="0" r="15240" b="28575"/>
                <wp:wrapNone/>
                <wp:docPr id="1" name="Rectángulo 1"/>
                <wp:cNvGraphicFramePr/>
                <a:graphic xmlns:a="http://schemas.openxmlformats.org/drawingml/2006/main">
                  <a:graphicData uri="http://schemas.microsoft.com/office/word/2010/wordprocessingShape">
                    <wps:wsp>
                      <wps:cNvSpPr/>
                      <wps:spPr>
                        <a:xfrm>
                          <a:off x="0" y="0"/>
                          <a:ext cx="1699260" cy="1266825"/>
                        </a:xfrm>
                        <a:prstGeom prst="rect">
                          <a:avLst/>
                        </a:prstGeom>
                        <a:solidFill>
                          <a:srgbClr val="95B3D7"/>
                        </a:solidFill>
                        <a:ln w="12700" cap="flat" cmpd="sng">
                          <a:solidFill>
                            <a:srgbClr val="4F81BD"/>
                          </a:solidFill>
                          <a:prstDash val="solid"/>
                          <a:miter lim="800000"/>
                          <a:headEnd type="none" w="sm" len="sm"/>
                          <a:tailEnd type="none" w="sm" len="sm"/>
                        </a:ln>
                      </wps:spPr>
                      <wps:txbx>
                        <w:txbxContent>
                          <w:p w:rsidR="004B1E26" w:rsidRDefault="001D79C8">
                            <w:pPr>
                              <w:jc w:val="center"/>
                              <w:textDirection w:val="btLr"/>
                            </w:pPr>
                            <w:r>
                              <w:rPr>
                                <w:rFonts w:ascii="Arial" w:eastAsia="Arial" w:hAnsi="Arial" w:cs="Arial"/>
                                <w:b/>
                                <w:color w:val="000000"/>
                                <w:sz w:val="20"/>
                              </w:rPr>
                              <w:t>Emisiones directas / Alcance 1:</w:t>
                            </w:r>
                          </w:p>
                          <w:p w:rsidR="004B1E26" w:rsidRDefault="001D79C8">
                            <w:pPr>
                              <w:spacing w:after="200"/>
                              <w:ind w:left="266" w:firstLine="65"/>
                              <w:textDirection w:val="btLr"/>
                            </w:pPr>
                            <w:r>
                              <w:rPr>
                                <w:rFonts w:ascii="Arial" w:eastAsia="Arial" w:hAnsi="Arial" w:cs="Arial"/>
                                <w:color w:val="000000"/>
                                <w:sz w:val="20"/>
                              </w:rPr>
                              <w:t xml:space="preserve">Diésel y gasolina </w:t>
                            </w:r>
                          </w:p>
                          <w:p w:rsidR="009922CB" w:rsidRDefault="001D79C8">
                            <w:pPr>
                              <w:spacing w:after="200"/>
                              <w:ind w:left="266" w:firstLine="65"/>
                              <w:textDirection w:val="btLr"/>
                              <w:rPr>
                                <w:rFonts w:ascii="Arial" w:eastAsia="Arial" w:hAnsi="Arial" w:cs="Arial"/>
                                <w:color w:val="000000"/>
                                <w:sz w:val="20"/>
                              </w:rPr>
                            </w:pPr>
                            <w:r>
                              <w:rPr>
                                <w:rFonts w:ascii="Arial" w:eastAsia="Arial" w:hAnsi="Arial" w:cs="Arial"/>
                                <w:color w:val="000000"/>
                                <w:sz w:val="20"/>
                              </w:rPr>
                              <w:t>Gases refrigerantes de A/C de oficinas</w:t>
                            </w:r>
                          </w:p>
                          <w:p w:rsidR="004B1E26" w:rsidRDefault="001D79C8">
                            <w:pPr>
                              <w:spacing w:after="200"/>
                              <w:ind w:left="266" w:firstLine="65"/>
                              <w:textDirection w:val="btLr"/>
                              <w:rPr>
                                <w:rFonts w:ascii="Arial" w:eastAsia="Arial" w:hAnsi="Arial" w:cs="Arial"/>
                                <w:color w:val="000000"/>
                                <w:sz w:val="20"/>
                              </w:rPr>
                            </w:pPr>
                            <w:r>
                              <w:rPr>
                                <w:rFonts w:ascii="Arial" w:eastAsia="Arial" w:hAnsi="Arial" w:cs="Arial"/>
                                <w:color w:val="000000"/>
                                <w:sz w:val="20"/>
                              </w:rPr>
                              <w:t xml:space="preserve"> </w:t>
                            </w:r>
                            <w:r w:rsidR="009922CB">
                              <w:rPr>
                                <w:rFonts w:ascii="Arial" w:eastAsia="Arial" w:hAnsi="Arial" w:cs="Arial"/>
                                <w:color w:val="000000"/>
                                <w:sz w:val="20"/>
                              </w:rPr>
                              <w:t>Extintores</w:t>
                            </w:r>
                          </w:p>
                          <w:p w:rsidR="009922CB" w:rsidRDefault="009922CB">
                            <w:pPr>
                              <w:spacing w:after="200"/>
                              <w:ind w:left="266" w:firstLine="65"/>
                              <w:textDirection w:val="btLr"/>
                              <w:rPr>
                                <w:rFonts w:ascii="Arial" w:eastAsia="Arial" w:hAnsi="Arial" w:cs="Arial"/>
                                <w:color w:val="000000"/>
                                <w:sz w:val="20"/>
                              </w:rPr>
                            </w:pPr>
                            <w:r>
                              <w:rPr>
                                <w:rFonts w:ascii="Arial" w:eastAsia="Arial" w:hAnsi="Arial" w:cs="Arial"/>
                                <w:color w:val="000000"/>
                                <w:sz w:val="20"/>
                              </w:rPr>
                              <w:t>e</w:t>
                            </w:r>
                          </w:p>
                          <w:p w:rsidR="009922CB" w:rsidRDefault="009922CB">
                            <w:pPr>
                              <w:spacing w:after="200"/>
                              <w:ind w:left="266" w:firstLine="65"/>
                              <w:textDirection w:val="btLr"/>
                            </w:pPr>
                          </w:p>
                          <w:p w:rsidR="004B1E26" w:rsidRDefault="001D79C8">
                            <w:pPr>
                              <w:spacing w:after="200"/>
                              <w:ind w:left="266" w:firstLine="65"/>
                              <w:textDirection w:val="btLr"/>
                            </w:pPr>
                            <w:r>
                              <w:rPr>
                                <w:rFonts w:ascii="Arial" w:eastAsia="Arial" w:hAnsi="Arial" w:cs="Arial"/>
                                <w:color w:val="000000"/>
                                <w:sz w:val="20"/>
                              </w:rPr>
                              <w:t>CO</w:t>
                            </w:r>
                            <w:r>
                              <w:rPr>
                                <w:rFonts w:ascii="Arial" w:eastAsia="Arial" w:hAnsi="Arial" w:cs="Arial"/>
                                <w:color w:val="000000"/>
                                <w:sz w:val="20"/>
                                <w:vertAlign w:val="subscript"/>
                              </w:rPr>
                              <w:t xml:space="preserve">2 </w:t>
                            </w:r>
                            <w:r>
                              <w:rPr>
                                <w:rFonts w:ascii="Arial" w:eastAsia="Arial" w:hAnsi="Arial" w:cs="Arial"/>
                                <w:color w:val="000000"/>
                                <w:sz w:val="20"/>
                              </w:rPr>
                              <w:t>de extintores</w:t>
                            </w:r>
                          </w:p>
                          <w:p w:rsidR="004B1E26" w:rsidRDefault="004B1E26">
                            <w:pPr>
                              <w:ind w:left="266" w:firstLine="65"/>
                              <w:textDirection w:val="btLr"/>
                            </w:pP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51E9BF5C" id="Rectángulo 1" o:spid="_x0000_s1028" style="position:absolute;left:0;text-align:left;margin-left:21.9pt;margin-top:.85pt;width:133.8pt;height:99.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" fillcolor="#95b3d7" strokecolor="#4f81bd" strokeweight="1pt">
                <v:stroke startarrowwidth="narrow" startarrowlength="short" endarrowwidth="narrow" endarrowlength="short"/>
                <v:textbox inset="2.53958mm,1.2694mm,2.53958mm,1.2694mm">
                  <w:txbxContent>
                    <w:p w:rsidR="004B1E26" w:rsidRDefault="001D79C8">
                      <w:pPr>
                        <w:jc w:val="center"/>
                        <w:textDirection w:val="btLr"/>
                      </w:pPr>
                      <w:r>
                        <w:rPr>
                          <w:rFonts w:ascii="Arial" w:eastAsia="Arial" w:hAnsi="Arial" w:cs="Arial"/>
                          <w:b/>
                          <w:color w:val="000000"/>
                          <w:sz w:val="20"/>
                        </w:rPr>
                        <w:t>Emisiones directas / Alcance 1:</w:t>
                      </w:r>
                    </w:p>
                    <w:p w:rsidR="004B1E26" w:rsidRDefault="001D79C8">
                      <w:pPr>
                        <w:spacing w:after="200"/>
                        <w:ind w:left="266" w:firstLine="65"/>
                        <w:textDirection w:val="btLr"/>
                      </w:pPr>
                      <w:r>
                        <w:rPr>
                          <w:rFonts w:ascii="Arial" w:eastAsia="Arial" w:hAnsi="Arial" w:cs="Arial"/>
                          <w:color w:val="000000"/>
                          <w:sz w:val="20"/>
                        </w:rPr>
                        <w:t xml:space="preserve">Diésel y gasolina </w:t>
                      </w:r>
                    </w:p>
                    <w:p w:rsidR="009922CB" w:rsidRDefault="001D79C8">
                      <w:pPr>
                        <w:spacing w:after="200"/>
                        <w:ind w:left="266" w:firstLine="65"/>
                        <w:textDirection w:val="btLr"/>
                        <w:rPr>
                          <w:rFonts w:ascii="Arial" w:eastAsia="Arial" w:hAnsi="Arial" w:cs="Arial"/>
                          <w:color w:val="000000"/>
                          <w:sz w:val="20"/>
                        </w:rPr>
                      </w:pPr>
                      <w:r>
                        <w:rPr>
                          <w:rFonts w:ascii="Arial" w:eastAsia="Arial" w:hAnsi="Arial" w:cs="Arial"/>
                          <w:color w:val="000000"/>
                          <w:sz w:val="20"/>
                        </w:rPr>
                        <w:t>Gases refrigerantes de A/C de oficinas</w:t>
                      </w:r>
                    </w:p>
                    <w:p w:rsidR="004B1E26" w:rsidRDefault="001D79C8">
                      <w:pPr>
                        <w:spacing w:after="200"/>
                        <w:ind w:left="266" w:firstLine="65"/>
                        <w:textDirection w:val="btLr"/>
                        <w:rPr>
                          <w:rFonts w:ascii="Arial" w:eastAsia="Arial" w:hAnsi="Arial" w:cs="Arial"/>
                          <w:color w:val="000000"/>
                          <w:sz w:val="20"/>
                        </w:rPr>
                      </w:pPr>
                      <w:r>
                        <w:rPr>
                          <w:rFonts w:ascii="Arial" w:eastAsia="Arial" w:hAnsi="Arial" w:cs="Arial"/>
                          <w:color w:val="000000"/>
                          <w:sz w:val="20"/>
                        </w:rPr>
                        <w:t xml:space="preserve"> </w:t>
                      </w:r>
                      <w:r w:rsidR="009922CB">
                        <w:rPr>
                          <w:rFonts w:ascii="Arial" w:eastAsia="Arial" w:hAnsi="Arial" w:cs="Arial"/>
                          <w:color w:val="000000"/>
                          <w:sz w:val="20"/>
                        </w:rPr>
                        <w:t>Extintores</w:t>
                      </w:r>
                    </w:p>
                    <w:p w:rsidR="009922CB" w:rsidRDefault="009922CB">
                      <w:pPr>
                        <w:spacing w:after="200"/>
                        <w:ind w:left="266" w:firstLine="65"/>
                        <w:textDirection w:val="btLr"/>
                        <w:rPr>
                          <w:rFonts w:ascii="Arial" w:eastAsia="Arial" w:hAnsi="Arial" w:cs="Arial"/>
                          <w:color w:val="000000"/>
                          <w:sz w:val="20"/>
                        </w:rPr>
                      </w:pPr>
                      <w:r>
                        <w:rPr>
                          <w:rFonts w:ascii="Arial" w:eastAsia="Arial" w:hAnsi="Arial" w:cs="Arial"/>
                          <w:color w:val="000000"/>
                          <w:sz w:val="20"/>
                        </w:rPr>
                        <w:t>e</w:t>
                      </w:r>
                    </w:p>
                    <w:p w:rsidR="009922CB" w:rsidRDefault="009922CB">
                      <w:pPr>
                        <w:spacing w:after="200"/>
                        <w:ind w:left="266" w:firstLine="65"/>
                        <w:textDirection w:val="btLr"/>
                      </w:pPr>
                    </w:p>
                    <w:p w:rsidR="004B1E26" w:rsidRDefault="001D79C8">
                      <w:pPr>
                        <w:spacing w:after="200"/>
                        <w:ind w:left="266" w:firstLine="65"/>
                        <w:textDirection w:val="btLr"/>
                      </w:pPr>
                      <w:r>
                        <w:rPr>
                          <w:rFonts w:ascii="Arial" w:eastAsia="Arial" w:hAnsi="Arial" w:cs="Arial"/>
                          <w:color w:val="000000"/>
                          <w:sz w:val="20"/>
                        </w:rPr>
                        <w:t>CO</w:t>
                      </w:r>
                      <w:r>
                        <w:rPr>
                          <w:rFonts w:ascii="Arial" w:eastAsia="Arial" w:hAnsi="Arial" w:cs="Arial"/>
                          <w:color w:val="000000"/>
                          <w:sz w:val="20"/>
                          <w:vertAlign w:val="subscript"/>
                        </w:rPr>
                        <w:t xml:space="preserve">2 </w:t>
                      </w:r>
                      <w:r>
                        <w:rPr>
                          <w:rFonts w:ascii="Arial" w:eastAsia="Arial" w:hAnsi="Arial" w:cs="Arial"/>
                          <w:color w:val="000000"/>
                          <w:sz w:val="20"/>
                        </w:rPr>
                        <w:t>de extintores</w:t>
                      </w:r>
                    </w:p>
                    <w:p w:rsidR="004B1E26" w:rsidRDefault="004B1E26">
                      <w:pPr>
                        <w:ind w:left="266" w:firstLine="65"/>
                        <w:textDirection w:val="btLr"/>
                      </w:pPr>
                    </w:p>
                  </w:txbxContent>
                </v:textbox>
              </v:rect>
            </w:pict>
          </mc:Fallback>
        </mc:AlternateContent>
      </w:r>
      <w:r w:rsidR="001D79C8" w:rsidRPr="00AC1FD5">
        <w:rPr>
          <w:rFonts w:ascii="Arial" w:hAnsi="Arial" w:cs="Arial"/>
          <w:noProof/>
          <w:lang w:val="en-US"/>
        </w:rPr>
        <mc:AlternateContent>
          <mc:Choice Requires="wps">
            <w:drawing>
              <wp:anchor distT="0" distB="0" distL="114300" distR="114300" simplePos="0" relativeHeight="251665408" behindDoc="0" locked="0" layoutInCell="1" hidden="0" allowOverlap="1" wp14:anchorId="0FE382CF" wp14:editId="261DEBB5">
                <wp:simplePos x="0" y="0"/>
                <wp:positionH relativeFrom="column">
                  <wp:posOffset>2197100</wp:posOffset>
                </wp:positionH>
                <wp:positionV relativeFrom="paragraph">
                  <wp:posOffset>12700</wp:posOffset>
                </wp:positionV>
                <wp:extent cx="1551940" cy="1042670"/>
                <wp:effectExtent l="0" t="0" r="0" b="0"/>
                <wp:wrapNone/>
                <wp:docPr id="4" name="Rectángulo 4"/>
                <wp:cNvGraphicFramePr/>
                <a:graphic xmlns:a="http://schemas.openxmlformats.org/drawingml/2006/main">
                  <a:graphicData uri="http://schemas.microsoft.com/office/word/2010/wordprocessingShape">
                    <wps:wsp>
                      <wps:cNvSpPr/>
                      <wps:spPr>
                        <a:xfrm>
                          <a:off x="4576380" y="3265015"/>
                          <a:ext cx="1539240" cy="1029970"/>
                        </a:xfrm>
                        <a:prstGeom prst="rect">
                          <a:avLst/>
                        </a:prstGeom>
                        <a:solidFill>
                          <a:srgbClr val="95B3D7"/>
                        </a:solidFill>
                        <a:ln w="12700" cap="flat" cmpd="sng">
                          <a:solidFill>
                            <a:srgbClr val="4F81BD"/>
                          </a:solidFill>
                          <a:prstDash val="solid"/>
                          <a:miter lim="800000"/>
                          <a:headEnd type="none" w="sm" len="sm"/>
                          <a:tailEnd type="none" w="sm" len="sm"/>
                        </a:ln>
                      </wps:spPr>
                      <wps:txbx>
                        <w:txbxContent>
                          <w:p w:rsidR="004B1E26" w:rsidRDefault="001D79C8">
                            <w:pPr>
                              <w:jc w:val="center"/>
                              <w:textDirection w:val="btLr"/>
                              <w:rPr>
                                <w:rFonts w:ascii="Arial" w:eastAsia="Arial" w:hAnsi="Arial" w:cs="Arial"/>
                                <w:b/>
                                <w:color w:val="000000"/>
                                <w:sz w:val="20"/>
                              </w:rPr>
                            </w:pPr>
                            <w:r>
                              <w:rPr>
                                <w:rFonts w:ascii="Arial" w:eastAsia="Arial" w:hAnsi="Arial" w:cs="Arial"/>
                                <w:b/>
                                <w:color w:val="000000"/>
                                <w:sz w:val="20"/>
                              </w:rPr>
                              <w:t>Emisiones indirectas / Alcance 2:</w:t>
                            </w:r>
                          </w:p>
                          <w:p w:rsidR="009922CB" w:rsidRDefault="009922CB">
                            <w:pPr>
                              <w:jc w:val="center"/>
                              <w:textDirection w:val="btLr"/>
                            </w:pPr>
                          </w:p>
                          <w:p w:rsidR="004B1E26" w:rsidRDefault="001D79C8">
                            <w:pPr>
                              <w:spacing w:after="200"/>
                              <w:ind w:left="266" w:firstLine="65"/>
                              <w:textDirection w:val="btLr"/>
                            </w:pPr>
                            <w:r>
                              <w:rPr>
                                <w:rFonts w:ascii="Arial" w:eastAsia="Arial" w:hAnsi="Arial" w:cs="Arial"/>
                                <w:color w:val="000000"/>
                                <w:sz w:val="20"/>
                              </w:rPr>
                              <w:t xml:space="preserve">Electricidad </w:t>
                            </w:r>
                          </w:p>
                          <w:p w:rsidR="004B1E26" w:rsidRDefault="004B1E26">
                            <w:pPr>
                              <w:textDirection w:val="btLr"/>
                            </w:pPr>
                          </w:p>
                        </w:txbxContent>
                      </wps:txbx>
                      <wps:bodyPr spcFirstLastPara="1" wrap="square" lIns="91425" tIns="45700" rIns="91425" bIns="45700" anchor="t" anchorCtr="0">
                        <a:noAutofit/>
                      </wps:bodyPr>
                    </wps:wsp>
                  </a:graphicData>
                </a:graphic>
              </wp:anchor>
            </w:drawing>
          </mc:Choice>
          <mc:Fallback>
            <w:pict>
              <v:rect w14:anchorId="0FE382CF" id="Rectángulo 4" o:spid="_x0000_s1029" style="position:absolute;left:0;text-align:left;margin-left:173pt;margin-top:1pt;width:122.2pt;height:82.1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" fillcolor="#95b3d7" strokecolor="#4f81bd" strokeweight="1pt">
                <v:stroke startarrowwidth="narrow" startarrowlength="short" endarrowwidth="narrow" endarrowlength="short"/>
                <v:textbox inset="2.53958mm,1.2694mm,2.53958mm,1.2694mm">
                  <w:txbxContent>
                    <w:p w:rsidR="004B1E26" w:rsidRDefault="001D79C8">
                      <w:pPr>
                        <w:jc w:val="center"/>
                        <w:textDirection w:val="btLr"/>
                        <w:rPr>
                          <w:rFonts w:ascii="Arial" w:eastAsia="Arial" w:hAnsi="Arial" w:cs="Arial"/>
                          <w:b/>
                          <w:color w:val="000000"/>
                          <w:sz w:val="20"/>
                        </w:rPr>
                      </w:pPr>
                      <w:r>
                        <w:rPr>
                          <w:rFonts w:ascii="Arial" w:eastAsia="Arial" w:hAnsi="Arial" w:cs="Arial"/>
                          <w:b/>
                          <w:color w:val="000000"/>
                          <w:sz w:val="20"/>
                        </w:rPr>
                        <w:t>Emisiones indirectas / Alcance 2:</w:t>
                      </w:r>
                    </w:p>
                    <w:p w:rsidR="009922CB" w:rsidRDefault="009922CB">
                      <w:pPr>
                        <w:jc w:val="center"/>
                        <w:textDirection w:val="btLr"/>
                      </w:pPr>
                    </w:p>
                    <w:p w:rsidR="004B1E26" w:rsidRDefault="001D79C8">
                      <w:pPr>
                        <w:spacing w:after="200"/>
                        <w:ind w:left="266" w:firstLine="65"/>
                        <w:textDirection w:val="btLr"/>
                      </w:pPr>
                      <w:r>
                        <w:rPr>
                          <w:rFonts w:ascii="Arial" w:eastAsia="Arial" w:hAnsi="Arial" w:cs="Arial"/>
                          <w:color w:val="000000"/>
                          <w:sz w:val="20"/>
                        </w:rPr>
                        <w:t xml:space="preserve">Electricidad </w:t>
                      </w:r>
                    </w:p>
                    <w:p w:rsidR="004B1E26" w:rsidRDefault="004B1E26">
                      <w:pPr>
                        <w:textDirection w:val="btLr"/>
                      </w:pPr>
                    </w:p>
                  </w:txbxContent>
                </v:textbox>
              </v:rect>
            </w:pict>
          </mc:Fallback>
        </mc:AlternateContent>
      </w:r>
    </w:p>
    <w:p w:rsidR="004B1E26" w:rsidRPr="00AC1FD5" w:rsidRDefault="004B1E26">
      <w:pPr>
        <w:spacing w:after="240"/>
        <w:jc w:val="center"/>
        <w:rPr>
          <w:rFonts w:ascii="Arial" w:hAnsi="Arial" w:cs="Arial"/>
        </w:rPr>
      </w:pPr>
    </w:p>
    <w:p w:rsidR="004B1E26" w:rsidRPr="00AC1FD5" w:rsidRDefault="004B1E26">
      <w:pPr>
        <w:rPr>
          <w:rFonts w:ascii="Arial" w:hAnsi="Arial" w:cs="Arial"/>
        </w:rPr>
      </w:pPr>
    </w:p>
    <w:p w:rsidR="004B1E26" w:rsidRPr="00AC1FD5" w:rsidRDefault="004B1E26">
      <w:pPr>
        <w:rPr>
          <w:rFonts w:ascii="Arial" w:hAnsi="Arial" w:cs="Arial"/>
        </w:rPr>
      </w:pPr>
    </w:p>
    <w:p w:rsidR="004B1E26" w:rsidRPr="00AC1FD5" w:rsidRDefault="004B1E26">
      <w:pPr>
        <w:rPr>
          <w:rFonts w:ascii="Arial" w:eastAsia="Arial" w:hAnsi="Arial" w:cs="Arial"/>
        </w:rPr>
      </w:pPr>
    </w:p>
    <w:p w:rsidR="004B1E26" w:rsidRPr="00AC1FD5" w:rsidRDefault="004B1E26">
      <w:pPr>
        <w:rPr>
          <w:rFonts w:ascii="Arial" w:eastAsia="Arial" w:hAnsi="Arial" w:cs="Arial"/>
        </w:rPr>
      </w:pPr>
    </w:p>
    <w:p w:rsidR="004B1E26" w:rsidRPr="00AC1FD5" w:rsidRDefault="004B1E26">
      <w:pPr>
        <w:rPr>
          <w:rFonts w:ascii="Arial" w:eastAsia="Arial" w:hAnsi="Arial" w:cs="Arial"/>
        </w:rPr>
      </w:pPr>
    </w:p>
    <w:p w:rsidR="009922CB" w:rsidRPr="00AC1FD5" w:rsidRDefault="009922CB">
      <w:pPr>
        <w:rPr>
          <w:rFonts w:ascii="Arial" w:eastAsia="Arial" w:hAnsi="Arial" w:cs="Arial"/>
        </w:rPr>
      </w:pPr>
    </w:p>
    <w:p w:rsidR="009922CB" w:rsidRPr="00AC1FD5" w:rsidRDefault="009922CB">
      <w:pPr>
        <w:rPr>
          <w:rFonts w:ascii="Arial" w:eastAsia="Arial" w:hAnsi="Arial" w:cs="Arial"/>
        </w:rPr>
      </w:pPr>
    </w:p>
    <w:p w:rsidR="009922CB" w:rsidRPr="00AC1FD5" w:rsidRDefault="009922CB">
      <w:pPr>
        <w:rPr>
          <w:rFonts w:ascii="Arial" w:eastAsia="Arial" w:hAnsi="Arial" w:cs="Arial"/>
        </w:rPr>
      </w:pPr>
    </w:p>
    <w:p w:rsidR="004B1E26" w:rsidRPr="00AC1FD5" w:rsidRDefault="004B1E26">
      <w:pPr>
        <w:spacing w:line="276" w:lineRule="auto"/>
        <w:jc w:val="both"/>
        <w:rPr>
          <w:rFonts w:ascii="Arial" w:eastAsia="Arial" w:hAnsi="Arial" w:cs="Arial"/>
          <w:sz w:val="22"/>
          <w:szCs w:val="22"/>
        </w:rPr>
      </w:pPr>
    </w:p>
    <w:p w:rsidR="009922CB" w:rsidRPr="00AC1FD5" w:rsidRDefault="009922CB">
      <w:pPr>
        <w:spacing w:line="276" w:lineRule="auto"/>
        <w:jc w:val="both"/>
        <w:rPr>
          <w:rFonts w:ascii="Arial" w:eastAsia="Arial" w:hAnsi="Arial" w:cs="Arial"/>
          <w:sz w:val="22"/>
          <w:szCs w:val="22"/>
        </w:rPr>
      </w:pPr>
    </w:p>
    <w:p w:rsidR="004B1E26" w:rsidRPr="00AC1FD5" w:rsidRDefault="001D79C8">
      <w:pPr>
        <w:spacing w:line="276" w:lineRule="auto"/>
        <w:ind w:left="142"/>
        <w:jc w:val="both"/>
        <w:rPr>
          <w:rFonts w:ascii="Arial" w:eastAsia="Arial" w:hAnsi="Arial" w:cs="Arial"/>
          <w:sz w:val="22"/>
          <w:szCs w:val="22"/>
        </w:rPr>
      </w:pPr>
      <w:r w:rsidRPr="00AC1FD5">
        <w:rPr>
          <w:rFonts w:ascii="Arial" w:eastAsia="Arial" w:hAnsi="Arial" w:cs="Arial"/>
          <w:b/>
          <w:sz w:val="22"/>
          <w:szCs w:val="22"/>
        </w:rPr>
        <w:t>6.1.2 Descripción y cuantificación de emisiones de GEI</w:t>
      </w:r>
    </w:p>
    <w:p w:rsidR="004B1E26" w:rsidRPr="00AC1FD5" w:rsidRDefault="004B1E26">
      <w:pPr>
        <w:spacing w:line="276" w:lineRule="auto"/>
        <w:jc w:val="both"/>
        <w:rPr>
          <w:rFonts w:ascii="Arial" w:eastAsia="Arial" w:hAnsi="Arial" w:cs="Arial"/>
          <w:sz w:val="22"/>
          <w:szCs w:val="22"/>
        </w:rPr>
      </w:pPr>
    </w:p>
    <w:p w:rsidR="004B1E26" w:rsidRPr="00AC1FD5" w:rsidRDefault="001D79C8">
      <w:pPr>
        <w:spacing w:line="276" w:lineRule="auto"/>
        <w:jc w:val="both"/>
        <w:rPr>
          <w:rFonts w:ascii="Arial" w:eastAsia="Arial" w:hAnsi="Arial" w:cs="Arial"/>
          <w:color w:val="000000"/>
          <w:sz w:val="22"/>
          <w:szCs w:val="22"/>
        </w:rPr>
      </w:pPr>
      <w:r w:rsidRPr="00AC1FD5">
        <w:rPr>
          <w:rFonts w:ascii="Arial" w:eastAsia="Arial" w:hAnsi="Arial" w:cs="Arial"/>
          <w:color w:val="000000"/>
          <w:sz w:val="22"/>
          <w:szCs w:val="22"/>
        </w:rPr>
        <w:t xml:space="preserve">La Asamblea Legislativa de Costa Rica es una institución pública que tiene una parte administrativa y una parte política (plenario) cuya actividad es principalmente de tipo oficina y desplazamiento de diputados/diputadas para visitas a otros partes del país. A </w:t>
      </w:r>
      <w:r w:rsidR="009922CB" w:rsidRPr="00AC1FD5">
        <w:rPr>
          <w:rFonts w:ascii="Arial" w:eastAsia="Arial" w:hAnsi="Arial" w:cs="Arial"/>
          <w:color w:val="000000"/>
          <w:sz w:val="22"/>
          <w:szCs w:val="22"/>
        </w:rPr>
        <w:t>continuación,</w:t>
      </w:r>
      <w:r w:rsidRPr="00AC1FD5">
        <w:rPr>
          <w:rFonts w:ascii="Arial" w:eastAsia="Arial" w:hAnsi="Arial" w:cs="Arial"/>
          <w:color w:val="000000"/>
          <w:sz w:val="22"/>
          <w:szCs w:val="22"/>
        </w:rPr>
        <w:t xml:space="preserve"> se describirá la metodología para la cuantificación de cada fuente. </w:t>
      </w:r>
    </w:p>
    <w:p w:rsidR="004B1E26" w:rsidRPr="00AC1FD5" w:rsidRDefault="004B1E26">
      <w:pPr>
        <w:spacing w:line="276" w:lineRule="auto"/>
        <w:jc w:val="both"/>
        <w:rPr>
          <w:rFonts w:ascii="Arial" w:eastAsia="Arial" w:hAnsi="Arial" w:cs="Arial"/>
          <w:sz w:val="22"/>
          <w:szCs w:val="22"/>
        </w:rPr>
      </w:pPr>
    </w:p>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b/>
          <w:sz w:val="22"/>
          <w:szCs w:val="22"/>
        </w:rPr>
        <w:lastRenderedPageBreak/>
        <w:t>COMBUSTIBLE FÓSIL</w:t>
      </w:r>
    </w:p>
    <w:tbl>
      <w:tblPr>
        <w:tblStyle w:val="a1"/>
        <w:tblW w:w="8786" w:type="dxa"/>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Look w:val="0000" w:firstRow="0" w:lastRow="0" w:firstColumn="0" w:lastColumn="0" w:noHBand="0" w:noVBand="0"/>
      </w:tblPr>
      <w:tblGrid>
        <w:gridCol w:w="2928"/>
        <w:gridCol w:w="2929"/>
        <w:gridCol w:w="2929"/>
      </w:tblGrid>
      <w:tr w:rsidR="004B1E26" w:rsidRPr="00AC1FD5">
        <w:tc>
          <w:tcPr>
            <w:tcW w:w="2928" w:type="dxa"/>
            <w:shd w:val="clear" w:color="auto" w:fill="000080"/>
          </w:tcPr>
          <w:p w:rsidR="004B1E26" w:rsidRPr="00AC1FD5" w:rsidRDefault="001D79C8">
            <w:pPr>
              <w:spacing w:line="276" w:lineRule="auto"/>
              <w:jc w:val="both"/>
              <w:rPr>
                <w:rFonts w:ascii="Arial" w:eastAsia="Arial" w:hAnsi="Arial" w:cs="Arial"/>
                <w:color w:val="FFFFFF"/>
                <w:sz w:val="22"/>
                <w:szCs w:val="22"/>
              </w:rPr>
            </w:pPr>
            <w:r w:rsidRPr="00AC1FD5">
              <w:rPr>
                <w:rFonts w:ascii="Arial" w:eastAsia="Arial" w:hAnsi="Arial" w:cs="Arial"/>
                <w:b/>
                <w:color w:val="FFFFFF"/>
                <w:sz w:val="22"/>
                <w:szCs w:val="22"/>
              </w:rPr>
              <w:t>Fuente de emisión</w:t>
            </w:r>
          </w:p>
        </w:tc>
        <w:tc>
          <w:tcPr>
            <w:tcW w:w="2929" w:type="dxa"/>
            <w:shd w:val="clear" w:color="auto" w:fill="000080"/>
          </w:tcPr>
          <w:p w:rsidR="004B1E26" w:rsidRPr="00AC1FD5" w:rsidRDefault="001D79C8">
            <w:pPr>
              <w:spacing w:line="276" w:lineRule="auto"/>
              <w:jc w:val="both"/>
              <w:rPr>
                <w:rFonts w:ascii="Arial" w:eastAsia="Arial" w:hAnsi="Arial" w:cs="Arial"/>
                <w:color w:val="FFFFFF"/>
                <w:sz w:val="22"/>
                <w:szCs w:val="22"/>
              </w:rPr>
            </w:pPr>
            <w:r w:rsidRPr="00AC1FD5">
              <w:rPr>
                <w:rFonts w:ascii="Arial" w:eastAsia="Arial" w:hAnsi="Arial" w:cs="Arial"/>
                <w:b/>
                <w:color w:val="FFFFFF"/>
                <w:sz w:val="22"/>
                <w:szCs w:val="22"/>
              </w:rPr>
              <w:t>Alcance</w:t>
            </w:r>
          </w:p>
        </w:tc>
        <w:tc>
          <w:tcPr>
            <w:tcW w:w="2929" w:type="dxa"/>
            <w:shd w:val="clear" w:color="auto" w:fill="000080"/>
          </w:tcPr>
          <w:p w:rsidR="004B1E26" w:rsidRPr="00AC1FD5" w:rsidRDefault="001D79C8">
            <w:pPr>
              <w:spacing w:line="276" w:lineRule="auto"/>
              <w:jc w:val="both"/>
              <w:rPr>
                <w:rFonts w:ascii="Arial" w:eastAsia="Arial" w:hAnsi="Arial" w:cs="Arial"/>
                <w:color w:val="FFFFFF"/>
                <w:sz w:val="22"/>
                <w:szCs w:val="22"/>
              </w:rPr>
            </w:pPr>
            <w:r w:rsidRPr="00AC1FD5">
              <w:rPr>
                <w:rFonts w:ascii="Arial" w:eastAsia="Arial" w:hAnsi="Arial" w:cs="Arial"/>
                <w:b/>
                <w:color w:val="FFFFFF"/>
                <w:sz w:val="22"/>
                <w:szCs w:val="22"/>
              </w:rPr>
              <w:t>Actividad</w:t>
            </w:r>
          </w:p>
        </w:tc>
      </w:tr>
      <w:tr w:rsidR="004B1E26" w:rsidRPr="00AC1FD5">
        <w:tc>
          <w:tcPr>
            <w:tcW w:w="2928" w:type="dxa"/>
          </w:tcPr>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sz w:val="22"/>
                <w:szCs w:val="22"/>
              </w:rPr>
              <w:t>Diesel</w:t>
            </w:r>
          </w:p>
        </w:tc>
        <w:tc>
          <w:tcPr>
            <w:tcW w:w="2929" w:type="dxa"/>
          </w:tcPr>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sz w:val="22"/>
                <w:szCs w:val="22"/>
              </w:rPr>
              <w:t>Directas (1)</w:t>
            </w:r>
          </w:p>
        </w:tc>
        <w:tc>
          <w:tcPr>
            <w:tcW w:w="2929" w:type="dxa"/>
          </w:tcPr>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sz w:val="22"/>
                <w:szCs w:val="22"/>
              </w:rPr>
              <w:t>Flotilla institucional</w:t>
            </w:r>
          </w:p>
        </w:tc>
      </w:tr>
      <w:tr w:rsidR="004B1E26" w:rsidRPr="00AC1FD5">
        <w:tc>
          <w:tcPr>
            <w:tcW w:w="2928" w:type="dxa"/>
          </w:tcPr>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sz w:val="22"/>
                <w:szCs w:val="22"/>
              </w:rPr>
              <w:t>Diesel</w:t>
            </w:r>
          </w:p>
        </w:tc>
        <w:tc>
          <w:tcPr>
            <w:tcW w:w="2929" w:type="dxa"/>
          </w:tcPr>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sz w:val="22"/>
                <w:szCs w:val="22"/>
              </w:rPr>
              <w:t>Directas (1)</w:t>
            </w:r>
          </w:p>
        </w:tc>
        <w:tc>
          <w:tcPr>
            <w:tcW w:w="2929" w:type="dxa"/>
          </w:tcPr>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sz w:val="22"/>
                <w:szCs w:val="22"/>
              </w:rPr>
              <w:t>Planta eléctrica</w:t>
            </w:r>
          </w:p>
        </w:tc>
      </w:tr>
      <w:tr w:rsidR="004B1E26" w:rsidRPr="00AC1FD5">
        <w:tc>
          <w:tcPr>
            <w:tcW w:w="2928" w:type="dxa"/>
          </w:tcPr>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sz w:val="22"/>
                <w:szCs w:val="22"/>
              </w:rPr>
              <w:t>Gasolina de avión</w:t>
            </w:r>
          </w:p>
        </w:tc>
        <w:tc>
          <w:tcPr>
            <w:tcW w:w="2929" w:type="dxa"/>
          </w:tcPr>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sz w:val="22"/>
                <w:szCs w:val="22"/>
              </w:rPr>
              <w:t>Otras indirectas (3)</w:t>
            </w:r>
          </w:p>
        </w:tc>
        <w:tc>
          <w:tcPr>
            <w:tcW w:w="2929" w:type="dxa"/>
          </w:tcPr>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sz w:val="22"/>
                <w:szCs w:val="22"/>
              </w:rPr>
              <w:t>Viajes en avión</w:t>
            </w:r>
          </w:p>
        </w:tc>
      </w:tr>
      <w:tr w:rsidR="004B1E26" w:rsidRPr="00AC1FD5">
        <w:tc>
          <w:tcPr>
            <w:tcW w:w="2928" w:type="dxa"/>
          </w:tcPr>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sz w:val="22"/>
                <w:szCs w:val="22"/>
              </w:rPr>
              <w:t>Gasolina</w:t>
            </w:r>
          </w:p>
        </w:tc>
        <w:tc>
          <w:tcPr>
            <w:tcW w:w="2929" w:type="dxa"/>
          </w:tcPr>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sz w:val="22"/>
                <w:szCs w:val="22"/>
              </w:rPr>
              <w:t>Otras indirectas (3)</w:t>
            </w:r>
          </w:p>
        </w:tc>
        <w:tc>
          <w:tcPr>
            <w:tcW w:w="2929" w:type="dxa"/>
          </w:tcPr>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sz w:val="22"/>
                <w:szCs w:val="22"/>
              </w:rPr>
              <w:t>Vehículos alquilados (taxis)</w:t>
            </w:r>
          </w:p>
        </w:tc>
      </w:tr>
    </w:tbl>
    <w:p w:rsidR="004B1E26" w:rsidRPr="00AC1FD5" w:rsidRDefault="004B1E26">
      <w:pPr>
        <w:spacing w:line="276" w:lineRule="auto"/>
        <w:jc w:val="both"/>
        <w:rPr>
          <w:rFonts w:ascii="Arial" w:eastAsia="Arial" w:hAnsi="Arial" w:cs="Arial"/>
          <w:sz w:val="22"/>
          <w:szCs w:val="22"/>
        </w:rPr>
      </w:pPr>
    </w:p>
    <w:p w:rsidR="004B1E26" w:rsidRPr="00AC1FD5" w:rsidRDefault="001D79C8">
      <w:pPr>
        <w:spacing w:line="276" w:lineRule="auto"/>
        <w:jc w:val="both"/>
        <w:rPr>
          <w:rFonts w:ascii="Arial" w:eastAsia="Arial" w:hAnsi="Arial" w:cs="Arial"/>
          <w:color w:val="000000"/>
          <w:sz w:val="22"/>
          <w:szCs w:val="22"/>
        </w:rPr>
      </w:pPr>
      <w:r w:rsidRPr="00AC1FD5">
        <w:rPr>
          <w:rFonts w:ascii="Arial" w:eastAsia="Arial" w:hAnsi="Arial" w:cs="Arial"/>
          <w:color w:val="000000"/>
          <w:sz w:val="22"/>
          <w:szCs w:val="22"/>
        </w:rPr>
        <w:t>El cálculo respectivo lo desarrollará de la siguiente forma:</w:t>
      </w:r>
    </w:p>
    <w:p w:rsidR="004B1E26" w:rsidRPr="00AC1FD5" w:rsidRDefault="004B1E26">
      <w:pPr>
        <w:spacing w:line="276" w:lineRule="auto"/>
        <w:jc w:val="both"/>
        <w:rPr>
          <w:rFonts w:ascii="Arial" w:eastAsia="Arial" w:hAnsi="Arial" w:cs="Arial"/>
          <w:color w:val="000000"/>
          <w:sz w:val="22"/>
          <w:szCs w:val="22"/>
        </w:rPr>
      </w:pPr>
    </w:p>
    <w:p w:rsidR="004B1E26" w:rsidRPr="00AC1FD5" w:rsidRDefault="001D79C8">
      <w:pPr>
        <w:spacing w:after="120" w:line="276" w:lineRule="auto"/>
        <w:jc w:val="center"/>
        <w:rPr>
          <w:rFonts w:ascii="Arial" w:hAnsi="Arial" w:cs="Arial"/>
          <w:color w:val="002060"/>
          <w:sz w:val="22"/>
          <w:szCs w:val="22"/>
          <w:u w:val="single"/>
        </w:rPr>
      </w:pPr>
      <w:r w:rsidRPr="00AC1FD5">
        <w:rPr>
          <w:rFonts w:ascii="Arial" w:hAnsi="Arial" w:cs="Arial"/>
          <w:color w:val="002060"/>
          <w:sz w:val="22"/>
          <w:szCs w:val="22"/>
        </w:rPr>
        <w:t>Método de cálculo de emisiones por consumo de diésel flotilla</w:t>
      </w:r>
    </w:p>
    <w:tbl>
      <w:tblPr>
        <w:tblStyle w:val="a2"/>
        <w:tblW w:w="9747"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932"/>
        <w:gridCol w:w="6815"/>
      </w:tblGrid>
      <w:tr w:rsidR="004B1E26" w:rsidRPr="00AC1FD5">
        <w:trPr>
          <w:jc w:val="center"/>
        </w:trPr>
        <w:tc>
          <w:tcPr>
            <w:tcW w:w="2932" w:type="dxa"/>
            <w:tcBorders>
              <w:top w:val="single" w:sz="8" w:space="0" w:color="000000"/>
              <w:left w:val="single" w:sz="8" w:space="0" w:color="000000"/>
              <w:bottom w:val="single" w:sz="18" w:space="0" w:color="000000"/>
              <w:right w:val="single" w:sz="8" w:space="0" w:color="000000"/>
            </w:tcBorders>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Título</w:t>
            </w:r>
          </w:p>
        </w:tc>
        <w:tc>
          <w:tcPr>
            <w:tcW w:w="6815" w:type="dxa"/>
            <w:tcBorders>
              <w:top w:val="single" w:sz="8" w:space="0" w:color="000000"/>
              <w:left w:val="single" w:sz="8" w:space="0" w:color="000000"/>
              <w:bottom w:val="single" w:sz="18" w:space="0" w:color="000000"/>
              <w:right w:val="single" w:sz="8" w:space="0" w:color="000000"/>
            </w:tcBorders>
          </w:tcPr>
          <w:p w:rsidR="004B1E26" w:rsidRPr="00AC1FD5" w:rsidRDefault="001D79C8">
            <w:pPr>
              <w:spacing w:line="276" w:lineRule="auto"/>
              <w:jc w:val="center"/>
              <w:rPr>
                <w:rFonts w:ascii="Arial" w:hAnsi="Arial" w:cs="Arial"/>
                <w:sz w:val="22"/>
                <w:szCs w:val="22"/>
              </w:rPr>
            </w:pPr>
            <w:r w:rsidRPr="00AC1FD5">
              <w:rPr>
                <w:rFonts w:ascii="Arial" w:hAnsi="Arial" w:cs="Arial"/>
                <w:b/>
                <w:sz w:val="22"/>
                <w:szCs w:val="22"/>
              </w:rPr>
              <w:t>Emisión por consumo de diésel (transporte terrestre sin catalizador)</w:t>
            </w:r>
          </w:p>
        </w:tc>
      </w:tr>
      <w:tr w:rsidR="004B1E26" w:rsidRPr="00AC1FD5">
        <w:trPr>
          <w:jc w:val="center"/>
        </w:trPr>
        <w:tc>
          <w:tcPr>
            <w:tcW w:w="2932"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 xml:space="preserve">Definición </w:t>
            </w:r>
          </w:p>
        </w:tc>
        <w:tc>
          <w:tcPr>
            <w:tcW w:w="6815"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jc w:val="center"/>
              <w:rPr>
                <w:rFonts w:ascii="Arial" w:hAnsi="Arial" w:cs="Arial"/>
                <w:sz w:val="22"/>
                <w:szCs w:val="22"/>
              </w:rPr>
            </w:pPr>
            <w:r w:rsidRPr="00AC1FD5">
              <w:rPr>
                <w:rFonts w:ascii="Arial" w:hAnsi="Arial" w:cs="Arial"/>
                <w:sz w:val="22"/>
                <w:szCs w:val="22"/>
              </w:rPr>
              <w:t>Emisión directa / Alcance 1</w:t>
            </w:r>
          </w:p>
        </w:tc>
      </w:tr>
      <w:tr w:rsidR="004B1E26" w:rsidRPr="00AC1FD5">
        <w:trPr>
          <w:jc w:val="center"/>
        </w:trPr>
        <w:tc>
          <w:tcPr>
            <w:tcW w:w="2932"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Fórmula de cálculo</w:t>
            </w:r>
          </w:p>
        </w:tc>
        <w:tc>
          <w:tcPr>
            <w:tcW w:w="6815"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jc w:val="center"/>
              <w:rPr>
                <w:rFonts w:ascii="Arial" w:hAnsi="Arial" w:cs="Arial"/>
                <w:sz w:val="22"/>
                <w:szCs w:val="22"/>
              </w:rPr>
            </w:pPr>
            <w:r w:rsidRPr="00AC1FD5">
              <w:rPr>
                <w:rFonts w:ascii="Arial" w:hAnsi="Arial" w:cs="Arial"/>
                <w:sz w:val="22"/>
                <w:szCs w:val="22"/>
              </w:rPr>
              <w:t>(Q mensual L * FE tCO</w:t>
            </w:r>
            <w:r w:rsidRPr="00AC1FD5">
              <w:rPr>
                <w:rFonts w:ascii="Arial" w:hAnsi="Arial" w:cs="Arial"/>
                <w:sz w:val="22"/>
                <w:szCs w:val="22"/>
                <w:vertAlign w:val="subscript"/>
              </w:rPr>
              <w:t>2</w:t>
            </w:r>
            <w:r w:rsidRPr="00AC1FD5">
              <w:rPr>
                <w:rFonts w:ascii="Arial" w:hAnsi="Arial" w:cs="Arial"/>
                <w:sz w:val="22"/>
                <w:szCs w:val="22"/>
              </w:rPr>
              <w:t xml:space="preserve"> * PCG CO</w:t>
            </w:r>
            <w:r w:rsidRPr="00AC1FD5">
              <w:rPr>
                <w:rFonts w:ascii="Arial" w:hAnsi="Arial" w:cs="Arial"/>
                <w:sz w:val="22"/>
                <w:szCs w:val="22"/>
                <w:vertAlign w:val="subscript"/>
              </w:rPr>
              <w:t>2</w:t>
            </w:r>
            <w:r w:rsidRPr="00AC1FD5">
              <w:rPr>
                <w:rFonts w:ascii="Arial" w:hAnsi="Arial" w:cs="Arial"/>
                <w:sz w:val="22"/>
                <w:szCs w:val="22"/>
              </w:rPr>
              <w:t>) + (Q mensual L * FE tCH</w:t>
            </w:r>
            <w:r w:rsidRPr="00AC1FD5">
              <w:rPr>
                <w:rFonts w:ascii="Arial" w:hAnsi="Arial" w:cs="Arial"/>
                <w:sz w:val="22"/>
                <w:szCs w:val="22"/>
                <w:vertAlign w:val="subscript"/>
              </w:rPr>
              <w:t>4</w:t>
            </w:r>
            <w:r w:rsidRPr="00AC1FD5">
              <w:rPr>
                <w:rFonts w:ascii="Arial" w:hAnsi="Arial" w:cs="Arial"/>
                <w:sz w:val="22"/>
                <w:szCs w:val="22"/>
              </w:rPr>
              <w:t xml:space="preserve"> * PCG CH</w:t>
            </w:r>
            <w:r w:rsidRPr="00AC1FD5">
              <w:rPr>
                <w:rFonts w:ascii="Arial" w:hAnsi="Arial" w:cs="Arial"/>
                <w:sz w:val="22"/>
                <w:szCs w:val="22"/>
                <w:vertAlign w:val="subscript"/>
              </w:rPr>
              <w:t>4</w:t>
            </w:r>
            <w:r w:rsidRPr="00AC1FD5">
              <w:rPr>
                <w:rFonts w:ascii="Arial" w:hAnsi="Arial" w:cs="Arial"/>
                <w:sz w:val="22"/>
                <w:szCs w:val="22"/>
              </w:rPr>
              <w:t>) + (Q mensual L * FE tN</w:t>
            </w:r>
            <w:r w:rsidRPr="00AC1FD5">
              <w:rPr>
                <w:rFonts w:ascii="Arial" w:hAnsi="Arial" w:cs="Arial"/>
                <w:sz w:val="22"/>
                <w:szCs w:val="22"/>
                <w:vertAlign w:val="subscript"/>
              </w:rPr>
              <w:t>2</w:t>
            </w:r>
            <w:r w:rsidRPr="00AC1FD5">
              <w:rPr>
                <w:rFonts w:ascii="Arial" w:hAnsi="Arial" w:cs="Arial"/>
                <w:sz w:val="22"/>
                <w:szCs w:val="22"/>
              </w:rPr>
              <w:t>O * PCG N</w:t>
            </w:r>
            <w:r w:rsidRPr="00AC1FD5">
              <w:rPr>
                <w:rFonts w:ascii="Arial" w:hAnsi="Arial" w:cs="Arial"/>
                <w:sz w:val="22"/>
                <w:szCs w:val="22"/>
                <w:vertAlign w:val="subscript"/>
              </w:rPr>
              <w:t>2</w:t>
            </w:r>
            <w:r w:rsidRPr="00AC1FD5">
              <w:rPr>
                <w:rFonts w:ascii="Arial" w:hAnsi="Arial" w:cs="Arial"/>
                <w:sz w:val="22"/>
                <w:szCs w:val="22"/>
              </w:rPr>
              <w:t>O) = tCO</w:t>
            </w:r>
            <w:r w:rsidRPr="00AC1FD5">
              <w:rPr>
                <w:rFonts w:ascii="Arial" w:hAnsi="Arial" w:cs="Arial"/>
                <w:sz w:val="22"/>
                <w:szCs w:val="22"/>
                <w:vertAlign w:val="subscript"/>
              </w:rPr>
              <w:t>2</w:t>
            </w:r>
            <w:r w:rsidRPr="00AC1FD5">
              <w:rPr>
                <w:rFonts w:ascii="Arial" w:hAnsi="Arial" w:cs="Arial"/>
                <w:sz w:val="22"/>
                <w:szCs w:val="22"/>
              </w:rPr>
              <w:t>e</w:t>
            </w:r>
          </w:p>
        </w:tc>
      </w:tr>
      <w:tr w:rsidR="004B1E26" w:rsidRPr="00AC1FD5">
        <w:trPr>
          <w:jc w:val="center"/>
        </w:trPr>
        <w:tc>
          <w:tcPr>
            <w:tcW w:w="2932"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Fuente metodología FE</w:t>
            </w:r>
          </w:p>
        </w:tc>
        <w:tc>
          <w:tcPr>
            <w:tcW w:w="6815"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jc w:val="center"/>
              <w:rPr>
                <w:rFonts w:ascii="Arial" w:hAnsi="Arial" w:cs="Arial"/>
                <w:sz w:val="22"/>
                <w:szCs w:val="22"/>
              </w:rPr>
            </w:pPr>
            <w:r w:rsidRPr="00AC1FD5">
              <w:rPr>
                <w:rFonts w:ascii="Arial" w:hAnsi="Arial" w:cs="Arial"/>
                <w:sz w:val="22"/>
                <w:szCs w:val="22"/>
              </w:rPr>
              <w:t>Instituto Meteorológico Nacional (FE según periodo)</w:t>
            </w:r>
          </w:p>
        </w:tc>
      </w:tr>
      <w:tr w:rsidR="004B1E26" w:rsidRPr="00AC1FD5">
        <w:trPr>
          <w:jc w:val="center"/>
        </w:trPr>
        <w:tc>
          <w:tcPr>
            <w:tcW w:w="2932"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Herramienta de cálculo</w:t>
            </w:r>
          </w:p>
        </w:tc>
        <w:tc>
          <w:tcPr>
            <w:tcW w:w="6815"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jc w:val="center"/>
              <w:rPr>
                <w:rFonts w:ascii="Arial" w:hAnsi="Arial" w:cs="Arial"/>
                <w:sz w:val="22"/>
                <w:szCs w:val="22"/>
              </w:rPr>
            </w:pPr>
            <w:r w:rsidRPr="00AC1FD5">
              <w:rPr>
                <w:rFonts w:ascii="Arial" w:hAnsi="Arial" w:cs="Arial"/>
                <w:sz w:val="22"/>
                <w:szCs w:val="22"/>
              </w:rPr>
              <w:t xml:space="preserve">Excel </w:t>
            </w:r>
          </w:p>
        </w:tc>
      </w:tr>
    </w:tbl>
    <w:p w:rsidR="004B1E26" w:rsidRPr="00AC1FD5" w:rsidRDefault="001D79C8">
      <w:pPr>
        <w:spacing w:line="276" w:lineRule="auto"/>
        <w:ind w:left="567" w:hanging="567"/>
        <w:rPr>
          <w:rFonts w:ascii="Arial" w:hAnsi="Arial" w:cs="Arial"/>
          <w:sz w:val="22"/>
          <w:szCs w:val="22"/>
        </w:rPr>
      </w:pPr>
      <w:r w:rsidRPr="00AC1FD5">
        <w:rPr>
          <w:rFonts w:ascii="Arial" w:hAnsi="Arial" w:cs="Arial"/>
          <w:b/>
          <w:sz w:val="22"/>
          <w:szCs w:val="22"/>
        </w:rPr>
        <w:t xml:space="preserve">Nota 1: </w:t>
      </w:r>
      <w:r w:rsidRPr="00AC1FD5">
        <w:rPr>
          <w:rFonts w:ascii="Arial" w:hAnsi="Arial" w:cs="Arial"/>
          <w:sz w:val="22"/>
          <w:szCs w:val="22"/>
        </w:rPr>
        <w:t>Q = Cantidad / L = litros / * = signo de multiplicación / t = toneladas</w:t>
      </w:r>
    </w:p>
    <w:p w:rsidR="004B1E26" w:rsidRPr="00AC1FD5" w:rsidRDefault="001D79C8">
      <w:pPr>
        <w:spacing w:line="276" w:lineRule="auto"/>
        <w:ind w:left="567" w:hanging="285"/>
        <w:rPr>
          <w:rFonts w:ascii="Arial" w:hAnsi="Arial" w:cs="Arial"/>
          <w:sz w:val="22"/>
          <w:szCs w:val="22"/>
        </w:rPr>
      </w:pPr>
      <w:r w:rsidRPr="00AC1FD5">
        <w:rPr>
          <w:rFonts w:ascii="Arial" w:hAnsi="Arial" w:cs="Arial"/>
          <w:sz w:val="22"/>
          <w:szCs w:val="22"/>
        </w:rPr>
        <w:t>FE = Factor de emisión / PCG = Potencial de Calentamiento Global</w:t>
      </w:r>
    </w:p>
    <w:p w:rsidR="004B1E26" w:rsidRPr="00AC1FD5" w:rsidRDefault="001D79C8">
      <w:pPr>
        <w:spacing w:line="276" w:lineRule="auto"/>
        <w:rPr>
          <w:rFonts w:ascii="Arial" w:hAnsi="Arial" w:cs="Arial"/>
          <w:sz w:val="22"/>
          <w:szCs w:val="22"/>
        </w:rPr>
      </w:pPr>
      <w:r w:rsidRPr="00AC1FD5">
        <w:rPr>
          <w:rFonts w:ascii="Arial" w:hAnsi="Arial" w:cs="Arial"/>
          <w:b/>
          <w:sz w:val="22"/>
          <w:szCs w:val="22"/>
        </w:rPr>
        <w:t>Nota 2:</w:t>
      </w:r>
      <w:r w:rsidRPr="00AC1FD5">
        <w:rPr>
          <w:rFonts w:ascii="Arial" w:hAnsi="Arial" w:cs="Arial"/>
          <w:sz w:val="22"/>
          <w:szCs w:val="22"/>
        </w:rPr>
        <w:t xml:space="preserve"> Poner atención a las unidades de cada factor de emisión para obtener el dato correcto. </w:t>
      </w:r>
    </w:p>
    <w:p w:rsidR="004B1E26" w:rsidRPr="00AC1FD5" w:rsidRDefault="004B1E26">
      <w:pPr>
        <w:spacing w:line="276" w:lineRule="auto"/>
        <w:ind w:left="567" w:hanging="285"/>
        <w:rPr>
          <w:rFonts w:ascii="Arial" w:hAnsi="Arial" w:cs="Arial"/>
          <w:sz w:val="22"/>
          <w:szCs w:val="22"/>
        </w:rPr>
      </w:pPr>
    </w:p>
    <w:p w:rsidR="004B1E26" w:rsidRPr="00AC1FD5" w:rsidRDefault="001D79C8">
      <w:pPr>
        <w:spacing w:after="120" w:line="276" w:lineRule="auto"/>
        <w:jc w:val="center"/>
        <w:rPr>
          <w:rFonts w:ascii="Arial" w:hAnsi="Arial" w:cs="Arial"/>
          <w:color w:val="002060"/>
          <w:sz w:val="22"/>
          <w:szCs w:val="22"/>
          <w:u w:val="single"/>
        </w:rPr>
      </w:pPr>
      <w:r w:rsidRPr="00AC1FD5">
        <w:rPr>
          <w:rFonts w:ascii="Arial" w:hAnsi="Arial" w:cs="Arial"/>
          <w:color w:val="002060"/>
          <w:sz w:val="22"/>
          <w:szCs w:val="22"/>
        </w:rPr>
        <w:t>Método de cálculo de emisiones por consumo de diésel (planta eléctrica)</w:t>
      </w:r>
    </w:p>
    <w:tbl>
      <w:tblPr>
        <w:tblStyle w:val="a3"/>
        <w:tblW w:w="9747"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932"/>
        <w:gridCol w:w="6815"/>
      </w:tblGrid>
      <w:tr w:rsidR="004B1E26" w:rsidRPr="00AC1FD5">
        <w:trPr>
          <w:jc w:val="center"/>
        </w:trPr>
        <w:tc>
          <w:tcPr>
            <w:tcW w:w="2932" w:type="dxa"/>
            <w:tcBorders>
              <w:top w:val="single" w:sz="8" w:space="0" w:color="000000"/>
              <w:left w:val="single" w:sz="8" w:space="0" w:color="000000"/>
              <w:bottom w:val="single" w:sz="18" w:space="0" w:color="000000"/>
              <w:right w:val="single" w:sz="8" w:space="0" w:color="000000"/>
            </w:tcBorders>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Título</w:t>
            </w:r>
          </w:p>
        </w:tc>
        <w:tc>
          <w:tcPr>
            <w:tcW w:w="6815" w:type="dxa"/>
            <w:tcBorders>
              <w:top w:val="single" w:sz="8" w:space="0" w:color="000000"/>
              <w:left w:val="single" w:sz="8" w:space="0" w:color="000000"/>
              <w:bottom w:val="single" w:sz="18" w:space="0" w:color="000000"/>
              <w:right w:val="single" w:sz="8" w:space="0" w:color="000000"/>
            </w:tcBorders>
          </w:tcPr>
          <w:p w:rsidR="004B1E26" w:rsidRPr="00AC1FD5" w:rsidRDefault="001D79C8">
            <w:pPr>
              <w:spacing w:line="276" w:lineRule="auto"/>
              <w:jc w:val="center"/>
              <w:rPr>
                <w:rFonts w:ascii="Arial" w:hAnsi="Arial" w:cs="Arial"/>
                <w:sz w:val="22"/>
                <w:szCs w:val="22"/>
              </w:rPr>
            </w:pPr>
            <w:r w:rsidRPr="00AC1FD5">
              <w:rPr>
                <w:rFonts w:ascii="Arial" w:hAnsi="Arial" w:cs="Arial"/>
                <w:b/>
                <w:sz w:val="22"/>
                <w:szCs w:val="22"/>
              </w:rPr>
              <w:t>Emisión por consumo de diésel (generación energía eléctrica)</w:t>
            </w:r>
          </w:p>
        </w:tc>
      </w:tr>
      <w:tr w:rsidR="004B1E26" w:rsidRPr="00AC1FD5">
        <w:trPr>
          <w:jc w:val="center"/>
        </w:trPr>
        <w:tc>
          <w:tcPr>
            <w:tcW w:w="2932"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 xml:space="preserve">Definición </w:t>
            </w:r>
          </w:p>
        </w:tc>
        <w:tc>
          <w:tcPr>
            <w:tcW w:w="6815"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jc w:val="center"/>
              <w:rPr>
                <w:rFonts w:ascii="Arial" w:hAnsi="Arial" w:cs="Arial"/>
                <w:sz w:val="22"/>
                <w:szCs w:val="22"/>
              </w:rPr>
            </w:pPr>
            <w:r w:rsidRPr="00AC1FD5">
              <w:rPr>
                <w:rFonts w:ascii="Arial" w:hAnsi="Arial" w:cs="Arial"/>
                <w:sz w:val="22"/>
                <w:szCs w:val="22"/>
              </w:rPr>
              <w:t>Emisión directa / Alcance 1</w:t>
            </w:r>
          </w:p>
        </w:tc>
      </w:tr>
      <w:tr w:rsidR="004B1E26" w:rsidRPr="00AC1FD5">
        <w:trPr>
          <w:jc w:val="center"/>
        </w:trPr>
        <w:tc>
          <w:tcPr>
            <w:tcW w:w="2932"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Fórmula de cálculo</w:t>
            </w:r>
          </w:p>
        </w:tc>
        <w:tc>
          <w:tcPr>
            <w:tcW w:w="6815"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jc w:val="center"/>
              <w:rPr>
                <w:rFonts w:ascii="Arial" w:hAnsi="Arial" w:cs="Arial"/>
                <w:sz w:val="22"/>
                <w:szCs w:val="22"/>
              </w:rPr>
            </w:pPr>
            <w:r w:rsidRPr="00AC1FD5">
              <w:rPr>
                <w:rFonts w:ascii="Arial" w:hAnsi="Arial" w:cs="Arial"/>
                <w:sz w:val="22"/>
                <w:szCs w:val="22"/>
              </w:rPr>
              <w:t>(Q mensual L * FE tCO</w:t>
            </w:r>
            <w:r w:rsidRPr="00AC1FD5">
              <w:rPr>
                <w:rFonts w:ascii="Arial" w:hAnsi="Arial" w:cs="Arial"/>
                <w:sz w:val="22"/>
                <w:szCs w:val="22"/>
                <w:vertAlign w:val="subscript"/>
              </w:rPr>
              <w:t>2</w:t>
            </w:r>
            <w:r w:rsidRPr="00AC1FD5">
              <w:rPr>
                <w:rFonts w:ascii="Arial" w:hAnsi="Arial" w:cs="Arial"/>
                <w:sz w:val="22"/>
                <w:szCs w:val="22"/>
              </w:rPr>
              <w:t xml:space="preserve"> * PCG CO</w:t>
            </w:r>
            <w:r w:rsidRPr="00AC1FD5">
              <w:rPr>
                <w:rFonts w:ascii="Arial" w:hAnsi="Arial" w:cs="Arial"/>
                <w:sz w:val="22"/>
                <w:szCs w:val="22"/>
                <w:vertAlign w:val="subscript"/>
              </w:rPr>
              <w:t>2</w:t>
            </w:r>
            <w:r w:rsidRPr="00AC1FD5">
              <w:rPr>
                <w:rFonts w:ascii="Arial" w:hAnsi="Arial" w:cs="Arial"/>
                <w:sz w:val="22"/>
                <w:szCs w:val="22"/>
              </w:rPr>
              <w:t>) + (Q mensual L * FE tCH</w:t>
            </w:r>
            <w:r w:rsidRPr="00AC1FD5">
              <w:rPr>
                <w:rFonts w:ascii="Arial" w:hAnsi="Arial" w:cs="Arial"/>
                <w:sz w:val="22"/>
                <w:szCs w:val="22"/>
                <w:vertAlign w:val="subscript"/>
              </w:rPr>
              <w:t>4</w:t>
            </w:r>
            <w:r w:rsidRPr="00AC1FD5">
              <w:rPr>
                <w:rFonts w:ascii="Arial" w:hAnsi="Arial" w:cs="Arial"/>
                <w:sz w:val="22"/>
                <w:szCs w:val="22"/>
              </w:rPr>
              <w:t xml:space="preserve"> * PCG CH</w:t>
            </w:r>
            <w:r w:rsidRPr="00AC1FD5">
              <w:rPr>
                <w:rFonts w:ascii="Arial" w:hAnsi="Arial" w:cs="Arial"/>
                <w:sz w:val="22"/>
                <w:szCs w:val="22"/>
                <w:vertAlign w:val="subscript"/>
              </w:rPr>
              <w:t>4</w:t>
            </w:r>
            <w:r w:rsidRPr="00AC1FD5">
              <w:rPr>
                <w:rFonts w:ascii="Arial" w:hAnsi="Arial" w:cs="Arial"/>
                <w:sz w:val="22"/>
                <w:szCs w:val="22"/>
              </w:rPr>
              <w:t>) + (Q mensual L * FE tN</w:t>
            </w:r>
            <w:r w:rsidRPr="00AC1FD5">
              <w:rPr>
                <w:rFonts w:ascii="Arial" w:hAnsi="Arial" w:cs="Arial"/>
                <w:sz w:val="22"/>
                <w:szCs w:val="22"/>
                <w:vertAlign w:val="subscript"/>
              </w:rPr>
              <w:t>2</w:t>
            </w:r>
            <w:r w:rsidRPr="00AC1FD5">
              <w:rPr>
                <w:rFonts w:ascii="Arial" w:hAnsi="Arial" w:cs="Arial"/>
                <w:sz w:val="22"/>
                <w:szCs w:val="22"/>
              </w:rPr>
              <w:t>O * PCG N</w:t>
            </w:r>
            <w:r w:rsidRPr="00AC1FD5">
              <w:rPr>
                <w:rFonts w:ascii="Arial" w:hAnsi="Arial" w:cs="Arial"/>
                <w:sz w:val="22"/>
                <w:szCs w:val="22"/>
                <w:vertAlign w:val="subscript"/>
              </w:rPr>
              <w:t>2</w:t>
            </w:r>
            <w:r w:rsidRPr="00AC1FD5">
              <w:rPr>
                <w:rFonts w:ascii="Arial" w:hAnsi="Arial" w:cs="Arial"/>
                <w:sz w:val="22"/>
                <w:szCs w:val="22"/>
              </w:rPr>
              <w:t>O) = tCO</w:t>
            </w:r>
            <w:r w:rsidRPr="00AC1FD5">
              <w:rPr>
                <w:rFonts w:ascii="Arial" w:hAnsi="Arial" w:cs="Arial"/>
                <w:sz w:val="22"/>
                <w:szCs w:val="22"/>
                <w:vertAlign w:val="subscript"/>
              </w:rPr>
              <w:t>2</w:t>
            </w:r>
            <w:r w:rsidRPr="00AC1FD5">
              <w:rPr>
                <w:rFonts w:ascii="Arial" w:hAnsi="Arial" w:cs="Arial"/>
                <w:sz w:val="22"/>
                <w:szCs w:val="22"/>
              </w:rPr>
              <w:t>e</w:t>
            </w:r>
          </w:p>
        </w:tc>
      </w:tr>
      <w:tr w:rsidR="004B1E26" w:rsidRPr="00AC1FD5">
        <w:trPr>
          <w:jc w:val="center"/>
        </w:trPr>
        <w:tc>
          <w:tcPr>
            <w:tcW w:w="2932"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Fuente metodología FE</w:t>
            </w:r>
          </w:p>
        </w:tc>
        <w:tc>
          <w:tcPr>
            <w:tcW w:w="6815"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jc w:val="center"/>
              <w:rPr>
                <w:rFonts w:ascii="Arial" w:hAnsi="Arial" w:cs="Arial"/>
                <w:sz w:val="22"/>
                <w:szCs w:val="22"/>
              </w:rPr>
            </w:pPr>
            <w:r w:rsidRPr="00AC1FD5">
              <w:rPr>
                <w:rFonts w:ascii="Arial" w:hAnsi="Arial" w:cs="Arial"/>
                <w:sz w:val="22"/>
                <w:szCs w:val="22"/>
              </w:rPr>
              <w:t>Instituto Meteorológico Nacional (FE según periodo)</w:t>
            </w:r>
          </w:p>
        </w:tc>
      </w:tr>
      <w:tr w:rsidR="004B1E26" w:rsidRPr="00AC1FD5">
        <w:trPr>
          <w:jc w:val="center"/>
        </w:trPr>
        <w:tc>
          <w:tcPr>
            <w:tcW w:w="2932"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Herramienta de cálculo</w:t>
            </w:r>
          </w:p>
        </w:tc>
        <w:tc>
          <w:tcPr>
            <w:tcW w:w="6815"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jc w:val="center"/>
              <w:rPr>
                <w:rFonts w:ascii="Arial" w:hAnsi="Arial" w:cs="Arial"/>
                <w:sz w:val="22"/>
                <w:szCs w:val="22"/>
              </w:rPr>
            </w:pPr>
            <w:r w:rsidRPr="00AC1FD5">
              <w:rPr>
                <w:rFonts w:ascii="Arial" w:hAnsi="Arial" w:cs="Arial"/>
                <w:sz w:val="22"/>
                <w:szCs w:val="22"/>
              </w:rPr>
              <w:t xml:space="preserve">Excel </w:t>
            </w:r>
          </w:p>
        </w:tc>
      </w:tr>
    </w:tbl>
    <w:p w:rsidR="004B1E26" w:rsidRPr="00AC1FD5" w:rsidRDefault="001D79C8">
      <w:pPr>
        <w:spacing w:line="276" w:lineRule="auto"/>
        <w:ind w:left="567" w:hanging="567"/>
        <w:rPr>
          <w:rFonts w:ascii="Arial" w:hAnsi="Arial" w:cs="Arial"/>
          <w:sz w:val="22"/>
          <w:szCs w:val="22"/>
        </w:rPr>
      </w:pPr>
      <w:r w:rsidRPr="00AC1FD5">
        <w:rPr>
          <w:rFonts w:ascii="Arial" w:hAnsi="Arial" w:cs="Arial"/>
          <w:b/>
          <w:sz w:val="22"/>
          <w:szCs w:val="22"/>
        </w:rPr>
        <w:t xml:space="preserve">Notas: </w:t>
      </w:r>
      <w:r w:rsidRPr="00AC1FD5">
        <w:rPr>
          <w:rFonts w:ascii="Arial" w:hAnsi="Arial" w:cs="Arial"/>
          <w:sz w:val="22"/>
          <w:szCs w:val="22"/>
        </w:rPr>
        <w:t>Q = Cantidad / L = litros / * = signo de multiplicación / t = toneladas</w:t>
      </w:r>
    </w:p>
    <w:p w:rsidR="004B1E26" w:rsidRPr="00AC1FD5" w:rsidRDefault="001D79C8">
      <w:pPr>
        <w:spacing w:line="276" w:lineRule="auto"/>
        <w:ind w:left="567" w:hanging="285"/>
        <w:rPr>
          <w:rFonts w:ascii="Arial" w:hAnsi="Arial" w:cs="Arial"/>
          <w:sz w:val="22"/>
          <w:szCs w:val="22"/>
        </w:rPr>
      </w:pPr>
      <w:r w:rsidRPr="00AC1FD5">
        <w:rPr>
          <w:rFonts w:ascii="Arial" w:hAnsi="Arial" w:cs="Arial"/>
          <w:sz w:val="22"/>
          <w:szCs w:val="22"/>
        </w:rPr>
        <w:t>FE = Factor de emisión / PCG = Potencial de Calentamiento Global</w:t>
      </w:r>
    </w:p>
    <w:p w:rsidR="004B1E26" w:rsidRPr="00AC1FD5" w:rsidRDefault="001D79C8">
      <w:pPr>
        <w:spacing w:line="276" w:lineRule="auto"/>
        <w:rPr>
          <w:rFonts w:ascii="Arial" w:hAnsi="Arial" w:cs="Arial"/>
          <w:sz w:val="22"/>
          <w:szCs w:val="22"/>
        </w:rPr>
      </w:pPr>
      <w:r w:rsidRPr="00AC1FD5">
        <w:rPr>
          <w:rFonts w:ascii="Arial" w:hAnsi="Arial" w:cs="Arial"/>
          <w:b/>
          <w:sz w:val="22"/>
          <w:szCs w:val="22"/>
        </w:rPr>
        <w:t>Nota 2:</w:t>
      </w:r>
      <w:r w:rsidRPr="00AC1FD5">
        <w:rPr>
          <w:rFonts w:ascii="Arial" w:hAnsi="Arial" w:cs="Arial"/>
          <w:sz w:val="22"/>
          <w:szCs w:val="22"/>
        </w:rPr>
        <w:t xml:space="preserve"> Poner atención a las unidades de cada factor de emisión para obtener el dato correcto. </w:t>
      </w:r>
    </w:p>
    <w:p w:rsidR="004B1E26" w:rsidRPr="00AC1FD5" w:rsidRDefault="004B1E26">
      <w:pPr>
        <w:spacing w:after="120" w:line="276" w:lineRule="auto"/>
        <w:rPr>
          <w:rFonts w:ascii="Arial" w:hAnsi="Arial" w:cs="Arial"/>
        </w:rPr>
      </w:pPr>
    </w:p>
    <w:p w:rsidR="004B1E26" w:rsidRPr="00AC1FD5" w:rsidRDefault="001D79C8">
      <w:pPr>
        <w:spacing w:after="120" w:line="276" w:lineRule="auto"/>
        <w:jc w:val="center"/>
        <w:rPr>
          <w:rFonts w:ascii="Arial" w:hAnsi="Arial" w:cs="Arial"/>
          <w:color w:val="002060"/>
          <w:sz w:val="22"/>
          <w:szCs w:val="22"/>
          <w:u w:val="single"/>
        </w:rPr>
      </w:pPr>
      <w:r w:rsidRPr="00AC1FD5">
        <w:rPr>
          <w:rFonts w:ascii="Arial" w:hAnsi="Arial" w:cs="Arial"/>
          <w:color w:val="002060"/>
          <w:sz w:val="22"/>
          <w:szCs w:val="22"/>
        </w:rPr>
        <w:t>Método de cálculo de emisiones por consumo de gasolina de avión (viajes al extranjero)</w:t>
      </w:r>
    </w:p>
    <w:p w:rsidR="004B1E26" w:rsidRPr="00AC1FD5" w:rsidRDefault="001D79C8" w:rsidP="009922CB">
      <w:pPr>
        <w:spacing w:after="120" w:line="276" w:lineRule="auto"/>
        <w:jc w:val="both"/>
        <w:rPr>
          <w:rFonts w:ascii="Arial" w:hAnsi="Arial" w:cs="Arial"/>
          <w:sz w:val="22"/>
          <w:szCs w:val="22"/>
        </w:rPr>
      </w:pPr>
      <w:r w:rsidRPr="00AC1FD5">
        <w:rPr>
          <w:rFonts w:ascii="Arial" w:hAnsi="Arial" w:cs="Arial"/>
          <w:sz w:val="22"/>
          <w:szCs w:val="22"/>
        </w:rPr>
        <w:t xml:space="preserve">Para el caso específico de esta emisión, la información que se tiene es la del destino de cada viaje y la fecha. Por esta razón se debe buscar una metodología adecuada y válida </w:t>
      </w:r>
      <w:r w:rsidRPr="00AC1FD5">
        <w:rPr>
          <w:rFonts w:ascii="Arial" w:hAnsi="Arial" w:cs="Arial"/>
          <w:sz w:val="22"/>
          <w:szCs w:val="22"/>
        </w:rPr>
        <w:lastRenderedPageBreak/>
        <w:t xml:space="preserve">para obtener el consumo de gasolina de cada viaje por persona </w:t>
      </w:r>
      <w:r w:rsidR="009922CB" w:rsidRPr="00AC1FD5">
        <w:rPr>
          <w:rFonts w:ascii="Arial" w:hAnsi="Arial" w:cs="Arial"/>
          <w:sz w:val="22"/>
          <w:szCs w:val="22"/>
        </w:rPr>
        <w:t>a partir</w:t>
      </w:r>
      <w:r w:rsidRPr="00AC1FD5">
        <w:rPr>
          <w:rFonts w:ascii="Arial" w:hAnsi="Arial" w:cs="Arial"/>
          <w:sz w:val="22"/>
          <w:szCs w:val="22"/>
        </w:rPr>
        <w:t xml:space="preserve"> del kilometraje y obtener un total anual. </w:t>
      </w:r>
    </w:p>
    <w:p w:rsidR="004B1E26" w:rsidRPr="00AC1FD5" w:rsidRDefault="004B1E26" w:rsidP="009922CB">
      <w:pPr>
        <w:spacing w:after="120" w:line="276" w:lineRule="auto"/>
        <w:jc w:val="both"/>
        <w:rPr>
          <w:rFonts w:ascii="Arial" w:hAnsi="Arial" w:cs="Arial"/>
          <w:sz w:val="22"/>
          <w:szCs w:val="22"/>
        </w:rPr>
      </w:pPr>
    </w:p>
    <w:p w:rsidR="004B1E26" w:rsidRPr="00AC1FD5" w:rsidRDefault="001D79C8" w:rsidP="009922CB">
      <w:pPr>
        <w:spacing w:after="120" w:line="276" w:lineRule="auto"/>
        <w:jc w:val="both"/>
        <w:rPr>
          <w:rFonts w:ascii="Arial" w:hAnsi="Arial" w:cs="Arial"/>
          <w:sz w:val="22"/>
          <w:szCs w:val="22"/>
        </w:rPr>
      </w:pPr>
      <w:r w:rsidRPr="00AC1FD5">
        <w:rPr>
          <w:rFonts w:ascii="Arial" w:hAnsi="Arial" w:cs="Arial"/>
          <w:sz w:val="22"/>
          <w:szCs w:val="22"/>
        </w:rPr>
        <w:t xml:space="preserve">Se utiliza una calculadora de distancia entre aeropuertos, se asume que los viajes son entre capitales o aeropuertos principales, en internet (link: </w:t>
      </w:r>
      <w:hyperlink r:id="rId13">
        <w:r w:rsidRPr="00AC1FD5">
          <w:rPr>
            <w:rFonts w:ascii="Arial" w:hAnsi="Arial" w:cs="Arial"/>
            <w:sz w:val="22"/>
            <w:szCs w:val="22"/>
            <w:u w:val="single"/>
          </w:rPr>
          <w:t>http://www.dices.net/aeropuertos/distancias.html</w:t>
        </w:r>
      </w:hyperlink>
      <w:r w:rsidRPr="00AC1FD5">
        <w:rPr>
          <w:rFonts w:ascii="Arial" w:hAnsi="Arial" w:cs="Arial"/>
          <w:sz w:val="22"/>
          <w:szCs w:val="22"/>
        </w:rPr>
        <w:t xml:space="preserve">). De acuerdo a esa distancia, se asume que el regreso es igual por lo que para tener el recorrido total se duplica. Luego se aplica un factor de corrección por la curvatura de la tierra y se clasifican los viajes entre cortos, medianos y largos; ya que tienen factores de emisión diferentes. </w:t>
      </w:r>
    </w:p>
    <w:p w:rsidR="009922CB" w:rsidRPr="00AC1FD5" w:rsidRDefault="009922CB" w:rsidP="009922CB">
      <w:pPr>
        <w:spacing w:after="120" w:line="276" w:lineRule="auto"/>
        <w:rPr>
          <w:rFonts w:ascii="Arial" w:hAnsi="Arial" w:cs="Arial"/>
          <w:sz w:val="22"/>
          <w:szCs w:val="22"/>
        </w:rPr>
      </w:pPr>
    </w:p>
    <w:tbl>
      <w:tblPr>
        <w:tblStyle w:val="a4"/>
        <w:tblW w:w="9747"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932"/>
        <w:gridCol w:w="6815"/>
      </w:tblGrid>
      <w:tr w:rsidR="004B1E26" w:rsidRPr="00AC1FD5">
        <w:trPr>
          <w:jc w:val="center"/>
        </w:trPr>
        <w:tc>
          <w:tcPr>
            <w:tcW w:w="2932" w:type="dxa"/>
            <w:tcBorders>
              <w:top w:val="single" w:sz="8" w:space="0" w:color="000000"/>
              <w:left w:val="single" w:sz="8" w:space="0" w:color="000000"/>
              <w:bottom w:val="single" w:sz="18" w:space="0" w:color="000000"/>
              <w:right w:val="single" w:sz="8" w:space="0" w:color="000000"/>
            </w:tcBorders>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Título</w:t>
            </w:r>
          </w:p>
        </w:tc>
        <w:tc>
          <w:tcPr>
            <w:tcW w:w="6815" w:type="dxa"/>
            <w:tcBorders>
              <w:top w:val="single" w:sz="8" w:space="0" w:color="000000"/>
              <w:left w:val="single" w:sz="8" w:space="0" w:color="000000"/>
              <w:bottom w:val="single" w:sz="18" w:space="0" w:color="000000"/>
              <w:right w:val="single" w:sz="8" w:space="0" w:color="000000"/>
            </w:tcBorders>
          </w:tcPr>
          <w:p w:rsidR="004B1E26" w:rsidRPr="00AC1FD5" w:rsidRDefault="001D79C8">
            <w:pPr>
              <w:spacing w:line="276" w:lineRule="auto"/>
              <w:jc w:val="center"/>
              <w:rPr>
                <w:rFonts w:ascii="Arial" w:hAnsi="Arial" w:cs="Arial"/>
                <w:sz w:val="22"/>
                <w:szCs w:val="22"/>
              </w:rPr>
            </w:pPr>
            <w:r w:rsidRPr="00AC1FD5">
              <w:rPr>
                <w:rFonts w:ascii="Arial" w:hAnsi="Arial" w:cs="Arial"/>
                <w:b/>
                <w:sz w:val="22"/>
                <w:szCs w:val="22"/>
              </w:rPr>
              <w:t>Emisión por viajes al extranjero</w:t>
            </w:r>
          </w:p>
        </w:tc>
      </w:tr>
      <w:tr w:rsidR="004B1E26" w:rsidRPr="00AC1FD5">
        <w:trPr>
          <w:jc w:val="center"/>
        </w:trPr>
        <w:tc>
          <w:tcPr>
            <w:tcW w:w="2932"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 xml:space="preserve">Definición </w:t>
            </w:r>
          </w:p>
        </w:tc>
        <w:tc>
          <w:tcPr>
            <w:tcW w:w="6815"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jc w:val="center"/>
              <w:rPr>
                <w:rFonts w:ascii="Arial" w:hAnsi="Arial" w:cs="Arial"/>
                <w:sz w:val="22"/>
                <w:szCs w:val="22"/>
              </w:rPr>
            </w:pPr>
            <w:r w:rsidRPr="00AC1FD5">
              <w:rPr>
                <w:rFonts w:ascii="Arial" w:hAnsi="Arial" w:cs="Arial"/>
                <w:sz w:val="22"/>
                <w:szCs w:val="22"/>
              </w:rPr>
              <w:t>Emisión indirecta / Alcance 3</w:t>
            </w:r>
          </w:p>
        </w:tc>
      </w:tr>
      <w:tr w:rsidR="004B1E26" w:rsidRPr="00AC1FD5">
        <w:trPr>
          <w:jc w:val="center"/>
        </w:trPr>
        <w:tc>
          <w:tcPr>
            <w:tcW w:w="2932"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Fórmula de cálculo</w:t>
            </w:r>
          </w:p>
        </w:tc>
        <w:tc>
          <w:tcPr>
            <w:tcW w:w="6815" w:type="dxa"/>
            <w:tcBorders>
              <w:top w:val="single" w:sz="8" w:space="0" w:color="000000"/>
              <w:left w:val="single" w:sz="8" w:space="0" w:color="000000"/>
              <w:bottom w:val="single" w:sz="8" w:space="0" w:color="000000"/>
              <w:right w:val="single" w:sz="8" w:space="0" w:color="000000"/>
            </w:tcBorders>
          </w:tcPr>
          <w:p w:rsidR="004B1E26" w:rsidRPr="00AC1FD5" w:rsidRDefault="001D79C8">
            <w:pPr>
              <w:numPr>
                <w:ilvl w:val="0"/>
                <w:numId w:val="7"/>
              </w:numPr>
              <w:spacing w:line="276" w:lineRule="auto"/>
              <w:jc w:val="center"/>
              <w:rPr>
                <w:rFonts w:ascii="Arial" w:hAnsi="Arial" w:cs="Arial"/>
                <w:sz w:val="22"/>
                <w:szCs w:val="22"/>
              </w:rPr>
            </w:pPr>
            <w:r w:rsidRPr="00AC1FD5">
              <w:rPr>
                <w:rFonts w:ascii="Arial" w:hAnsi="Arial" w:cs="Arial"/>
                <w:sz w:val="22"/>
                <w:szCs w:val="22"/>
              </w:rPr>
              <w:t>Q cada viaje * 2 * FC 1,9 = Q km de cada viaje</w:t>
            </w:r>
          </w:p>
          <w:p w:rsidR="004B1E26" w:rsidRPr="00AC1FD5" w:rsidRDefault="001D79C8">
            <w:pPr>
              <w:numPr>
                <w:ilvl w:val="0"/>
                <w:numId w:val="7"/>
              </w:numPr>
              <w:spacing w:line="276" w:lineRule="auto"/>
              <w:jc w:val="center"/>
              <w:rPr>
                <w:rFonts w:ascii="Arial" w:hAnsi="Arial" w:cs="Arial"/>
                <w:sz w:val="22"/>
                <w:szCs w:val="22"/>
              </w:rPr>
            </w:pPr>
            <w:r w:rsidRPr="00AC1FD5">
              <w:rPr>
                <w:rFonts w:ascii="Arial" w:hAnsi="Arial" w:cs="Arial"/>
                <w:sz w:val="22"/>
                <w:szCs w:val="22"/>
              </w:rPr>
              <w:t>Sumar todos los viajes de cada mes (Q mensual km)</w:t>
            </w:r>
          </w:p>
          <w:p w:rsidR="004B1E26" w:rsidRPr="00AC1FD5" w:rsidRDefault="001D79C8">
            <w:pPr>
              <w:numPr>
                <w:ilvl w:val="0"/>
                <w:numId w:val="7"/>
              </w:numPr>
              <w:spacing w:line="276" w:lineRule="auto"/>
              <w:jc w:val="center"/>
              <w:rPr>
                <w:rFonts w:ascii="Arial" w:hAnsi="Arial" w:cs="Arial"/>
                <w:sz w:val="22"/>
                <w:szCs w:val="22"/>
              </w:rPr>
            </w:pPr>
            <w:r w:rsidRPr="00AC1FD5">
              <w:rPr>
                <w:rFonts w:ascii="Arial" w:hAnsi="Arial" w:cs="Arial"/>
                <w:sz w:val="22"/>
                <w:szCs w:val="22"/>
              </w:rPr>
              <w:t>(Q mensual km * FE gCO</w:t>
            </w:r>
            <w:r w:rsidRPr="00AC1FD5">
              <w:rPr>
                <w:rFonts w:ascii="Arial" w:hAnsi="Arial" w:cs="Arial"/>
                <w:sz w:val="22"/>
                <w:szCs w:val="22"/>
                <w:vertAlign w:val="subscript"/>
              </w:rPr>
              <w:t>2</w:t>
            </w:r>
            <w:r w:rsidRPr="00AC1FD5">
              <w:rPr>
                <w:rFonts w:ascii="Arial" w:hAnsi="Arial" w:cs="Arial"/>
                <w:sz w:val="22"/>
                <w:szCs w:val="22"/>
              </w:rPr>
              <w:t xml:space="preserve"> * PCG CO</w:t>
            </w:r>
            <w:r w:rsidRPr="00AC1FD5">
              <w:rPr>
                <w:rFonts w:ascii="Arial" w:hAnsi="Arial" w:cs="Arial"/>
                <w:sz w:val="22"/>
                <w:szCs w:val="22"/>
                <w:vertAlign w:val="subscript"/>
              </w:rPr>
              <w:t>2</w:t>
            </w:r>
            <w:r w:rsidRPr="00AC1FD5">
              <w:rPr>
                <w:rFonts w:ascii="Arial" w:hAnsi="Arial" w:cs="Arial"/>
                <w:sz w:val="22"/>
                <w:szCs w:val="22"/>
              </w:rPr>
              <w:t>)/1000000 = tCO</w:t>
            </w:r>
            <w:r w:rsidRPr="00AC1FD5">
              <w:rPr>
                <w:rFonts w:ascii="Arial" w:hAnsi="Arial" w:cs="Arial"/>
                <w:sz w:val="22"/>
                <w:szCs w:val="22"/>
                <w:vertAlign w:val="subscript"/>
              </w:rPr>
              <w:t>2</w:t>
            </w:r>
            <w:r w:rsidRPr="00AC1FD5">
              <w:rPr>
                <w:rFonts w:ascii="Arial" w:hAnsi="Arial" w:cs="Arial"/>
                <w:sz w:val="22"/>
                <w:szCs w:val="22"/>
              </w:rPr>
              <w:t>e</w:t>
            </w:r>
          </w:p>
        </w:tc>
      </w:tr>
      <w:tr w:rsidR="004B1E26" w:rsidRPr="00AC1FD5">
        <w:trPr>
          <w:jc w:val="center"/>
        </w:trPr>
        <w:tc>
          <w:tcPr>
            <w:tcW w:w="2932"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Fuente metodología FE</w:t>
            </w:r>
          </w:p>
        </w:tc>
        <w:tc>
          <w:tcPr>
            <w:tcW w:w="6815"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jc w:val="center"/>
              <w:rPr>
                <w:rFonts w:ascii="Arial" w:hAnsi="Arial" w:cs="Arial"/>
                <w:sz w:val="22"/>
                <w:szCs w:val="22"/>
              </w:rPr>
            </w:pPr>
            <w:r w:rsidRPr="00AC1FD5">
              <w:rPr>
                <w:rFonts w:ascii="Arial" w:hAnsi="Arial" w:cs="Arial"/>
                <w:sz w:val="22"/>
                <w:szCs w:val="22"/>
              </w:rPr>
              <w:t>Metodología para el cálculo de emisiones del gobierno del Reino Unido</w:t>
            </w:r>
          </w:p>
        </w:tc>
      </w:tr>
      <w:tr w:rsidR="004B1E26" w:rsidRPr="00AC1FD5">
        <w:trPr>
          <w:jc w:val="center"/>
        </w:trPr>
        <w:tc>
          <w:tcPr>
            <w:tcW w:w="2932"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Herramienta de cálculo</w:t>
            </w:r>
          </w:p>
        </w:tc>
        <w:tc>
          <w:tcPr>
            <w:tcW w:w="6815"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jc w:val="center"/>
              <w:rPr>
                <w:rFonts w:ascii="Arial" w:hAnsi="Arial" w:cs="Arial"/>
                <w:sz w:val="22"/>
                <w:szCs w:val="22"/>
              </w:rPr>
            </w:pPr>
            <w:r w:rsidRPr="00AC1FD5">
              <w:rPr>
                <w:rFonts w:ascii="Arial" w:hAnsi="Arial" w:cs="Arial"/>
                <w:sz w:val="22"/>
                <w:szCs w:val="22"/>
              </w:rPr>
              <w:t xml:space="preserve">Excel </w:t>
            </w:r>
          </w:p>
        </w:tc>
      </w:tr>
    </w:tbl>
    <w:p w:rsidR="004B1E26" w:rsidRPr="00AC1FD5" w:rsidRDefault="001D79C8">
      <w:pPr>
        <w:spacing w:line="276" w:lineRule="auto"/>
        <w:ind w:left="567"/>
        <w:rPr>
          <w:rFonts w:ascii="Arial" w:hAnsi="Arial" w:cs="Arial"/>
          <w:sz w:val="22"/>
          <w:szCs w:val="22"/>
        </w:rPr>
      </w:pPr>
      <w:r w:rsidRPr="00AC1FD5">
        <w:rPr>
          <w:rFonts w:ascii="Arial" w:hAnsi="Arial" w:cs="Arial"/>
          <w:b/>
          <w:sz w:val="22"/>
          <w:szCs w:val="22"/>
        </w:rPr>
        <w:t xml:space="preserve">Notas: FC </w:t>
      </w:r>
      <w:r w:rsidRPr="00AC1FD5">
        <w:rPr>
          <w:rFonts w:ascii="Arial" w:hAnsi="Arial" w:cs="Arial"/>
          <w:sz w:val="22"/>
          <w:szCs w:val="22"/>
        </w:rPr>
        <w:t xml:space="preserve">= factor de corrección/ Q = Cantidad / km = </w:t>
      </w:r>
      <w:r w:rsidR="009922CB" w:rsidRPr="00AC1FD5">
        <w:rPr>
          <w:rFonts w:ascii="Arial" w:hAnsi="Arial" w:cs="Arial"/>
          <w:sz w:val="22"/>
          <w:szCs w:val="22"/>
        </w:rPr>
        <w:t>kilómetros</w:t>
      </w:r>
      <w:r w:rsidRPr="00AC1FD5">
        <w:rPr>
          <w:rFonts w:ascii="Arial" w:hAnsi="Arial" w:cs="Arial"/>
          <w:sz w:val="22"/>
          <w:szCs w:val="22"/>
        </w:rPr>
        <w:t xml:space="preserve"> / * = signo de multiplicación / g= gramos/  t = toneladas</w:t>
      </w:r>
    </w:p>
    <w:p w:rsidR="004B1E26" w:rsidRPr="00AC1FD5" w:rsidRDefault="001D79C8">
      <w:pPr>
        <w:spacing w:line="276" w:lineRule="auto"/>
        <w:ind w:left="567" w:hanging="285"/>
        <w:rPr>
          <w:rFonts w:ascii="Arial" w:hAnsi="Arial" w:cs="Arial"/>
          <w:sz w:val="22"/>
          <w:szCs w:val="22"/>
        </w:rPr>
      </w:pPr>
      <w:r w:rsidRPr="00AC1FD5">
        <w:rPr>
          <w:rFonts w:ascii="Arial" w:hAnsi="Arial" w:cs="Arial"/>
          <w:sz w:val="22"/>
          <w:szCs w:val="22"/>
        </w:rPr>
        <w:t>FE = Factor de emisión / PCG = Potencial de Calentamiento Global</w:t>
      </w:r>
    </w:p>
    <w:p w:rsidR="004B1E26" w:rsidRPr="00AC1FD5" w:rsidRDefault="001D79C8">
      <w:pPr>
        <w:spacing w:line="276" w:lineRule="auto"/>
        <w:rPr>
          <w:rFonts w:ascii="Arial" w:hAnsi="Arial" w:cs="Arial"/>
          <w:sz w:val="22"/>
          <w:szCs w:val="22"/>
        </w:rPr>
      </w:pPr>
      <w:r w:rsidRPr="00AC1FD5">
        <w:rPr>
          <w:rFonts w:ascii="Arial" w:hAnsi="Arial" w:cs="Arial"/>
          <w:b/>
          <w:sz w:val="22"/>
          <w:szCs w:val="22"/>
        </w:rPr>
        <w:t>Nota 2:</w:t>
      </w:r>
      <w:r w:rsidRPr="00AC1FD5">
        <w:rPr>
          <w:rFonts w:ascii="Arial" w:hAnsi="Arial" w:cs="Arial"/>
          <w:sz w:val="22"/>
          <w:szCs w:val="22"/>
        </w:rPr>
        <w:t xml:space="preserve"> Poner atención a las unidades de cada factor de emisión para obtener el dato correcto. </w:t>
      </w:r>
    </w:p>
    <w:p w:rsidR="004B1E26" w:rsidRPr="00AC1FD5" w:rsidRDefault="004B1E26">
      <w:pPr>
        <w:spacing w:line="276" w:lineRule="auto"/>
        <w:rPr>
          <w:rFonts w:ascii="Arial" w:hAnsi="Arial" w:cs="Arial"/>
          <w:sz w:val="22"/>
          <w:szCs w:val="22"/>
        </w:rPr>
      </w:pPr>
    </w:p>
    <w:p w:rsidR="004B1E26" w:rsidRPr="00AC1FD5" w:rsidRDefault="001D79C8">
      <w:pPr>
        <w:spacing w:after="120" w:line="276" w:lineRule="auto"/>
        <w:rPr>
          <w:rFonts w:ascii="Arial" w:hAnsi="Arial" w:cs="Arial"/>
          <w:color w:val="002060"/>
          <w:sz w:val="22"/>
          <w:szCs w:val="22"/>
        </w:rPr>
      </w:pPr>
      <w:r w:rsidRPr="00AC1FD5">
        <w:rPr>
          <w:rFonts w:ascii="Arial" w:hAnsi="Arial" w:cs="Arial"/>
          <w:color w:val="002060"/>
          <w:sz w:val="22"/>
          <w:szCs w:val="22"/>
        </w:rPr>
        <w:t>Método de cálculo de emisiones por consumo de gasolina (vehículos contratado)</w:t>
      </w:r>
    </w:p>
    <w:p w:rsidR="004B1E26" w:rsidRPr="00AC1FD5" w:rsidRDefault="001D79C8">
      <w:pPr>
        <w:spacing w:after="120" w:line="276" w:lineRule="auto"/>
        <w:rPr>
          <w:rFonts w:ascii="Arial" w:hAnsi="Arial" w:cs="Arial"/>
          <w:sz w:val="22"/>
          <w:szCs w:val="22"/>
        </w:rPr>
      </w:pPr>
      <w:r w:rsidRPr="00AC1FD5">
        <w:rPr>
          <w:rFonts w:ascii="Arial" w:hAnsi="Arial" w:cs="Arial"/>
          <w:sz w:val="22"/>
          <w:szCs w:val="22"/>
        </w:rPr>
        <w:t xml:space="preserve">En el caso de los vehículos que son contratados para el transporte de funcionarios y funcionarias, la base de datos muestra el destino del viaje y el monto a pagar; así que se debe hacer una estimación previa para obtener el consumo. </w:t>
      </w:r>
    </w:p>
    <w:p w:rsidR="004B1E26" w:rsidRPr="00AC1FD5" w:rsidRDefault="001D79C8">
      <w:pPr>
        <w:spacing w:after="120" w:line="276" w:lineRule="auto"/>
        <w:rPr>
          <w:rFonts w:ascii="Arial" w:hAnsi="Arial" w:cs="Arial"/>
          <w:sz w:val="22"/>
          <w:szCs w:val="22"/>
        </w:rPr>
      </w:pPr>
      <w:r w:rsidRPr="00AC1FD5">
        <w:rPr>
          <w:rFonts w:ascii="Arial" w:hAnsi="Arial" w:cs="Arial"/>
          <w:sz w:val="22"/>
          <w:szCs w:val="22"/>
        </w:rPr>
        <w:t xml:space="preserve">Paso 1: Realizar una sumatoria de montos cancelados por los viajes de forma mensual. </w:t>
      </w:r>
    </w:p>
    <w:p w:rsidR="004B1E26" w:rsidRPr="00AC1FD5" w:rsidRDefault="001D79C8">
      <w:pPr>
        <w:spacing w:after="120" w:line="276" w:lineRule="auto"/>
        <w:rPr>
          <w:rFonts w:ascii="Arial" w:hAnsi="Arial" w:cs="Arial"/>
          <w:sz w:val="22"/>
          <w:szCs w:val="22"/>
        </w:rPr>
      </w:pPr>
      <w:r w:rsidRPr="00AC1FD5">
        <w:rPr>
          <w:rFonts w:ascii="Arial" w:hAnsi="Arial" w:cs="Arial"/>
          <w:sz w:val="22"/>
          <w:szCs w:val="22"/>
        </w:rPr>
        <w:t xml:space="preserve">Paso 2: Buscar la tarifa establecida por la Autoridad Reguladora de Servicios Públicos (ARESEP) por cada kilómetro del servicio de taxi. </w:t>
      </w:r>
    </w:p>
    <w:p w:rsidR="004B1E26" w:rsidRPr="00AC1FD5" w:rsidRDefault="001D79C8">
      <w:pPr>
        <w:spacing w:after="120" w:line="276" w:lineRule="auto"/>
        <w:rPr>
          <w:rFonts w:ascii="Arial" w:hAnsi="Arial" w:cs="Arial"/>
          <w:sz w:val="22"/>
          <w:szCs w:val="22"/>
        </w:rPr>
      </w:pPr>
      <w:r w:rsidRPr="00AC1FD5">
        <w:rPr>
          <w:rFonts w:ascii="Arial" w:hAnsi="Arial" w:cs="Arial"/>
          <w:sz w:val="22"/>
          <w:szCs w:val="22"/>
        </w:rPr>
        <w:t>Paso 3: Realizar una estimación de kilómetros recorridos en los viajes.</w:t>
      </w:r>
      <w:r w:rsidR="00A5545A" w:rsidRPr="00AC1FD5">
        <w:rPr>
          <w:rFonts w:ascii="Arial" w:hAnsi="Arial" w:cs="Arial"/>
          <w:sz w:val="22"/>
          <w:szCs w:val="22"/>
        </w:rPr>
        <w:t xml:space="preserve"> </w:t>
      </w:r>
    </w:p>
    <w:p w:rsidR="004B1E26" w:rsidRPr="00AC1FD5" w:rsidRDefault="001D79C8">
      <w:pPr>
        <w:spacing w:after="120" w:line="276" w:lineRule="auto"/>
        <w:rPr>
          <w:rFonts w:ascii="Arial" w:hAnsi="Arial" w:cs="Arial"/>
        </w:rPr>
      </w:pPr>
      <w:r w:rsidRPr="00AC1FD5">
        <w:rPr>
          <w:rFonts w:ascii="Arial" w:hAnsi="Arial" w:cs="Arial"/>
        </w:rPr>
        <w:t xml:space="preserve">                           </w:t>
      </w:r>
      <w:r w:rsidRPr="00AC1FD5">
        <w:rPr>
          <w:rFonts w:ascii="Arial" w:hAnsi="Arial" w:cs="Arial"/>
          <w:noProof/>
          <w:lang w:val="en-US"/>
        </w:rPr>
        <w:drawing>
          <wp:inline distT="0" distB="0" distL="114300" distR="114300">
            <wp:extent cx="3180715" cy="381000"/>
            <wp:effectExtent l="0" t="0" r="0" b="0"/>
            <wp:docPr id="1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4"/>
                    <a:srcRect/>
                    <a:stretch>
                      <a:fillRect/>
                    </a:stretch>
                  </pic:blipFill>
                  <pic:spPr>
                    <a:xfrm>
                      <a:off x="0" y="0"/>
                      <a:ext cx="3180715" cy="381000"/>
                    </a:xfrm>
                    <a:prstGeom prst="rect">
                      <a:avLst/>
                    </a:prstGeom>
                    <a:ln/>
                  </pic:spPr>
                </pic:pic>
              </a:graphicData>
            </a:graphic>
          </wp:inline>
        </w:drawing>
      </w:r>
    </w:p>
    <w:p w:rsidR="004B1E26" w:rsidRPr="00AC1FD5" w:rsidRDefault="001D79C8">
      <w:pPr>
        <w:spacing w:after="120" w:line="276" w:lineRule="auto"/>
        <w:rPr>
          <w:rFonts w:ascii="Arial" w:hAnsi="Arial" w:cs="Arial"/>
          <w:sz w:val="22"/>
        </w:rPr>
      </w:pPr>
      <w:r w:rsidRPr="00AC1FD5">
        <w:rPr>
          <w:rFonts w:ascii="Arial" w:hAnsi="Arial" w:cs="Arial"/>
          <w:sz w:val="22"/>
        </w:rPr>
        <w:lastRenderedPageBreak/>
        <w:t xml:space="preserve">Paso 4: </w:t>
      </w:r>
      <w:r w:rsidR="00A5545A" w:rsidRPr="00AC1FD5">
        <w:rPr>
          <w:rFonts w:ascii="Arial" w:hAnsi="Arial" w:cs="Arial"/>
          <w:sz w:val="22"/>
        </w:rPr>
        <w:t xml:space="preserve">Una vez teniendo un dato aproximado de kilómetros anuales, se realiza un cálculo para obtener el consumo de combustible en litros, en este caso se usa un dato de rendimiento estándar de un automóvil específicamente de la marca Toyota, modelo corolla, como referencia. </w:t>
      </w:r>
    </w:p>
    <w:p w:rsidR="00A5545A" w:rsidRPr="00AC1FD5" w:rsidRDefault="00A5545A">
      <w:pPr>
        <w:spacing w:after="120" w:line="276" w:lineRule="auto"/>
        <w:rPr>
          <w:rFonts w:ascii="Arial" w:hAnsi="Arial" w:cs="Arial"/>
          <w:sz w:val="22"/>
        </w:rPr>
      </w:pPr>
    </w:p>
    <w:p w:rsidR="00A5545A" w:rsidRPr="00AC1FD5" w:rsidRDefault="00A5545A">
      <w:pPr>
        <w:spacing w:after="120" w:line="276" w:lineRule="auto"/>
        <w:rPr>
          <w:rFonts w:ascii="Arial" w:hAnsi="Arial" w:cs="Arial"/>
          <w:color w:val="4F6228"/>
          <w:sz w:val="20"/>
          <w:szCs w:val="22"/>
        </w:rPr>
      </w:pPr>
      <m:oMathPara>
        <m:oMath>
          <m:r>
            <w:rPr>
              <w:rFonts w:ascii="Cambria Math" w:hAnsi="Cambria Math" w:cs="Arial"/>
              <w:color w:val="4F6228"/>
              <w:sz w:val="20"/>
              <w:szCs w:val="22"/>
            </w:rPr>
            <m:t xml:space="preserve">Consumo de combustible </m:t>
          </m:r>
          <m:d>
            <m:dPr>
              <m:ctrlPr>
                <w:rPr>
                  <w:rFonts w:ascii="Cambria Math" w:hAnsi="Cambria Math" w:cs="Arial"/>
                  <w:i/>
                  <w:color w:val="4F6228"/>
                  <w:sz w:val="20"/>
                  <w:szCs w:val="22"/>
                </w:rPr>
              </m:ctrlPr>
            </m:dPr>
            <m:e>
              <m:r>
                <w:rPr>
                  <w:rFonts w:ascii="Cambria Math" w:hAnsi="Cambria Math" w:cs="Arial"/>
                  <w:color w:val="4F6228"/>
                  <w:sz w:val="20"/>
                  <w:szCs w:val="22"/>
                </w:rPr>
                <m:t>L</m:t>
              </m:r>
            </m:e>
          </m:d>
          <m:r>
            <w:rPr>
              <w:rFonts w:ascii="Cambria Math" w:hAnsi="Cambria Math" w:cs="Arial"/>
              <w:color w:val="4F6228"/>
              <w:sz w:val="20"/>
              <w:szCs w:val="22"/>
            </w:rPr>
            <m:t>=</m:t>
          </m:r>
          <m:f>
            <m:fPr>
              <m:ctrlPr>
                <w:rPr>
                  <w:rFonts w:ascii="Cambria Math" w:hAnsi="Cambria Math" w:cs="Arial"/>
                  <w:i/>
                  <w:color w:val="4F6228"/>
                  <w:sz w:val="20"/>
                  <w:szCs w:val="22"/>
                </w:rPr>
              </m:ctrlPr>
            </m:fPr>
            <m:num>
              <m:d>
                <m:dPr>
                  <m:ctrlPr>
                    <w:rPr>
                      <w:rFonts w:ascii="Cambria Math" w:hAnsi="Cambria Math" w:cs="Arial"/>
                      <w:i/>
                      <w:color w:val="4F6228"/>
                      <w:sz w:val="20"/>
                      <w:szCs w:val="22"/>
                    </w:rPr>
                  </m:ctrlPr>
                </m:dPr>
                <m:e>
                  <m:r>
                    <w:rPr>
                      <w:rFonts w:ascii="Cambria Math" w:hAnsi="Cambria Math" w:cs="Arial"/>
                      <w:color w:val="4F6228"/>
                      <w:sz w:val="20"/>
                      <w:szCs w:val="22"/>
                    </w:rPr>
                    <m:t>% ciudad</m:t>
                  </m:r>
                </m:e>
              </m:d>
              <m:r>
                <w:rPr>
                  <w:rFonts w:ascii="Cambria Math" w:hAnsi="Cambria Math" w:cs="Arial"/>
                  <w:color w:val="4F6228"/>
                  <w:sz w:val="20"/>
                  <w:szCs w:val="22"/>
                </w:rPr>
                <m:t>×Recorrido anual (km)</m:t>
              </m:r>
            </m:num>
            <m:den>
              <m:r>
                <w:rPr>
                  <w:rFonts w:ascii="Cambria Math" w:hAnsi="Cambria Math" w:cs="Arial"/>
                  <w:color w:val="4F6228"/>
                  <w:sz w:val="20"/>
                  <w:szCs w:val="22"/>
                </w:rPr>
                <m:t>Rendimiento en ciudad (</m:t>
              </m:r>
              <m:f>
                <m:fPr>
                  <m:type m:val="lin"/>
                  <m:ctrlPr>
                    <w:rPr>
                      <w:rFonts w:ascii="Cambria Math" w:hAnsi="Cambria Math" w:cs="Arial"/>
                      <w:i/>
                      <w:color w:val="4F6228"/>
                      <w:sz w:val="20"/>
                      <w:szCs w:val="22"/>
                    </w:rPr>
                  </m:ctrlPr>
                </m:fPr>
                <m:num>
                  <m:r>
                    <w:rPr>
                      <w:rFonts w:ascii="Cambria Math" w:hAnsi="Cambria Math" w:cs="Arial"/>
                      <w:color w:val="4F6228"/>
                      <w:sz w:val="20"/>
                      <w:szCs w:val="22"/>
                    </w:rPr>
                    <m:t>km</m:t>
                  </m:r>
                </m:num>
                <m:den>
                  <m:r>
                    <w:rPr>
                      <w:rFonts w:ascii="Cambria Math" w:hAnsi="Cambria Math" w:cs="Arial"/>
                      <w:color w:val="4F6228"/>
                      <w:sz w:val="20"/>
                      <w:szCs w:val="22"/>
                    </w:rPr>
                    <m:t>l)</m:t>
                  </m:r>
                </m:den>
              </m:f>
            </m:den>
          </m:f>
          <m:r>
            <w:rPr>
              <w:rFonts w:ascii="Cambria Math" w:hAnsi="Cambria Math" w:cs="Arial"/>
              <w:color w:val="4F6228"/>
              <w:sz w:val="20"/>
              <w:szCs w:val="22"/>
            </w:rPr>
            <m:t>+</m:t>
          </m:r>
          <m:f>
            <m:fPr>
              <m:ctrlPr>
                <w:rPr>
                  <w:rFonts w:ascii="Cambria Math" w:hAnsi="Cambria Math" w:cs="Arial"/>
                  <w:i/>
                  <w:color w:val="4F6228"/>
                  <w:sz w:val="20"/>
                  <w:szCs w:val="22"/>
                </w:rPr>
              </m:ctrlPr>
            </m:fPr>
            <m:num>
              <m:d>
                <m:dPr>
                  <m:ctrlPr>
                    <w:rPr>
                      <w:rFonts w:ascii="Cambria Math" w:hAnsi="Cambria Math" w:cs="Arial"/>
                      <w:i/>
                      <w:color w:val="4F6228"/>
                      <w:sz w:val="20"/>
                      <w:szCs w:val="22"/>
                    </w:rPr>
                  </m:ctrlPr>
                </m:dPr>
                <m:e>
                  <m:r>
                    <w:rPr>
                      <w:rFonts w:ascii="Cambria Math" w:hAnsi="Cambria Math" w:cs="Arial"/>
                      <w:color w:val="4F6228"/>
                      <w:sz w:val="20"/>
                      <w:szCs w:val="22"/>
                    </w:rPr>
                    <m:t>% carretera</m:t>
                  </m:r>
                </m:e>
              </m:d>
              <m:r>
                <w:rPr>
                  <w:rFonts w:ascii="Cambria Math" w:hAnsi="Cambria Math" w:cs="Arial"/>
                  <w:color w:val="4F6228"/>
                  <w:sz w:val="20"/>
                  <w:szCs w:val="22"/>
                </w:rPr>
                <m:t>×Recorrido anual (km)</m:t>
              </m:r>
            </m:num>
            <m:den>
              <m:r>
                <w:rPr>
                  <w:rFonts w:ascii="Cambria Math" w:hAnsi="Cambria Math" w:cs="Arial"/>
                  <w:color w:val="4F6228"/>
                  <w:sz w:val="20"/>
                  <w:szCs w:val="22"/>
                </w:rPr>
                <m:t>Rendimiento en carretera (</m:t>
              </m:r>
              <m:f>
                <m:fPr>
                  <m:type m:val="lin"/>
                  <m:ctrlPr>
                    <w:rPr>
                      <w:rFonts w:ascii="Cambria Math" w:hAnsi="Cambria Math" w:cs="Arial"/>
                      <w:i/>
                      <w:color w:val="4F6228"/>
                      <w:sz w:val="20"/>
                      <w:szCs w:val="22"/>
                    </w:rPr>
                  </m:ctrlPr>
                </m:fPr>
                <m:num>
                  <m:r>
                    <w:rPr>
                      <w:rFonts w:ascii="Cambria Math" w:hAnsi="Cambria Math" w:cs="Arial"/>
                      <w:color w:val="4F6228"/>
                      <w:sz w:val="20"/>
                      <w:szCs w:val="22"/>
                    </w:rPr>
                    <m:t>km</m:t>
                  </m:r>
                </m:num>
                <m:den>
                  <m:r>
                    <w:rPr>
                      <w:rFonts w:ascii="Cambria Math" w:hAnsi="Cambria Math" w:cs="Arial"/>
                      <w:color w:val="4F6228"/>
                      <w:sz w:val="20"/>
                      <w:szCs w:val="22"/>
                    </w:rPr>
                    <m:t>l)</m:t>
                  </m:r>
                </m:den>
              </m:f>
            </m:den>
          </m:f>
        </m:oMath>
      </m:oMathPara>
    </w:p>
    <w:p w:rsidR="004F39E9" w:rsidRPr="00AC1FD5" w:rsidRDefault="004F39E9">
      <w:pPr>
        <w:spacing w:after="120" w:line="276" w:lineRule="auto"/>
        <w:rPr>
          <w:rFonts w:ascii="Arial" w:hAnsi="Arial" w:cs="Arial"/>
          <w:sz w:val="22"/>
          <w:szCs w:val="22"/>
        </w:rPr>
      </w:pPr>
      <w:r w:rsidRPr="00AC1FD5">
        <w:rPr>
          <w:rFonts w:ascii="Arial" w:hAnsi="Arial" w:cs="Arial"/>
          <w:sz w:val="22"/>
          <w:szCs w:val="22"/>
        </w:rPr>
        <w:t xml:space="preserve">El último cálculo se </w:t>
      </w:r>
      <w:r w:rsidR="00CE07D9" w:rsidRPr="00AC1FD5">
        <w:rPr>
          <w:rFonts w:ascii="Arial" w:hAnsi="Arial" w:cs="Arial"/>
          <w:sz w:val="22"/>
          <w:szCs w:val="22"/>
        </w:rPr>
        <w:t xml:space="preserve">realiza de la siguiente forma: </w:t>
      </w:r>
    </w:p>
    <w:tbl>
      <w:tblPr>
        <w:tblStyle w:val="a5"/>
        <w:tblW w:w="9791"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723"/>
        <w:gridCol w:w="7068"/>
      </w:tblGrid>
      <w:tr w:rsidR="004B1E26" w:rsidRPr="00AC1FD5">
        <w:trPr>
          <w:jc w:val="center"/>
        </w:trPr>
        <w:tc>
          <w:tcPr>
            <w:tcW w:w="2723" w:type="dxa"/>
            <w:tcBorders>
              <w:top w:val="single" w:sz="8" w:space="0" w:color="000000"/>
              <w:left w:val="single" w:sz="8" w:space="0" w:color="000000"/>
              <w:bottom w:val="single" w:sz="18" w:space="0" w:color="000000"/>
              <w:right w:val="single" w:sz="8" w:space="0" w:color="000000"/>
            </w:tcBorders>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Título</w:t>
            </w:r>
          </w:p>
        </w:tc>
        <w:tc>
          <w:tcPr>
            <w:tcW w:w="7068" w:type="dxa"/>
            <w:tcBorders>
              <w:top w:val="single" w:sz="8" w:space="0" w:color="000000"/>
              <w:left w:val="single" w:sz="8" w:space="0" w:color="000000"/>
              <w:bottom w:val="single" w:sz="18" w:space="0" w:color="000000"/>
              <w:right w:val="single" w:sz="8" w:space="0" w:color="000000"/>
            </w:tcBorders>
          </w:tcPr>
          <w:p w:rsidR="004B1E26" w:rsidRPr="00AC1FD5" w:rsidRDefault="001D79C8">
            <w:pPr>
              <w:spacing w:line="276" w:lineRule="auto"/>
              <w:jc w:val="center"/>
              <w:rPr>
                <w:rFonts w:ascii="Arial" w:hAnsi="Arial" w:cs="Arial"/>
                <w:sz w:val="22"/>
                <w:szCs w:val="22"/>
              </w:rPr>
            </w:pPr>
            <w:r w:rsidRPr="00AC1FD5">
              <w:rPr>
                <w:rFonts w:ascii="Arial" w:hAnsi="Arial" w:cs="Arial"/>
                <w:b/>
                <w:sz w:val="22"/>
                <w:szCs w:val="22"/>
              </w:rPr>
              <w:t>Emisión por consumo de gasolina (transporte terrestre/sin catalizador)</w:t>
            </w:r>
          </w:p>
        </w:tc>
      </w:tr>
      <w:tr w:rsidR="004B1E26" w:rsidRPr="00AC1FD5">
        <w:trPr>
          <w:jc w:val="center"/>
        </w:trPr>
        <w:tc>
          <w:tcPr>
            <w:tcW w:w="2723"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 xml:space="preserve">Definición </w:t>
            </w:r>
          </w:p>
        </w:tc>
        <w:tc>
          <w:tcPr>
            <w:tcW w:w="7068"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jc w:val="center"/>
              <w:rPr>
                <w:rFonts w:ascii="Arial" w:hAnsi="Arial" w:cs="Arial"/>
                <w:sz w:val="22"/>
                <w:szCs w:val="22"/>
              </w:rPr>
            </w:pPr>
            <w:r w:rsidRPr="00AC1FD5">
              <w:rPr>
                <w:rFonts w:ascii="Arial" w:hAnsi="Arial" w:cs="Arial"/>
                <w:sz w:val="22"/>
                <w:szCs w:val="22"/>
              </w:rPr>
              <w:t>Emisión indirecta / Alcance 3</w:t>
            </w:r>
          </w:p>
        </w:tc>
      </w:tr>
      <w:tr w:rsidR="004B1E26" w:rsidRPr="00AC1FD5">
        <w:trPr>
          <w:jc w:val="center"/>
        </w:trPr>
        <w:tc>
          <w:tcPr>
            <w:tcW w:w="2723"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Fórmula de cálculo</w:t>
            </w:r>
          </w:p>
        </w:tc>
        <w:tc>
          <w:tcPr>
            <w:tcW w:w="7068"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jc w:val="center"/>
              <w:rPr>
                <w:rFonts w:ascii="Arial" w:hAnsi="Arial" w:cs="Arial"/>
                <w:sz w:val="22"/>
                <w:szCs w:val="22"/>
              </w:rPr>
            </w:pPr>
            <w:r w:rsidRPr="00AC1FD5">
              <w:rPr>
                <w:rFonts w:ascii="Arial" w:hAnsi="Arial" w:cs="Arial"/>
                <w:sz w:val="22"/>
                <w:szCs w:val="22"/>
              </w:rPr>
              <w:t>(Q mensual L * FE tCO</w:t>
            </w:r>
            <w:r w:rsidRPr="00AC1FD5">
              <w:rPr>
                <w:rFonts w:ascii="Arial" w:hAnsi="Arial" w:cs="Arial"/>
                <w:sz w:val="22"/>
                <w:szCs w:val="22"/>
                <w:vertAlign w:val="subscript"/>
              </w:rPr>
              <w:t>2</w:t>
            </w:r>
            <w:r w:rsidRPr="00AC1FD5">
              <w:rPr>
                <w:rFonts w:ascii="Arial" w:hAnsi="Arial" w:cs="Arial"/>
                <w:sz w:val="22"/>
                <w:szCs w:val="22"/>
              </w:rPr>
              <w:t xml:space="preserve"> * PCG CO</w:t>
            </w:r>
            <w:r w:rsidRPr="00AC1FD5">
              <w:rPr>
                <w:rFonts w:ascii="Arial" w:hAnsi="Arial" w:cs="Arial"/>
                <w:sz w:val="22"/>
                <w:szCs w:val="22"/>
                <w:vertAlign w:val="subscript"/>
              </w:rPr>
              <w:t>2</w:t>
            </w:r>
            <w:r w:rsidRPr="00AC1FD5">
              <w:rPr>
                <w:rFonts w:ascii="Arial" w:hAnsi="Arial" w:cs="Arial"/>
                <w:sz w:val="22"/>
                <w:szCs w:val="22"/>
              </w:rPr>
              <w:t>) + (Q mensual L * FE tCH</w:t>
            </w:r>
            <w:r w:rsidRPr="00AC1FD5">
              <w:rPr>
                <w:rFonts w:ascii="Arial" w:hAnsi="Arial" w:cs="Arial"/>
                <w:sz w:val="22"/>
                <w:szCs w:val="22"/>
                <w:vertAlign w:val="subscript"/>
              </w:rPr>
              <w:t>4</w:t>
            </w:r>
            <w:r w:rsidRPr="00AC1FD5">
              <w:rPr>
                <w:rFonts w:ascii="Arial" w:hAnsi="Arial" w:cs="Arial"/>
                <w:sz w:val="22"/>
                <w:szCs w:val="22"/>
              </w:rPr>
              <w:t xml:space="preserve"> * PCG CH</w:t>
            </w:r>
            <w:r w:rsidRPr="00AC1FD5">
              <w:rPr>
                <w:rFonts w:ascii="Arial" w:hAnsi="Arial" w:cs="Arial"/>
                <w:sz w:val="22"/>
                <w:szCs w:val="22"/>
                <w:vertAlign w:val="subscript"/>
              </w:rPr>
              <w:t>4</w:t>
            </w:r>
            <w:r w:rsidRPr="00AC1FD5">
              <w:rPr>
                <w:rFonts w:ascii="Arial" w:hAnsi="Arial" w:cs="Arial"/>
                <w:sz w:val="22"/>
                <w:szCs w:val="22"/>
              </w:rPr>
              <w:t>) + (Q mensual L * FE tN</w:t>
            </w:r>
            <w:r w:rsidRPr="00AC1FD5">
              <w:rPr>
                <w:rFonts w:ascii="Arial" w:hAnsi="Arial" w:cs="Arial"/>
                <w:sz w:val="22"/>
                <w:szCs w:val="22"/>
                <w:vertAlign w:val="subscript"/>
              </w:rPr>
              <w:t>2</w:t>
            </w:r>
            <w:r w:rsidRPr="00AC1FD5">
              <w:rPr>
                <w:rFonts w:ascii="Arial" w:hAnsi="Arial" w:cs="Arial"/>
                <w:sz w:val="22"/>
                <w:szCs w:val="22"/>
              </w:rPr>
              <w:t>O * PCG N</w:t>
            </w:r>
            <w:r w:rsidRPr="00AC1FD5">
              <w:rPr>
                <w:rFonts w:ascii="Arial" w:hAnsi="Arial" w:cs="Arial"/>
                <w:sz w:val="22"/>
                <w:szCs w:val="22"/>
                <w:vertAlign w:val="subscript"/>
              </w:rPr>
              <w:t>2</w:t>
            </w:r>
            <w:r w:rsidRPr="00AC1FD5">
              <w:rPr>
                <w:rFonts w:ascii="Arial" w:hAnsi="Arial" w:cs="Arial"/>
                <w:sz w:val="22"/>
                <w:szCs w:val="22"/>
              </w:rPr>
              <w:t>O) = tCO</w:t>
            </w:r>
            <w:r w:rsidRPr="00AC1FD5">
              <w:rPr>
                <w:rFonts w:ascii="Arial" w:hAnsi="Arial" w:cs="Arial"/>
                <w:sz w:val="22"/>
                <w:szCs w:val="22"/>
                <w:vertAlign w:val="subscript"/>
              </w:rPr>
              <w:t>2</w:t>
            </w:r>
            <w:r w:rsidRPr="00AC1FD5">
              <w:rPr>
                <w:rFonts w:ascii="Arial" w:hAnsi="Arial" w:cs="Arial"/>
                <w:sz w:val="22"/>
                <w:szCs w:val="22"/>
              </w:rPr>
              <w:t>e</w:t>
            </w:r>
          </w:p>
        </w:tc>
      </w:tr>
      <w:tr w:rsidR="004B1E26" w:rsidRPr="00AC1FD5">
        <w:trPr>
          <w:jc w:val="center"/>
        </w:trPr>
        <w:tc>
          <w:tcPr>
            <w:tcW w:w="2723"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Fuente metodología FE</w:t>
            </w:r>
          </w:p>
        </w:tc>
        <w:tc>
          <w:tcPr>
            <w:tcW w:w="7068"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jc w:val="center"/>
              <w:rPr>
                <w:rFonts w:ascii="Arial" w:hAnsi="Arial" w:cs="Arial"/>
                <w:sz w:val="22"/>
                <w:szCs w:val="22"/>
              </w:rPr>
            </w:pPr>
            <w:r w:rsidRPr="00AC1FD5">
              <w:rPr>
                <w:rFonts w:ascii="Arial" w:hAnsi="Arial" w:cs="Arial"/>
                <w:sz w:val="22"/>
                <w:szCs w:val="22"/>
              </w:rPr>
              <w:t>Instituto Meteorológico Nacional (FE según periodo)</w:t>
            </w:r>
          </w:p>
        </w:tc>
      </w:tr>
      <w:tr w:rsidR="004B1E26" w:rsidRPr="00AC1FD5">
        <w:trPr>
          <w:jc w:val="center"/>
        </w:trPr>
        <w:tc>
          <w:tcPr>
            <w:tcW w:w="2723"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Herramienta de cálculo</w:t>
            </w:r>
          </w:p>
        </w:tc>
        <w:tc>
          <w:tcPr>
            <w:tcW w:w="7068"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jc w:val="center"/>
              <w:rPr>
                <w:rFonts w:ascii="Arial" w:hAnsi="Arial" w:cs="Arial"/>
                <w:sz w:val="22"/>
                <w:szCs w:val="22"/>
              </w:rPr>
            </w:pPr>
            <w:r w:rsidRPr="00AC1FD5">
              <w:rPr>
                <w:rFonts w:ascii="Arial" w:hAnsi="Arial" w:cs="Arial"/>
                <w:sz w:val="22"/>
                <w:szCs w:val="22"/>
              </w:rPr>
              <w:t xml:space="preserve">Excel </w:t>
            </w:r>
          </w:p>
        </w:tc>
      </w:tr>
    </w:tbl>
    <w:p w:rsidR="004B1E26" w:rsidRPr="00AC1FD5" w:rsidRDefault="001D79C8">
      <w:pPr>
        <w:spacing w:line="276" w:lineRule="auto"/>
        <w:ind w:left="567" w:hanging="567"/>
        <w:rPr>
          <w:rFonts w:ascii="Arial" w:hAnsi="Arial" w:cs="Arial"/>
          <w:sz w:val="22"/>
          <w:szCs w:val="22"/>
        </w:rPr>
      </w:pPr>
      <w:r w:rsidRPr="00AC1FD5">
        <w:rPr>
          <w:rFonts w:ascii="Arial" w:hAnsi="Arial" w:cs="Arial"/>
          <w:b/>
          <w:sz w:val="22"/>
          <w:szCs w:val="22"/>
        </w:rPr>
        <w:t xml:space="preserve">Notas: </w:t>
      </w:r>
      <w:r w:rsidRPr="00AC1FD5">
        <w:rPr>
          <w:rFonts w:ascii="Arial" w:hAnsi="Arial" w:cs="Arial"/>
          <w:sz w:val="22"/>
          <w:szCs w:val="22"/>
        </w:rPr>
        <w:t>Q = Cantidad / L = litros / * = signo de multiplicación / t = toneladas</w:t>
      </w:r>
    </w:p>
    <w:p w:rsidR="004B1E26" w:rsidRPr="00AC1FD5" w:rsidRDefault="001D79C8">
      <w:pPr>
        <w:spacing w:after="120" w:line="276" w:lineRule="auto"/>
        <w:rPr>
          <w:rFonts w:ascii="Arial" w:hAnsi="Arial" w:cs="Arial"/>
          <w:sz w:val="22"/>
          <w:szCs w:val="22"/>
        </w:rPr>
      </w:pPr>
      <w:r w:rsidRPr="00AC1FD5">
        <w:rPr>
          <w:rFonts w:ascii="Arial" w:hAnsi="Arial" w:cs="Arial"/>
          <w:sz w:val="22"/>
          <w:szCs w:val="22"/>
        </w:rPr>
        <w:t>FE = Factor de emisión / PCG = Potencial de Calentamiento Global</w:t>
      </w:r>
    </w:p>
    <w:p w:rsidR="004B1E26" w:rsidRPr="00AC1FD5" w:rsidRDefault="001D79C8">
      <w:pPr>
        <w:spacing w:after="120" w:line="276" w:lineRule="auto"/>
        <w:rPr>
          <w:rFonts w:ascii="Arial" w:hAnsi="Arial" w:cs="Arial"/>
          <w:sz w:val="22"/>
          <w:szCs w:val="22"/>
        </w:rPr>
      </w:pPr>
      <w:r w:rsidRPr="00AC1FD5">
        <w:rPr>
          <w:rFonts w:ascii="Arial" w:hAnsi="Arial" w:cs="Arial"/>
          <w:b/>
          <w:sz w:val="22"/>
          <w:szCs w:val="22"/>
        </w:rPr>
        <w:t>Nota 2:</w:t>
      </w:r>
      <w:r w:rsidRPr="00AC1FD5">
        <w:rPr>
          <w:rFonts w:ascii="Arial" w:hAnsi="Arial" w:cs="Arial"/>
          <w:sz w:val="22"/>
          <w:szCs w:val="22"/>
        </w:rPr>
        <w:t xml:space="preserve"> Poner atención a las unidades de cada factor de emisión para obtener el dato correcto. </w:t>
      </w:r>
    </w:p>
    <w:p w:rsidR="004B1E26" w:rsidRPr="00AC1FD5" w:rsidRDefault="004B1E26">
      <w:pPr>
        <w:spacing w:after="120" w:line="276" w:lineRule="auto"/>
        <w:rPr>
          <w:rFonts w:ascii="Arial" w:hAnsi="Arial" w:cs="Arial"/>
        </w:rPr>
      </w:pPr>
    </w:p>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b/>
          <w:sz w:val="22"/>
          <w:szCs w:val="22"/>
        </w:rPr>
        <w:t>ENERGÍA ELÉCTRICA</w:t>
      </w:r>
    </w:p>
    <w:p w:rsidR="004B1E26" w:rsidRPr="00AC1FD5" w:rsidRDefault="004B1E26">
      <w:pPr>
        <w:spacing w:line="276" w:lineRule="auto"/>
        <w:ind w:left="900"/>
        <w:jc w:val="both"/>
        <w:rPr>
          <w:rFonts w:ascii="Arial" w:eastAsia="Arial" w:hAnsi="Arial" w:cs="Arial"/>
          <w:sz w:val="22"/>
          <w:szCs w:val="22"/>
        </w:rPr>
      </w:pPr>
    </w:p>
    <w:p w:rsidR="004B1E26" w:rsidRPr="00AC1FD5" w:rsidRDefault="001D79C8">
      <w:pPr>
        <w:spacing w:line="276" w:lineRule="auto"/>
        <w:jc w:val="both"/>
        <w:rPr>
          <w:rFonts w:ascii="Arial" w:eastAsia="Arial" w:hAnsi="Arial" w:cs="Arial"/>
          <w:color w:val="000000"/>
          <w:sz w:val="22"/>
          <w:szCs w:val="22"/>
        </w:rPr>
      </w:pPr>
      <w:r w:rsidRPr="00AC1FD5">
        <w:rPr>
          <w:rFonts w:ascii="Arial" w:eastAsia="Arial" w:hAnsi="Arial" w:cs="Arial"/>
          <w:color w:val="000000"/>
          <w:sz w:val="22"/>
          <w:szCs w:val="22"/>
        </w:rPr>
        <w:t>El departamento de finanzas</w:t>
      </w:r>
      <w:r w:rsidR="004F39E9" w:rsidRPr="00AC1FD5">
        <w:rPr>
          <w:rFonts w:ascii="Arial" w:eastAsia="Arial" w:hAnsi="Arial" w:cs="Arial"/>
          <w:color w:val="000000"/>
          <w:sz w:val="22"/>
          <w:szCs w:val="22"/>
        </w:rPr>
        <w:t xml:space="preserve"> y pagos</w:t>
      </w:r>
      <w:r w:rsidRPr="00AC1FD5">
        <w:rPr>
          <w:rFonts w:ascii="Arial" w:eastAsia="Arial" w:hAnsi="Arial" w:cs="Arial"/>
          <w:color w:val="000000"/>
          <w:sz w:val="22"/>
          <w:szCs w:val="22"/>
        </w:rPr>
        <w:t xml:space="preserve"> maneja la información </w:t>
      </w:r>
      <w:r w:rsidR="004F39E9" w:rsidRPr="00AC1FD5">
        <w:rPr>
          <w:rFonts w:ascii="Arial" w:eastAsia="Arial" w:hAnsi="Arial" w:cs="Arial"/>
          <w:color w:val="000000"/>
          <w:sz w:val="22"/>
          <w:szCs w:val="22"/>
        </w:rPr>
        <w:t xml:space="preserve">de cada recibo de electricidad para los edificios de la institución. Esta información se comparte con la CISAL y su gestor ambiental, con fines de alimentar el sistema de gestión ambiental, el programa de bandera azul y el reporte de emisión por esta fuente. </w:t>
      </w:r>
    </w:p>
    <w:p w:rsidR="004F39E9" w:rsidRPr="00AC1FD5" w:rsidRDefault="004F39E9">
      <w:pPr>
        <w:spacing w:line="276" w:lineRule="auto"/>
        <w:jc w:val="both"/>
        <w:rPr>
          <w:rFonts w:ascii="Arial" w:eastAsia="Arial" w:hAnsi="Arial" w:cs="Arial"/>
          <w:color w:val="000000"/>
          <w:sz w:val="22"/>
          <w:szCs w:val="22"/>
        </w:rPr>
      </w:pPr>
    </w:p>
    <w:p w:rsidR="004B1E26" w:rsidRPr="00AC1FD5" w:rsidRDefault="004F39E9">
      <w:pPr>
        <w:spacing w:line="276" w:lineRule="auto"/>
        <w:jc w:val="both"/>
        <w:rPr>
          <w:rFonts w:ascii="Arial" w:eastAsia="Arial" w:hAnsi="Arial" w:cs="Arial"/>
          <w:color w:val="000000"/>
          <w:sz w:val="22"/>
          <w:szCs w:val="22"/>
        </w:rPr>
      </w:pPr>
      <w:r w:rsidRPr="00AC1FD5">
        <w:rPr>
          <w:rFonts w:ascii="Arial" w:eastAsia="Arial" w:hAnsi="Arial" w:cs="Arial"/>
          <w:color w:val="000000"/>
          <w:sz w:val="22"/>
          <w:szCs w:val="22"/>
        </w:rPr>
        <w:t xml:space="preserve">El coordinador del proceso, en este caso el gestor ambiental, registra estas facturas en el sistema de información correspondiente para llevar la información de consumo de electricidad actualizada mes a mes. </w:t>
      </w:r>
    </w:p>
    <w:p w:rsidR="004F39E9" w:rsidRPr="00AC1FD5" w:rsidRDefault="004F39E9">
      <w:pPr>
        <w:spacing w:line="276" w:lineRule="auto"/>
        <w:jc w:val="both"/>
        <w:rPr>
          <w:rFonts w:ascii="Arial" w:eastAsia="Arial" w:hAnsi="Arial" w:cs="Arial"/>
          <w:color w:val="000000"/>
          <w:sz w:val="22"/>
          <w:szCs w:val="22"/>
        </w:rPr>
      </w:pPr>
    </w:p>
    <w:p w:rsidR="004B1E26" w:rsidRPr="00AC1FD5" w:rsidRDefault="001D79C8">
      <w:pPr>
        <w:spacing w:line="276" w:lineRule="auto"/>
        <w:jc w:val="both"/>
        <w:rPr>
          <w:rFonts w:ascii="Arial" w:eastAsia="Arial" w:hAnsi="Arial" w:cs="Arial"/>
          <w:color w:val="000000"/>
          <w:sz w:val="22"/>
          <w:szCs w:val="22"/>
        </w:rPr>
      </w:pPr>
      <w:r w:rsidRPr="00AC1FD5">
        <w:rPr>
          <w:rFonts w:ascii="Arial" w:eastAsia="Arial" w:hAnsi="Arial" w:cs="Arial"/>
          <w:color w:val="000000"/>
          <w:sz w:val="22"/>
          <w:szCs w:val="22"/>
        </w:rPr>
        <w:t xml:space="preserve">El Coordinador es la persona encargada de alimentar periódicamente </w:t>
      </w:r>
      <w:r w:rsidR="004F39E9" w:rsidRPr="00AC1FD5">
        <w:rPr>
          <w:rFonts w:ascii="Arial" w:eastAsia="Arial" w:hAnsi="Arial" w:cs="Arial"/>
          <w:color w:val="000000"/>
          <w:sz w:val="22"/>
          <w:szCs w:val="22"/>
        </w:rPr>
        <w:t xml:space="preserve">el sistema </w:t>
      </w:r>
      <w:r w:rsidRPr="00AC1FD5">
        <w:rPr>
          <w:rFonts w:ascii="Arial" w:eastAsia="Arial" w:hAnsi="Arial" w:cs="Arial"/>
          <w:color w:val="000000"/>
          <w:sz w:val="22"/>
          <w:szCs w:val="22"/>
        </w:rPr>
        <w:t xml:space="preserve">para realizar la cuantificación de las emisiones de GEI relacionadas con el consumo de energía eléctrica.  Para ello, </w:t>
      </w:r>
      <w:r w:rsidR="004F39E9" w:rsidRPr="00AC1FD5">
        <w:rPr>
          <w:rFonts w:ascii="Arial" w:eastAsia="Arial" w:hAnsi="Arial" w:cs="Arial"/>
          <w:color w:val="000000"/>
          <w:sz w:val="22"/>
          <w:szCs w:val="22"/>
        </w:rPr>
        <w:t xml:space="preserve">se </w:t>
      </w:r>
      <w:r w:rsidRPr="00AC1FD5">
        <w:rPr>
          <w:rFonts w:ascii="Arial" w:eastAsia="Arial" w:hAnsi="Arial" w:cs="Arial"/>
          <w:color w:val="000000"/>
          <w:sz w:val="22"/>
          <w:szCs w:val="22"/>
        </w:rPr>
        <w:t>utiliza la metodología de lo</w:t>
      </w:r>
      <w:r w:rsidR="004F39E9" w:rsidRPr="00AC1FD5">
        <w:rPr>
          <w:rFonts w:ascii="Arial" w:eastAsia="Arial" w:hAnsi="Arial" w:cs="Arial"/>
          <w:color w:val="000000"/>
          <w:sz w:val="22"/>
          <w:szCs w:val="22"/>
        </w:rPr>
        <w:t>s Factores de Emisión (FE) del IMN</w:t>
      </w:r>
      <w:r w:rsidRPr="00AC1FD5">
        <w:rPr>
          <w:rFonts w:ascii="Arial" w:eastAsia="Arial" w:hAnsi="Arial" w:cs="Arial"/>
          <w:color w:val="000000"/>
          <w:sz w:val="22"/>
          <w:szCs w:val="22"/>
        </w:rPr>
        <w:t xml:space="preserve"> de Costa Rica </w:t>
      </w:r>
      <w:r w:rsidR="004F39E9" w:rsidRPr="00AC1FD5">
        <w:rPr>
          <w:rFonts w:ascii="Arial" w:eastAsia="Arial" w:hAnsi="Arial" w:cs="Arial"/>
          <w:color w:val="000000"/>
          <w:sz w:val="22"/>
          <w:szCs w:val="22"/>
        </w:rPr>
        <w:t xml:space="preserve">más actualizado y referente al año correspondiente. </w:t>
      </w:r>
      <w:r w:rsidRPr="00AC1FD5">
        <w:rPr>
          <w:rFonts w:ascii="Arial" w:eastAsia="Arial" w:hAnsi="Arial" w:cs="Arial"/>
          <w:color w:val="000000"/>
          <w:sz w:val="22"/>
          <w:szCs w:val="22"/>
        </w:rPr>
        <w:t>El cálculo respectivo lo desarrollará de la siguiente forma:</w:t>
      </w:r>
    </w:p>
    <w:p w:rsidR="004B1E26" w:rsidRPr="00AC1FD5" w:rsidRDefault="004B1E26">
      <w:pPr>
        <w:spacing w:line="276" w:lineRule="auto"/>
        <w:ind w:left="360"/>
        <w:jc w:val="both"/>
        <w:rPr>
          <w:rFonts w:ascii="Arial" w:eastAsia="Arial" w:hAnsi="Arial" w:cs="Arial"/>
          <w:color w:val="000000"/>
          <w:sz w:val="22"/>
          <w:szCs w:val="22"/>
        </w:rPr>
      </w:pPr>
    </w:p>
    <w:p w:rsidR="004B1E26" w:rsidRPr="00AC1FD5" w:rsidRDefault="001D79C8">
      <w:pPr>
        <w:spacing w:after="120" w:line="276" w:lineRule="auto"/>
        <w:jc w:val="center"/>
        <w:rPr>
          <w:rFonts w:ascii="Arial" w:hAnsi="Arial" w:cs="Arial"/>
          <w:color w:val="002060"/>
          <w:sz w:val="22"/>
          <w:szCs w:val="22"/>
          <w:u w:val="single"/>
        </w:rPr>
      </w:pPr>
      <w:r w:rsidRPr="00AC1FD5">
        <w:rPr>
          <w:rFonts w:ascii="Arial" w:hAnsi="Arial" w:cs="Arial"/>
          <w:color w:val="002060"/>
          <w:sz w:val="22"/>
          <w:szCs w:val="22"/>
        </w:rPr>
        <w:t>Método de cálculo de emisiones por consumo de electricidad:</w:t>
      </w:r>
    </w:p>
    <w:tbl>
      <w:tblPr>
        <w:tblStyle w:val="a6"/>
        <w:tblW w:w="8862"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888"/>
        <w:gridCol w:w="5974"/>
      </w:tblGrid>
      <w:tr w:rsidR="004B1E26" w:rsidRPr="00AC1FD5">
        <w:trPr>
          <w:jc w:val="center"/>
        </w:trPr>
        <w:tc>
          <w:tcPr>
            <w:tcW w:w="2888" w:type="dxa"/>
            <w:tcBorders>
              <w:top w:val="single" w:sz="8" w:space="0" w:color="000000"/>
              <w:left w:val="single" w:sz="8" w:space="0" w:color="000000"/>
              <w:bottom w:val="single" w:sz="18" w:space="0" w:color="000000"/>
              <w:right w:val="single" w:sz="8" w:space="0" w:color="000000"/>
            </w:tcBorders>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 xml:space="preserve">Título </w:t>
            </w:r>
          </w:p>
        </w:tc>
        <w:tc>
          <w:tcPr>
            <w:tcW w:w="5974" w:type="dxa"/>
            <w:tcBorders>
              <w:top w:val="single" w:sz="8" w:space="0" w:color="000000"/>
              <w:left w:val="single" w:sz="8" w:space="0" w:color="000000"/>
              <w:bottom w:val="single" w:sz="18" w:space="0" w:color="000000"/>
              <w:right w:val="single" w:sz="8" w:space="0" w:color="000000"/>
            </w:tcBorders>
          </w:tcPr>
          <w:p w:rsidR="004B1E26" w:rsidRPr="00AC1FD5" w:rsidRDefault="001D79C8">
            <w:pPr>
              <w:spacing w:line="276" w:lineRule="auto"/>
              <w:jc w:val="center"/>
              <w:rPr>
                <w:rFonts w:ascii="Arial" w:hAnsi="Arial" w:cs="Arial"/>
                <w:sz w:val="22"/>
                <w:szCs w:val="22"/>
              </w:rPr>
            </w:pPr>
            <w:r w:rsidRPr="00AC1FD5">
              <w:rPr>
                <w:rFonts w:ascii="Arial" w:hAnsi="Arial" w:cs="Arial"/>
                <w:b/>
                <w:sz w:val="22"/>
                <w:szCs w:val="22"/>
              </w:rPr>
              <w:t>Emisión por consumo de electricidad</w:t>
            </w:r>
          </w:p>
        </w:tc>
      </w:tr>
      <w:tr w:rsidR="004B1E26" w:rsidRPr="00AC1FD5">
        <w:trPr>
          <w:jc w:val="center"/>
        </w:trPr>
        <w:tc>
          <w:tcPr>
            <w:tcW w:w="2888"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 xml:space="preserve">Tipo de emisión </w:t>
            </w:r>
          </w:p>
        </w:tc>
        <w:tc>
          <w:tcPr>
            <w:tcW w:w="5974"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jc w:val="center"/>
              <w:rPr>
                <w:rFonts w:ascii="Arial" w:hAnsi="Arial" w:cs="Arial"/>
                <w:sz w:val="22"/>
                <w:szCs w:val="22"/>
              </w:rPr>
            </w:pPr>
            <w:r w:rsidRPr="00AC1FD5">
              <w:rPr>
                <w:rFonts w:ascii="Arial" w:hAnsi="Arial" w:cs="Arial"/>
                <w:sz w:val="22"/>
                <w:szCs w:val="22"/>
              </w:rPr>
              <w:t>Emisión indirecta / Alcance 2</w:t>
            </w:r>
          </w:p>
        </w:tc>
      </w:tr>
      <w:tr w:rsidR="004B1E26" w:rsidRPr="00AC1FD5">
        <w:trPr>
          <w:jc w:val="center"/>
        </w:trPr>
        <w:tc>
          <w:tcPr>
            <w:tcW w:w="2888"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Fórmula de cálculo</w:t>
            </w:r>
          </w:p>
        </w:tc>
        <w:tc>
          <w:tcPr>
            <w:tcW w:w="5974"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jc w:val="center"/>
              <w:rPr>
                <w:rFonts w:ascii="Arial" w:hAnsi="Arial" w:cs="Arial"/>
                <w:sz w:val="22"/>
                <w:szCs w:val="22"/>
              </w:rPr>
            </w:pPr>
            <w:r w:rsidRPr="00AC1FD5">
              <w:rPr>
                <w:rFonts w:ascii="Arial" w:hAnsi="Arial" w:cs="Arial"/>
                <w:sz w:val="22"/>
                <w:szCs w:val="22"/>
              </w:rPr>
              <w:t>Q mensual kWh * FE tCO</w:t>
            </w:r>
            <w:r w:rsidRPr="00AC1FD5">
              <w:rPr>
                <w:rFonts w:ascii="Arial" w:hAnsi="Arial" w:cs="Arial"/>
                <w:sz w:val="22"/>
                <w:szCs w:val="22"/>
                <w:vertAlign w:val="subscript"/>
              </w:rPr>
              <w:t>2</w:t>
            </w:r>
            <w:r w:rsidRPr="00AC1FD5">
              <w:rPr>
                <w:rFonts w:ascii="Arial" w:hAnsi="Arial" w:cs="Arial"/>
                <w:sz w:val="22"/>
                <w:szCs w:val="22"/>
              </w:rPr>
              <w:t xml:space="preserve"> * PCG CO</w:t>
            </w:r>
            <w:r w:rsidRPr="00AC1FD5">
              <w:rPr>
                <w:rFonts w:ascii="Arial" w:hAnsi="Arial" w:cs="Arial"/>
                <w:sz w:val="22"/>
                <w:szCs w:val="22"/>
                <w:vertAlign w:val="subscript"/>
              </w:rPr>
              <w:t>2</w:t>
            </w:r>
            <w:r w:rsidRPr="00AC1FD5">
              <w:rPr>
                <w:rFonts w:ascii="Arial" w:hAnsi="Arial" w:cs="Arial"/>
                <w:sz w:val="22"/>
                <w:szCs w:val="22"/>
              </w:rPr>
              <w:t xml:space="preserve"> = tCO</w:t>
            </w:r>
            <w:r w:rsidRPr="00AC1FD5">
              <w:rPr>
                <w:rFonts w:ascii="Arial" w:hAnsi="Arial" w:cs="Arial"/>
                <w:sz w:val="22"/>
                <w:szCs w:val="22"/>
                <w:vertAlign w:val="subscript"/>
              </w:rPr>
              <w:t>2</w:t>
            </w:r>
            <w:r w:rsidRPr="00AC1FD5">
              <w:rPr>
                <w:rFonts w:ascii="Arial" w:hAnsi="Arial" w:cs="Arial"/>
                <w:sz w:val="22"/>
                <w:szCs w:val="22"/>
              </w:rPr>
              <w:t>e</w:t>
            </w:r>
          </w:p>
        </w:tc>
      </w:tr>
      <w:tr w:rsidR="004B1E26" w:rsidRPr="00AC1FD5">
        <w:trPr>
          <w:jc w:val="center"/>
        </w:trPr>
        <w:tc>
          <w:tcPr>
            <w:tcW w:w="2888"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Fuente</w:t>
            </w:r>
          </w:p>
        </w:tc>
        <w:tc>
          <w:tcPr>
            <w:tcW w:w="5974"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jc w:val="center"/>
              <w:rPr>
                <w:rFonts w:ascii="Arial" w:hAnsi="Arial" w:cs="Arial"/>
                <w:sz w:val="22"/>
                <w:szCs w:val="22"/>
              </w:rPr>
            </w:pPr>
            <w:r w:rsidRPr="00AC1FD5">
              <w:rPr>
                <w:rFonts w:ascii="Arial" w:hAnsi="Arial" w:cs="Arial"/>
                <w:sz w:val="22"/>
                <w:szCs w:val="22"/>
              </w:rPr>
              <w:t>Instituto Meteorológico Nacional (FE según periodo)</w:t>
            </w:r>
          </w:p>
        </w:tc>
      </w:tr>
      <w:tr w:rsidR="004B1E26" w:rsidRPr="00AC1FD5">
        <w:trPr>
          <w:jc w:val="center"/>
        </w:trPr>
        <w:tc>
          <w:tcPr>
            <w:tcW w:w="2888"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rPr>
                <w:rFonts w:ascii="Arial" w:hAnsi="Arial" w:cs="Arial"/>
                <w:sz w:val="22"/>
                <w:szCs w:val="22"/>
              </w:rPr>
            </w:pPr>
            <w:r w:rsidRPr="00AC1FD5">
              <w:rPr>
                <w:rFonts w:ascii="Arial" w:hAnsi="Arial" w:cs="Arial"/>
                <w:b/>
                <w:sz w:val="22"/>
                <w:szCs w:val="22"/>
              </w:rPr>
              <w:t>Herramienta de cálculo</w:t>
            </w:r>
          </w:p>
        </w:tc>
        <w:tc>
          <w:tcPr>
            <w:tcW w:w="5974"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jc w:val="center"/>
              <w:rPr>
                <w:rFonts w:ascii="Arial" w:hAnsi="Arial" w:cs="Arial"/>
                <w:sz w:val="22"/>
                <w:szCs w:val="22"/>
              </w:rPr>
            </w:pPr>
            <w:r w:rsidRPr="00AC1FD5">
              <w:rPr>
                <w:rFonts w:ascii="Arial" w:hAnsi="Arial" w:cs="Arial"/>
                <w:sz w:val="22"/>
                <w:szCs w:val="22"/>
              </w:rPr>
              <w:t xml:space="preserve">Excel </w:t>
            </w:r>
          </w:p>
        </w:tc>
      </w:tr>
    </w:tbl>
    <w:p w:rsidR="004B1E26" w:rsidRPr="00AC1FD5" w:rsidRDefault="001D79C8">
      <w:pPr>
        <w:spacing w:line="276" w:lineRule="auto"/>
        <w:ind w:left="992" w:hanging="567"/>
        <w:rPr>
          <w:rFonts w:ascii="Arial" w:hAnsi="Arial" w:cs="Arial"/>
          <w:sz w:val="22"/>
          <w:szCs w:val="22"/>
        </w:rPr>
      </w:pPr>
      <w:r w:rsidRPr="00AC1FD5">
        <w:rPr>
          <w:rFonts w:ascii="Arial" w:hAnsi="Arial" w:cs="Arial"/>
          <w:b/>
          <w:sz w:val="22"/>
          <w:szCs w:val="22"/>
        </w:rPr>
        <w:t xml:space="preserve">Nota 1: </w:t>
      </w:r>
      <w:r w:rsidRPr="00AC1FD5">
        <w:rPr>
          <w:rFonts w:ascii="Arial" w:hAnsi="Arial" w:cs="Arial"/>
          <w:sz w:val="22"/>
          <w:szCs w:val="22"/>
        </w:rPr>
        <w:t>Q = Cantidad / kWh = kilovatio hora / PCG = Potencial de calentamiento global / tCO</w:t>
      </w:r>
      <w:r w:rsidRPr="00AC1FD5">
        <w:rPr>
          <w:rFonts w:ascii="Arial" w:hAnsi="Arial" w:cs="Arial"/>
          <w:sz w:val="22"/>
          <w:szCs w:val="22"/>
          <w:vertAlign w:val="subscript"/>
        </w:rPr>
        <w:t>2</w:t>
      </w:r>
      <w:r w:rsidRPr="00AC1FD5">
        <w:rPr>
          <w:rFonts w:ascii="Arial" w:hAnsi="Arial" w:cs="Arial"/>
          <w:sz w:val="22"/>
          <w:szCs w:val="22"/>
        </w:rPr>
        <w:t xml:space="preserve"> = Toneladas de dióxido de carbono / * = signo de multiplicación</w:t>
      </w:r>
    </w:p>
    <w:p w:rsidR="004B1E26" w:rsidRPr="00AC1FD5" w:rsidRDefault="001D79C8">
      <w:pPr>
        <w:spacing w:line="276" w:lineRule="auto"/>
        <w:ind w:left="992" w:hanging="567"/>
        <w:rPr>
          <w:rFonts w:ascii="Arial" w:hAnsi="Arial" w:cs="Arial"/>
          <w:sz w:val="22"/>
          <w:szCs w:val="22"/>
        </w:rPr>
      </w:pPr>
      <w:r w:rsidRPr="00AC1FD5">
        <w:rPr>
          <w:rFonts w:ascii="Arial" w:hAnsi="Arial" w:cs="Arial"/>
          <w:b/>
          <w:sz w:val="22"/>
          <w:szCs w:val="22"/>
        </w:rPr>
        <w:t>Nota 2:</w:t>
      </w:r>
      <w:r w:rsidRPr="00AC1FD5">
        <w:rPr>
          <w:rFonts w:ascii="Arial" w:hAnsi="Arial" w:cs="Arial"/>
          <w:sz w:val="22"/>
          <w:szCs w:val="22"/>
        </w:rPr>
        <w:t xml:space="preserve"> El factor de emisión para electricidad debe corresponder al periodo específico de inventario. Cada nueva edición del IMN tiene el factor del año anterior por lo que se debe justificar de esta forma si se presenta el informe antes de tener el factor de emisión correspondiente. </w:t>
      </w:r>
    </w:p>
    <w:p w:rsidR="004B1E26" w:rsidRPr="00AC1FD5" w:rsidRDefault="004B1E26">
      <w:pPr>
        <w:spacing w:line="276" w:lineRule="auto"/>
        <w:ind w:left="992" w:hanging="567"/>
        <w:rPr>
          <w:rFonts w:ascii="Arial" w:hAnsi="Arial" w:cs="Arial"/>
          <w:sz w:val="22"/>
          <w:szCs w:val="22"/>
        </w:rPr>
      </w:pPr>
    </w:p>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color w:val="000000"/>
          <w:sz w:val="22"/>
          <w:szCs w:val="22"/>
        </w:rPr>
        <w:t xml:space="preserve">El consumo mensual se mide según la facturación emitida por el proveedor, quien es el responsable de la calibración de los medidores, la cual se solicitará una vez al año por parte del </w:t>
      </w:r>
      <w:r w:rsidRPr="00AC1FD5">
        <w:rPr>
          <w:rFonts w:ascii="Arial" w:eastAsia="Arial" w:hAnsi="Arial" w:cs="Arial"/>
          <w:sz w:val="22"/>
          <w:szCs w:val="22"/>
        </w:rPr>
        <w:t>Coordinador del proceso.</w:t>
      </w:r>
    </w:p>
    <w:p w:rsidR="004B1E26" w:rsidRPr="00AC1FD5" w:rsidRDefault="004B1E26">
      <w:pPr>
        <w:spacing w:line="276" w:lineRule="auto"/>
        <w:ind w:left="360"/>
        <w:rPr>
          <w:rFonts w:ascii="Arial" w:eastAsia="Arial" w:hAnsi="Arial" w:cs="Arial"/>
          <w:color w:val="000000"/>
          <w:sz w:val="22"/>
          <w:szCs w:val="22"/>
        </w:rPr>
      </w:pPr>
    </w:p>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b/>
          <w:sz w:val="22"/>
          <w:szCs w:val="22"/>
        </w:rPr>
        <w:t>GASES REFRIGERANTES POR AIRES ACONDICIONADOS</w:t>
      </w:r>
    </w:p>
    <w:p w:rsidR="004B1E26" w:rsidRPr="00AC1FD5" w:rsidRDefault="004B1E26">
      <w:pPr>
        <w:spacing w:line="276" w:lineRule="auto"/>
        <w:rPr>
          <w:rFonts w:ascii="Arial" w:eastAsia="Arial" w:hAnsi="Arial" w:cs="Arial"/>
          <w:sz w:val="22"/>
          <w:szCs w:val="22"/>
        </w:rPr>
      </w:pPr>
    </w:p>
    <w:p w:rsidR="004B1E26" w:rsidRPr="00AC1FD5" w:rsidRDefault="001D79C8" w:rsidP="00CE07D9">
      <w:pPr>
        <w:spacing w:line="276" w:lineRule="auto"/>
        <w:jc w:val="both"/>
        <w:rPr>
          <w:rFonts w:ascii="Arial" w:eastAsia="Arial" w:hAnsi="Arial" w:cs="Arial"/>
          <w:color w:val="000000"/>
          <w:sz w:val="22"/>
          <w:szCs w:val="22"/>
        </w:rPr>
      </w:pPr>
      <w:r w:rsidRPr="00AC1FD5">
        <w:rPr>
          <w:rFonts w:ascii="Arial" w:eastAsia="Arial" w:hAnsi="Arial" w:cs="Arial"/>
          <w:color w:val="000000"/>
          <w:sz w:val="22"/>
          <w:szCs w:val="22"/>
        </w:rPr>
        <w:t xml:space="preserve">La Asamblea Legislativa de Costa Rica cuenta con 220 unidades de equipos de aire acondicionado, los cuales consumen gases refrigerantes tipo </w:t>
      </w:r>
      <w:r w:rsidRPr="00AC1FD5">
        <w:rPr>
          <w:rFonts w:ascii="Arial" w:eastAsia="Arial" w:hAnsi="Arial" w:cs="Arial"/>
          <w:b/>
          <w:color w:val="000000"/>
          <w:sz w:val="22"/>
          <w:szCs w:val="22"/>
        </w:rPr>
        <w:t>R410a y R22</w:t>
      </w:r>
      <w:r w:rsidRPr="00AC1FD5">
        <w:rPr>
          <w:rFonts w:ascii="Arial" w:eastAsia="Arial" w:hAnsi="Arial" w:cs="Arial"/>
          <w:color w:val="000000"/>
          <w:sz w:val="22"/>
          <w:szCs w:val="22"/>
        </w:rPr>
        <w:t xml:space="preserve">. </w:t>
      </w:r>
      <w:r w:rsidRPr="00AC1FD5">
        <w:rPr>
          <w:rFonts w:ascii="Arial" w:eastAsia="Arial" w:hAnsi="Arial" w:cs="Arial"/>
          <w:sz w:val="22"/>
          <w:szCs w:val="22"/>
        </w:rPr>
        <w:t xml:space="preserve">El mantenimiento, así como las recargas son efectuadas por el proveedor del servicio. </w:t>
      </w:r>
      <w:r w:rsidR="00CE07D9" w:rsidRPr="00AC1FD5">
        <w:rPr>
          <w:rFonts w:ascii="Arial" w:eastAsia="Arial" w:hAnsi="Arial" w:cs="Arial"/>
          <w:color w:val="000000"/>
          <w:sz w:val="22"/>
          <w:szCs w:val="22"/>
        </w:rPr>
        <w:t xml:space="preserve">Para el año 2016 no existe un registro del mantenimiento de los equipos, por lo que no se cuenta con facturas, por lo que se realizó un cálculo basado en un procedimiento establecido por el IPCC. Se recomienda mejorar este sistema en sinergia con el departamento de mantenimiento. </w:t>
      </w:r>
    </w:p>
    <w:p w:rsidR="004B1E26" w:rsidRPr="00AC1FD5" w:rsidRDefault="004B1E26">
      <w:pPr>
        <w:spacing w:line="276" w:lineRule="auto"/>
        <w:jc w:val="both"/>
        <w:rPr>
          <w:rFonts w:ascii="Arial" w:eastAsia="Arial" w:hAnsi="Arial" w:cs="Arial"/>
          <w:color w:val="000000"/>
          <w:sz w:val="22"/>
          <w:szCs w:val="22"/>
        </w:rPr>
      </w:pPr>
    </w:p>
    <w:p w:rsidR="004B1E26" w:rsidRPr="00AC1FD5" w:rsidRDefault="001D79C8">
      <w:pPr>
        <w:spacing w:line="276" w:lineRule="auto"/>
        <w:jc w:val="both"/>
        <w:rPr>
          <w:rFonts w:ascii="Arial" w:eastAsia="Arial" w:hAnsi="Arial" w:cs="Arial"/>
          <w:color w:val="000000"/>
          <w:sz w:val="22"/>
          <w:szCs w:val="22"/>
        </w:rPr>
      </w:pPr>
      <w:r w:rsidRPr="00AC1FD5">
        <w:rPr>
          <w:rFonts w:ascii="Arial" w:eastAsia="Arial" w:hAnsi="Arial" w:cs="Arial"/>
          <w:color w:val="000000"/>
          <w:sz w:val="22"/>
          <w:szCs w:val="22"/>
        </w:rPr>
        <w:t xml:space="preserve">Para realizar el </w:t>
      </w:r>
      <w:r w:rsidRPr="00AC1FD5">
        <w:rPr>
          <w:rFonts w:ascii="Arial" w:eastAsia="Arial" w:hAnsi="Arial" w:cs="Arial"/>
          <w:sz w:val="22"/>
          <w:szCs w:val="22"/>
        </w:rPr>
        <w:t>cálculo</w:t>
      </w:r>
      <w:r w:rsidRPr="00AC1FD5">
        <w:rPr>
          <w:rFonts w:ascii="Arial" w:eastAsia="Arial" w:hAnsi="Arial" w:cs="Arial"/>
          <w:color w:val="000000"/>
          <w:sz w:val="22"/>
          <w:szCs w:val="22"/>
        </w:rPr>
        <w:t xml:space="preserve"> de emisión de esta fuente se partió del supuesto de que existen en promedio 0,00007 kilogramos de refrigerante por cada unidad de BTU (British Thermal Units) de los equipos. Esto es un </w:t>
      </w:r>
      <w:r w:rsidRPr="00AC1FD5">
        <w:rPr>
          <w:rFonts w:ascii="Arial" w:eastAsia="Arial" w:hAnsi="Arial" w:cs="Arial"/>
          <w:sz w:val="22"/>
          <w:szCs w:val="22"/>
        </w:rPr>
        <w:t>cálculo</w:t>
      </w:r>
      <w:r w:rsidRPr="00AC1FD5">
        <w:rPr>
          <w:rFonts w:ascii="Arial" w:eastAsia="Arial" w:hAnsi="Arial" w:cs="Arial"/>
          <w:color w:val="000000"/>
          <w:sz w:val="22"/>
          <w:szCs w:val="22"/>
        </w:rPr>
        <w:t xml:space="preserve"> empírico de este inventario, ya que el dato inicial está dado en la capacidad de BTU de cada equipo, se notó la relación que existe entre este dato y los kilogramos de refrigerante que necesita. Posteriormente se multiplicó el dato de BTU por los 0,00007 kg para conocer la carga aproximada de cada uno (se puede ver en detalle en el registro de </w:t>
      </w:r>
      <w:r w:rsidRPr="00AC1FD5">
        <w:rPr>
          <w:rFonts w:ascii="Arial" w:eastAsia="Arial" w:hAnsi="Arial" w:cs="Arial"/>
          <w:sz w:val="22"/>
          <w:szCs w:val="22"/>
        </w:rPr>
        <w:t>cuantificación</w:t>
      </w:r>
      <w:r w:rsidRPr="00AC1FD5">
        <w:rPr>
          <w:rFonts w:ascii="Arial" w:eastAsia="Arial" w:hAnsi="Arial" w:cs="Arial"/>
          <w:color w:val="000000"/>
          <w:sz w:val="22"/>
          <w:szCs w:val="22"/>
        </w:rPr>
        <w:t xml:space="preserve"> de emisiones de GEI, específicamente en el apartado de refrigerantes, RCN-01). </w:t>
      </w:r>
    </w:p>
    <w:p w:rsidR="004B1E26" w:rsidRPr="00AC1FD5" w:rsidRDefault="004B1E26">
      <w:pPr>
        <w:spacing w:line="276" w:lineRule="auto"/>
        <w:jc w:val="both"/>
        <w:rPr>
          <w:rFonts w:ascii="Arial" w:eastAsia="Arial" w:hAnsi="Arial" w:cs="Arial"/>
          <w:color w:val="000000"/>
          <w:sz w:val="22"/>
          <w:szCs w:val="22"/>
        </w:rPr>
      </w:pPr>
    </w:p>
    <w:p w:rsidR="004B1E26" w:rsidRPr="00AC1FD5" w:rsidRDefault="001D79C8">
      <w:pPr>
        <w:spacing w:line="276" w:lineRule="auto"/>
        <w:jc w:val="both"/>
        <w:rPr>
          <w:rFonts w:ascii="Arial" w:eastAsia="Arial" w:hAnsi="Arial" w:cs="Arial"/>
          <w:color w:val="000000"/>
          <w:sz w:val="22"/>
          <w:szCs w:val="22"/>
        </w:rPr>
      </w:pPr>
      <w:r w:rsidRPr="00AC1FD5">
        <w:rPr>
          <w:rFonts w:ascii="Arial" w:eastAsia="Arial" w:hAnsi="Arial" w:cs="Arial"/>
          <w:color w:val="000000"/>
          <w:sz w:val="22"/>
          <w:szCs w:val="22"/>
        </w:rPr>
        <w:lastRenderedPageBreak/>
        <w:t xml:space="preserve">Con la suma de las cargas se utilizó un procedimiento de IPCC (directrices del IPCC de 2006, volumen 3 </w:t>
      </w:r>
      <w:r w:rsidRPr="00AC1FD5">
        <w:rPr>
          <w:rFonts w:ascii="Arial" w:eastAsia="Arial" w:hAnsi="Arial" w:cs="Arial"/>
          <w:sz w:val="22"/>
          <w:szCs w:val="22"/>
        </w:rPr>
        <w:t>capítulo</w:t>
      </w:r>
      <w:r w:rsidRPr="00AC1FD5">
        <w:rPr>
          <w:rFonts w:ascii="Arial" w:eastAsia="Arial" w:hAnsi="Arial" w:cs="Arial"/>
          <w:color w:val="000000"/>
          <w:sz w:val="22"/>
          <w:szCs w:val="22"/>
        </w:rPr>
        <w:t xml:space="preserve"> 7) para calcular la emisión por fugas del equipo durante un año, se describe la </w:t>
      </w:r>
      <w:r w:rsidRPr="00AC1FD5">
        <w:rPr>
          <w:rFonts w:ascii="Arial" w:eastAsia="Arial" w:hAnsi="Arial" w:cs="Arial"/>
          <w:sz w:val="22"/>
          <w:szCs w:val="22"/>
        </w:rPr>
        <w:t>fórmula</w:t>
      </w:r>
      <w:r w:rsidRPr="00AC1FD5">
        <w:rPr>
          <w:rFonts w:ascii="Arial" w:eastAsia="Arial" w:hAnsi="Arial" w:cs="Arial"/>
          <w:color w:val="000000"/>
          <w:sz w:val="22"/>
          <w:szCs w:val="22"/>
        </w:rPr>
        <w:t xml:space="preserve"> a continuación: </w:t>
      </w:r>
    </w:p>
    <w:p w:rsidR="004B1E26" w:rsidRPr="00AC1FD5" w:rsidRDefault="004B1E26">
      <w:pPr>
        <w:spacing w:line="276" w:lineRule="auto"/>
        <w:jc w:val="both"/>
        <w:rPr>
          <w:rFonts w:ascii="Arial" w:eastAsia="Arial" w:hAnsi="Arial" w:cs="Arial"/>
          <w:color w:val="000000"/>
          <w:sz w:val="22"/>
          <w:szCs w:val="22"/>
        </w:rPr>
      </w:pPr>
    </w:p>
    <w:p w:rsidR="004B1E26" w:rsidRPr="00AC1FD5" w:rsidRDefault="001D79C8">
      <w:pPr>
        <w:spacing w:line="276" w:lineRule="auto"/>
        <w:jc w:val="both"/>
        <w:rPr>
          <w:rFonts w:ascii="Arial" w:hAnsi="Arial" w:cs="Arial"/>
        </w:rPr>
      </w:pPr>
      <w:r w:rsidRPr="00AC1FD5">
        <w:rPr>
          <w:rFonts w:ascii="Arial" w:hAnsi="Arial" w:cs="Arial"/>
        </w:rPr>
        <w:t xml:space="preserve">                                           </w:t>
      </w:r>
      <w:r w:rsidRPr="00AC1FD5">
        <w:rPr>
          <w:rFonts w:ascii="Arial" w:hAnsi="Arial" w:cs="Arial"/>
          <w:noProof/>
          <w:lang w:val="en-US"/>
        </w:rPr>
        <w:drawing>
          <wp:inline distT="0" distB="0" distL="114300" distR="114300">
            <wp:extent cx="904875" cy="314325"/>
            <wp:effectExtent l="0" t="0" r="0" b="0"/>
            <wp:docPr id="1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a:srcRect/>
                    <a:stretch>
                      <a:fillRect/>
                    </a:stretch>
                  </pic:blipFill>
                  <pic:spPr>
                    <a:xfrm>
                      <a:off x="0" y="0"/>
                      <a:ext cx="904875" cy="314325"/>
                    </a:xfrm>
                    <a:prstGeom prst="rect">
                      <a:avLst/>
                    </a:prstGeom>
                    <a:ln/>
                  </pic:spPr>
                </pic:pic>
              </a:graphicData>
            </a:graphic>
          </wp:inline>
        </w:drawing>
      </w:r>
    </w:p>
    <w:p w:rsidR="004B1E26" w:rsidRPr="00AC1FD5" w:rsidRDefault="001D79C8">
      <w:pPr>
        <w:spacing w:line="276" w:lineRule="auto"/>
        <w:jc w:val="both"/>
        <w:rPr>
          <w:rFonts w:ascii="Arial" w:eastAsia="Arial" w:hAnsi="Arial" w:cs="Arial"/>
          <w:color w:val="000000"/>
          <w:sz w:val="22"/>
          <w:szCs w:val="22"/>
        </w:rPr>
      </w:pPr>
      <w:r w:rsidRPr="00AC1FD5">
        <w:rPr>
          <w:rFonts w:ascii="Arial" w:eastAsia="Arial" w:hAnsi="Arial" w:cs="Arial"/>
          <w:color w:val="000000"/>
          <w:sz w:val="22"/>
          <w:szCs w:val="22"/>
        </w:rPr>
        <w:t xml:space="preserve">E </w:t>
      </w:r>
      <w:r w:rsidRPr="00AC1FD5">
        <w:rPr>
          <w:rFonts w:ascii="Arial" w:eastAsia="Arial" w:hAnsi="Arial" w:cs="Arial"/>
          <w:color w:val="000000"/>
          <w:sz w:val="22"/>
          <w:szCs w:val="22"/>
          <w:vertAlign w:val="subscript"/>
        </w:rPr>
        <w:t xml:space="preserve">vida útil </w:t>
      </w:r>
      <w:r w:rsidRPr="00AC1FD5">
        <w:rPr>
          <w:rFonts w:ascii="Arial" w:eastAsia="Arial" w:hAnsi="Arial" w:cs="Arial"/>
          <w:color w:val="000000"/>
          <w:sz w:val="22"/>
          <w:szCs w:val="22"/>
        </w:rPr>
        <w:t>= cantidad de refrigerante emitido durante la operación del sistema en el año, kg.</w:t>
      </w:r>
    </w:p>
    <w:p w:rsidR="004B1E26" w:rsidRPr="00AC1FD5" w:rsidRDefault="001D79C8">
      <w:pPr>
        <w:spacing w:line="276" w:lineRule="auto"/>
        <w:jc w:val="both"/>
        <w:rPr>
          <w:rFonts w:ascii="Arial" w:eastAsia="Arial" w:hAnsi="Arial" w:cs="Arial"/>
          <w:color w:val="000000"/>
          <w:sz w:val="22"/>
          <w:szCs w:val="22"/>
        </w:rPr>
      </w:pPr>
      <w:r w:rsidRPr="00AC1FD5">
        <w:rPr>
          <w:rFonts w:ascii="Arial" w:eastAsia="Arial" w:hAnsi="Arial" w:cs="Arial"/>
          <w:color w:val="000000"/>
          <w:sz w:val="22"/>
          <w:szCs w:val="22"/>
        </w:rPr>
        <w:t>B</w:t>
      </w:r>
      <w:r w:rsidRPr="00AC1FD5">
        <w:rPr>
          <w:rFonts w:ascii="Arial" w:eastAsia="Arial" w:hAnsi="Arial" w:cs="Arial"/>
          <w:color w:val="000000"/>
          <w:sz w:val="22"/>
          <w:szCs w:val="22"/>
          <w:vertAlign w:val="subscript"/>
        </w:rPr>
        <w:t xml:space="preserve">t </w:t>
      </w:r>
      <w:r w:rsidRPr="00AC1FD5">
        <w:rPr>
          <w:rFonts w:ascii="Arial" w:eastAsia="Arial" w:hAnsi="Arial" w:cs="Arial"/>
          <w:color w:val="000000"/>
          <w:sz w:val="22"/>
          <w:szCs w:val="22"/>
        </w:rPr>
        <w:t>= cantidad de refrigerante confinado en bancos de equipos existentes en el año, kg.</w:t>
      </w:r>
    </w:p>
    <w:p w:rsidR="004B1E26" w:rsidRPr="00AC1FD5" w:rsidRDefault="001D79C8">
      <w:pPr>
        <w:spacing w:line="276" w:lineRule="auto"/>
        <w:jc w:val="both"/>
        <w:rPr>
          <w:rFonts w:ascii="Arial" w:eastAsia="Arial" w:hAnsi="Arial" w:cs="Arial"/>
          <w:color w:val="000000"/>
          <w:sz w:val="22"/>
          <w:szCs w:val="22"/>
        </w:rPr>
      </w:pPr>
      <w:r w:rsidRPr="00AC1FD5">
        <w:rPr>
          <w:rFonts w:ascii="Arial" w:eastAsia="Arial" w:hAnsi="Arial" w:cs="Arial"/>
          <w:color w:val="000000"/>
          <w:sz w:val="22"/>
          <w:szCs w:val="22"/>
        </w:rPr>
        <w:t xml:space="preserve">X = factor de emisión anual del refrigerante de cada banco durante el tiempo de operación que da cuenta de fugas y emisiones anuales promedio durante el mantenimiento, porcentaje. </w:t>
      </w:r>
    </w:p>
    <w:p w:rsidR="004B1E26" w:rsidRPr="00AC1FD5" w:rsidRDefault="004B1E26">
      <w:pPr>
        <w:spacing w:line="276" w:lineRule="auto"/>
        <w:jc w:val="both"/>
        <w:rPr>
          <w:rFonts w:ascii="Arial" w:eastAsia="Arial" w:hAnsi="Arial" w:cs="Arial"/>
          <w:color w:val="000000"/>
          <w:sz w:val="22"/>
          <w:szCs w:val="22"/>
        </w:rPr>
      </w:pPr>
    </w:p>
    <w:p w:rsidR="004B1E26" w:rsidRPr="00AC1FD5" w:rsidRDefault="001D79C8">
      <w:pPr>
        <w:spacing w:line="276" w:lineRule="auto"/>
        <w:jc w:val="both"/>
        <w:rPr>
          <w:rFonts w:ascii="Arial" w:eastAsia="Arial" w:hAnsi="Arial" w:cs="Arial"/>
          <w:color w:val="000000"/>
          <w:sz w:val="22"/>
          <w:szCs w:val="22"/>
        </w:rPr>
      </w:pPr>
      <w:r w:rsidRPr="00AC1FD5">
        <w:rPr>
          <w:rFonts w:ascii="Arial" w:eastAsia="Arial" w:hAnsi="Arial" w:cs="Arial"/>
          <w:color w:val="000000"/>
          <w:sz w:val="22"/>
          <w:szCs w:val="22"/>
        </w:rPr>
        <w:t xml:space="preserve">Los datos de factor de emisión se tomaron del cuadro 7.9 de las directrices del IPCC 2006, volumen 3 </w:t>
      </w:r>
      <w:r w:rsidRPr="00AC1FD5">
        <w:rPr>
          <w:rFonts w:ascii="Arial" w:eastAsia="Arial" w:hAnsi="Arial" w:cs="Arial"/>
          <w:sz w:val="22"/>
          <w:szCs w:val="22"/>
        </w:rPr>
        <w:t>capítulo</w:t>
      </w:r>
      <w:r w:rsidRPr="00AC1FD5">
        <w:rPr>
          <w:rFonts w:ascii="Arial" w:eastAsia="Arial" w:hAnsi="Arial" w:cs="Arial"/>
          <w:color w:val="000000"/>
          <w:sz w:val="22"/>
          <w:szCs w:val="22"/>
        </w:rPr>
        <w:t xml:space="preserve"> 7 (Anexo 1).</w:t>
      </w:r>
    </w:p>
    <w:p w:rsidR="004B1E26" w:rsidRPr="00AC1FD5" w:rsidRDefault="004B1E26">
      <w:pPr>
        <w:spacing w:line="276" w:lineRule="auto"/>
        <w:jc w:val="both"/>
        <w:rPr>
          <w:rFonts w:ascii="Arial" w:eastAsia="Arial" w:hAnsi="Arial" w:cs="Arial"/>
          <w:color w:val="000000"/>
          <w:sz w:val="22"/>
          <w:szCs w:val="22"/>
        </w:rPr>
      </w:pPr>
    </w:p>
    <w:p w:rsidR="004B1E26" w:rsidRPr="00AC1FD5" w:rsidRDefault="001D79C8">
      <w:pPr>
        <w:spacing w:line="276" w:lineRule="auto"/>
        <w:jc w:val="both"/>
        <w:rPr>
          <w:rFonts w:ascii="Arial" w:eastAsia="Arial" w:hAnsi="Arial" w:cs="Arial"/>
          <w:color w:val="000000"/>
          <w:sz w:val="22"/>
          <w:szCs w:val="22"/>
        </w:rPr>
      </w:pPr>
      <w:r w:rsidRPr="00AC1FD5">
        <w:rPr>
          <w:rFonts w:ascii="Arial" w:eastAsia="Arial" w:hAnsi="Arial" w:cs="Arial"/>
          <w:color w:val="000000"/>
          <w:sz w:val="22"/>
          <w:szCs w:val="22"/>
        </w:rPr>
        <w:t>Finalmente, la emisión obtenida es multiplicada por los potenciales de calentamiento global (PCG) citados a continuación:</w:t>
      </w:r>
    </w:p>
    <w:p w:rsidR="004B1E26" w:rsidRPr="00AC1FD5" w:rsidRDefault="004B1E26">
      <w:pPr>
        <w:spacing w:line="276" w:lineRule="auto"/>
        <w:jc w:val="both"/>
        <w:rPr>
          <w:rFonts w:ascii="Arial" w:eastAsia="Arial" w:hAnsi="Arial" w:cs="Arial"/>
          <w:color w:val="000000"/>
          <w:sz w:val="22"/>
          <w:szCs w:val="22"/>
        </w:rPr>
      </w:pPr>
    </w:p>
    <w:p w:rsidR="004B1E26" w:rsidRPr="00AC1FD5" w:rsidRDefault="001D79C8">
      <w:pPr>
        <w:spacing w:after="200" w:line="276" w:lineRule="auto"/>
        <w:jc w:val="both"/>
        <w:rPr>
          <w:rFonts w:ascii="Arial" w:eastAsia="Arial" w:hAnsi="Arial" w:cs="Arial"/>
          <w:color w:val="000000"/>
          <w:sz w:val="22"/>
          <w:szCs w:val="22"/>
        </w:rPr>
      </w:pPr>
      <w:r w:rsidRPr="00AC1FD5">
        <w:rPr>
          <w:rFonts w:ascii="Arial" w:eastAsia="Arial" w:hAnsi="Arial" w:cs="Arial"/>
          <w:color w:val="000000"/>
          <w:sz w:val="22"/>
          <w:szCs w:val="22"/>
        </w:rPr>
        <w:t xml:space="preserve">                  </w:t>
      </w:r>
      <w:r w:rsidRPr="00AC1FD5">
        <w:rPr>
          <w:rFonts w:ascii="Arial" w:eastAsia="Arial" w:hAnsi="Arial" w:cs="Arial"/>
          <w:color w:val="002060"/>
          <w:sz w:val="22"/>
          <w:szCs w:val="22"/>
        </w:rPr>
        <w:t>Método de cálculo de emisiones por gases refrigerantes de oficinas</w:t>
      </w:r>
    </w:p>
    <w:tbl>
      <w:tblPr>
        <w:tblStyle w:val="a7"/>
        <w:tblW w:w="572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02"/>
        <w:gridCol w:w="1777"/>
        <w:gridCol w:w="1088"/>
        <w:gridCol w:w="1158"/>
      </w:tblGrid>
      <w:tr w:rsidR="004B1E26" w:rsidRPr="00AC1FD5">
        <w:trPr>
          <w:trHeight w:val="80"/>
          <w:jc w:val="center"/>
        </w:trPr>
        <w:tc>
          <w:tcPr>
            <w:tcW w:w="1702" w:type="dxa"/>
            <w:shd w:val="clear" w:color="auto" w:fill="BFBFBF"/>
          </w:tcPr>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b/>
                <w:sz w:val="22"/>
                <w:szCs w:val="22"/>
              </w:rPr>
              <w:t>Título</w:t>
            </w:r>
          </w:p>
        </w:tc>
        <w:tc>
          <w:tcPr>
            <w:tcW w:w="4023" w:type="dxa"/>
            <w:gridSpan w:val="3"/>
            <w:shd w:val="clear" w:color="auto" w:fill="BFBFBF"/>
          </w:tcPr>
          <w:p w:rsidR="004B1E26" w:rsidRPr="00AC1FD5" w:rsidRDefault="001D79C8">
            <w:pPr>
              <w:spacing w:line="276" w:lineRule="auto"/>
              <w:jc w:val="center"/>
              <w:rPr>
                <w:rFonts w:ascii="Arial" w:eastAsia="Arial" w:hAnsi="Arial" w:cs="Arial"/>
                <w:sz w:val="22"/>
                <w:szCs w:val="22"/>
              </w:rPr>
            </w:pPr>
            <w:r w:rsidRPr="00AC1FD5">
              <w:rPr>
                <w:rFonts w:ascii="Arial" w:eastAsia="Arial" w:hAnsi="Arial" w:cs="Arial"/>
                <w:b/>
                <w:sz w:val="22"/>
                <w:szCs w:val="22"/>
              </w:rPr>
              <w:t>Emisión por gases refrigerantes A/C</w:t>
            </w:r>
          </w:p>
        </w:tc>
      </w:tr>
      <w:tr w:rsidR="004B1E26" w:rsidRPr="00AC1FD5">
        <w:trPr>
          <w:trHeight w:val="120"/>
          <w:jc w:val="center"/>
        </w:trPr>
        <w:tc>
          <w:tcPr>
            <w:tcW w:w="1702" w:type="dxa"/>
            <w:shd w:val="clear" w:color="auto" w:fill="BFBFBF"/>
          </w:tcPr>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b/>
                <w:sz w:val="22"/>
                <w:szCs w:val="22"/>
              </w:rPr>
              <w:t xml:space="preserve">Definición </w:t>
            </w:r>
          </w:p>
        </w:tc>
        <w:tc>
          <w:tcPr>
            <w:tcW w:w="4023" w:type="dxa"/>
            <w:gridSpan w:val="3"/>
            <w:shd w:val="clear" w:color="auto" w:fill="BFBFBF"/>
          </w:tcPr>
          <w:p w:rsidR="004B1E26" w:rsidRPr="00AC1FD5" w:rsidRDefault="001D79C8">
            <w:pPr>
              <w:spacing w:line="276" w:lineRule="auto"/>
              <w:jc w:val="center"/>
              <w:rPr>
                <w:rFonts w:ascii="Arial" w:eastAsia="Arial" w:hAnsi="Arial" w:cs="Arial"/>
                <w:sz w:val="22"/>
                <w:szCs w:val="22"/>
              </w:rPr>
            </w:pPr>
            <w:r w:rsidRPr="00AC1FD5">
              <w:rPr>
                <w:rFonts w:ascii="Arial" w:eastAsia="Arial" w:hAnsi="Arial" w:cs="Arial"/>
                <w:sz w:val="22"/>
                <w:szCs w:val="22"/>
              </w:rPr>
              <w:t>Emisión directa / Alcance 1</w:t>
            </w:r>
          </w:p>
        </w:tc>
      </w:tr>
      <w:tr w:rsidR="004B1E26" w:rsidRPr="00AC1FD5">
        <w:trPr>
          <w:jc w:val="center"/>
        </w:trPr>
        <w:tc>
          <w:tcPr>
            <w:tcW w:w="1702" w:type="dxa"/>
            <w:vMerge w:val="restart"/>
            <w:shd w:val="clear" w:color="auto" w:fill="BFBFBF"/>
            <w:vAlign w:val="center"/>
          </w:tcPr>
          <w:p w:rsidR="004B1E26" w:rsidRPr="00AC1FD5" w:rsidRDefault="001D79C8">
            <w:pPr>
              <w:spacing w:line="276" w:lineRule="auto"/>
              <w:rPr>
                <w:rFonts w:ascii="Arial" w:eastAsia="Arial" w:hAnsi="Arial" w:cs="Arial"/>
                <w:sz w:val="22"/>
                <w:szCs w:val="22"/>
              </w:rPr>
            </w:pPr>
            <w:r w:rsidRPr="00AC1FD5">
              <w:rPr>
                <w:rFonts w:ascii="Arial" w:eastAsia="Arial" w:hAnsi="Arial" w:cs="Arial"/>
                <w:b/>
                <w:sz w:val="22"/>
                <w:szCs w:val="22"/>
              </w:rPr>
              <w:t>Tipo de gas refrigerante</w:t>
            </w:r>
          </w:p>
        </w:tc>
        <w:tc>
          <w:tcPr>
            <w:tcW w:w="1777" w:type="dxa"/>
            <w:shd w:val="clear" w:color="auto" w:fill="BFBFBF"/>
            <w:vAlign w:val="center"/>
          </w:tcPr>
          <w:p w:rsidR="004B1E26" w:rsidRPr="00AC1FD5" w:rsidRDefault="001D79C8">
            <w:pPr>
              <w:spacing w:line="276" w:lineRule="auto"/>
              <w:jc w:val="center"/>
              <w:rPr>
                <w:rFonts w:ascii="Arial" w:eastAsia="Arial" w:hAnsi="Arial" w:cs="Arial"/>
                <w:sz w:val="22"/>
                <w:szCs w:val="22"/>
              </w:rPr>
            </w:pPr>
            <w:r w:rsidRPr="00AC1FD5">
              <w:rPr>
                <w:rFonts w:ascii="Arial" w:eastAsia="Arial" w:hAnsi="Arial" w:cs="Arial"/>
                <w:b/>
                <w:sz w:val="22"/>
                <w:szCs w:val="22"/>
              </w:rPr>
              <w:t xml:space="preserve">Unidad </w:t>
            </w:r>
          </w:p>
        </w:tc>
        <w:tc>
          <w:tcPr>
            <w:tcW w:w="1088" w:type="dxa"/>
            <w:vMerge w:val="restart"/>
            <w:shd w:val="clear" w:color="auto" w:fill="BFBFBF"/>
            <w:vAlign w:val="center"/>
          </w:tcPr>
          <w:p w:rsidR="004B1E26" w:rsidRPr="00AC1FD5" w:rsidRDefault="001D79C8">
            <w:pPr>
              <w:spacing w:line="276" w:lineRule="auto"/>
              <w:jc w:val="center"/>
              <w:rPr>
                <w:rFonts w:ascii="Arial" w:eastAsia="Arial" w:hAnsi="Arial" w:cs="Arial"/>
                <w:sz w:val="22"/>
                <w:szCs w:val="22"/>
              </w:rPr>
            </w:pPr>
            <w:r w:rsidRPr="00AC1FD5">
              <w:rPr>
                <w:rFonts w:ascii="Arial" w:eastAsia="Arial" w:hAnsi="Arial" w:cs="Arial"/>
                <w:b/>
                <w:sz w:val="22"/>
                <w:szCs w:val="22"/>
              </w:rPr>
              <w:t>PCG CO</w:t>
            </w:r>
            <w:r w:rsidRPr="00AC1FD5">
              <w:rPr>
                <w:rFonts w:ascii="Arial" w:eastAsia="Arial" w:hAnsi="Arial" w:cs="Arial"/>
                <w:b/>
                <w:sz w:val="22"/>
                <w:szCs w:val="22"/>
                <w:vertAlign w:val="subscript"/>
              </w:rPr>
              <w:t>2</w:t>
            </w:r>
          </w:p>
        </w:tc>
        <w:tc>
          <w:tcPr>
            <w:tcW w:w="1158" w:type="dxa"/>
            <w:shd w:val="clear" w:color="auto" w:fill="BFBFBF"/>
            <w:vAlign w:val="center"/>
          </w:tcPr>
          <w:p w:rsidR="004B1E26" w:rsidRPr="00AC1FD5" w:rsidRDefault="001D79C8">
            <w:pPr>
              <w:spacing w:line="276" w:lineRule="auto"/>
              <w:jc w:val="center"/>
              <w:rPr>
                <w:rFonts w:ascii="Arial" w:eastAsia="Arial" w:hAnsi="Arial" w:cs="Arial"/>
                <w:sz w:val="22"/>
                <w:szCs w:val="22"/>
              </w:rPr>
            </w:pPr>
            <w:r w:rsidRPr="00AC1FD5">
              <w:rPr>
                <w:rFonts w:ascii="Arial" w:eastAsia="Arial" w:hAnsi="Arial" w:cs="Arial"/>
                <w:b/>
                <w:sz w:val="22"/>
                <w:szCs w:val="22"/>
              </w:rPr>
              <w:t>Cantidad</w:t>
            </w:r>
          </w:p>
        </w:tc>
      </w:tr>
      <w:tr w:rsidR="004B1E26" w:rsidRPr="00AC1FD5">
        <w:trPr>
          <w:trHeight w:val="280"/>
          <w:jc w:val="center"/>
        </w:trPr>
        <w:tc>
          <w:tcPr>
            <w:tcW w:w="1702" w:type="dxa"/>
            <w:vMerge/>
            <w:shd w:val="clear" w:color="auto" w:fill="BFBFBF"/>
            <w:vAlign w:val="center"/>
          </w:tcPr>
          <w:p w:rsidR="004B1E26" w:rsidRPr="00AC1FD5" w:rsidRDefault="004B1E26">
            <w:pPr>
              <w:spacing w:line="276" w:lineRule="auto"/>
              <w:rPr>
                <w:rFonts w:ascii="Arial" w:eastAsia="Arial" w:hAnsi="Arial" w:cs="Arial"/>
                <w:sz w:val="22"/>
                <w:szCs w:val="22"/>
              </w:rPr>
            </w:pPr>
          </w:p>
        </w:tc>
        <w:tc>
          <w:tcPr>
            <w:tcW w:w="1777" w:type="dxa"/>
            <w:tcBorders>
              <w:bottom w:val="single" w:sz="4" w:space="0" w:color="000000"/>
            </w:tcBorders>
            <w:shd w:val="clear" w:color="auto" w:fill="BFBFBF"/>
            <w:vAlign w:val="center"/>
          </w:tcPr>
          <w:p w:rsidR="004B1E26" w:rsidRPr="00AC1FD5" w:rsidRDefault="001D79C8">
            <w:pPr>
              <w:spacing w:line="276" w:lineRule="auto"/>
              <w:jc w:val="center"/>
              <w:rPr>
                <w:rFonts w:ascii="Arial" w:eastAsia="Arial" w:hAnsi="Arial" w:cs="Arial"/>
                <w:sz w:val="22"/>
                <w:szCs w:val="22"/>
              </w:rPr>
            </w:pPr>
            <w:r w:rsidRPr="00AC1FD5">
              <w:rPr>
                <w:rFonts w:ascii="Arial" w:eastAsia="Arial" w:hAnsi="Arial" w:cs="Arial"/>
                <w:b/>
                <w:sz w:val="22"/>
                <w:szCs w:val="22"/>
              </w:rPr>
              <w:t>lb o kg</w:t>
            </w:r>
          </w:p>
        </w:tc>
        <w:tc>
          <w:tcPr>
            <w:tcW w:w="1088" w:type="dxa"/>
            <w:vMerge/>
            <w:shd w:val="clear" w:color="auto" w:fill="BFBFBF"/>
            <w:vAlign w:val="center"/>
          </w:tcPr>
          <w:p w:rsidR="004B1E26" w:rsidRPr="00AC1FD5" w:rsidRDefault="004B1E26">
            <w:pPr>
              <w:spacing w:line="276" w:lineRule="auto"/>
              <w:jc w:val="center"/>
              <w:rPr>
                <w:rFonts w:ascii="Arial" w:eastAsia="Arial" w:hAnsi="Arial" w:cs="Arial"/>
                <w:sz w:val="22"/>
                <w:szCs w:val="22"/>
              </w:rPr>
            </w:pPr>
          </w:p>
        </w:tc>
        <w:tc>
          <w:tcPr>
            <w:tcW w:w="1158" w:type="dxa"/>
            <w:tcBorders>
              <w:bottom w:val="single" w:sz="4" w:space="0" w:color="000000"/>
            </w:tcBorders>
            <w:shd w:val="clear" w:color="auto" w:fill="BFBFBF"/>
            <w:vAlign w:val="center"/>
          </w:tcPr>
          <w:p w:rsidR="004B1E26" w:rsidRPr="00AC1FD5" w:rsidRDefault="001D79C8">
            <w:pPr>
              <w:spacing w:line="276" w:lineRule="auto"/>
              <w:jc w:val="center"/>
              <w:rPr>
                <w:rFonts w:ascii="Arial" w:eastAsia="Arial" w:hAnsi="Arial" w:cs="Arial"/>
                <w:sz w:val="22"/>
                <w:szCs w:val="22"/>
              </w:rPr>
            </w:pPr>
            <w:r w:rsidRPr="00AC1FD5">
              <w:rPr>
                <w:rFonts w:ascii="Arial" w:eastAsia="Arial" w:hAnsi="Arial" w:cs="Arial"/>
                <w:b/>
                <w:sz w:val="22"/>
                <w:szCs w:val="22"/>
              </w:rPr>
              <w:t>tCO</w:t>
            </w:r>
            <w:r w:rsidRPr="00AC1FD5">
              <w:rPr>
                <w:rFonts w:ascii="Arial" w:eastAsia="Arial" w:hAnsi="Arial" w:cs="Arial"/>
                <w:b/>
                <w:sz w:val="22"/>
                <w:szCs w:val="22"/>
                <w:vertAlign w:val="subscript"/>
              </w:rPr>
              <w:t>2</w:t>
            </w:r>
            <w:r w:rsidRPr="00AC1FD5">
              <w:rPr>
                <w:rFonts w:ascii="Arial" w:eastAsia="Arial" w:hAnsi="Arial" w:cs="Arial"/>
                <w:b/>
                <w:sz w:val="22"/>
                <w:szCs w:val="22"/>
              </w:rPr>
              <w:t>e</w:t>
            </w:r>
          </w:p>
        </w:tc>
      </w:tr>
      <w:tr w:rsidR="004B1E26" w:rsidRPr="00AC1FD5">
        <w:trPr>
          <w:trHeight w:val="540"/>
          <w:jc w:val="center"/>
        </w:trPr>
        <w:tc>
          <w:tcPr>
            <w:tcW w:w="1702" w:type="dxa"/>
            <w:tcBorders>
              <w:top w:val="single" w:sz="4" w:space="0" w:color="000000"/>
              <w:bottom w:val="single" w:sz="4" w:space="0" w:color="000000"/>
            </w:tcBorders>
            <w:vAlign w:val="center"/>
          </w:tcPr>
          <w:p w:rsidR="004B1E26" w:rsidRPr="00AC1FD5" w:rsidRDefault="001D79C8">
            <w:pPr>
              <w:spacing w:line="276" w:lineRule="auto"/>
              <w:rPr>
                <w:rFonts w:ascii="Arial" w:eastAsia="Arial" w:hAnsi="Arial" w:cs="Arial"/>
                <w:sz w:val="22"/>
                <w:szCs w:val="22"/>
              </w:rPr>
            </w:pPr>
            <w:r w:rsidRPr="00AC1FD5">
              <w:rPr>
                <w:rFonts w:ascii="Arial" w:eastAsia="Arial" w:hAnsi="Arial" w:cs="Arial"/>
                <w:sz w:val="22"/>
                <w:szCs w:val="22"/>
              </w:rPr>
              <w:t xml:space="preserve">R410a </w:t>
            </w:r>
          </w:p>
        </w:tc>
        <w:tc>
          <w:tcPr>
            <w:tcW w:w="1777" w:type="dxa"/>
            <w:tcBorders>
              <w:top w:val="single" w:sz="4" w:space="0" w:color="000000"/>
              <w:bottom w:val="single" w:sz="4" w:space="0" w:color="000000"/>
            </w:tcBorders>
            <w:vAlign w:val="center"/>
          </w:tcPr>
          <w:p w:rsidR="004B1E26" w:rsidRPr="00AC1FD5" w:rsidRDefault="004B1E26">
            <w:pPr>
              <w:spacing w:line="276" w:lineRule="auto"/>
              <w:jc w:val="center"/>
              <w:rPr>
                <w:rFonts w:ascii="Arial" w:eastAsia="Arial" w:hAnsi="Arial" w:cs="Arial"/>
                <w:sz w:val="22"/>
                <w:szCs w:val="22"/>
              </w:rPr>
            </w:pPr>
          </w:p>
        </w:tc>
        <w:tc>
          <w:tcPr>
            <w:tcW w:w="1088" w:type="dxa"/>
            <w:tcBorders>
              <w:top w:val="single" w:sz="4" w:space="0" w:color="000000"/>
              <w:bottom w:val="single" w:sz="4" w:space="0" w:color="000000"/>
            </w:tcBorders>
            <w:vAlign w:val="center"/>
          </w:tcPr>
          <w:p w:rsidR="004B1E26" w:rsidRPr="00AC1FD5" w:rsidRDefault="001D79C8">
            <w:pPr>
              <w:spacing w:line="276" w:lineRule="auto"/>
              <w:jc w:val="center"/>
              <w:rPr>
                <w:rFonts w:ascii="Arial" w:eastAsia="Arial" w:hAnsi="Arial" w:cs="Arial"/>
                <w:sz w:val="22"/>
                <w:szCs w:val="22"/>
              </w:rPr>
            </w:pPr>
            <w:r w:rsidRPr="00AC1FD5">
              <w:rPr>
                <w:rFonts w:ascii="Arial" w:eastAsia="Arial" w:hAnsi="Arial" w:cs="Arial"/>
                <w:sz w:val="22"/>
                <w:szCs w:val="22"/>
              </w:rPr>
              <w:t>1.725</w:t>
            </w:r>
          </w:p>
        </w:tc>
        <w:tc>
          <w:tcPr>
            <w:tcW w:w="1158" w:type="dxa"/>
            <w:tcBorders>
              <w:top w:val="single" w:sz="4" w:space="0" w:color="000000"/>
              <w:bottom w:val="single" w:sz="4" w:space="0" w:color="000000"/>
            </w:tcBorders>
          </w:tcPr>
          <w:p w:rsidR="004B1E26" w:rsidRPr="00AC1FD5" w:rsidRDefault="004B1E26">
            <w:pPr>
              <w:spacing w:line="276" w:lineRule="auto"/>
              <w:jc w:val="center"/>
              <w:rPr>
                <w:rFonts w:ascii="Arial" w:eastAsia="Arial" w:hAnsi="Arial" w:cs="Arial"/>
                <w:sz w:val="22"/>
                <w:szCs w:val="22"/>
              </w:rPr>
            </w:pPr>
          </w:p>
        </w:tc>
      </w:tr>
      <w:tr w:rsidR="004B1E26" w:rsidRPr="00AC1FD5">
        <w:trPr>
          <w:trHeight w:val="540"/>
          <w:jc w:val="center"/>
        </w:trPr>
        <w:tc>
          <w:tcPr>
            <w:tcW w:w="1702" w:type="dxa"/>
            <w:tcBorders>
              <w:top w:val="single" w:sz="4" w:space="0" w:color="000000"/>
            </w:tcBorders>
            <w:vAlign w:val="center"/>
          </w:tcPr>
          <w:p w:rsidR="004B1E26" w:rsidRPr="00AC1FD5" w:rsidRDefault="001D79C8">
            <w:pPr>
              <w:spacing w:line="276" w:lineRule="auto"/>
              <w:rPr>
                <w:rFonts w:ascii="Arial" w:eastAsia="Arial" w:hAnsi="Arial" w:cs="Arial"/>
                <w:sz w:val="22"/>
                <w:szCs w:val="22"/>
              </w:rPr>
            </w:pPr>
            <w:r w:rsidRPr="00AC1FD5">
              <w:rPr>
                <w:rFonts w:ascii="Arial" w:eastAsia="Arial" w:hAnsi="Arial" w:cs="Arial"/>
                <w:sz w:val="22"/>
                <w:szCs w:val="22"/>
              </w:rPr>
              <w:t>R22</w:t>
            </w:r>
          </w:p>
        </w:tc>
        <w:tc>
          <w:tcPr>
            <w:tcW w:w="1777" w:type="dxa"/>
            <w:tcBorders>
              <w:top w:val="single" w:sz="4" w:space="0" w:color="000000"/>
            </w:tcBorders>
            <w:vAlign w:val="center"/>
          </w:tcPr>
          <w:p w:rsidR="004B1E26" w:rsidRPr="00AC1FD5" w:rsidRDefault="004B1E26">
            <w:pPr>
              <w:spacing w:line="276" w:lineRule="auto"/>
              <w:jc w:val="center"/>
              <w:rPr>
                <w:rFonts w:ascii="Arial" w:hAnsi="Arial" w:cs="Arial"/>
                <w:sz w:val="22"/>
                <w:szCs w:val="22"/>
              </w:rPr>
            </w:pPr>
          </w:p>
        </w:tc>
        <w:tc>
          <w:tcPr>
            <w:tcW w:w="1088" w:type="dxa"/>
            <w:tcBorders>
              <w:top w:val="single" w:sz="4" w:space="0" w:color="000000"/>
            </w:tcBorders>
            <w:vAlign w:val="center"/>
          </w:tcPr>
          <w:p w:rsidR="004B1E26" w:rsidRPr="00AC1FD5" w:rsidRDefault="001D79C8">
            <w:pPr>
              <w:spacing w:line="276" w:lineRule="auto"/>
              <w:jc w:val="center"/>
              <w:rPr>
                <w:rFonts w:ascii="Arial" w:eastAsia="Arial" w:hAnsi="Arial" w:cs="Arial"/>
                <w:sz w:val="22"/>
                <w:szCs w:val="22"/>
              </w:rPr>
            </w:pPr>
            <w:r w:rsidRPr="00AC1FD5">
              <w:rPr>
                <w:rFonts w:ascii="Arial" w:eastAsia="Arial" w:hAnsi="Arial" w:cs="Arial"/>
                <w:sz w:val="22"/>
                <w:szCs w:val="22"/>
              </w:rPr>
              <w:t>1.760</w:t>
            </w:r>
          </w:p>
        </w:tc>
        <w:tc>
          <w:tcPr>
            <w:tcW w:w="1158" w:type="dxa"/>
            <w:tcBorders>
              <w:top w:val="single" w:sz="4" w:space="0" w:color="000000"/>
            </w:tcBorders>
          </w:tcPr>
          <w:p w:rsidR="004B1E26" w:rsidRPr="00AC1FD5" w:rsidRDefault="004B1E26">
            <w:pPr>
              <w:spacing w:line="276" w:lineRule="auto"/>
              <w:jc w:val="center"/>
              <w:rPr>
                <w:rFonts w:ascii="Arial" w:hAnsi="Arial" w:cs="Arial"/>
                <w:sz w:val="22"/>
                <w:szCs w:val="22"/>
              </w:rPr>
            </w:pPr>
          </w:p>
        </w:tc>
      </w:tr>
    </w:tbl>
    <w:p w:rsidR="004B1E26" w:rsidRPr="00AC1FD5" w:rsidRDefault="001D79C8">
      <w:pPr>
        <w:spacing w:line="276" w:lineRule="auto"/>
        <w:ind w:left="1362"/>
        <w:jc w:val="both"/>
        <w:rPr>
          <w:rFonts w:ascii="Arial" w:eastAsia="Arial" w:hAnsi="Arial" w:cs="Arial"/>
          <w:color w:val="000000"/>
          <w:sz w:val="22"/>
          <w:szCs w:val="22"/>
        </w:rPr>
      </w:pPr>
      <w:r w:rsidRPr="00AC1FD5">
        <w:rPr>
          <w:rFonts w:ascii="Arial" w:eastAsia="Arial" w:hAnsi="Arial" w:cs="Arial"/>
          <w:b/>
          <w:color w:val="000000"/>
          <w:sz w:val="22"/>
          <w:szCs w:val="22"/>
        </w:rPr>
        <w:t xml:space="preserve">Notas: </w:t>
      </w:r>
    </w:p>
    <w:p w:rsidR="004B1E26" w:rsidRPr="00AC1FD5" w:rsidRDefault="001D79C8">
      <w:pPr>
        <w:spacing w:line="276" w:lineRule="auto"/>
        <w:ind w:left="1580"/>
        <w:rPr>
          <w:rFonts w:ascii="Arial" w:hAnsi="Arial" w:cs="Arial"/>
          <w:color w:val="000000"/>
          <w:sz w:val="22"/>
          <w:szCs w:val="22"/>
        </w:rPr>
      </w:pPr>
      <w:r w:rsidRPr="00AC1FD5">
        <w:rPr>
          <w:rFonts w:ascii="Arial" w:eastAsia="Arial" w:hAnsi="Arial" w:cs="Arial"/>
          <w:color w:val="000000"/>
          <w:sz w:val="22"/>
          <w:szCs w:val="22"/>
        </w:rPr>
        <w:t>kg = kilogramo</w:t>
      </w:r>
      <w:r w:rsidRPr="00AC1FD5">
        <w:rPr>
          <w:rFonts w:ascii="Arial" w:hAnsi="Arial" w:cs="Arial"/>
          <w:color w:val="000000"/>
          <w:sz w:val="22"/>
          <w:szCs w:val="22"/>
        </w:rPr>
        <w:t xml:space="preserve"> / </w:t>
      </w:r>
      <w:r w:rsidRPr="00AC1FD5">
        <w:rPr>
          <w:rFonts w:ascii="Arial" w:eastAsia="Arial" w:hAnsi="Arial" w:cs="Arial"/>
          <w:color w:val="000000"/>
          <w:sz w:val="22"/>
          <w:szCs w:val="22"/>
        </w:rPr>
        <w:t>lb= libra</w:t>
      </w:r>
      <w:r w:rsidRPr="00AC1FD5">
        <w:rPr>
          <w:rFonts w:ascii="Arial" w:hAnsi="Arial" w:cs="Arial"/>
          <w:color w:val="000000"/>
          <w:sz w:val="22"/>
          <w:szCs w:val="22"/>
        </w:rPr>
        <w:t xml:space="preserve"> / </w:t>
      </w:r>
      <w:r w:rsidRPr="00AC1FD5">
        <w:rPr>
          <w:rFonts w:ascii="Arial" w:eastAsia="Arial" w:hAnsi="Arial" w:cs="Arial"/>
          <w:color w:val="000000"/>
          <w:sz w:val="22"/>
          <w:szCs w:val="22"/>
        </w:rPr>
        <w:t>1 kg = 2204,60 lb c c&lt;&lt;888</w:t>
      </w:r>
    </w:p>
    <w:p w:rsidR="004B1E26" w:rsidRPr="00AC1FD5" w:rsidRDefault="001D79C8">
      <w:pPr>
        <w:spacing w:line="276" w:lineRule="auto"/>
        <w:ind w:left="1580"/>
        <w:rPr>
          <w:rFonts w:ascii="Arial" w:eastAsia="Arial" w:hAnsi="Arial" w:cs="Arial"/>
          <w:color w:val="000000"/>
          <w:sz w:val="22"/>
          <w:szCs w:val="22"/>
        </w:rPr>
      </w:pPr>
      <w:r w:rsidRPr="00AC1FD5">
        <w:rPr>
          <w:rFonts w:ascii="Arial" w:eastAsia="Arial" w:hAnsi="Arial" w:cs="Arial"/>
          <w:color w:val="000000"/>
          <w:sz w:val="22"/>
          <w:szCs w:val="22"/>
        </w:rPr>
        <w:t>R22 = PCG tomado del Quinto Informe del IPCC, 2014 (capitulo 8)</w:t>
      </w:r>
    </w:p>
    <w:p w:rsidR="004B1E26" w:rsidRPr="00AC1FD5" w:rsidRDefault="001D79C8">
      <w:pPr>
        <w:spacing w:line="276" w:lineRule="auto"/>
        <w:ind w:left="1580"/>
        <w:rPr>
          <w:rFonts w:ascii="Arial" w:eastAsia="Arial" w:hAnsi="Arial" w:cs="Arial"/>
          <w:color w:val="000000"/>
          <w:sz w:val="22"/>
          <w:szCs w:val="22"/>
        </w:rPr>
      </w:pPr>
      <w:r w:rsidRPr="00AC1FD5">
        <w:rPr>
          <w:rFonts w:ascii="Arial" w:eastAsia="Arial" w:hAnsi="Arial" w:cs="Arial"/>
          <w:color w:val="000000"/>
          <w:sz w:val="22"/>
          <w:szCs w:val="22"/>
        </w:rPr>
        <w:t>Cerciorarse de que el factor de emisión sea el vigente.</w:t>
      </w:r>
    </w:p>
    <w:p w:rsidR="004B1E26" w:rsidRPr="00AC1FD5" w:rsidRDefault="004B1E26">
      <w:pPr>
        <w:spacing w:line="276" w:lineRule="auto"/>
        <w:jc w:val="both"/>
        <w:rPr>
          <w:rFonts w:ascii="Arial" w:eastAsia="Arial" w:hAnsi="Arial" w:cs="Arial"/>
          <w:color w:val="000000"/>
          <w:sz w:val="22"/>
          <w:szCs w:val="22"/>
        </w:rPr>
      </w:pPr>
    </w:p>
    <w:p w:rsidR="004B1E26" w:rsidRPr="00AC1FD5" w:rsidRDefault="001D79C8">
      <w:pPr>
        <w:spacing w:after="240" w:line="276" w:lineRule="auto"/>
        <w:jc w:val="both"/>
        <w:rPr>
          <w:rFonts w:ascii="Arial" w:eastAsia="Arial" w:hAnsi="Arial" w:cs="Arial"/>
          <w:sz w:val="22"/>
          <w:szCs w:val="22"/>
        </w:rPr>
      </w:pPr>
      <w:r w:rsidRPr="00AC1FD5">
        <w:rPr>
          <w:rFonts w:ascii="Arial" w:eastAsia="Arial" w:hAnsi="Arial" w:cs="Arial"/>
          <w:b/>
          <w:sz w:val="22"/>
          <w:szCs w:val="22"/>
        </w:rPr>
        <w:t>CO</w:t>
      </w:r>
      <w:r w:rsidRPr="00AC1FD5">
        <w:rPr>
          <w:rFonts w:ascii="Arial" w:eastAsia="Arial" w:hAnsi="Arial" w:cs="Arial"/>
          <w:b/>
          <w:sz w:val="22"/>
          <w:szCs w:val="22"/>
          <w:vertAlign w:val="subscript"/>
        </w:rPr>
        <w:t>2</w:t>
      </w:r>
      <w:r w:rsidRPr="00AC1FD5">
        <w:rPr>
          <w:rFonts w:ascii="Arial" w:eastAsia="Arial" w:hAnsi="Arial" w:cs="Arial"/>
          <w:b/>
          <w:sz w:val="22"/>
          <w:szCs w:val="22"/>
        </w:rPr>
        <w:t xml:space="preserve"> DE EXTINTORES</w:t>
      </w:r>
    </w:p>
    <w:p w:rsidR="004B1E26" w:rsidRPr="00AC1FD5" w:rsidRDefault="001D79C8">
      <w:pPr>
        <w:spacing w:line="276" w:lineRule="auto"/>
        <w:jc w:val="both"/>
        <w:rPr>
          <w:rFonts w:ascii="Arial" w:eastAsia="Arial" w:hAnsi="Arial" w:cs="Arial"/>
          <w:color w:val="000000"/>
          <w:sz w:val="22"/>
          <w:szCs w:val="22"/>
        </w:rPr>
      </w:pPr>
      <w:r w:rsidRPr="00AC1FD5">
        <w:rPr>
          <w:rFonts w:ascii="Arial" w:eastAsia="Arial" w:hAnsi="Arial" w:cs="Arial"/>
          <w:color w:val="000000"/>
          <w:sz w:val="22"/>
          <w:szCs w:val="22"/>
        </w:rPr>
        <w:t>El Coordinador del proceso solicitará al proveedor del servicio el mantenimiento regular de los extintores, y en caso necesario de recarga, solicitará que el proveedor indique en el comprobante el detalle de los extintores recargados y la cantidad de recarga en cada uno.  El Coordinador será el responsable de desarrollar la cuantificación de estas emisiones y las incluirá en el inventario de emisiones y en el GEI I 01 Informe de emisiones de GEI.</w:t>
      </w:r>
    </w:p>
    <w:p w:rsidR="004B1E26" w:rsidRPr="00AC1FD5" w:rsidRDefault="004B1E26">
      <w:pPr>
        <w:spacing w:line="276" w:lineRule="auto"/>
        <w:jc w:val="both"/>
        <w:rPr>
          <w:rFonts w:ascii="Arial" w:eastAsia="Arial" w:hAnsi="Arial" w:cs="Arial"/>
          <w:color w:val="000000"/>
          <w:sz w:val="22"/>
          <w:szCs w:val="22"/>
        </w:rPr>
      </w:pPr>
    </w:p>
    <w:p w:rsidR="004B1E26" w:rsidRPr="00AC1FD5" w:rsidRDefault="001D79C8">
      <w:pPr>
        <w:spacing w:after="120" w:line="276" w:lineRule="auto"/>
        <w:jc w:val="center"/>
        <w:rPr>
          <w:rFonts w:ascii="Arial" w:eastAsia="Arial" w:hAnsi="Arial" w:cs="Arial"/>
          <w:color w:val="002060"/>
          <w:sz w:val="22"/>
          <w:szCs w:val="22"/>
        </w:rPr>
      </w:pPr>
      <w:r w:rsidRPr="00AC1FD5">
        <w:rPr>
          <w:rFonts w:ascii="Arial" w:eastAsia="Arial" w:hAnsi="Arial" w:cs="Arial"/>
          <w:color w:val="002060"/>
          <w:sz w:val="22"/>
          <w:szCs w:val="22"/>
        </w:rPr>
        <w:t>Método de cálculo de emisiones por recarga de extintores de CO</w:t>
      </w:r>
      <w:r w:rsidRPr="00AC1FD5">
        <w:rPr>
          <w:rFonts w:ascii="Arial" w:eastAsia="Arial" w:hAnsi="Arial" w:cs="Arial"/>
          <w:color w:val="002060"/>
          <w:sz w:val="22"/>
          <w:szCs w:val="22"/>
          <w:vertAlign w:val="subscript"/>
        </w:rPr>
        <w:t>2</w:t>
      </w:r>
      <w:r w:rsidRPr="00AC1FD5">
        <w:rPr>
          <w:rFonts w:ascii="Arial" w:eastAsia="Arial" w:hAnsi="Arial" w:cs="Arial"/>
          <w:color w:val="002060"/>
          <w:sz w:val="22"/>
          <w:szCs w:val="22"/>
        </w:rPr>
        <w:t>:</w:t>
      </w:r>
    </w:p>
    <w:tbl>
      <w:tblPr>
        <w:tblStyle w:val="a8"/>
        <w:tblW w:w="8862"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893"/>
        <w:gridCol w:w="5969"/>
      </w:tblGrid>
      <w:tr w:rsidR="004B1E26" w:rsidRPr="00AC1FD5">
        <w:trPr>
          <w:jc w:val="center"/>
        </w:trPr>
        <w:tc>
          <w:tcPr>
            <w:tcW w:w="2893" w:type="dxa"/>
            <w:tcBorders>
              <w:top w:val="single" w:sz="8" w:space="0" w:color="000000"/>
              <w:left w:val="single" w:sz="8" w:space="0" w:color="000000"/>
              <w:bottom w:val="single" w:sz="18" w:space="0" w:color="000000"/>
              <w:right w:val="single" w:sz="8" w:space="0" w:color="000000"/>
            </w:tcBorders>
          </w:tcPr>
          <w:p w:rsidR="004B1E26" w:rsidRPr="00AC1FD5" w:rsidRDefault="001D79C8">
            <w:pPr>
              <w:spacing w:line="276" w:lineRule="auto"/>
              <w:rPr>
                <w:rFonts w:ascii="Arial" w:eastAsia="Arial" w:hAnsi="Arial" w:cs="Arial"/>
                <w:sz w:val="22"/>
                <w:szCs w:val="22"/>
              </w:rPr>
            </w:pPr>
            <w:r w:rsidRPr="00AC1FD5">
              <w:rPr>
                <w:rFonts w:ascii="Arial" w:eastAsia="Arial" w:hAnsi="Arial" w:cs="Arial"/>
                <w:b/>
                <w:sz w:val="22"/>
                <w:szCs w:val="22"/>
              </w:rPr>
              <w:t>Título</w:t>
            </w:r>
          </w:p>
        </w:tc>
        <w:tc>
          <w:tcPr>
            <w:tcW w:w="5969" w:type="dxa"/>
            <w:tcBorders>
              <w:top w:val="single" w:sz="8" w:space="0" w:color="000000"/>
              <w:left w:val="single" w:sz="8" w:space="0" w:color="000000"/>
              <w:bottom w:val="single" w:sz="18" w:space="0" w:color="000000"/>
              <w:right w:val="single" w:sz="8" w:space="0" w:color="000000"/>
            </w:tcBorders>
          </w:tcPr>
          <w:p w:rsidR="004B1E26" w:rsidRPr="00AC1FD5" w:rsidRDefault="001D79C8">
            <w:pPr>
              <w:spacing w:line="276" w:lineRule="auto"/>
              <w:jc w:val="center"/>
              <w:rPr>
                <w:rFonts w:ascii="Arial" w:eastAsia="Arial" w:hAnsi="Arial" w:cs="Arial"/>
                <w:sz w:val="22"/>
                <w:szCs w:val="22"/>
              </w:rPr>
            </w:pPr>
            <w:r w:rsidRPr="00AC1FD5">
              <w:rPr>
                <w:rFonts w:ascii="Arial" w:eastAsia="Arial" w:hAnsi="Arial" w:cs="Arial"/>
                <w:b/>
                <w:sz w:val="22"/>
                <w:szCs w:val="22"/>
              </w:rPr>
              <w:t>Emisión por recarga de extintores de CO</w:t>
            </w:r>
            <w:r w:rsidRPr="00AC1FD5">
              <w:rPr>
                <w:rFonts w:ascii="Arial" w:eastAsia="Arial" w:hAnsi="Arial" w:cs="Arial"/>
                <w:b/>
                <w:sz w:val="22"/>
                <w:szCs w:val="22"/>
                <w:vertAlign w:val="subscript"/>
              </w:rPr>
              <w:t>2</w:t>
            </w:r>
          </w:p>
        </w:tc>
      </w:tr>
      <w:tr w:rsidR="004B1E26" w:rsidRPr="00AC1FD5">
        <w:trPr>
          <w:jc w:val="center"/>
        </w:trPr>
        <w:tc>
          <w:tcPr>
            <w:tcW w:w="2893"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rPr>
                <w:rFonts w:ascii="Arial" w:eastAsia="Arial" w:hAnsi="Arial" w:cs="Arial"/>
                <w:sz w:val="22"/>
                <w:szCs w:val="22"/>
              </w:rPr>
            </w:pPr>
            <w:r w:rsidRPr="00AC1FD5">
              <w:rPr>
                <w:rFonts w:ascii="Arial" w:eastAsia="Arial" w:hAnsi="Arial" w:cs="Arial"/>
                <w:b/>
                <w:sz w:val="22"/>
                <w:szCs w:val="22"/>
              </w:rPr>
              <w:t xml:space="preserve">Definición </w:t>
            </w:r>
          </w:p>
        </w:tc>
        <w:tc>
          <w:tcPr>
            <w:tcW w:w="5969"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jc w:val="center"/>
              <w:rPr>
                <w:rFonts w:ascii="Arial" w:eastAsia="Arial" w:hAnsi="Arial" w:cs="Arial"/>
                <w:sz w:val="22"/>
                <w:szCs w:val="22"/>
              </w:rPr>
            </w:pPr>
            <w:r w:rsidRPr="00AC1FD5">
              <w:rPr>
                <w:rFonts w:ascii="Arial" w:eastAsia="Arial" w:hAnsi="Arial" w:cs="Arial"/>
                <w:sz w:val="22"/>
                <w:szCs w:val="22"/>
              </w:rPr>
              <w:t>Emisión directa / Alcance 1</w:t>
            </w:r>
          </w:p>
        </w:tc>
      </w:tr>
      <w:tr w:rsidR="004B1E26" w:rsidRPr="00AC1FD5">
        <w:trPr>
          <w:jc w:val="center"/>
        </w:trPr>
        <w:tc>
          <w:tcPr>
            <w:tcW w:w="2893"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rPr>
                <w:rFonts w:ascii="Arial" w:eastAsia="Arial" w:hAnsi="Arial" w:cs="Arial"/>
                <w:sz w:val="22"/>
                <w:szCs w:val="22"/>
              </w:rPr>
            </w:pPr>
            <w:r w:rsidRPr="00AC1FD5">
              <w:rPr>
                <w:rFonts w:ascii="Arial" w:eastAsia="Arial" w:hAnsi="Arial" w:cs="Arial"/>
                <w:b/>
                <w:sz w:val="22"/>
                <w:szCs w:val="22"/>
              </w:rPr>
              <w:t>Fórmula de cálculo</w:t>
            </w:r>
          </w:p>
        </w:tc>
        <w:tc>
          <w:tcPr>
            <w:tcW w:w="5969"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jc w:val="center"/>
              <w:rPr>
                <w:rFonts w:ascii="Arial" w:eastAsia="Arial" w:hAnsi="Arial" w:cs="Arial"/>
                <w:sz w:val="22"/>
                <w:szCs w:val="22"/>
              </w:rPr>
            </w:pPr>
            <w:r w:rsidRPr="00AC1FD5">
              <w:rPr>
                <w:rFonts w:ascii="Arial" w:eastAsia="Arial" w:hAnsi="Arial" w:cs="Arial"/>
                <w:sz w:val="22"/>
                <w:szCs w:val="22"/>
              </w:rPr>
              <w:t>Q mensual toneladas CO</w:t>
            </w:r>
            <w:r w:rsidRPr="00AC1FD5">
              <w:rPr>
                <w:rFonts w:ascii="Arial" w:eastAsia="Arial" w:hAnsi="Arial" w:cs="Arial"/>
                <w:sz w:val="22"/>
                <w:szCs w:val="22"/>
                <w:vertAlign w:val="subscript"/>
              </w:rPr>
              <w:t>2</w:t>
            </w:r>
            <w:r w:rsidRPr="00AC1FD5">
              <w:rPr>
                <w:rFonts w:ascii="Arial" w:eastAsia="Arial" w:hAnsi="Arial" w:cs="Arial"/>
                <w:sz w:val="22"/>
                <w:szCs w:val="22"/>
              </w:rPr>
              <w:t xml:space="preserve"> * PCG CO</w:t>
            </w:r>
            <w:r w:rsidRPr="00AC1FD5">
              <w:rPr>
                <w:rFonts w:ascii="Arial" w:eastAsia="Arial" w:hAnsi="Arial" w:cs="Arial"/>
                <w:sz w:val="22"/>
                <w:szCs w:val="22"/>
                <w:vertAlign w:val="subscript"/>
              </w:rPr>
              <w:t>2</w:t>
            </w:r>
            <w:r w:rsidRPr="00AC1FD5">
              <w:rPr>
                <w:rFonts w:ascii="Arial" w:eastAsia="Arial" w:hAnsi="Arial" w:cs="Arial"/>
                <w:sz w:val="22"/>
                <w:szCs w:val="22"/>
              </w:rPr>
              <w:t xml:space="preserve"> = tCO</w:t>
            </w:r>
            <w:r w:rsidRPr="00AC1FD5">
              <w:rPr>
                <w:rFonts w:ascii="Arial" w:eastAsia="Arial" w:hAnsi="Arial" w:cs="Arial"/>
                <w:sz w:val="22"/>
                <w:szCs w:val="22"/>
                <w:vertAlign w:val="subscript"/>
              </w:rPr>
              <w:t>2</w:t>
            </w:r>
            <w:r w:rsidRPr="00AC1FD5">
              <w:rPr>
                <w:rFonts w:ascii="Arial" w:eastAsia="Arial" w:hAnsi="Arial" w:cs="Arial"/>
                <w:sz w:val="22"/>
                <w:szCs w:val="22"/>
              </w:rPr>
              <w:t>e</w:t>
            </w:r>
          </w:p>
        </w:tc>
      </w:tr>
      <w:tr w:rsidR="004B1E26" w:rsidRPr="00AC1FD5">
        <w:trPr>
          <w:jc w:val="center"/>
        </w:trPr>
        <w:tc>
          <w:tcPr>
            <w:tcW w:w="2893"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rPr>
                <w:rFonts w:ascii="Arial" w:eastAsia="Arial" w:hAnsi="Arial" w:cs="Arial"/>
                <w:sz w:val="22"/>
                <w:szCs w:val="22"/>
              </w:rPr>
            </w:pPr>
            <w:r w:rsidRPr="00AC1FD5">
              <w:rPr>
                <w:rFonts w:ascii="Arial" w:eastAsia="Arial" w:hAnsi="Arial" w:cs="Arial"/>
                <w:b/>
                <w:sz w:val="22"/>
                <w:szCs w:val="22"/>
              </w:rPr>
              <w:t>Fuente metodología FE</w:t>
            </w:r>
          </w:p>
        </w:tc>
        <w:tc>
          <w:tcPr>
            <w:tcW w:w="5969" w:type="dxa"/>
            <w:tcBorders>
              <w:top w:val="single" w:sz="8" w:space="0" w:color="000000"/>
              <w:left w:val="single" w:sz="8" w:space="0" w:color="000000"/>
              <w:bottom w:val="single" w:sz="8" w:space="0" w:color="000000"/>
              <w:right w:val="single" w:sz="8" w:space="0" w:color="000000"/>
            </w:tcBorders>
            <w:shd w:val="clear" w:color="auto" w:fill="C0C0C0"/>
          </w:tcPr>
          <w:p w:rsidR="004B1E26" w:rsidRPr="00AC1FD5" w:rsidRDefault="001D79C8">
            <w:pPr>
              <w:spacing w:line="276" w:lineRule="auto"/>
              <w:jc w:val="center"/>
              <w:rPr>
                <w:rFonts w:ascii="Arial" w:eastAsia="Arial" w:hAnsi="Arial" w:cs="Arial"/>
                <w:sz w:val="22"/>
                <w:szCs w:val="22"/>
              </w:rPr>
            </w:pPr>
            <w:r w:rsidRPr="00AC1FD5">
              <w:rPr>
                <w:rFonts w:ascii="Arial" w:eastAsia="Arial" w:hAnsi="Arial" w:cs="Arial"/>
                <w:sz w:val="22"/>
                <w:szCs w:val="22"/>
              </w:rPr>
              <w:t xml:space="preserve">Instituto Meteorológico Nacional </w:t>
            </w:r>
          </w:p>
        </w:tc>
      </w:tr>
      <w:tr w:rsidR="004B1E26" w:rsidRPr="00AC1FD5">
        <w:trPr>
          <w:jc w:val="center"/>
        </w:trPr>
        <w:tc>
          <w:tcPr>
            <w:tcW w:w="2893"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rPr>
                <w:rFonts w:ascii="Arial" w:eastAsia="Arial" w:hAnsi="Arial" w:cs="Arial"/>
                <w:sz w:val="22"/>
                <w:szCs w:val="22"/>
              </w:rPr>
            </w:pPr>
            <w:r w:rsidRPr="00AC1FD5">
              <w:rPr>
                <w:rFonts w:ascii="Arial" w:eastAsia="Arial" w:hAnsi="Arial" w:cs="Arial"/>
                <w:b/>
                <w:sz w:val="22"/>
                <w:szCs w:val="22"/>
              </w:rPr>
              <w:t>Herramienta de cálculo</w:t>
            </w:r>
          </w:p>
        </w:tc>
        <w:tc>
          <w:tcPr>
            <w:tcW w:w="5969" w:type="dxa"/>
            <w:tcBorders>
              <w:top w:val="single" w:sz="8" w:space="0" w:color="000000"/>
              <w:left w:val="single" w:sz="8" w:space="0" w:color="000000"/>
              <w:bottom w:val="single" w:sz="8" w:space="0" w:color="000000"/>
              <w:right w:val="single" w:sz="8" w:space="0" w:color="000000"/>
            </w:tcBorders>
          </w:tcPr>
          <w:p w:rsidR="004B1E26" w:rsidRPr="00AC1FD5" w:rsidRDefault="001D79C8">
            <w:pPr>
              <w:spacing w:line="276" w:lineRule="auto"/>
              <w:jc w:val="center"/>
              <w:rPr>
                <w:rFonts w:ascii="Arial" w:eastAsia="Arial" w:hAnsi="Arial" w:cs="Arial"/>
                <w:sz w:val="22"/>
                <w:szCs w:val="22"/>
              </w:rPr>
            </w:pPr>
            <w:r w:rsidRPr="00AC1FD5">
              <w:rPr>
                <w:rFonts w:ascii="Arial" w:eastAsia="Arial" w:hAnsi="Arial" w:cs="Arial"/>
                <w:sz w:val="22"/>
                <w:szCs w:val="22"/>
              </w:rPr>
              <w:t xml:space="preserve">Excel </w:t>
            </w:r>
          </w:p>
        </w:tc>
      </w:tr>
    </w:tbl>
    <w:p w:rsidR="004B1E26" w:rsidRPr="00AC1FD5" w:rsidRDefault="001D79C8">
      <w:pPr>
        <w:spacing w:line="276" w:lineRule="auto"/>
        <w:ind w:left="567" w:hanging="567"/>
        <w:rPr>
          <w:rFonts w:ascii="Arial" w:eastAsia="Arial" w:hAnsi="Arial" w:cs="Arial"/>
          <w:sz w:val="22"/>
          <w:szCs w:val="22"/>
        </w:rPr>
      </w:pPr>
      <w:r w:rsidRPr="00AC1FD5">
        <w:rPr>
          <w:rFonts w:ascii="Arial" w:eastAsia="Arial" w:hAnsi="Arial" w:cs="Arial"/>
          <w:b/>
          <w:sz w:val="22"/>
          <w:szCs w:val="22"/>
        </w:rPr>
        <w:t>Nota:</w:t>
      </w:r>
    </w:p>
    <w:p w:rsidR="004B1E26" w:rsidRPr="00AC1FD5" w:rsidRDefault="001D79C8">
      <w:pPr>
        <w:spacing w:line="276" w:lineRule="auto"/>
        <w:ind w:left="567" w:hanging="285"/>
        <w:rPr>
          <w:rFonts w:ascii="Arial" w:eastAsia="Arial" w:hAnsi="Arial" w:cs="Arial"/>
          <w:sz w:val="22"/>
          <w:szCs w:val="22"/>
        </w:rPr>
      </w:pPr>
      <w:r w:rsidRPr="00AC1FD5">
        <w:rPr>
          <w:rFonts w:ascii="Arial" w:eastAsia="Arial" w:hAnsi="Arial" w:cs="Arial"/>
          <w:sz w:val="22"/>
          <w:szCs w:val="22"/>
        </w:rPr>
        <w:t xml:space="preserve">Q = Cantidad </w:t>
      </w:r>
    </w:p>
    <w:p w:rsidR="004B1E26" w:rsidRPr="00AC1FD5" w:rsidRDefault="004B1E26">
      <w:pPr>
        <w:tabs>
          <w:tab w:val="left" w:pos="284"/>
          <w:tab w:val="left" w:pos="426"/>
        </w:tabs>
        <w:spacing w:after="200" w:line="276" w:lineRule="auto"/>
        <w:jc w:val="both"/>
        <w:rPr>
          <w:rFonts w:ascii="Arial" w:eastAsia="Arial" w:hAnsi="Arial" w:cs="Arial"/>
          <w:sz w:val="22"/>
          <w:szCs w:val="22"/>
        </w:rPr>
      </w:pPr>
    </w:p>
    <w:p w:rsidR="004B1E26" w:rsidRPr="00AC1FD5" w:rsidRDefault="001D79C8" w:rsidP="00AC1FD5">
      <w:pPr>
        <w:spacing w:line="276" w:lineRule="auto"/>
        <w:jc w:val="both"/>
        <w:rPr>
          <w:rFonts w:ascii="Arial" w:eastAsia="Arial" w:hAnsi="Arial" w:cs="Arial"/>
          <w:sz w:val="22"/>
          <w:szCs w:val="22"/>
        </w:rPr>
      </w:pPr>
      <w:r w:rsidRPr="00AC1FD5">
        <w:rPr>
          <w:rFonts w:ascii="Arial" w:eastAsia="Arial" w:hAnsi="Arial" w:cs="Arial"/>
          <w:b/>
          <w:sz w:val="22"/>
          <w:szCs w:val="22"/>
        </w:rPr>
        <w:t>7.2.2 Aspectos normativos contemplados para el desarrollo del inventario</w:t>
      </w:r>
    </w:p>
    <w:p w:rsidR="004B1E26" w:rsidRPr="00AC1FD5" w:rsidRDefault="004B1E26">
      <w:pPr>
        <w:spacing w:line="276" w:lineRule="auto"/>
        <w:jc w:val="both"/>
        <w:rPr>
          <w:rFonts w:ascii="Arial" w:eastAsia="Arial" w:hAnsi="Arial" w:cs="Arial"/>
          <w:sz w:val="22"/>
          <w:szCs w:val="22"/>
        </w:rPr>
      </w:pPr>
    </w:p>
    <w:p w:rsidR="004B1E26" w:rsidRPr="00AC1FD5" w:rsidRDefault="001D79C8" w:rsidP="00543060">
      <w:pPr>
        <w:spacing w:line="276" w:lineRule="auto"/>
        <w:jc w:val="both"/>
        <w:rPr>
          <w:rFonts w:ascii="Arial" w:eastAsia="Arial" w:hAnsi="Arial" w:cs="Arial"/>
          <w:sz w:val="22"/>
          <w:szCs w:val="22"/>
        </w:rPr>
      </w:pPr>
      <w:r w:rsidRPr="00AC1FD5">
        <w:rPr>
          <w:rFonts w:ascii="Arial" w:eastAsia="Arial" w:hAnsi="Arial" w:cs="Arial"/>
          <w:b/>
          <w:sz w:val="22"/>
          <w:szCs w:val="22"/>
        </w:rPr>
        <w:t>REGISTRO DE EMISIONES DE GEI</w:t>
      </w:r>
    </w:p>
    <w:p w:rsidR="004B1E26" w:rsidRPr="00AC1FD5" w:rsidRDefault="001D79C8">
      <w:pPr>
        <w:tabs>
          <w:tab w:val="left" w:pos="284"/>
          <w:tab w:val="left" w:pos="426"/>
        </w:tabs>
        <w:spacing w:after="200" w:line="276" w:lineRule="auto"/>
        <w:jc w:val="both"/>
        <w:rPr>
          <w:rFonts w:ascii="Arial" w:eastAsia="Arial" w:hAnsi="Arial" w:cs="Arial"/>
          <w:sz w:val="22"/>
          <w:szCs w:val="22"/>
        </w:rPr>
      </w:pPr>
      <w:r w:rsidRPr="00AC1FD5">
        <w:rPr>
          <w:rFonts w:ascii="Arial" w:eastAsia="Arial" w:hAnsi="Arial" w:cs="Arial"/>
          <w:sz w:val="22"/>
          <w:szCs w:val="22"/>
        </w:rPr>
        <w:t xml:space="preserve">El Coordinador del proceso realiza los cálculos según la metodología descrita anteriormente y se documentan en el </w:t>
      </w:r>
      <w:r w:rsidR="00CE07D9" w:rsidRPr="00AC1FD5">
        <w:rPr>
          <w:rFonts w:ascii="Arial" w:eastAsia="Arial" w:hAnsi="Arial" w:cs="Arial"/>
          <w:i/>
          <w:sz w:val="22"/>
          <w:szCs w:val="22"/>
        </w:rPr>
        <w:t xml:space="preserve">RCN-01 </w:t>
      </w:r>
      <w:r w:rsidR="00543060" w:rsidRPr="00AC1FD5">
        <w:rPr>
          <w:rFonts w:ascii="Arial" w:eastAsia="Arial" w:hAnsi="Arial" w:cs="Arial"/>
          <w:i/>
          <w:sz w:val="22"/>
          <w:szCs w:val="22"/>
        </w:rPr>
        <w:t xml:space="preserve">Registro de control y </w:t>
      </w:r>
      <w:r w:rsidR="00CE07D9" w:rsidRPr="00AC1FD5">
        <w:rPr>
          <w:rFonts w:ascii="Arial" w:eastAsia="Arial" w:hAnsi="Arial" w:cs="Arial"/>
          <w:i/>
          <w:sz w:val="22"/>
          <w:szCs w:val="22"/>
        </w:rPr>
        <w:t>cuantificación de emisiones de GEI</w:t>
      </w:r>
      <w:r w:rsidRPr="00AC1FD5">
        <w:rPr>
          <w:rFonts w:ascii="Arial" w:eastAsia="Arial" w:hAnsi="Arial" w:cs="Arial"/>
          <w:sz w:val="22"/>
          <w:szCs w:val="22"/>
        </w:rPr>
        <w:t>.  Los resultados de las emisiones en toneladas de dióxido de carbono equivalente (tCO</w:t>
      </w:r>
      <w:r w:rsidRPr="00AC1FD5">
        <w:rPr>
          <w:rFonts w:ascii="Arial" w:eastAsia="Arial" w:hAnsi="Arial" w:cs="Arial"/>
          <w:sz w:val="22"/>
          <w:szCs w:val="22"/>
          <w:vertAlign w:val="subscript"/>
        </w:rPr>
        <w:t>2</w:t>
      </w:r>
      <w:r w:rsidRPr="00AC1FD5">
        <w:rPr>
          <w:rFonts w:ascii="Arial" w:eastAsia="Arial" w:hAnsi="Arial" w:cs="Arial"/>
          <w:sz w:val="22"/>
          <w:szCs w:val="22"/>
        </w:rPr>
        <w:t xml:space="preserve">e) que se obtengan en dicho registro, el Coordinador los incluirá en el </w:t>
      </w:r>
      <w:r w:rsidR="00CE07D9" w:rsidRPr="00AC1FD5">
        <w:rPr>
          <w:rFonts w:ascii="Arial" w:eastAsia="Arial" w:hAnsi="Arial" w:cs="Arial"/>
          <w:sz w:val="22"/>
          <w:szCs w:val="22"/>
        </w:rPr>
        <w:t>Informe inventario GEI 2016 (I-01)</w:t>
      </w:r>
      <w:r w:rsidRPr="00AC1FD5">
        <w:rPr>
          <w:rFonts w:ascii="Arial" w:eastAsia="Arial" w:hAnsi="Arial" w:cs="Arial"/>
          <w:color w:val="FF0000"/>
          <w:sz w:val="22"/>
          <w:szCs w:val="22"/>
        </w:rPr>
        <w:t>,</w:t>
      </w:r>
      <w:r w:rsidRPr="00AC1FD5">
        <w:rPr>
          <w:rFonts w:ascii="Arial" w:eastAsia="Arial" w:hAnsi="Arial" w:cs="Arial"/>
          <w:sz w:val="22"/>
          <w:szCs w:val="22"/>
        </w:rPr>
        <w:t xml:space="preserve"> según el periodo de inventario que corresponda, y explicará los resultados obtenidos, considerando que es el responsable de actualizar la información contenida en dicho documento.</w:t>
      </w:r>
    </w:p>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b/>
          <w:sz w:val="22"/>
          <w:szCs w:val="22"/>
        </w:rPr>
        <w:t>EXCLUSIONES DE LA CUANTIFICACIÓN</w:t>
      </w:r>
    </w:p>
    <w:p w:rsidR="004B1E26" w:rsidRPr="00AC1FD5" w:rsidRDefault="004B1E26">
      <w:pPr>
        <w:tabs>
          <w:tab w:val="left" w:pos="284"/>
          <w:tab w:val="left" w:pos="426"/>
        </w:tabs>
        <w:spacing w:line="276" w:lineRule="auto"/>
        <w:jc w:val="both"/>
        <w:rPr>
          <w:rFonts w:ascii="Arial" w:eastAsia="Arial" w:hAnsi="Arial" w:cs="Arial"/>
          <w:sz w:val="22"/>
          <w:szCs w:val="22"/>
        </w:rPr>
      </w:pPr>
    </w:p>
    <w:p w:rsidR="00543060" w:rsidRPr="00AC1FD5" w:rsidRDefault="001D79C8" w:rsidP="00543060">
      <w:pPr>
        <w:tabs>
          <w:tab w:val="left" w:pos="284"/>
          <w:tab w:val="left" w:pos="426"/>
        </w:tabs>
        <w:spacing w:after="200" w:line="276" w:lineRule="auto"/>
        <w:jc w:val="both"/>
        <w:rPr>
          <w:rFonts w:ascii="Arial" w:eastAsia="Arial" w:hAnsi="Arial" w:cs="Arial"/>
          <w:sz w:val="22"/>
          <w:szCs w:val="22"/>
        </w:rPr>
      </w:pPr>
      <w:r w:rsidRPr="00AC1FD5">
        <w:rPr>
          <w:rFonts w:ascii="Arial" w:eastAsia="Arial" w:hAnsi="Arial" w:cs="Arial"/>
          <w:sz w:val="22"/>
          <w:szCs w:val="22"/>
        </w:rPr>
        <w:t>Los detalles de las exclusiones se documentan en el Informe de Inventario de GEI, código I-01.</w:t>
      </w:r>
    </w:p>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b/>
          <w:sz w:val="22"/>
          <w:szCs w:val="22"/>
        </w:rPr>
        <w:t>GESTIÓN DE LA CALIDAD DEL INVENTARIO DE GEI</w:t>
      </w:r>
    </w:p>
    <w:p w:rsidR="004B1E26" w:rsidRPr="00AC1FD5" w:rsidRDefault="004B1E26">
      <w:pPr>
        <w:tabs>
          <w:tab w:val="left" w:pos="284"/>
          <w:tab w:val="left" w:pos="426"/>
        </w:tabs>
        <w:spacing w:line="276" w:lineRule="auto"/>
        <w:jc w:val="both"/>
        <w:rPr>
          <w:rFonts w:ascii="Arial" w:eastAsia="Arial" w:hAnsi="Arial" w:cs="Arial"/>
          <w:sz w:val="22"/>
          <w:szCs w:val="22"/>
        </w:rPr>
      </w:pPr>
    </w:p>
    <w:p w:rsidR="004B1E26" w:rsidRPr="00AC1FD5" w:rsidRDefault="001D79C8">
      <w:pPr>
        <w:tabs>
          <w:tab w:val="left" w:pos="284"/>
          <w:tab w:val="left" w:pos="426"/>
        </w:tabs>
        <w:spacing w:after="200" w:line="276" w:lineRule="auto"/>
        <w:jc w:val="both"/>
        <w:rPr>
          <w:rFonts w:ascii="Arial" w:eastAsia="Arial" w:hAnsi="Arial" w:cs="Arial"/>
          <w:sz w:val="22"/>
          <w:szCs w:val="22"/>
        </w:rPr>
      </w:pPr>
      <w:r w:rsidRPr="00AC1FD5">
        <w:rPr>
          <w:rFonts w:ascii="Arial" w:eastAsia="Arial" w:hAnsi="Arial" w:cs="Arial"/>
          <w:sz w:val="22"/>
          <w:szCs w:val="22"/>
        </w:rPr>
        <w:t>La empresa establecerá y mantendrá procedimientos de gestión sobre GEI como es el caso del presente documento para:</w:t>
      </w:r>
    </w:p>
    <w:p w:rsidR="004B1E26" w:rsidRPr="00AC1FD5" w:rsidRDefault="001D79C8">
      <w:pPr>
        <w:numPr>
          <w:ilvl w:val="0"/>
          <w:numId w:val="2"/>
        </w:numPr>
        <w:tabs>
          <w:tab w:val="left" w:pos="284"/>
          <w:tab w:val="left" w:pos="426"/>
        </w:tabs>
        <w:spacing w:line="276" w:lineRule="auto"/>
        <w:jc w:val="both"/>
        <w:rPr>
          <w:rFonts w:ascii="Arial" w:hAnsi="Arial" w:cs="Arial"/>
          <w:sz w:val="22"/>
          <w:szCs w:val="22"/>
        </w:rPr>
      </w:pPr>
      <w:r w:rsidRPr="00AC1FD5">
        <w:rPr>
          <w:rFonts w:ascii="Arial" w:eastAsia="Arial" w:hAnsi="Arial" w:cs="Arial"/>
          <w:sz w:val="22"/>
          <w:szCs w:val="22"/>
        </w:rPr>
        <w:t>Asegurar el cumplimiento de las normas INTE-ISO 14064-1:2006 e BN 2016</w:t>
      </w:r>
    </w:p>
    <w:p w:rsidR="004B1E26" w:rsidRPr="00AC1FD5" w:rsidRDefault="001D79C8">
      <w:pPr>
        <w:numPr>
          <w:ilvl w:val="0"/>
          <w:numId w:val="2"/>
        </w:numPr>
        <w:tabs>
          <w:tab w:val="left" w:pos="284"/>
          <w:tab w:val="left" w:pos="426"/>
        </w:tabs>
        <w:spacing w:line="276" w:lineRule="auto"/>
        <w:jc w:val="both"/>
        <w:rPr>
          <w:rFonts w:ascii="Arial" w:hAnsi="Arial" w:cs="Arial"/>
          <w:sz w:val="22"/>
          <w:szCs w:val="22"/>
        </w:rPr>
      </w:pPr>
      <w:r w:rsidRPr="00AC1FD5">
        <w:rPr>
          <w:rFonts w:ascii="Arial" w:eastAsia="Arial" w:hAnsi="Arial" w:cs="Arial"/>
          <w:sz w:val="22"/>
          <w:szCs w:val="22"/>
        </w:rPr>
        <w:t>Asegurar la coherencia con el uso futuro del inventario</w:t>
      </w:r>
    </w:p>
    <w:p w:rsidR="004B1E26" w:rsidRPr="00AC1FD5" w:rsidRDefault="001D79C8">
      <w:pPr>
        <w:numPr>
          <w:ilvl w:val="0"/>
          <w:numId w:val="2"/>
        </w:numPr>
        <w:tabs>
          <w:tab w:val="left" w:pos="284"/>
          <w:tab w:val="left" w:pos="426"/>
        </w:tabs>
        <w:spacing w:line="276" w:lineRule="auto"/>
        <w:jc w:val="both"/>
        <w:rPr>
          <w:rFonts w:ascii="Arial" w:hAnsi="Arial" w:cs="Arial"/>
          <w:sz w:val="22"/>
          <w:szCs w:val="22"/>
        </w:rPr>
      </w:pPr>
      <w:r w:rsidRPr="00AC1FD5">
        <w:rPr>
          <w:rFonts w:ascii="Arial" w:eastAsia="Arial" w:hAnsi="Arial" w:cs="Arial"/>
          <w:sz w:val="22"/>
          <w:szCs w:val="22"/>
        </w:rPr>
        <w:t>Proporcionar revisiones rutinarias y coherentes para asegurar la exactitud y cobertura total del inventario de GEI,</w:t>
      </w:r>
    </w:p>
    <w:p w:rsidR="004B1E26" w:rsidRPr="00AC1FD5" w:rsidRDefault="001D79C8">
      <w:pPr>
        <w:numPr>
          <w:ilvl w:val="0"/>
          <w:numId w:val="2"/>
        </w:numPr>
        <w:tabs>
          <w:tab w:val="left" w:pos="284"/>
          <w:tab w:val="left" w:pos="426"/>
        </w:tabs>
        <w:spacing w:line="276" w:lineRule="auto"/>
        <w:jc w:val="both"/>
        <w:rPr>
          <w:rFonts w:ascii="Arial" w:hAnsi="Arial" w:cs="Arial"/>
          <w:sz w:val="22"/>
          <w:szCs w:val="22"/>
        </w:rPr>
      </w:pPr>
      <w:r w:rsidRPr="00AC1FD5">
        <w:rPr>
          <w:rFonts w:ascii="Arial" w:eastAsia="Arial" w:hAnsi="Arial" w:cs="Arial"/>
          <w:sz w:val="22"/>
          <w:szCs w:val="22"/>
        </w:rPr>
        <w:t>Identificar y dar tratamiento a los errores y las omisiones</w:t>
      </w:r>
    </w:p>
    <w:p w:rsidR="004B1E26" w:rsidRPr="00AC1FD5" w:rsidRDefault="001D79C8">
      <w:pPr>
        <w:numPr>
          <w:ilvl w:val="0"/>
          <w:numId w:val="2"/>
        </w:numPr>
        <w:tabs>
          <w:tab w:val="left" w:pos="284"/>
          <w:tab w:val="left" w:pos="426"/>
        </w:tabs>
        <w:spacing w:line="276" w:lineRule="auto"/>
        <w:jc w:val="both"/>
        <w:rPr>
          <w:rFonts w:ascii="Arial" w:hAnsi="Arial" w:cs="Arial"/>
          <w:sz w:val="22"/>
          <w:szCs w:val="22"/>
        </w:rPr>
      </w:pPr>
      <w:r w:rsidRPr="00AC1FD5">
        <w:rPr>
          <w:rFonts w:ascii="Arial" w:eastAsia="Arial" w:hAnsi="Arial" w:cs="Arial"/>
          <w:sz w:val="22"/>
          <w:szCs w:val="22"/>
        </w:rPr>
        <w:t>Documentar y archivar los registros pertinentes del inventario de GEI, incluyendo las actividades de gestión de la información.</w:t>
      </w:r>
    </w:p>
    <w:p w:rsidR="004B1E26" w:rsidRPr="00AC1FD5" w:rsidRDefault="001D79C8">
      <w:pPr>
        <w:numPr>
          <w:ilvl w:val="0"/>
          <w:numId w:val="2"/>
        </w:numPr>
        <w:spacing w:line="276" w:lineRule="auto"/>
        <w:jc w:val="both"/>
        <w:rPr>
          <w:rFonts w:ascii="Arial" w:hAnsi="Arial" w:cs="Arial"/>
          <w:sz w:val="22"/>
          <w:szCs w:val="22"/>
        </w:rPr>
      </w:pPr>
      <w:r w:rsidRPr="00AC1FD5">
        <w:rPr>
          <w:rFonts w:ascii="Arial" w:eastAsia="Arial" w:hAnsi="Arial" w:cs="Arial"/>
          <w:sz w:val="22"/>
          <w:szCs w:val="22"/>
        </w:rPr>
        <w:t xml:space="preserve">Registros derivados de la aplicación de este procedimiento. </w:t>
      </w:r>
    </w:p>
    <w:p w:rsidR="00543060" w:rsidRPr="00AC1FD5" w:rsidRDefault="00543060">
      <w:pPr>
        <w:spacing w:line="276" w:lineRule="auto"/>
        <w:jc w:val="both"/>
        <w:rPr>
          <w:rFonts w:ascii="Arial" w:eastAsia="Arial" w:hAnsi="Arial" w:cs="Arial"/>
          <w:sz w:val="22"/>
          <w:szCs w:val="22"/>
        </w:rPr>
      </w:pPr>
    </w:p>
    <w:p w:rsidR="004B1E26" w:rsidRPr="00AC1FD5" w:rsidRDefault="001D79C8">
      <w:pPr>
        <w:spacing w:line="276" w:lineRule="auto"/>
        <w:jc w:val="both"/>
        <w:rPr>
          <w:rFonts w:ascii="Arial" w:eastAsia="Arial" w:hAnsi="Arial" w:cs="Arial"/>
          <w:sz w:val="22"/>
          <w:szCs w:val="22"/>
        </w:rPr>
      </w:pPr>
      <w:r w:rsidRPr="00AC1FD5">
        <w:rPr>
          <w:rFonts w:ascii="Arial" w:eastAsia="Arial" w:hAnsi="Arial" w:cs="Arial"/>
          <w:b/>
          <w:sz w:val="22"/>
          <w:szCs w:val="22"/>
        </w:rPr>
        <w:lastRenderedPageBreak/>
        <w:t>INFORME DE GEI</w:t>
      </w:r>
    </w:p>
    <w:p w:rsidR="004B1E26" w:rsidRPr="00AC1FD5" w:rsidRDefault="004B1E26">
      <w:pPr>
        <w:tabs>
          <w:tab w:val="left" w:pos="284"/>
          <w:tab w:val="left" w:pos="426"/>
        </w:tabs>
        <w:spacing w:line="276" w:lineRule="auto"/>
        <w:rPr>
          <w:rFonts w:ascii="Arial" w:eastAsia="Arial" w:hAnsi="Arial" w:cs="Arial"/>
          <w:sz w:val="22"/>
          <w:szCs w:val="22"/>
        </w:rPr>
      </w:pPr>
    </w:p>
    <w:p w:rsidR="004B1E26" w:rsidRPr="00AC1FD5" w:rsidRDefault="001D79C8">
      <w:pPr>
        <w:tabs>
          <w:tab w:val="left" w:pos="284"/>
          <w:tab w:val="left" w:pos="426"/>
        </w:tabs>
        <w:spacing w:after="200" w:line="276" w:lineRule="auto"/>
        <w:jc w:val="both"/>
        <w:rPr>
          <w:rFonts w:ascii="Arial" w:eastAsia="Arial" w:hAnsi="Arial" w:cs="Arial"/>
          <w:sz w:val="22"/>
          <w:szCs w:val="22"/>
        </w:rPr>
      </w:pPr>
      <w:r w:rsidRPr="00AC1FD5">
        <w:rPr>
          <w:rFonts w:ascii="Arial" w:eastAsia="Arial" w:hAnsi="Arial" w:cs="Arial"/>
          <w:sz w:val="22"/>
          <w:szCs w:val="22"/>
        </w:rPr>
        <w:t xml:space="preserve">Para facilitar la verificación del inventario de GEI e informar a los usuarios internos o externos, la empresa documenta y actualiza el </w:t>
      </w:r>
      <w:r w:rsidR="00543060" w:rsidRPr="00AC1FD5">
        <w:rPr>
          <w:rFonts w:ascii="Arial" w:eastAsia="Arial" w:hAnsi="Arial" w:cs="Arial"/>
          <w:i/>
          <w:sz w:val="22"/>
          <w:szCs w:val="22"/>
        </w:rPr>
        <w:t xml:space="preserve">I-01 </w:t>
      </w:r>
      <w:r w:rsidRPr="00AC1FD5">
        <w:rPr>
          <w:rFonts w:ascii="Arial" w:eastAsia="Arial" w:hAnsi="Arial" w:cs="Arial"/>
          <w:i/>
          <w:sz w:val="22"/>
          <w:szCs w:val="22"/>
        </w:rPr>
        <w:t>Informe de Inventario de GEI</w:t>
      </w:r>
      <w:r w:rsidR="00543060" w:rsidRPr="00AC1FD5">
        <w:rPr>
          <w:rFonts w:ascii="Arial" w:eastAsia="Arial" w:hAnsi="Arial" w:cs="Arial"/>
          <w:i/>
          <w:sz w:val="22"/>
          <w:szCs w:val="22"/>
        </w:rPr>
        <w:t xml:space="preserve"> 2016</w:t>
      </w:r>
      <w:r w:rsidRPr="00AC1FD5">
        <w:rPr>
          <w:rFonts w:ascii="Arial" w:eastAsia="Arial" w:hAnsi="Arial" w:cs="Arial"/>
          <w:sz w:val="22"/>
          <w:szCs w:val="22"/>
        </w:rPr>
        <w:t>.</w:t>
      </w:r>
    </w:p>
    <w:p w:rsidR="00543060" w:rsidRPr="00AC1FD5" w:rsidRDefault="001D79C8">
      <w:pPr>
        <w:tabs>
          <w:tab w:val="left" w:pos="284"/>
          <w:tab w:val="left" w:pos="426"/>
        </w:tabs>
        <w:spacing w:after="200" w:line="276" w:lineRule="auto"/>
        <w:jc w:val="both"/>
        <w:rPr>
          <w:rFonts w:ascii="Arial" w:eastAsia="Arial" w:hAnsi="Arial" w:cs="Arial"/>
          <w:sz w:val="22"/>
          <w:szCs w:val="22"/>
        </w:rPr>
      </w:pPr>
      <w:r w:rsidRPr="00AC1FD5">
        <w:rPr>
          <w:rFonts w:ascii="Arial" w:eastAsia="Arial" w:hAnsi="Arial" w:cs="Arial"/>
          <w:sz w:val="22"/>
          <w:szCs w:val="22"/>
        </w:rPr>
        <w:t>Dicho informe estará disponible a los usuarios previstos a través de los mecanismos de comunicación que se requiera y, a la vez, se realizará la actualización que requiera una vez al año.</w:t>
      </w:r>
    </w:p>
    <w:p w:rsidR="00543060" w:rsidRPr="00AC1FD5" w:rsidRDefault="00543060">
      <w:pPr>
        <w:tabs>
          <w:tab w:val="left" w:pos="284"/>
          <w:tab w:val="left" w:pos="426"/>
        </w:tabs>
        <w:spacing w:after="200" w:line="276" w:lineRule="auto"/>
        <w:jc w:val="both"/>
        <w:rPr>
          <w:rFonts w:ascii="Arial" w:eastAsia="Arial" w:hAnsi="Arial" w:cs="Arial"/>
          <w:sz w:val="22"/>
          <w:szCs w:val="22"/>
        </w:rPr>
      </w:pPr>
    </w:p>
    <w:p w:rsidR="00543060" w:rsidRDefault="00543060">
      <w:pPr>
        <w:tabs>
          <w:tab w:val="left" w:pos="284"/>
          <w:tab w:val="left" w:pos="426"/>
        </w:tabs>
        <w:spacing w:after="200" w:line="276" w:lineRule="auto"/>
        <w:jc w:val="both"/>
        <w:rPr>
          <w:rFonts w:ascii="Arial" w:eastAsia="Arial" w:hAnsi="Arial" w:cs="Arial"/>
          <w:sz w:val="22"/>
          <w:szCs w:val="22"/>
        </w:rPr>
      </w:pPr>
    </w:p>
    <w:p w:rsidR="00AC1FD5" w:rsidRDefault="00AC1FD5">
      <w:pPr>
        <w:tabs>
          <w:tab w:val="left" w:pos="284"/>
          <w:tab w:val="left" w:pos="426"/>
        </w:tabs>
        <w:spacing w:after="200" w:line="276" w:lineRule="auto"/>
        <w:jc w:val="both"/>
        <w:rPr>
          <w:rFonts w:ascii="Arial" w:eastAsia="Arial" w:hAnsi="Arial" w:cs="Arial"/>
          <w:sz w:val="22"/>
          <w:szCs w:val="22"/>
        </w:rPr>
      </w:pPr>
    </w:p>
    <w:p w:rsidR="00AC1FD5" w:rsidRDefault="00AC1FD5">
      <w:pPr>
        <w:tabs>
          <w:tab w:val="left" w:pos="284"/>
          <w:tab w:val="left" w:pos="426"/>
        </w:tabs>
        <w:spacing w:after="200" w:line="276" w:lineRule="auto"/>
        <w:jc w:val="both"/>
        <w:rPr>
          <w:rFonts w:ascii="Arial" w:eastAsia="Arial" w:hAnsi="Arial" w:cs="Arial"/>
          <w:sz w:val="22"/>
          <w:szCs w:val="22"/>
        </w:rPr>
      </w:pPr>
    </w:p>
    <w:p w:rsidR="00AC1FD5" w:rsidRDefault="00AC1FD5">
      <w:pPr>
        <w:tabs>
          <w:tab w:val="left" w:pos="284"/>
          <w:tab w:val="left" w:pos="426"/>
        </w:tabs>
        <w:spacing w:after="200" w:line="276" w:lineRule="auto"/>
        <w:jc w:val="both"/>
        <w:rPr>
          <w:rFonts w:ascii="Arial" w:eastAsia="Arial" w:hAnsi="Arial" w:cs="Arial"/>
          <w:sz w:val="22"/>
          <w:szCs w:val="22"/>
        </w:rPr>
      </w:pPr>
    </w:p>
    <w:p w:rsidR="00AC1FD5" w:rsidRDefault="00AC1FD5">
      <w:pPr>
        <w:tabs>
          <w:tab w:val="left" w:pos="284"/>
          <w:tab w:val="left" w:pos="426"/>
        </w:tabs>
        <w:spacing w:after="200" w:line="276" w:lineRule="auto"/>
        <w:jc w:val="both"/>
        <w:rPr>
          <w:rFonts w:ascii="Arial" w:eastAsia="Arial" w:hAnsi="Arial" w:cs="Arial"/>
          <w:sz w:val="22"/>
          <w:szCs w:val="22"/>
        </w:rPr>
      </w:pPr>
    </w:p>
    <w:p w:rsidR="00AC1FD5" w:rsidRDefault="00AC1FD5">
      <w:pPr>
        <w:tabs>
          <w:tab w:val="left" w:pos="284"/>
          <w:tab w:val="left" w:pos="426"/>
        </w:tabs>
        <w:spacing w:after="200" w:line="276" w:lineRule="auto"/>
        <w:jc w:val="both"/>
        <w:rPr>
          <w:rFonts w:ascii="Arial" w:eastAsia="Arial" w:hAnsi="Arial" w:cs="Arial"/>
          <w:sz w:val="22"/>
          <w:szCs w:val="22"/>
        </w:rPr>
      </w:pPr>
    </w:p>
    <w:p w:rsidR="00AC1FD5" w:rsidRDefault="00AC1FD5">
      <w:pPr>
        <w:tabs>
          <w:tab w:val="left" w:pos="284"/>
          <w:tab w:val="left" w:pos="426"/>
        </w:tabs>
        <w:spacing w:after="200" w:line="276" w:lineRule="auto"/>
        <w:jc w:val="both"/>
        <w:rPr>
          <w:rFonts w:ascii="Arial" w:eastAsia="Arial" w:hAnsi="Arial" w:cs="Arial"/>
          <w:sz w:val="22"/>
          <w:szCs w:val="22"/>
        </w:rPr>
      </w:pPr>
    </w:p>
    <w:p w:rsidR="00AC1FD5" w:rsidRDefault="00AC1FD5">
      <w:pPr>
        <w:tabs>
          <w:tab w:val="left" w:pos="284"/>
          <w:tab w:val="left" w:pos="426"/>
        </w:tabs>
        <w:spacing w:after="200" w:line="276" w:lineRule="auto"/>
        <w:jc w:val="both"/>
        <w:rPr>
          <w:rFonts w:ascii="Arial" w:eastAsia="Arial" w:hAnsi="Arial" w:cs="Arial"/>
          <w:sz w:val="22"/>
          <w:szCs w:val="22"/>
        </w:rPr>
      </w:pPr>
    </w:p>
    <w:p w:rsidR="00AC1FD5" w:rsidRDefault="00AC1FD5">
      <w:pPr>
        <w:tabs>
          <w:tab w:val="left" w:pos="284"/>
          <w:tab w:val="left" w:pos="426"/>
        </w:tabs>
        <w:spacing w:after="200" w:line="276" w:lineRule="auto"/>
        <w:jc w:val="both"/>
        <w:rPr>
          <w:rFonts w:ascii="Arial" w:eastAsia="Arial" w:hAnsi="Arial" w:cs="Arial"/>
          <w:sz w:val="22"/>
          <w:szCs w:val="22"/>
        </w:rPr>
      </w:pPr>
    </w:p>
    <w:p w:rsidR="00AC1FD5" w:rsidRDefault="00AC1FD5">
      <w:pPr>
        <w:tabs>
          <w:tab w:val="left" w:pos="284"/>
          <w:tab w:val="left" w:pos="426"/>
        </w:tabs>
        <w:spacing w:after="200" w:line="276" w:lineRule="auto"/>
        <w:jc w:val="both"/>
        <w:rPr>
          <w:rFonts w:ascii="Arial" w:eastAsia="Arial" w:hAnsi="Arial" w:cs="Arial"/>
          <w:sz w:val="22"/>
          <w:szCs w:val="22"/>
        </w:rPr>
      </w:pPr>
    </w:p>
    <w:p w:rsidR="00AC1FD5" w:rsidRDefault="00AC1FD5">
      <w:pPr>
        <w:tabs>
          <w:tab w:val="left" w:pos="284"/>
          <w:tab w:val="left" w:pos="426"/>
        </w:tabs>
        <w:spacing w:after="200" w:line="276" w:lineRule="auto"/>
        <w:jc w:val="both"/>
        <w:rPr>
          <w:rFonts w:ascii="Arial" w:eastAsia="Arial" w:hAnsi="Arial" w:cs="Arial"/>
          <w:sz w:val="22"/>
          <w:szCs w:val="22"/>
        </w:rPr>
      </w:pPr>
    </w:p>
    <w:p w:rsidR="00AC1FD5" w:rsidRDefault="00AC1FD5">
      <w:pPr>
        <w:tabs>
          <w:tab w:val="left" w:pos="284"/>
          <w:tab w:val="left" w:pos="426"/>
        </w:tabs>
        <w:spacing w:after="200" w:line="276" w:lineRule="auto"/>
        <w:jc w:val="both"/>
        <w:rPr>
          <w:rFonts w:ascii="Arial" w:eastAsia="Arial" w:hAnsi="Arial" w:cs="Arial"/>
          <w:sz w:val="22"/>
          <w:szCs w:val="22"/>
        </w:rPr>
      </w:pPr>
    </w:p>
    <w:p w:rsidR="00AC1FD5" w:rsidRDefault="00AC1FD5">
      <w:pPr>
        <w:tabs>
          <w:tab w:val="left" w:pos="284"/>
          <w:tab w:val="left" w:pos="426"/>
        </w:tabs>
        <w:spacing w:after="200" w:line="276" w:lineRule="auto"/>
        <w:jc w:val="both"/>
        <w:rPr>
          <w:rFonts w:ascii="Arial" w:eastAsia="Arial" w:hAnsi="Arial" w:cs="Arial"/>
          <w:sz w:val="22"/>
          <w:szCs w:val="22"/>
        </w:rPr>
      </w:pPr>
    </w:p>
    <w:p w:rsidR="00AC1FD5" w:rsidRDefault="00AC1FD5">
      <w:pPr>
        <w:tabs>
          <w:tab w:val="left" w:pos="284"/>
          <w:tab w:val="left" w:pos="426"/>
        </w:tabs>
        <w:spacing w:after="200" w:line="276" w:lineRule="auto"/>
        <w:jc w:val="both"/>
        <w:rPr>
          <w:rFonts w:ascii="Arial" w:eastAsia="Arial" w:hAnsi="Arial" w:cs="Arial"/>
          <w:sz w:val="22"/>
          <w:szCs w:val="22"/>
        </w:rPr>
      </w:pPr>
    </w:p>
    <w:p w:rsidR="00AC1FD5" w:rsidRDefault="00AC1FD5">
      <w:pPr>
        <w:tabs>
          <w:tab w:val="left" w:pos="284"/>
          <w:tab w:val="left" w:pos="426"/>
        </w:tabs>
        <w:spacing w:after="200" w:line="276" w:lineRule="auto"/>
        <w:jc w:val="both"/>
        <w:rPr>
          <w:rFonts w:ascii="Arial" w:eastAsia="Arial" w:hAnsi="Arial" w:cs="Arial"/>
          <w:sz w:val="22"/>
          <w:szCs w:val="22"/>
        </w:rPr>
      </w:pPr>
    </w:p>
    <w:p w:rsidR="00AC1FD5" w:rsidRDefault="00AC1FD5">
      <w:pPr>
        <w:tabs>
          <w:tab w:val="left" w:pos="284"/>
          <w:tab w:val="left" w:pos="426"/>
        </w:tabs>
        <w:spacing w:after="200" w:line="276" w:lineRule="auto"/>
        <w:jc w:val="both"/>
        <w:rPr>
          <w:rFonts w:ascii="Arial" w:eastAsia="Arial" w:hAnsi="Arial" w:cs="Arial"/>
          <w:sz w:val="22"/>
          <w:szCs w:val="22"/>
        </w:rPr>
      </w:pPr>
    </w:p>
    <w:p w:rsidR="00AC1FD5" w:rsidRDefault="00AC1FD5">
      <w:pPr>
        <w:tabs>
          <w:tab w:val="left" w:pos="284"/>
          <w:tab w:val="left" w:pos="426"/>
        </w:tabs>
        <w:spacing w:after="200" w:line="276" w:lineRule="auto"/>
        <w:jc w:val="both"/>
        <w:rPr>
          <w:rFonts w:ascii="Arial" w:eastAsia="Arial" w:hAnsi="Arial" w:cs="Arial"/>
          <w:sz w:val="22"/>
          <w:szCs w:val="22"/>
        </w:rPr>
      </w:pPr>
    </w:p>
    <w:p w:rsidR="00AC1FD5" w:rsidRDefault="00AC1FD5">
      <w:pPr>
        <w:tabs>
          <w:tab w:val="left" w:pos="284"/>
          <w:tab w:val="left" w:pos="426"/>
        </w:tabs>
        <w:spacing w:after="200" w:line="276" w:lineRule="auto"/>
        <w:jc w:val="both"/>
        <w:rPr>
          <w:rFonts w:ascii="Arial" w:eastAsia="Arial" w:hAnsi="Arial" w:cs="Arial"/>
          <w:sz w:val="22"/>
          <w:szCs w:val="22"/>
        </w:rPr>
      </w:pPr>
    </w:p>
    <w:p w:rsidR="00543060" w:rsidRDefault="00543060">
      <w:pPr>
        <w:tabs>
          <w:tab w:val="left" w:pos="284"/>
          <w:tab w:val="left" w:pos="426"/>
        </w:tabs>
        <w:spacing w:after="200" w:line="276" w:lineRule="auto"/>
        <w:jc w:val="both"/>
        <w:rPr>
          <w:rFonts w:ascii="Arial" w:eastAsia="Arial" w:hAnsi="Arial" w:cs="Arial"/>
          <w:sz w:val="22"/>
          <w:szCs w:val="22"/>
        </w:rPr>
      </w:pPr>
    </w:p>
    <w:p w:rsidR="004B1E26" w:rsidRDefault="001D79C8">
      <w:pPr>
        <w:tabs>
          <w:tab w:val="left" w:pos="284"/>
          <w:tab w:val="left" w:pos="426"/>
        </w:tabs>
        <w:spacing w:after="200" w:line="276" w:lineRule="auto"/>
        <w:jc w:val="both"/>
        <w:rPr>
          <w:rFonts w:ascii="Arial" w:eastAsia="Arial" w:hAnsi="Arial" w:cs="Arial"/>
          <w:sz w:val="22"/>
          <w:szCs w:val="22"/>
        </w:rPr>
      </w:pPr>
      <w:r>
        <w:rPr>
          <w:rFonts w:ascii="Arial" w:eastAsia="Arial" w:hAnsi="Arial" w:cs="Arial"/>
          <w:b/>
          <w:sz w:val="22"/>
          <w:szCs w:val="22"/>
        </w:rPr>
        <w:t>ANEXOS</w:t>
      </w:r>
    </w:p>
    <w:p w:rsidR="004B1E26" w:rsidRDefault="001D79C8">
      <w:pPr>
        <w:tabs>
          <w:tab w:val="left" w:pos="284"/>
          <w:tab w:val="left" w:pos="426"/>
        </w:tabs>
        <w:spacing w:after="200" w:line="276" w:lineRule="auto"/>
        <w:jc w:val="both"/>
        <w:rPr>
          <w:rFonts w:ascii="Arial" w:eastAsia="Arial" w:hAnsi="Arial" w:cs="Arial"/>
          <w:sz w:val="22"/>
          <w:szCs w:val="22"/>
        </w:rPr>
      </w:pPr>
      <w:r>
        <w:rPr>
          <w:rFonts w:ascii="Arial" w:eastAsia="Arial" w:hAnsi="Arial" w:cs="Arial"/>
          <w:sz w:val="22"/>
          <w:szCs w:val="22"/>
        </w:rPr>
        <w:t xml:space="preserve">Anexo 1. </w:t>
      </w:r>
    </w:p>
    <w:p w:rsidR="004B1E26" w:rsidRDefault="001D79C8">
      <w:pPr>
        <w:tabs>
          <w:tab w:val="left" w:pos="284"/>
          <w:tab w:val="left" w:pos="426"/>
        </w:tabs>
        <w:spacing w:after="200" w:line="276" w:lineRule="auto"/>
        <w:jc w:val="both"/>
        <w:rPr>
          <w:rFonts w:ascii="Arial" w:eastAsia="Arial" w:hAnsi="Arial" w:cs="Arial"/>
          <w:sz w:val="22"/>
          <w:szCs w:val="22"/>
        </w:rPr>
      </w:pPr>
      <w:r>
        <w:rPr>
          <w:rFonts w:ascii="Arial" w:eastAsia="Arial" w:hAnsi="Arial" w:cs="Arial"/>
          <w:noProof/>
          <w:sz w:val="22"/>
          <w:szCs w:val="22"/>
          <w:lang w:val="en-US"/>
        </w:rPr>
        <w:drawing>
          <wp:inline distT="0" distB="0" distL="114300" distR="114300">
            <wp:extent cx="4911090" cy="5391785"/>
            <wp:effectExtent l="0" t="0" r="0" b="0"/>
            <wp:docPr id="1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6"/>
                    <a:srcRect/>
                    <a:stretch>
                      <a:fillRect/>
                    </a:stretch>
                  </pic:blipFill>
                  <pic:spPr>
                    <a:xfrm>
                      <a:off x="0" y="0"/>
                      <a:ext cx="4911090" cy="5391785"/>
                    </a:xfrm>
                    <a:prstGeom prst="rect">
                      <a:avLst/>
                    </a:prstGeom>
                    <a:ln/>
                  </pic:spPr>
                </pic:pic>
              </a:graphicData>
            </a:graphic>
          </wp:inline>
        </w:drawing>
      </w:r>
    </w:p>
    <w:p w:rsidR="004B1E26" w:rsidRDefault="004B1E26">
      <w:pPr>
        <w:tabs>
          <w:tab w:val="left" w:pos="284"/>
          <w:tab w:val="left" w:pos="426"/>
        </w:tabs>
        <w:spacing w:line="276" w:lineRule="auto"/>
        <w:jc w:val="both"/>
        <w:rPr>
          <w:rFonts w:ascii="Arial" w:eastAsia="Arial" w:hAnsi="Arial" w:cs="Arial"/>
          <w:sz w:val="22"/>
          <w:szCs w:val="22"/>
        </w:rPr>
      </w:pPr>
    </w:p>
    <w:p w:rsidR="004B1E26" w:rsidRDefault="004B1E26">
      <w:pPr>
        <w:tabs>
          <w:tab w:val="left" w:pos="284"/>
          <w:tab w:val="left" w:pos="426"/>
        </w:tabs>
        <w:spacing w:line="276" w:lineRule="auto"/>
        <w:jc w:val="both"/>
        <w:rPr>
          <w:rFonts w:ascii="Arial" w:eastAsia="Arial" w:hAnsi="Arial" w:cs="Arial"/>
          <w:sz w:val="22"/>
          <w:szCs w:val="22"/>
        </w:rPr>
      </w:pPr>
    </w:p>
    <w:p w:rsidR="004B1E26" w:rsidRDefault="001D79C8">
      <w:pPr>
        <w:tabs>
          <w:tab w:val="left" w:pos="284"/>
          <w:tab w:val="left" w:pos="426"/>
        </w:tabs>
        <w:spacing w:after="200" w:line="276" w:lineRule="auto"/>
        <w:jc w:val="center"/>
        <w:rPr>
          <w:rFonts w:ascii="Arial" w:eastAsia="Arial" w:hAnsi="Arial" w:cs="Arial"/>
          <w:sz w:val="36"/>
          <w:szCs w:val="36"/>
        </w:rPr>
      </w:pPr>
      <w:r>
        <w:rPr>
          <w:rFonts w:ascii="Arial" w:eastAsia="Arial" w:hAnsi="Arial" w:cs="Arial"/>
          <w:b/>
          <w:sz w:val="36"/>
          <w:szCs w:val="36"/>
        </w:rPr>
        <w:t>FIN DE DOCUMENTO</w:t>
      </w:r>
    </w:p>
    <w:sectPr w:rsidR="004B1E26">
      <w:headerReference w:type="default" r:id="rId17"/>
      <w:headerReference w:type="first" r:id="rId18"/>
      <w:pgSz w:w="12240" w:h="15840"/>
      <w:pgMar w:top="1440" w:right="1797" w:bottom="1440" w:left="1797"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399B" w:rsidRDefault="0010399B">
      <w:r>
        <w:separator/>
      </w:r>
    </w:p>
  </w:endnote>
  <w:endnote w:type="continuationSeparator" w:id="0">
    <w:p w:rsidR="0010399B" w:rsidRDefault="001039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399B" w:rsidRDefault="0010399B">
      <w:r>
        <w:separator/>
      </w:r>
    </w:p>
  </w:footnote>
  <w:footnote w:type="continuationSeparator" w:id="0">
    <w:p w:rsidR="0010399B" w:rsidRDefault="0010399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1E26" w:rsidRDefault="004B1E26">
    <w:pPr>
      <w:widowControl w:val="0"/>
      <w:pBdr>
        <w:top w:val="nil"/>
        <w:left w:val="nil"/>
        <w:bottom w:val="nil"/>
        <w:right w:val="nil"/>
        <w:between w:val="nil"/>
      </w:pBdr>
      <w:spacing w:line="276" w:lineRule="auto"/>
      <w:rPr>
        <w:rFonts w:ascii="Arial" w:eastAsia="Arial" w:hAnsi="Arial" w:cs="Arial"/>
        <w:sz w:val="36"/>
        <w:szCs w:val="36"/>
      </w:rPr>
    </w:pPr>
  </w:p>
  <w:tbl>
    <w:tblPr>
      <w:tblStyle w:val="a9"/>
      <w:tblW w:w="9993" w:type="dxa"/>
      <w:jc w:val="center"/>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2704"/>
      <w:gridCol w:w="4788"/>
      <w:gridCol w:w="2501"/>
    </w:tblGrid>
    <w:tr w:rsidR="004B1E26">
      <w:trPr>
        <w:trHeight w:val="840"/>
        <w:jc w:val="center"/>
      </w:trPr>
      <w:tc>
        <w:tcPr>
          <w:tcW w:w="9993" w:type="dxa"/>
          <w:gridSpan w:val="3"/>
          <w:tcBorders>
            <w:bottom w:val="single" w:sz="8" w:space="0" w:color="76923C"/>
          </w:tcBorders>
        </w:tcPr>
        <w:p w:rsidR="004B1E26" w:rsidRDefault="001D79C8">
          <w:pPr>
            <w:pBdr>
              <w:top w:val="nil"/>
              <w:left w:val="nil"/>
              <w:bottom w:val="nil"/>
              <w:right w:val="nil"/>
              <w:between w:val="nil"/>
            </w:pBdr>
            <w:tabs>
              <w:tab w:val="center" w:pos="4419"/>
              <w:tab w:val="right" w:pos="8838"/>
            </w:tabs>
            <w:spacing w:after="120"/>
            <w:jc w:val="center"/>
            <w:rPr>
              <w:rFonts w:ascii="Calibri" w:eastAsia="Calibri" w:hAnsi="Calibri" w:cs="Calibri"/>
              <w:color w:val="000000"/>
            </w:rPr>
          </w:pPr>
          <w:r>
            <w:rPr>
              <w:rFonts w:ascii="Calibri" w:eastAsia="Calibri" w:hAnsi="Calibri" w:cs="Calibri"/>
              <w:b/>
              <w:color w:val="000000"/>
              <w:sz w:val="20"/>
              <w:szCs w:val="20"/>
            </w:rPr>
            <w:t>PROCEDIMIENTO PARA LA CUANTIFICACIÓN DE EMISIONES DE GASES DE EFECTO INVERNADERO</w:t>
          </w:r>
        </w:p>
        <w:p w:rsidR="004B1E26" w:rsidRDefault="001D79C8">
          <w:pPr>
            <w:pBdr>
              <w:top w:val="nil"/>
              <w:left w:val="nil"/>
              <w:bottom w:val="nil"/>
              <w:right w:val="nil"/>
              <w:between w:val="nil"/>
            </w:pBdr>
            <w:tabs>
              <w:tab w:val="center" w:pos="4419"/>
              <w:tab w:val="right" w:pos="8838"/>
            </w:tabs>
            <w:jc w:val="center"/>
            <w:rPr>
              <w:rFonts w:ascii="Calibri" w:eastAsia="Calibri" w:hAnsi="Calibri" w:cs="Calibri"/>
              <w:color w:val="000000"/>
              <w:sz w:val="18"/>
              <w:szCs w:val="18"/>
            </w:rPr>
          </w:pPr>
          <w:r>
            <w:rPr>
              <w:rFonts w:ascii="Calibri" w:eastAsia="Calibri" w:hAnsi="Calibri" w:cs="Calibri"/>
              <w:b/>
              <w:color w:val="002060"/>
              <w:sz w:val="22"/>
              <w:szCs w:val="22"/>
            </w:rPr>
            <w:t>ASAMBLEA LEGISLATIVA DE COSTA RICA</w:t>
          </w:r>
        </w:p>
      </w:tc>
    </w:tr>
    <w:tr w:rsidR="004B1E26">
      <w:trPr>
        <w:trHeight w:val="220"/>
        <w:jc w:val="center"/>
      </w:trPr>
      <w:tc>
        <w:tcPr>
          <w:tcW w:w="2704" w:type="dxa"/>
          <w:tcBorders>
            <w:top w:val="single" w:sz="8" w:space="0" w:color="76923C"/>
            <w:right w:val="single" w:sz="8" w:space="0" w:color="76923C"/>
          </w:tcBorders>
        </w:tcPr>
        <w:p w:rsidR="004B1E26" w:rsidRDefault="001D79C8">
          <w:pPr>
            <w:pBdr>
              <w:top w:val="nil"/>
              <w:left w:val="nil"/>
              <w:bottom w:val="nil"/>
              <w:right w:val="nil"/>
              <w:between w:val="nil"/>
            </w:pBdr>
            <w:tabs>
              <w:tab w:val="center" w:pos="4419"/>
              <w:tab w:val="right" w:pos="8838"/>
            </w:tabs>
            <w:ind w:right="360"/>
            <w:jc w:val="center"/>
            <w:rPr>
              <w:rFonts w:ascii="Calibri" w:eastAsia="Calibri" w:hAnsi="Calibri" w:cs="Calibri"/>
              <w:color w:val="000000"/>
              <w:sz w:val="18"/>
              <w:szCs w:val="18"/>
            </w:rPr>
          </w:pPr>
          <w:r>
            <w:rPr>
              <w:rFonts w:ascii="Calibri" w:eastAsia="Calibri" w:hAnsi="Calibri" w:cs="Calibri"/>
              <w:color w:val="000000"/>
              <w:sz w:val="18"/>
              <w:szCs w:val="18"/>
            </w:rPr>
            <w:t>Versión: A</w:t>
          </w:r>
        </w:p>
      </w:tc>
      <w:tc>
        <w:tcPr>
          <w:tcW w:w="4788" w:type="dxa"/>
          <w:tcBorders>
            <w:top w:val="single" w:sz="8" w:space="0" w:color="76923C"/>
            <w:left w:val="single" w:sz="8" w:space="0" w:color="76923C"/>
            <w:right w:val="single" w:sz="8" w:space="0" w:color="76923C"/>
          </w:tcBorders>
        </w:tcPr>
        <w:p w:rsidR="004B1E26" w:rsidRDefault="001D79C8">
          <w:pPr>
            <w:pBdr>
              <w:top w:val="nil"/>
              <w:left w:val="nil"/>
              <w:bottom w:val="nil"/>
              <w:right w:val="nil"/>
              <w:between w:val="nil"/>
            </w:pBdr>
            <w:tabs>
              <w:tab w:val="center" w:pos="4419"/>
              <w:tab w:val="right" w:pos="8838"/>
            </w:tabs>
            <w:jc w:val="center"/>
            <w:rPr>
              <w:rFonts w:ascii="Calibri" w:eastAsia="Calibri" w:hAnsi="Calibri" w:cs="Calibri"/>
              <w:color w:val="000000"/>
              <w:sz w:val="18"/>
              <w:szCs w:val="18"/>
            </w:rPr>
          </w:pPr>
          <w:r>
            <w:rPr>
              <w:rFonts w:ascii="Calibri" w:eastAsia="Calibri" w:hAnsi="Calibri" w:cs="Calibri"/>
              <w:color w:val="000000"/>
              <w:sz w:val="18"/>
              <w:szCs w:val="18"/>
            </w:rPr>
            <w:t xml:space="preserve">Página </w:t>
          </w:r>
          <w:r>
            <w:rPr>
              <w:rFonts w:ascii="Calibri" w:eastAsia="Calibri" w:hAnsi="Calibri" w:cs="Calibri"/>
              <w:color w:val="000000"/>
              <w:sz w:val="18"/>
              <w:szCs w:val="18"/>
            </w:rPr>
            <w:fldChar w:fldCharType="begin"/>
          </w:r>
          <w:r>
            <w:rPr>
              <w:rFonts w:ascii="Calibri" w:eastAsia="Calibri" w:hAnsi="Calibri" w:cs="Calibri"/>
              <w:color w:val="000000"/>
              <w:sz w:val="18"/>
              <w:szCs w:val="18"/>
            </w:rPr>
            <w:instrText>PAGE</w:instrText>
          </w:r>
          <w:r>
            <w:rPr>
              <w:rFonts w:ascii="Calibri" w:eastAsia="Calibri" w:hAnsi="Calibri" w:cs="Calibri"/>
              <w:color w:val="000000"/>
              <w:sz w:val="18"/>
              <w:szCs w:val="18"/>
            </w:rPr>
            <w:fldChar w:fldCharType="separate"/>
          </w:r>
          <w:r w:rsidR="00CB6498">
            <w:rPr>
              <w:rFonts w:ascii="Calibri" w:eastAsia="Calibri" w:hAnsi="Calibri" w:cs="Calibri"/>
              <w:noProof/>
              <w:color w:val="000000"/>
              <w:sz w:val="18"/>
              <w:szCs w:val="18"/>
            </w:rPr>
            <w:t>12</w:t>
          </w:r>
          <w:r>
            <w:rPr>
              <w:rFonts w:ascii="Calibri" w:eastAsia="Calibri" w:hAnsi="Calibri" w:cs="Calibri"/>
              <w:color w:val="000000"/>
              <w:sz w:val="18"/>
              <w:szCs w:val="18"/>
            </w:rPr>
            <w:fldChar w:fldCharType="end"/>
          </w:r>
          <w:r>
            <w:rPr>
              <w:rFonts w:ascii="Calibri" w:eastAsia="Calibri" w:hAnsi="Calibri" w:cs="Calibri"/>
              <w:color w:val="000000"/>
              <w:sz w:val="18"/>
              <w:szCs w:val="18"/>
            </w:rPr>
            <w:t xml:space="preserve"> de </w:t>
          </w:r>
          <w:r>
            <w:rPr>
              <w:rFonts w:ascii="Calibri" w:eastAsia="Calibri" w:hAnsi="Calibri" w:cs="Calibri"/>
              <w:color w:val="000000"/>
              <w:sz w:val="18"/>
              <w:szCs w:val="18"/>
            </w:rPr>
            <w:fldChar w:fldCharType="begin"/>
          </w:r>
          <w:r>
            <w:rPr>
              <w:rFonts w:ascii="Calibri" w:eastAsia="Calibri" w:hAnsi="Calibri" w:cs="Calibri"/>
              <w:color w:val="000000"/>
              <w:sz w:val="18"/>
              <w:szCs w:val="18"/>
            </w:rPr>
            <w:instrText>NUMPAGES</w:instrText>
          </w:r>
          <w:r>
            <w:rPr>
              <w:rFonts w:ascii="Calibri" w:eastAsia="Calibri" w:hAnsi="Calibri" w:cs="Calibri"/>
              <w:color w:val="000000"/>
              <w:sz w:val="18"/>
              <w:szCs w:val="18"/>
            </w:rPr>
            <w:fldChar w:fldCharType="separate"/>
          </w:r>
          <w:r w:rsidR="00CB6498">
            <w:rPr>
              <w:rFonts w:ascii="Calibri" w:eastAsia="Calibri" w:hAnsi="Calibri" w:cs="Calibri"/>
              <w:noProof/>
              <w:color w:val="000000"/>
              <w:sz w:val="18"/>
              <w:szCs w:val="18"/>
            </w:rPr>
            <w:t>12</w:t>
          </w:r>
          <w:r>
            <w:rPr>
              <w:rFonts w:ascii="Calibri" w:eastAsia="Calibri" w:hAnsi="Calibri" w:cs="Calibri"/>
              <w:color w:val="000000"/>
              <w:sz w:val="18"/>
              <w:szCs w:val="18"/>
            </w:rPr>
            <w:fldChar w:fldCharType="end"/>
          </w:r>
        </w:p>
      </w:tc>
      <w:tc>
        <w:tcPr>
          <w:tcW w:w="2501" w:type="dxa"/>
          <w:tcBorders>
            <w:top w:val="single" w:sz="8" w:space="0" w:color="76923C"/>
            <w:left w:val="single" w:sz="8" w:space="0" w:color="76923C"/>
          </w:tcBorders>
        </w:tcPr>
        <w:p w:rsidR="004B1E26" w:rsidRDefault="001D79C8">
          <w:pPr>
            <w:pBdr>
              <w:top w:val="nil"/>
              <w:left w:val="nil"/>
              <w:bottom w:val="nil"/>
              <w:right w:val="nil"/>
              <w:between w:val="nil"/>
            </w:pBdr>
            <w:tabs>
              <w:tab w:val="center" w:pos="4419"/>
              <w:tab w:val="right" w:pos="8838"/>
            </w:tabs>
            <w:jc w:val="center"/>
            <w:rPr>
              <w:rFonts w:ascii="Calibri" w:eastAsia="Calibri" w:hAnsi="Calibri" w:cs="Calibri"/>
              <w:color w:val="000000"/>
              <w:sz w:val="18"/>
              <w:szCs w:val="18"/>
            </w:rPr>
          </w:pPr>
          <w:r>
            <w:rPr>
              <w:rFonts w:ascii="Calibri" w:eastAsia="Calibri" w:hAnsi="Calibri" w:cs="Calibri"/>
              <w:color w:val="000000"/>
              <w:sz w:val="18"/>
              <w:szCs w:val="18"/>
            </w:rPr>
            <w:t>Código: PCN-01</w:t>
          </w:r>
        </w:p>
      </w:tc>
    </w:tr>
  </w:tbl>
  <w:p w:rsidR="004B1E26" w:rsidRDefault="004B1E26">
    <w:pPr>
      <w:pBdr>
        <w:top w:val="nil"/>
        <w:left w:val="nil"/>
        <w:bottom w:val="nil"/>
        <w:right w:val="nil"/>
        <w:between w:val="nil"/>
      </w:pBdr>
      <w:tabs>
        <w:tab w:val="center" w:pos="4419"/>
        <w:tab w:val="right" w:pos="8838"/>
      </w:tabs>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1E26" w:rsidRDefault="004B1E26">
    <w:pPr>
      <w:widowControl w:val="0"/>
      <w:pBdr>
        <w:top w:val="nil"/>
        <w:left w:val="nil"/>
        <w:bottom w:val="nil"/>
        <w:right w:val="nil"/>
        <w:between w:val="nil"/>
      </w:pBdr>
      <w:spacing w:line="276" w:lineRule="auto"/>
      <w:rPr>
        <w:color w:val="000000"/>
      </w:rPr>
    </w:pPr>
  </w:p>
  <w:tbl>
    <w:tblPr>
      <w:tblStyle w:val="aa"/>
      <w:tblW w:w="9991" w:type="dxa"/>
      <w:jc w:val="center"/>
      <w:tblInd w:w="0" w:type="dxa"/>
      <w:tblBorders>
        <w:top w:val="single" w:sz="8" w:space="0" w:color="76923C"/>
        <w:left w:val="single" w:sz="8" w:space="0" w:color="76923C"/>
        <w:bottom w:val="single" w:sz="8" w:space="0" w:color="76923C"/>
        <w:right w:val="single" w:sz="8" w:space="0" w:color="76923C"/>
        <w:insideH w:val="single" w:sz="8" w:space="0" w:color="76923C"/>
        <w:insideV w:val="single" w:sz="8" w:space="0" w:color="76923C"/>
      </w:tblBorders>
      <w:tblLayout w:type="fixed"/>
      <w:tblLook w:val="0000" w:firstRow="0" w:lastRow="0" w:firstColumn="0" w:lastColumn="0" w:noHBand="0" w:noVBand="0"/>
    </w:tblPr>
    <w:tblGrid>
      <w:gridCol w:w="3933"/>
      <w:gridCol w:w="6"/>
      <w:gridCol w:w="3725"/>
      <w:gridCol w:w="1516"/>
      <w:gridCol w:w="811"/>
    </w:tblGrid>
    <w:tr w:rsidR="004B1E26">
      <w:trPr>
        <w:trHeight w:val="720"/>
        <w:jc w:val="center"/>
      </w:trPr>
      <w:tc>
        <w:tcPr>
          <w:tcW w:w="3933" w:type="dxa"/>
          <w:vAlign w:val="center"/>
        </w:tcPr>
        <w:p w:rsidR="004B1E26" w:rsidRDefault="001D79C8">
          <w:pPr>
            <w:pBdr>
              <w:top w:val="nil"/>
              <w:left w:val="nil"/>
              <w:bottom w:val="nil"/>
              <w:right w:val="nil"/>
              <w:between w:val="nil"/>
            </w:pBdr>
            <w:tabs>
              <w:tab w:val="center" w:pos="4419"/>
              <w:tab w:val="right" w:pos="8838"/>
            </w:tabs>
            <w:spacing w:after="120"/>
            <w:jc w:val="center"/>
            <w:rPr>
              <w:rFonts w:ascii="Calibri" w:eastAsia="Calibri" w:hAnsi="Calibri" w:cs="Calibri"/>
              <w:color w:val="000000"/>
              <w:sz w:val="18"/>
              <w:szCs w:val="18"/>
            </w:rPr>
          </w:pPr>
          <w:r>
            <w:rPr>
              <w:rFonts w:ascii="Calibri" w:eastAsia="Calibri" w:hAnsi="Calibri" w:cs="Calibri"/>
              <w:noProof/>
              <w:color w:val="000000"/>
              <w:sz w:val="18"/>
              <w:szCs w:val="18"/>
              <w:highlight w:val="yellow"/>
              <w:lang w:val="en-US"/>
            </w:rPr>
            <w:drawing>
              <wp:inline distT="0" distB="0" distL="114300" distR="114300">
                <wp:extent cx="1219200" cy="909320"/>
                <wp:effectExtent l="0" t="0" r="0" b="0"/>
                <wp:docPr id="13"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
                        <a:srcRect/>
                        <a:stretch>
                          <a:fillRect/>
                        </a:stretch>
                      </pic:blipFill>
                      <pic:spPr>
                        <a:xfrm>
                          <a:off x="0" y="0"/>
                          <a:ext cx="1219200" cy="909320"/>
                        </a:xfrm>
                        <a:prstGeom prst="rect">
                          <a:avLst/>
                        </a:prstGeom>
                        <a:ln/>
                      </pic:spPr>
                    </pic:pic>
                  </a:graphicData>
                </a:graphic>
              </wp:inline>
            </w:drawing>
          </w:r>
        </w:p>
      </w:tc>
      <w:tc>
        <w:tcPr>
          <w:tcW w:w="3731" w:type="dxa"/>
          <w:gridSpan w:val="2"/>
          <w:tcBorders>
            <w:right w:val="single" w:sz="4" w:space="0" w:color="000000"/>
          </w:tcBorders>
        </w:tcPr>
        <w:p w:rsidR="004B1E26" w:rsidRDefault="001D79C8">
          <w:pPr>
            <w:pBdr>
              <w:top w:val="nil"/>
              <w:left w:val="nil"/>
              <w:bottom w:val="nil"/>
              <w:right w:val="nil"/>
              <w:between w:val="nil"/>
            </w:pBdr>
            <w:tabs>
              <w:tab w:val="center" w:pos="4419"/>
              <w:tab w:val="right" w:pos="8838"/>
            </w:tabs>
            <w:spacing w:after="120"/>
            <w:jc w:val="center"/>
            <w:rPr>
              <w:rFonts w:ascii="Calibri" w:eastAsia="Calibri" w:hAnsi="Calibri" w:cs="Calibri"/>
              <w:color w:val="000000"/>
            </w:rPr>
          </w:pPr>
          <w:r>
            <w:rPr>
              <w:rFonts w:ascii="Calibri" w:eastAsia="Calibri" w:hAnsi="Calibri" w:cs="Calibri"/>
              <w:b/>
              <w:color w:val="000000"/>
              <w:sz w:val="20"/>
              <w:szCs w:val="20"/>
            </w:rPr>
            <w:t>PROCEDIMIENTO PARA LA CUANTIFICACIÓN DE EMISIONES DE GASES DE EFECTO INVERNADERO (GEI)</w:t>
          </w:r>
        </w:p>
        <w:p w:rsidR="004B1E26" w:rsidRDefault="001D79C8">
          <w:pPr>
            <w:pBdr>
              <w:top w:val="nil"/>
              <w:left w:val="nil"/>
              <w:bottom w:val="nil"/>
              <w:right w:val="nil"/>
              <w:between w:val="nil"/>
            </w:pBdr>
            <w:tabs>
              <w:tab w:val="center" w:pos="4419"/>
              <w:tab w:val="right" w:pos="8838"/>
            </w:tabs>
            <w:jc w:val="center"/>
            <w:rPr>
              <w:rFonts w:ascii="Calibri" w:eastAsia="Calibri" w:hAnsi="Calibri" w:cs="Calibri"/>
              <w:color w:val="000000"/>
            </w:rPr>
          </w:pPr>
          <w:r>
            <w:rPr>
              <w:rFonts w:ascii="Calibri" w:eastAsia="Calibri" w:hAnsi="Calibri" w:cs="Calibri"/>
              <w:b/>
              <w:color w:val="002060"/>
              <w:sz w:val="22"/>
              <w:szCs w:val="22"/>
            </w:rPr>
            <w:t xml:space="preserve">Asamblea Legislativa de Costa Rica   </w:t>
          </w:r>
        </w:p>
      </w:tc>
      <w:tc>
        <w:tcPr>
          <w:tcW w:w="2327" w:type="dxa"/>
          <w:gridSpan w:val="2"/>
          <w:tcBorders>
            <w:left w:val="single" w:sz="4" w:space="0" w:color="000000"/>
          </w:tcBorders>
        </w:tcPr>
        <w:p w:rsidR="004B1E26" w:rsidRDefault="001D79C8">
          <w:pPr>
            <w:pBdr>
              <w:top w:val="nil"/>
              <w:left w:val="nil"/>
              <w:bottom w:val="nil"/>
              <w:right w:val="nil"/>
              <w:between w:val="nil"/>
            </w:pBdr>
            <w:tabs>
              <w:tab w:val="center" w:pos="4419"/>
              <w:tab w:val="right" w:pos="8838"/>
            </w:tabs>
            <w:spacing w:line="276" w:lineRule="auto"/>
            <w:rPr>
              <w:rFonts w:ascii="Calibri" w:eastAsia="Calibri" w:hAnsi="Calibri" w:cs="Calibri"/>
              <w:color w:val="000000"/>
              <w:sz w:val="18"/>
              <w:szCs w:val="18"/>
            </w:rPr>
          </w:pPr>
          <w:r>
            <w:rPr>
              <w:rFonts w:ascii="Calibri" w:eastAsia="Calibri" w:hAnsi="Calibri" w:cs="Calibri"/>
              <w:b/>
              <w:color w:val="000000"/>
              <w:sz w:val="18"/>
              <w:szCs w:val="18"/>
            </w:rPr>
            <w:t>Código:</w:t>
          </w:r>
        </w:p>
        <w:p w:rsidR="004B1E26" w:rsidRDefault="004B1E26">
          <w:pPr>
            <w:pBdr>
              <w:top w:val="nil"/>
              <w:left w:val="nil"/>
              <w:bottom w:val="nil"/>
              <w:right w:val="nil"/>
              <w:between w:val="nil"/>
            </w:pBdr>
            <w:tabs>
              <w:tab w:val="center" w:pos="4419"/>
              <w:tab w:val="right" w:pos="8838"/>
            </w:tabs>
            <w:spacing w:line="276" w:lineRule="auto"/>
            <w:rPr>
              <w:rFonts w:ascii="Calibri" w:eastAsia="Calibri" w:hAnsi="Calibri" w:cs="Calibri"/>
              <w:color w:val="000000"/>
              <w:sz w:val="18"/>
              <w:szCs w:val="18"/>
            </w:rPr>
          </w:pPr>
        </w:p>
        <w:p w:rsidR="004B1E26" w:rsidRDefault="001D79C8">
          <w:pPr>
            <w:pBdr>
              <w:top w:val="nil"/>
              <w:left w:val="nil"/>
              <w:bottom w:val="nil"/>
              <w:right w:val="nil"/>
              <w:between w:val="nil"/>
            </w:pBdr>
            <w:tabs>
              <w:tab w:val="center" w:pos="4419"/>
              <w:tab w:val="right" w:pos="8838"/>
            </w:tabs>
            <w:jc w:val="center"/>
            <w:rPr>
              <w:rFonts w:ascii="Calibri" w:eastAsia="Calibri" w:hAnsi="Calibri" w:cs="Calibri"/>
              <w:color w:val="000000"/>
            </w:rPr>
          </w:pPr>
          <w:r>
            <w:rPr>
              <w:rFonts w:ascii="Calibri" w:eastAsia="Calibri" w:hAnsi="Calibri" w:cs="Calibri"/>
              <w:color w:val="000000"/>
            </w:rPr>
            <w:t>PCN-01</w:t>
          </w:r>
        </w:p>
      </w:tc>
    </w:tr>
    <w:tr w:rsidR="004B1E26">
      <w:trPr>
        <w:trHeight w:val="260"/>
        <w:jc w:val="center"/>
      </w:trPr>
      <w:tc>
        <w:tcPr>
          <w:tcW w:w="3939" w:type="dxa"/>
          <w:gridSpan w:val="2"/>
          <w:vAlign w:val="center"/>
        </w:tcPr>
        <w:p w:rsidR="004B1E26" w:rsidRDefault="001D79C8">
          <w:pPr>
            <w:spacing w:line="276" w:lineRule="auto"/>
            <w:jc w:val="center"/>
            <w:rPr>
              <w:rFonts w:ascii="Calibri" w:eastAsia="Calibri" w:hAnsi="Calibri" w:cs="Calibri"/>
              <w:sz w:val="18"/>
              <w:szCs w:val="18"/>
            </w:rPr>
          </w:pPr>
          <w:r>
            <w:rPr>
              <w:rFonts w:ascii="Calibri" w:eastAsia="Calibri" w:hAnsi="Calibri" w:cs="Calibri"/>
              <w:b/>
              <w:sz w:val="18"/>
              <w:szCs w:val="18"/>
            </w:rPr>
            <w:t>Nombre del responsable de la elaboración:</w:t>
          </w:r>
        </w:p>
      </w:tc>
      <w:tc>
        <w:tcPr>
          <w:tcW w:w="3725" w:type="dxa"/>
          <w:vAlign w:val="center"/>
        </w:tcPr>
        <w:p w:rsidR="004B1E26" w:rsidRDefault="001D79C8">
          <w:pPr>
            <w:spacing w:line="276" w:lineRule="auto"/>
            <w:jc w:val="center"/>
            <w:rPr>
              <w:rFonts w:ascii="Calibri" w:eastAsia="Calibri" w:hAnsi="Calibri" w:cs="Calibri"/>
              <w:sz w:val="18"/>
              <w:szCs w:val="18"/>
            </w:rPr>
          </w:pPr>
          <w:r>
            <w:rPr>
              <w:rFonts w:ascii="Calibri" w:eastAsia="Calibri" w:hAnsi="Calibri" w:cs="Calibri"/>
              <w:b/>
              <w:sz w:val="18"/>
              <w:szCs w:val="18"/>
            </w:rPr>
            <w:t>Nombre del responsable de la aprobación:</w:t>
          </w:r>
        </w:p>
      </w:tc>
      <w:tc>
        <w:tcPr>
          <w:tcW w:w="2327" w:type="dxa"/>
          <w:gridSpan w:val="2"/>
        </w:tcPr>
        <w:p w:rsidR="004B1E26" w:rsidRDefault="004B1E26">
          <w:pPr>
            <w:spacing w:line="276" w:lineRule="auto"/>
            <w:ind w:left="74"/>
            <w:jc w:val="center"/>
            <w:rPr>
              <w:rFonts w:ascii="Calibri" w:eastAsia="Calibri" w:hAnsi="Calibri" w:cs="Calibri"/>
              <w:color w:val="000000"/>
              <w:sz w:val="18"/>
              <w:szCs w:val="18"/>
            </w:rPr>
          </w:pPr>
        </w:p>
      </w:tc>
    </w:tr>
    <w:tr w:rsidR="004B1E26">
      <w:trPr>
        <w:trHeight w:val="400"/>
        <w:jc w:val="center"/>
      </w:trPr>
      <w:tc>
        <w:tcPr>
          <w:tcW w:w="3939" w:type="dxa"/>
          <w:gridSpan w:val="2"/>
          <w:vAlign w:val="center"/>
        </w:tcPr>
        <w:p w:rsidR="004B1E26" w:rsidRDefault="001D79C8">
          <w:pPr>
            <w:spacing w:line="276" w:lineRule="auto"/>
            <w:jc w:val="center"/>
            <w:rPr>
              <w:rFonts w:ascii="Calibri" w:eastAsia="Calibri" w:hAnsi="Calibri" w:cs="Calibri"/>
              <w:sz w:val="18"/>
              <w:szCs w:val="18"/>
            </w:rPr>
          </w:pPr>
          <w:r>
            <w:rPr>
              <w:rFonts w:ascii="Calibri" w:eastAsia="Calibri" w:hAnsi="Calibri" w:cs="Calibri"/>
              <w:sz w:val="18"/>
              <w:szCs w:val="18"/>
            </w:rPr>
            <w:t>Milton Madriz Cedeño</w:t>
          </w:r>
        </w:p>
      </w:tc>
      <w:tc>
        <w:tcPr>
          <w:tcW w:w="3725" w:type="dxa"/>
          <w:vAlign w:val="center"/>
        </w:tcPr>
        <w:p w:rsidR="004B1E26" w:rsidRDefault="001D79C8">
          <w:pPr>
            <w:spacing w:line="276" w:lineRule="auto"/>
            <w:jc w:val="center"/>
            <w:rPr>
              <w:rFonts w:ascii="Calibri" w:eastAsia="Calibri" w:hAnsi="Calibri" w:cs="Calibri"/>
              <w:sz w:val="18"/>
              <w:szCs w:val="18"/>
            </w:rPr>
          </w:pPr>
          <w:r>
            <w:rPr>
              <w:rFonts w:ascii="Calibri" w:eastAsia="Calibri" w:hAnsi="Calibri" w:cs="Calibri"/>
              <w:sz w:val="18"/>
              <w:szCs w:val="18"/>
            </w:rPr>
            <w:t>Antonio Ayales Esna</w:t>
          </w:r>
        </w:p>
      </w:tc>
      <w:tc>
        <w:tcPr>
          <w:tcW w:w="2327" w:type="dxa"/>
          <w:gridSpan w:val="2"/>
        </w:tcPr>
        <w:p w:rsidR="004B1E26" w:rsidRDefault="001D79C8">
          <w:pPr>
            <w:spacing w:line="276" w:lineRule="auto"/>
            <w:ind w:left="74"/>
            <w:rPr>
              <w:rFonts w:ascii="Calibri" w:eastAsia="Calibri" w:hAnsi="Calibri" w:cs="Calibri"/>
              <w:sz w:val="18"/>
              <w:szCs w:val="18"/>
            </w:rPr>
          </w:pPr>
          <w:r>
            <w:rPr>
              <w:rFonts w:ascii="Calibri" w:eastAsia="Calibri" w:hAnsi="Calibri" w:cs="Calibri"/>
              <w:b/>
              <w:sz w:val="18"/>
              <w:szCs w:val="18"/>
            </w:rPr>
            <w:t>Vigente desde:</w:t>
          </w:r>
        </w:p>
        <w:p w:rsidR="004B1E26" w:rsidRDefault="001D79C8">
          <w:pPr>
            <w:spacing w:line="276" w:lineRule="auto"/>
            <w:ind w:left="74"/>
            <w:jc w:val="center"/>
            <w:rPr>
              <w:rFonts w:ascii="Calibri" w:eastAsia="Calibri" w:hAnsi="Calibri" w:cs="Calibri"/>
              <w:sz w:val="18"/>
              <w:szCs w:val="18"/>
            </w:rPr>
          </w:pPr>
          <w:r>
            <w:rPr>
              <w:rFonts w:ascii="Calibri" w:eastAsia="Calibri" w:hAnsi="Calibri" w:cs="Calibri"/>
              <w:sz w:val="18"/>
              <w:szCs w:val="18"/>
            </w:rPr>
            <w:t xml:space="preserve">Abril </w:t>
          </w:r>
          <w:r>
            <w:rPr>
              <w:rFonts w:ascii="Calibri" w:eastAsia="Calibri" w:hAnsi="Calibri" w:cs="Calibri"/>
              <w:color w:val="000000"/>
              <w:sz w:val="18"/>
              <w:szCs w:val="18"/>
            </w:rPr>
            <w:t>2018</w:t>
          </w:r>
        </w:p>
      </w:tc>
    </w:tr>
    <w:tr w:rsidR="004B1E26">
      <w:trPr>
        <w:trHeight w:val="500"/>
        <w:jc w:val="center"/>
      </w:trPr>
      <w:tc>
        <w:tcPr>
          <w:tcW w:w="3939" w:type="dxa"/>
          <w:gridSpan w:val="2"/>
          <w:vAlign w:val="center"/>
        </w:tcPr>
        <w:p w:rsidR="004B1E26" w:rsidRDefault="001D79C8">
          <w:pPr>
            <w:spacing w:line="276" w:lineRule="auto"/>
            <w:jc w:val="center"/>
            <w:rPr>
              <w:rFonts w:ascii="Calibri" w:eastAsia="Calibri" w:hAnsi="Calibri" w:cs="Calibri"/>
              <w:sz w:val="18"/>
              <w:szCs w:val="18"/>
            </w:rPr>
          </w:pPr>
          <w:r>
            <w:rPr>
              <w:rFonts w:ascii="Calibri" w:eastAsia="Calibri" w:hAnsi="Calibri" w:cs="Calibri"/>
              <w:sz w:val="18"/>
              <w:szCs w:val="18"/>
            </w:rPr>
            <w:t xml:space="preserve">Departamento de Desarrollo Estratégico Institucional  </w:t>
          </w:r>
        </w:p>
      </w:tc>
      <w:tc>
        <w:tcPr>
          <w:tcW w:w="3725" w:type="dxa"/>
          <w:vAlign w:val="center"/>
        </w:tcPr>
        <w:p w:rsidR="004B1E26" w:rsidRDefault="001D79C8">
          <w:pPr>
            <w:spacing w:line="276" w:lineRule="auto"/>
            <w:jc w:val="center"/>
            <w:rPr>
              <w:rFonts w:ascii="Calibri" w:eastAsia="Calibri" w:hAnsi="Calibri" w:cs="Calibri"/>
              <w:sz w:val="18"/>
              <w:szCs w:val="18"/>
            </w:rPr>
          </w:pPr>
          <w:r>
            <w:rPr>
              <w:rFonts w:ascii="Calibri" w:eastAsia="Calibri" w:hAnsi="Calibri" w:cs="Calibri"/>
              <w:sz w:val="18"/>
              <w:szCs w:val="18"/>
            </w:rPr>
            <w:t xml:space="preserve">Gerencia General </w:t>
          </w:r>
        </w:p>
      </w:tc>
      <w:tc>
        <w:tcPr>
          <w:tcW w:w="1516" w:type="dxa"/>
          <w:vAlign w:val="center"/>
        </w:tcPr>
        <w:p w:rsidR="004B1E26" w:rsidRDefault="001D79C8">
          <w:pPr>
            <w:tabs>
              <w:tab w:val="left" w:pos="1013"/>
              <w:tab w:val="center" w:pos="1289"/>
            </w:tabs>
            <w:spacing w:line="276" w:lineRule="auto"/>
            <w:ind w:left="74"/>
            <w:jc w:val="center"/>
            <w:rPr>
              <w:rFonts w:ascii="Calibri" w:eastAsia="Calibri" w:hAnsi="Calibri" w:cs="Calibri"/>
              <w:sz w:val="18"/>
              <w:szCs w:val="18"/>
            </w:rPr>
          </w:pPr>
          <w:r>
            <w:rPr>
              <w:rFonts w:ascii="Calibri" w:eastAsia="Calibri" w:hAnsi="Calibri" w:cs="Calibri"/>
              <w:sz w:val="18"/>
              <w:szCs w:val="18"/>
            </w:rPr>
            <w:t xml:space="preserve">Página </w:t>
          </w:r>
          <w:r>
            <w:rPr>
              <w:rFonts w:ascii="Calibri" w:eastAsia="Calibri" w:hAnsi="Calibri" w:cs="Calibri"/>
              <w:sz w:val="18"/>
              <w:szCs w:val="18"/>
            </w:rPr>
            <w:fldChar w:fldCharType="begin"/>
          </w:r>
          <w:r>
            <w:rPr>
              <w:rFonts w:ascii="Calibri" w:eastAsia="Calibri" w:hAnsi="Calibri" w:cs="Calibri"/>
              <w:sz w:val="18"/>
              <w:szCs w:val="18"/>
            </w:rPr>
            <w:instrText>PAGE</w:instrText>
          </w:r>
          <w:r>
            <w:rPr>
              <w:rFonts w:ascii="Calibri" w:eastAsia="Calibri" w:hAnsi="Calibri" w:cs="Calibri"/>
              <w:sz w:val="18"/>
              <w:szCs w:val="18"/>
            </w:rPr>
            <w:fldChar w:fldCharType="separate"/>
          </w:r>
          <w:r w:rsidR="00CB6498">
            <w:rPr>
              <w:rFonts w:ascii="Calibri" w:eastAsia="Calibri" w:hAnsi="Calibri" w:cs="Calibri"/>
              <w:noProof/>
              <w:sz w:val="18"/>
              <w:szCs w:val="18"/>
            </w:rPr>
            <w:t>1</w:t>
          </w:r>
          <w:r>
            <w:rPr>
              <w:rFonts w:ascii="Calibri" w:eastAsia="Calibri" w:hAnsi="Calibri" w:cs="Calibri"/>
              <w:sz w:val="18"/>
              <w:szCs w:val="18"/>
            </w:rPr>
            <w:fldChar w:fldCharType="end"/>
          </w:r>
          <w:r>
            <w:rPr>
              <w:rFonts w:ascii="Calibri" w:eastAsia="Calibri" w:hAnsi="Calibri" w:cs="Calibri"/>
              <w:sz w:val="18"/>
              <w:szCs w:val="18"/>
            </w:rPr>
            <w:t xml:space="preserve"> de 17</w:t>
          </w:r>
        </w:p>
      </w:tc>
      <w:tc>
        <w:tcPr>
          <w:tcW w:w="811" w:type="dxa"/>
          <w:vAlign w:val="center"/>
        </w:tcPr>
        <w:p w:rsidR="004B1E26" w:rsidRDefault="001D79C8">
          <w:pPr>
            <w:spacing w:line="276" w:lineRule="auto"/>
            <w:jc w:val="center"/>
            <w:rPr>
              <w:rFonts w:ascii="Calibri" w:eastAsia="Calibri" w:hAnsi="Calibri" w:cs="Calibri"/>
              <w:sz w:val="18"/>
              <w:szCs w:val="18"/>
            </w:rPr>
          </w:pPr>
          <w:r>
            <w:rPr>
              <w:rFonts w:ascii="Calibri" w:eastAsia="Calibri" w:hAnsi="Calibri" w:cs="Calibri"/>
              <w:b/>
              <w:sz w:val="18"/>
              <w:szCs w:val="18"/>
            </w:rPr>
            <w:t>Versión:</w:t>
          </w:r>
        </w:p>
        <w:p w:rsidR="004B1E26" w:rsidRDefault="001D79C8">
          <w:pPr>
            <w:spacing w:line="276" w:lineRule="auto"/>
            <w:ind w:left="74"/>
            <w:jc w:val="center"/>
            <w:rPr>
              <w:rFonts w:ascii="Calibri" w:eastAsia="Calibri" w:hAnsi="Calibri" w:cs="Calibri"/>
              <w:color w:val="000000"/>
              <w:sz w:val="18"/>
              <w:szCs w:val="18"/>
            </w:rPr>
          </w:pPr>
          <w:r>
            <w:rPr>
              <w:rFonts w:ascii="Calibri" w:eastAsia="Calibri" w:hAnsi="Calibri" w:cs="Calibri"/>
              <w:color w:val="000000"/>
              <w:sz w:val="18"/>
              <w:szCs w:val="18"/>
            </w:rPr>
            <w:t>A</w:t>
          </w:r>
        </w:p>
      </w:tc>
    </w:tr>
  </w:tbl>
  <w:p w:rsidR="004B1E26" w:rsidRDefault="004B1E26">
    <w:pPr>
      <w:pBdr>
        <w:top w:val="nil"/>
        <w:left w:val="nil"/>
        <w:bottom w:val="nil"/>
        <w:right w:val="nil"/>
        <w:between w:val="nil"/>
      </w:pBdr>
      <w:tabs>
        <w:tab w:val="center" w:pos="4419"/>
        <w:tab w:val="right" w:pos="8838"/>
      </w:tabs>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1B508B"/>
    <w:multiLevelType w:val="multilevel"/>
    <w:tmpl w:val="4BECECA6"/>
    <w:lvl w:ilvl="0">
      <w:start w:val="1"/>
      <w:numFmt w:val="decimal"/>
      <w:lvlText w:val="%1)"/>
      <w:lvlJc w:val="left"/>
      <w:pPr>
        <w:ind w:left="785" w:hanging="360"/>
      </w:pPr>
      <w:rPr>
        <w:vertAlign w:val="baseline"/>
      </w:rPr>
    </w:lvl>
    <w:lvl w:ilvl="1">
      <w:start w:val="1"/>
      <w:numFmt w:val="lowerLetter"/>
      <w:lvlText w:val="%2."/>
      <w:lvlJc w:val="left"/>
      <w:pPr>
        <w:ind w:left="1505" w:hanging="360"/>
      </w:pPr>
      <w:rPr>
        <w:vertAlign w:val="baseline"/>
      </w:rPr>
    </w:lvl>
    <w:lvl w:ilvl="2">
      <w:start w:val="1"/>
      <w:numFmt w:val="lowerRoman"/>
      <w:lvlText w:val="%3."/>
      <w:lvlJc w:val="right"/>
      <w:pPr>
        <w:ind w:left="2225" w:hanging="180"/>
      </w:pPr>
      <w:rPr>
        <w:vertAlign w:val="baseline"/>
      </w:rPr>
    </w:lvl>
    <w:lvl w:ilvl="3">
      <w:start w:val="1"/>
      <w:numFmt w:val="decimal"/>
      <w:lvlText w:val="%4."/>
      <w:lvlJc w:val="left"/>
      <w:pPr>
        <w:ind w:left="2945" w:hanging="360"/>
      </w:pPr>
      <w:rPr>
        <w:vertAlign w:val="baseline"/>
      </w:rPr>
    </w:lvl>
    <w:lvl w:ilvl="4">
      <w:start w:val="1"/>
      <w:numFmt w:val="lowerLetter"/>
      <w:lvlText w:val="%5."/>
      <w:lvlJc w:val="left"/>
      <w:pPr>
        <w:ind w:left="3665" w:hanging="360"/>
      </w:pPr>
      <w:rPr>
        <w:vertAlign w:val="baseline"/>
      </w:rPr>
    </w:lvl>
    <w:lvl w:ilvl="5">
      <w:start w:val="1"/>
      <w:numFmt w:val="lowerRoman"/>
      <w:lvlText w:val="%6."/>
      <w:lvlJc w:val="right"/>
      <w:pPr>
        <w:ind w:left="4385" w:hanging="180"/>
      </w:pPr>
      <w:rPr>
        <w:vertAlign w:val="baseline"/>
      </w:rPr>
    </w:lvl>
    <w:lvl w:ilvl="6">
      <w:start w:val="1"/>
      <w:numFmt w:val="decimal"/>
      <w:lvlText w:val="%7."/>
      <w:lvlJc w:val="left"/>
      <w:pPr>
        <w:ind w:left="5105" w:hanging="360"/>
      </w:pPr>
      <w:rPr>
        <w:vertAlign w:val="baseline"/>
      </w:rPr>
    </w:lvl>
    <w:lvl w:ilvl="7">
      <w:start w:val="1"/>
      <w:numFmt w:val="lowerLetter"/>
      <w:lvlText w:val="%8."/>
      <w:lvlJc w:val="left"/>
      <w:pPr>
        <w:ind w:left="5825" w:hanging="360"/>
      </w:pPr>
      <w:rPr>
        <w:vertAlign w:val="baseline"/>
      </w:rPr>
    </w:lvl>
    <w:lvl w:ilvl="8">
      <w:start w:val="1"/>
      <w:numFmt w:val="lowerRoman"/>
      <w:lvlText w:val="%9."/>
      <w:lvlJc w:val="right"/>
      <w:pPr>
        <w:ind w:left="6545" w:hanging="180"/>
      </w:pPr>
      <w:rPr>
        <w:vertAlign w:val="baseline"/>
      </w:rPr>
    </w:lvl>
  </w:abstractNum>
  <w:abstractNum w:abstractNumId="1" w15:restartNumberingAfterBreak="0">
    <w:nsid w:val="17F83604"/>
    <w:multiLevelType w:val="multilevel"/>
    <w:tmpl w:val="0F7A342A"/>
    <w:lvl w:ilvl="0">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 w15:restartNumberingAfterBreak="0">
    <w:nsid w:val="301606C2"/>
    <w:multiLevelType w:val="multilevel"/>
    <w:tmpl w:val="F80C66A2"/>
    <w:lvl w:ilvl="0">
      <w:start w:val="1"/>
      <w:numFmt w:val="bullet"/>
      <w:lvlText w:val="●"/>
      <w:lvlJc w:val="left"/>
      <w:pPr>
        <w:ind w:left="1080" w:hanging="360"/>
      </w:pPr>
      <w:rPr>
        <w:rFonts w:ascii="Noto Sans Symbols" w:eastAsia="Noto Sans Symbols" w:hAnsi="Noto Sans Symbols" w:cs="Noto Sans Symbols"/>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3" w15:restartNumberingAfterBreak="0">
    <w:nsid w:val="3FAB368E"/>
    <w:multiLevelType w:val="multilevel"/>
    <w:tmpl w:val="5A00314C"/>
    <w:lvl w:ilvl="0">
      <w:start w:val="1"/>
      <w:numFmt w:val="decimal"/>
      <w:lvlText w:val="%1)"/>
      <w:lvlJc w:val="left"/>
      <w:pPr>
        <w:ind w:left="785" w:hanging="360"/>
      </w:pPr>
      <w:rPr>
        <w:vertAlign w:val="baseline"/>
      </w:rPr>
    </w:lvl>
    <w:lvl w:ilvl="1">
      <w:start w:val="1"/>
      <w:numFmt w:val="lowerLetter"/>
      <w:lvlText w:val="%2."/>
      <w:lvlJc w:val="left"/>
      <w:pPr>
        <w:ind w:left="1505" w:hanging="360"/>
      </w:pPr>
      <w:rPr>
        <w:vertAlign w:val="baseline"/>
      </w:rPr>
    </w:lvl>
    <w:lvl w:ilvl="2">
      <w:start w:val="1"/>
      <w:numFmt w:val="lowerRoman"/>
      <w:lvlText w:val="%3."/>
      <w:lvlJc w:val="right"/>
      <w:pPr>
        <w:ind w:left="2225" w:hanging="180"/>
      </w:pPr>
      <w:rPr>
        <w:vertAlign w:val="baseline"/>
      </w:rPr>
    </w:lvl>
    <w:lvl w:ilvl="3">
      <w:start w:val="1"/>
      <w:numFmt w:val="decimal"/>
      <w:lvlText w:val="%4."/>
      <w:lvlJc w:val="left"/>
      <w:pPr>
        <w:ind w:left="2945" w:hanging="360"/>
      </w:pPr>
      <w:rPr>
        <w:vertAlign w:val="baseline"/>
      </w:rPr>
    </w:lvl>
    <w:lvl w:ilvl="4">
      <w:start w:val="1"/>
      <w:numFmt w:val="lowerLetter"/>
      <w:lvlText w:val="%5."/>
      <w:lvlJc w:val="left"/>
      <w:pPr>
        <w:ind w:left="3665" w:hanging="360"/>
      </w:pPr>
      <w:rPr>
        <w:vertAlign w:val="baseline"/>
      </w:rPr>
    </w:lvl>
    <w:lvl w:ilvl="5">
      <w:start w:val="1"/>
      <w:numFmt w:val="lowerRoman"/>
      <w:lvlText w:val="%6."/>
      <w:lvlJc w:val="right"/>
      <w:pPr>
        <w:ind w:left="4385" w:hanging="180"/>
      </w:pPr>
      <w:rPr>
        <w:vertAlign w:val="baseline"/>
      </w:rPr>
    </w:lvl>
    <w:lvl w:ilvl="6">
      <w:start w:val="1"/>
      <w:numFmt w:val="decimal"/>
      <w:lvlText w:val="%7."/>
      <w:lvlJc w:val="left"/>
      <w:pPr>
        <w:ind w:left="5105" w:hanging="360"/>
      </w:pPr>
      <w:rPr>
        <w:vertAlign w:val="baseline"/>
      </w:rPr>
    </w:lvl>
    <w:lvl w:ilvl="7">
      <w:start w:val="1"/>
      <w:numFmt w:val="lowerLetter"/>
      <w:lvlText w:val="%8."/>
      <w:lvlJc w:val="left"/>
      <w:pPr>
        <w:ind w:left="5825" w:hanging="360"/>
      </w:pPr>
      <w:rPr>
        <w:vertAlign w:val="baseline"/>
      </w:rPr>
    </w:lvl>
    <w:lvl w:ilvl="8">
      <w:start w:val="1"/>
      <w:numFmt w:val="lowerRoman"/>
      <w:lvlText w:val="%9."/>
      <w:lvlJc w:val="right"/>
      <w:pPr>
        <w:ind w:left="6545" w:hanging="180"/>
      </w:pPr>
      <w:rPr>
        <w:vertAlign w:val="baseline"/>
      </w:rPr>
    </w:lvl>
  </w:abstractNum>
  <w:abstractNum w:abstractNumId="4" w15:restartNumberingAfterBreak="0">
    <w:nsid w:val="40F53A0A"/>
    <w:multiLevelType w:val="multilevel"/>
    <w:tmpl w:val="B394CE3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4518602E"/>
    <w:multiLevelType w:val="multilevel"/>
    <w:tmpl w:val="0D00F3C2"/>
    <w:lvl w:ilvl="0">
      <w:start w:val="1"/>
      <w:numFmt w:val="bullet"/>
      <w:lvlText w:val="●"/>
      <w:lvlJc w:val="left"/>
      <w:pPr>
        <w:ind w:left="1080" w:hanging="360"/>
      </w:pPr>
      <w:rPr>
        <w:rFonts w:ascii="Noto Sans Symbols" w:eastAsia="Noto Sans Symbols" w:hAnsi="Noto Sans Symbols" w:cs="Noto Sans Symbols"/>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6" w15:restartNumberingAfterBreak="0">
    <w:nsid w:val="4F275006"/>
    <w:multiLevelType w:val="multilevel"/>
    <w:tmpl w:val="76D8A192"/>
    <w:lvl w:ilvl="0">
      <w:start w:val="1"/>
      <w:numFmt w:val="decimal"/>
      <w:lvlText w:val="%1."/>
      <w:lvlJc w:val="left"/>
      <w:pPr>
        <w:ind w:left="786" w:hanging="360"/>
      </w:pPr>
      <w:rPr>
        <w:vertAlign w:val="baseline"/>
      </w:rPr>
    </w:lvl>
    <w:lvl w:ilvl="1">
      <w:start w:val="1"/>
      <w:numFmt w:val="decimal"/>
      <w:lvlText w:val="%1.%2"/>
      <w:lvlJc w:val="left"/>
      <w:pPr>
        <w:ind w:left="788" w:hanging="360"/>
      </w:pPr>
      <w:rPr>
        <w:vertAlign w:val="baseline"/>
      </w:rPr>
    </w:lvl>
    <w:lvl w:ilvl="2">
      <w:start w:val="4"/>
      <w:numFmt w:val="decimal"/>
      <w:lvlText w:val="%1.%2.%3"/>
      <w:lvlJc w:val="left"/>
      <w:pPr>
        <w:ind w:left="1148" w:hanging="720"/>
      </w:pPr>
      <w:rPr>
        <w:vertAlign w:val="baseline"/>
      </w:rPr>
    </w:lvl>
    <w:lvl w:ilvl="3">
      <w:start w:val="1"/>
      <w:numFmt w:val="decimal"/>
      <w:lvlText w:val="%1.%2.%3.%4"/>
      <w:lvlJc w:val="left"/>
      <w:pPr>
        <w:ind w:left="1148" w:hanging="720"/>
      </w:pPr>
      <w:rPr>
        <w:vertAlign w:val="baseline"/>
      </w:rPr>
    </w:lvl>
    <w:lvl w:ilvl="4">
      <w:start w:val="1"/>
      <w:numFmt w:val="decimal"/>
      <w:lvlText w:val="%1.%2.%3.%4.%5"/>
      <w:lvlJc w:val="left"/>
      <w:pPr>
        <w:ind w:left="1508" w:hanging="1080"/>
      </w:pPr>
      <w:rPr>
        <w:vertAlign w:val="baseline"/>
      </w:rPr>
    </w:lvl>
    <w:lvl w:ilvl="5">
      <w:start w:val="1"/>
      <w:numFmt w:val="decimal"/>
      <w:lvlText w:val="%1.%2.%3.%4.%5.%6"/>
      <w:lvlJc w:val="left"/>
      <w:pPr>
        <w:ind w:left="1508" w:hanging="1080"/>
      </w:pPr>
      <w:rPr>
        <w:vertAlign w:val="baseline"/>
      </w:rPr>
    </w:lvl>
    <w:lvl w:ilvl="6">
      <w:start w:val="1"/>
      <w:numFmt w:val="decimal"/>
      <w:lvlText w:val="%1.%2.%3.%4.%5.%6.%7"/>
      <w:lvlJc w:val="left"/>
      <w:pPr>
        <w:ind w:left="1868" w:hanging="1440"/>
      </w:pPr>
      <w:rPr>
        <w:vertAlign w:val="baseline"/>
      </w:rPr>
    </w:lvl>
    <w:lvl w:ilvl="7">
      <w:start w:val="1"/>
      <w:numFmt w:val="decimal"/>
      <w:lvlText w:val="%1.%2.%3.%4.%5.%6.%7.%8"/>
      <w:lvlJc w:val="left"/>
      <w:pPr>
        <w:ind w:left="1868" w:hanging="1440"/>
      </w:pPr>
      <w:rPr>
        <w:vertAlign w:val="baseline"/>
      </w:rPr>
    </w:lvl>
    <w:lvl w:ilvl="8">
      <w:start w:val="1"/>
      <w:numFmt w:val="decimal"/>
      <w:lvlText w:val="%1.%2.%3.%4.%5.%6.%7.%8.%9"/>
      <w:lvlJc w:val="left"/>
      <w:pPr>
        <w:ind w:left="2228" w:hanging="1800"/>
      </w:pPr>
      <w:rPr>
        <w:vertAlign w:val="baseline"/>
      </w:rPr>
    </w:lvl>
  </w:abstractNum>
  <w:abstractNum w:abstractNumId="7" w15:restartNumberingAfterBreak="0">
    <w:nsid w:val="7909217D"/>
    <w:multiLevelType w:val="multilevel"/>
    <w:tmpl w:val="00F4F6C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abstractNumId w:val="2"/>
  </w:num>
  <w:num w:numId="2">
    <w:abstractNumId w:val="7"/>
  </w:num>
  <w:num w:numId="3">
    <w:abstractNumId w:val="3"/>
  </w:num>
  <w:num w:numId="4">
    <w:abstractNumId w:val="5"/>
  </w:num>
  <w:num w:numId="5">
    <w:abstractNumId w:val="0"/>
  </w:num>
  <w:num w:numId="6">
    <w:abstractNumId w:val="1"/>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1E26"/>
    <w:rsid w:val="000B52CE"/>
    <w:rsid w:val="0010399B"/>
    <w:rsid w:val="001D79C8"/>
    <w:rsid w:val="00226779"/>
    <w:rsid w:val="003E1A7E"/>
    <w:rsid w:val="004B1E26"/>
    <w:rsid w:val="004F39E9"/>
    <w:rsid w:val="00543060"/>
    <w:rsid w:val="0088172D"/>
    <w:rsid w:val="008B0FB8"/>
    <w:rsid w:val="009922CB"/>
    <w:rsid w:val="00A5545A"/>
    <w:rsid w:val="00AC1FD5"/>
    <w:rsid w:val="00CB6498"/>
    <w:rsid w:val="00CE07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6EF121F-BD38-4E19-9FF2-66B6B66901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s-E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108" w:type="dxa"/>
        <w:right w:w="108" w:type="dxa"/>
      </w:tblCellMar>
    </w:tblPr>
  </w:style>
  <w:style w:type="table" w:customStyle="1" w:styleId="a2">
    <w:basedOn w:val="TableNormal"/>
    <w:tblPr>
      <w:tblStyleRowBandSize w:val="1"/>
      <w:tblStyleColBandSize w:val="1"/>
      <w:tblCellMar>
        <w:left w:w="108" w:type="dxa"/>
        <w:right w:w="108" w:type="dxa"/>
      </w:tblCellMar>
    </w:tblPr>
  </w:style>
  <w:style w:type="table" w:customStyle="1" w:styleId="a3">
    <w:basedOn w:val="TableNormal"/>
    <w:tblPr>
      <w:tblStyleRowBandSize w:val="1"/>
      <w:tblStyleColBandSize w:val="1"/>
      <w:tblCellMar>
        <w:left w:w="108" w:type="dxa"/>
        <w:right w:w="108" w:type="dxa"/>
      </w:tblCellMar>
    </w:tblPr>
  </w:style>
  <w:style w:type="table" w:customStyle="1" w:styleId="a4">
    <w:basedOn w:val="TableNormal"/>
    <w:tblPr>
      <w:tblStyleRowBandSize w:val="1"/>
      <w:tblStyleColBandSize w:val="1"/>
      <w:tblCellMar>
        <w:left w:w="108" w:type="dxa"/>
        <w:right w:w="108" w:type="dxa"/>
      </w:tblCellMar>
    </w:tblPr>
  </w:style>
  <w:style w:type="table" w:customStyle="1" w:styleId="a5">
    <w:basedOn w:val="TableNormal"/>
    <w:tblPr>
      <w:tblStyleRowBandSize w:val="1"/>
      <w:tblStyleColBandSize w:val="1"/>
      <w:tblCellMar>
        <w:left w:w="108" w:type="dxa"/>
        <w:right w:w="108" w:type="dxa"/>
      </w:tblCellMar>
    </w:tblPr>
  </w:style>
  <w:style w:type="table" w:customStyle="1" w:styleId="a6">
    <w:basedOn w:val="TableNormal"/>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left w:w="108" w:type="dxa"/>
        <w:right w:w="108" w:type="dxa"/>
      </w:tblCellMar>
    </w:tblPr>
  </w:style>
  <w:style w:type="table" w:customStyle="1" w:styleId="a8">
    <w:basedOn w:val="TableNormal"/>
    <w:tblPr>
      <w:tblStyleRowBandSize w:val="1"/>
      <w:tblStyleColBandSize w:val="1"/>
      <w:tblCellMar>
        <w:left w:w="108" w:type="dxa"/>
        <w:right w:w="108" w:type="dxa"/>
      </w:tblCellMar>
    </w:tblPr>
  </w:style>
  <w:style w:type="table" w:customStyle="1" w:styleId="a9">
    <w:basedOn w:val="TableNormal"/>
    <w:tblPr>
      <w:tblStyleRowBandSize w:val="1"/>
      <w:tblStyleColBandSize w:val="1"/>
      <w:tblCellMar>
        <w:left w:w="70" w:type="dxa"/>
        <w:right w:w="70" w:type="dxa"/>
      </w:tblCellMar>
    </w:tblPr>
  </w:style>
  <w:style w:type="table" w:customStyle="1" w:styleId="aa">
    <w:basedOn w:val="TableNormal"/>
    <w:tblPr>
      <w:tblStyleRowBandSize w:val="1"/>
      <w:tblStyleColBandSize w:val="1"/>
      <w:tblCellMar>
        <w:left w:w="70" w:type="dxa"/>
        <w:right w:w="70" w:type="dxa"/>
      </w:tblCellMar>
    </w:tblPr>
  </w:style>
  <w:style w:type="paragraph" w:styleId="Prrafodelista">
    <w:name w:val="List Paragraph"/>
    <w:basedOn w:val="Normal"/>
    <w:uiPriority w:val="34"/>
    <w:qFormat/>
    <w:rsid w:val="009922CB"/>
    <w:pPr>
      <w:ind w:left="720"/>
      <w:contextualSpacing/>
    </w:pPr>
  </w:style>
  <w:style w:type="character" w:styleId="Textodelmarcadordeposicin">
    <w:name w:val="Placeholder Text"/>
    <w:basedOn w:val="Fuentedeprrafopredeter"/>
    <w:uiPriority w:val="99"/>
    <w:semiHidden/>
    <w:rsid w:val="00A5545A"/>
    <w:rPr>
      <w:color w:val="808080"/>
    </w:rPr>
  </w:style>
  <w:style w:type="paragraph" w:styleId="Encabezado">
    <w:name w:val="header"/>
    <w:basedOn w:val="Normal"/>
    <w:link w:val="EncabezadoCar"/>
    <w:uiPriority w:val="99"/>
    <w:unhideWhenUsed/>
    <w:rsid w:val="00CB6498"/>
    <w:pPr>
      <w:tabs>
        <w:tab w:val="center" w:pos="4419"/>
        <w:tab w:val="right" w:pos="8838"/>
      </w:tabs>
    </w:pPr>
  </w:style>
  <w:style w:type="character" w:customStyle="1" w:styleId="EncabezadoCar">
    <w:name w:val="Encabezado Car"/>
    <w:basedOn w:val="Fuentedeprrafopredeter"/>
    <w:link w:val="Encabezado"/>
    <w:uiPriority w:val="99"/>
    <w:rsid w:val="00CB6498"/>
  </w:style>
  <w:style w:type="paragraph" w:styleId="Piedepgina">
    <w:name w:val="footer"/>
    <w:basedOn w:val="Normal"/>
    <w:link w:val="PiedepginaCar"/>
    <w:uiPriority w:val="99"/>
    <w:unhideWhenUsed/>
    <w:rsid w:val="00CB6498"/>
    <w:pPr>
      <w:tabs>
        <w:tab w:val="center" w:pos="4419"/>
        <w:tab w:val="right" w:pos="8838"/>
      </w:tabs>
    </w:pPr>
  </w:style>
  <w:style w:type="character" w:customStyle="1" w:styleId="PiedepginaCar">
    <w:name w:val="Pie de página Car"/>
    <w:basedOn w:val="Fuentedeprrafopredeter"/>
    <w:link w:val="Piedepgina"/>
    <w:uiPriority w:val="99"/>
    <w:rsid w:val="00CB64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0.png"/><Relationship Id="rId13" Type="http://schemas.openxmlformats.org/officeDocument/2006/relationships/hyperlink" Target="http://www.dices.net/aeropuertos/distancias.html" TargetMode="External"/><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1.png"/><Relationship Id="rId12" Type="http://schemas.openxmlformats.org/officeDocument/2006/relationships/image" Target="media/image6.pn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3.jp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7.png"/><Relationship Id="rId5" Type="http://schemas.openxmlformats.org/officeDocument/2006/relationships/footnotes" Target="footnotes.xml"/><Relationship Id="rId15" Type="http://schemas.openxmlformats.org/officeDocument/2006/relationships/image" Target="media/image2.png"/><Relationship Id="rId10" Type="http://schemas.openxmlformats.org/officeDocument/2006/relationships/image" Target="media/image12.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3.png"/><Relationship Id="rId14"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12</Pages>
  <Words>2915</Words>
  <Characters>16621</Characters>
  <Application>Microsoft Office Word</Application>
  <DocSecurity>0</DocSecurity>
  <Lines>138</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katherine</dc:creator>
  <cp:lastModifiedBy>katherine</cp:lastModifiedBy>
  <cp:revision>6</cp:revision>
  <dcterms:created xsi:type="dcterms:W3CDTF">2020-05-03T23:33:00Z</dcterms:created>
  <dcterms:modified xsi:type="dcterms:W3CDTF">2020-07-29T01:06:00Z</dcterms:modified>
</cp:coreProperties>
</file>