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5FF" w:rsidRDefault="00EB7F54">
      <w:pPr>
        <w:numPr>
          <w:ilvl w:val="0"/>
          <w:numId w:val="2"/>
        </w:numPr>
        <w:spacing w:before="360" w:after="240" w:line="276" w:lineRule="auto"/>
        <w:ind w:left="708" w:hanging="640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>PROPÓSITO</w:t>
      </w:r>
    </w:p>
    <w:p w:rsidR="000005FF" w:rsidRDefault="00EB7F54">
      <w:pPr>
        <w:spacing w:line="360" w:lineRule="auto"/>
        <w:ind w:firstLine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El propósito de este procedimiento es describir las actividades y metodología utilizada para cuantificar y establecer las reducciones que se implementen cada año en la Asamblea Legislativa de Costa Rica. </w:t>
      </w:r>
    </w:p>
    <w:p w:rsidR="000005FF" w:rsidRDefault="00EB7F54">
      <w:pPr>
        <w:numPr>
          <w:ilvl w:val="0"/>
          <w:numId w:val="2"/>
        </w:numPr>
        <w:spacing w:before="360" w:after="240" w:line="276" w:lineRule="auto"/>
        <w:ind w:left="425" w:hanging="357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 xml:space="preserve">ALCANCE </w:t>
      </w:r>
    </w:p>
    <w:p w:rsidR="000005FF" w:rsidRDefault="00EB7F54">
      <w:pPr>
        <w:spacing w:line="360" w:lineRule="auto"/>
        <w:ind w:firstLine="708"/>
        <w:jc w:val="both"/>
        <w:rPr>
          <w:rFonts w:ascii="Arial" w:eastAsia="Arial" w:hAnsi="Arial" w:cs="Arial"/>
          <w:sz w:val="22"/>
          <w:szCs w:val="22"/>
          <w:highlight w:val="yellow"/>
        </w:rPr>
      </w:pPr>
      <w:r>
        <w:rPr>
          <w:rFonts w:ascii="Arial" w:eastAsia="Arial" w:hAnsi="Arial" w:cs="Arial"/>
          <w:sz w:val="22"/>
          <w:szCs w:val="22"/>
        </w:rPr>
        <w:t xml:space="preserve">Aplica para la cuantificación y el establecimiento de reducciones en las emisiones de GEI dentro de los alcances seleccionados para la institución. </w:t>
      </w:r>
    </w:p>
    <w:p w:rsidR="000005FF" w:rsidRDefault="00EB7F54">
      <w:pPr>
        <w:numPr>
          <w:ilvl w:val="0"/>
          <w:numId w:val="2"/>
        </w:numPr>
        <w:spacing w:before="360" w:after="240" w:line="276" w:lineRule="auto"/>
        <w:ind w:left="425" w:hanging="357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>REFERENCIAS Y DOCUMENTOS RELACIONADOS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46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66"/>
        <w:gridCol w:w="6798"/>
      </w:tblGrid>
      <w:tr w:rsidR="000005FF">
        <w:trPr>
          <w:trHeight w:val="380"/>
        </w:trPr>
        <w:tc>
          <w:tcPr>
            <w:tcW w:w="2666" w:type="dxa"/>
            <w:shd w:val="clear" w:color="auto" w:fill="C2D69B"/>
            <w:vAlign w:val="center"/>
          </w:tcPr>
          <w:p w:rsidR="000005FF" w:rsidRDefault="00EB7F54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Referencia</w:t>
            </w:r>
          </w:p>
        </w:tc>
        <w:tc>
          <w:tcPr>
            <w:tcW w:w="6798" w:type="dxa"/>
            <w:shd w:val="clear" w:color="auto" w:fill="C2D69B"/>
            <w:vAlign w:val="center"/>
          </w:tcPr>
          <w:p w:rsidR="000005FF" w:rsidRDefault="00EB7F54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Título</w:t>
            </w:r>
          </w:p>
        </w:tc>
      </w:tr>
      <w:tr w:rsidR="000005FF">
        <w:trPr>
          <w:trHeight w:val="380"/>
        </w:trPr>
        <w:tc>
          <w:tcPr>
            <w:tcW w:w="2666" w:type="dxa"/>
          </w:tcPr>
          <w:p w:rsidR="000005FF" w:rsidRDefault="00EB7F54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Acuerdo -36-2012 MINAET </w:t>
            </w:r>
          </w:p>
        </w:tc>
        <w:tc>
          <w:tcPr>
            <w:tcW w:w="6798" w:type="dxa"/>
          </w:tcPr>
          <w:p w:rsidR="000005FF" w:rsidRDefault="00EB7F54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Programa País C Neutralidad</w:t>
            </w:r>
          </w:p>
        </w:tc>
      </w:tr>
      <w:tr w:rsidR="000005FF">
        <w:trPr>
          <w:trHeight w:val="340"/>
        </w:trPr>
        <w:tc>
          <w:tcPr>
            <w:tcW w:w="2666" w:type="dxa"/>
          </w:tcPr>
          <w:p w:rsidR="000005FF" w:rsidRDefault="00EB7F54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INTE B 5 2016</w:t>
            </w:r>
          </w:p>
          <w:p w:rsidR="000005FF" w:rsidRDefault="00EB7F54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 Carbono Neutralidad)</w:t>
            </w:r>
          </w:p>
        </w:tc>
        <w:tc>
          <w:tcPr>
            <w:tcW w:w="6798" w:type="dxa"/>
          </w:tcPr>
          <w:p w:rsidR="000005FF" w:rsidRDefault="00EB7F54">
            <w:pPr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“Norma nacional para demostrar la C-neutralidad”.  MINAE, 2016”</w:t>
            </w:r>
          </w:p>
        </w:tc>
      </w:tr>
    </w:tbl>
    <w:p w:rsidR="000005FF" w:rsidRDefault="000005FF">
      <w:pPr>
        <w:jc w:val="both"/>
        <w:rPr>
          <w:rFonts w:ascii="Arial" w:eastAsia="Arial" w:hAnsi="Arial" w:cs="Arial"/>
          <w:sz w:val="20"/>
          <w:szCs w:val="20"/>
        </w:rPr>
      </w:pPr>
    </w:p>
    <w:p w:rsidR="000005FF" w:rsidRPr="00E824C9" w:rsidRDefault="00EB7F54">
      <w:pPr>
        <w:numPr>
          <w:ilvl w:val="0"/>
          <w:numId w:val="2"/>
        </w:numPr>
        <w:spacing w:before="360" w:after="240" w:line="276" w:lineRule="auto"/>
        <w:ind w:left="425" w:hanging="357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>DEFINICIONES</w:t>
      </w:r>
    </w:p>
    <w:p w:rsidR="00E824C9" w:rsidRPr="007F3906" w:rsidRDefault="00E824C9" w:rsidP="00E824C9">
      <w:pPr>
        <w:spacing w:before="360" w:after="240" w:line="276" w:lineRule="auto"/>
        <w:ind w:left="425"/>
        <w:jc w:val="both"/>
        <w:rPr>
          <w:rFonts w:ascii="Arial" w:eastAsia="Arial" w:hAnsi="Arial" w:cs="Arial"/>
          <w:sz w:val="22"/>
          <w:szCs w:val="22"/>
        </w:rPr>
      </w:pPr>
      <w:r w:rsidRPr="007F3906">
        <w:rPr>
          <w:rFonts w:ascii="Arial" w:eastAsia="Arial" w:hAnsi="Arial" w:cs="Arial"/>
          <w:b/>
          <w:sz w:val="22"/>
          <w:szCs w:val="22"/>
        </w:rPr>
        <w:t xml:space="preserve">Gases de efecto invernadero (GEI): </w:t>
      </w:r>
      <w:r w:rsidRPr="007F3906">
        <w:rPr>
          <w:rFonts w:ascii="Arial" w:eastAsia="Arial" w:hAnsi="Arial" w:cs="Arial"/>
          <w:sz w:val="22"/>
          <w:szCs w:val="22"/>
        </w:rPr>
        <w:t>componente gaseoso de la atmósfera, tanto natural como antropogénico, que absorbe y emite radiación a longitudes de onda específicas dentro del espectro de radiación infrarroja emitida por la superficie de la Tierra, l</w:t>
      </w:r>
      <w:r w:rsidRPr="007F3906">
        <w:rPr>
          <w:rFonts w:ascii="Arial" w:eastAsia="Arial" w:hAnsi="Arial" w:cs="Arial"/>
          <w:sz w:val="22"/>
          <w:szCs w:val="22"/>
        </w:rPr>
        <w:t xml:space="preserve">a atmósfera y las nubes. </w:t>
      </w:r>
      <w:r w:rsidRPr="007F3906">
        <w:rPr>
          <w:rFonts w:ascii="Arial" w:eastAsia="Arial" w:hAnsi="Arial" w:cs="Arial"/>
          <w:sz w:val="22"/>
          <w:szCs w:val="22"/>
          <w:u w:val="single"/>
        </w:rPr>
        <w:t>Nota:</w:t>
      </w:r>
      <w:r w:rsidRPr="007F3906">
        <w:rPr>
          <w:rFonts w:ascii="Arial" w:eastAsia="Arial" w:hAnsi="Arial" w:cs="Arial"/>
          <w:sz w:val="22"/>
          <w:szCs w:val="22"/>
        </w:rPr>
        <w:t xml:space="preserve"> </w:t>
      </w:r>
      <w:r w:rsidRPr="007F3906">
        <w:rPr>
          <w:rFonts w:ascii="Arial" w:eastAsia="Arial" w:hAnsi="Arial" w:cs="Arial"/>
          <w:sz w:val="22"/>
          <w:szCs w:val="22"/>
        </w:rPr>
        <w:t>Algunos de los GEI son: dióxido de carbono (CO</w:t>
      </w:r>
      <w:r w:rsidRPr="007F3906">
        <w:rPr>
          <w:rFonts w:ascii="Arial" w:eastAsia="Arial" w:hAnsi="Arial" w:cs="Arial"/>
          <w:sz w:val="22"/>
          <w:szCs w:val="22"/>
          <w:vertAlign w:val="subscript"/>
        </w:rPr>
        <w:t>2</w:t>
      </w:r>
      <w:r w:rsidRPr="007F3906">
        <w:rPr>
          <w:rFonts w:ascii="Arial" w:eastAsia="Arial" w:hAnsi="Arial" w:cs="Arial"/>
          <w:sz w:val="22"/>
          <w:szCs w:val="22"/>
        </w:rPr>
        <w:t>), metano (CH</w:t>
      </w:r>
      <w:r w:rsidRPr="007F3906">
        <w:rPr>
          <w:rFonts w:ascii="Arial" w:eastAsia="Arial" w:hAnsi="Arial" w:cs="Arial"/>
          <w:sz w:val="22"/>
          <w:szCs w:val="22"/>
          <w:vertAlign w:val="subscript"/>
        </w:rPr>
        <w:t>4</w:t>
      </w:r>
      <w:r w:rsidRPr="007F3906">
        <w:rPr>
          <w:rFonts w:ascii="Arial" w:eastAsia="Arial" w:hAnsi="Arial" w:cs="Arial"/>
          <w:sz w:val="22"/>
          <w:szCs w:val="22"/>
        </w:rPr>
        <w:t>), óxido nitroso (N</w:t>
      </w:r>
      <w:r w:rsidRPr="007F3906">
        <w:rPr>
          <w:rFonts w:ascii="Arial" w:eastAsia="Arial" w:hAnsi="Arial" w:cs="Arial"/>
          <w:sz w:val="22"/>
          <w:szCs w:val="22"/>
          <w:vertAlign w:val="subscript"/>
        </w:rPr>
        <w:t>2</w:t>
      </w:r>
      <w:r w:rsidRPr="007F3906">
        <w:rPr>
          <w:rFonts w:ascii="Arial" w:eastAsia="Arial" w:hAnsi="Arial" w:cs="Arial"/>
          <w:sz w:val="22"/>
          <w:szCs w:val="22"/>
        </w:rPr>
        <w:t xml:space="preserve">O), </w:t>
      </w:r>
      <w:proofErr w:type="spellStart"/>
      <w:r w:rsidRPr="007F3906">
        <w:rPr>
          <w:rFonts w:ascii="Arial" w:eastAsia="Arial" w:hAnsi="Arial" w:cs="Arial"/>
          <w:sz w:val="22"/>
          <w:szCs w:val="22"/>
        </w:rPr>
        <w:t>hidrofluorocarbonos</w:t>
      </w:r>
      <w:proofErr w:type="spellEnd"/>
      <w:r w:rsidRPr="007F3906">
        <w:rPr>
          <w:rFonts w:ascii="Arial" w:eastAsia="Arial" w:hAnsi="Arial" w:cs="Arial"/>
          <w:sz w:val="22"/>
          <w:szCs w:val="22"/>
        </w:rPr>
        <w:t xml:space="preserve"> (HFC), </w:t>
      </w:r>
      <w:proofErr w:type="spellStart"/>
      <w:r w:rsidRPr="007F3906">
        <w:rPr>
          <w:rFonts w:ascii="Arial" w:eastAsia="Arial" w:hAnsi="Arial" w:cs="Arial"/>
          <w:sz w:val="22"/>
          <w:szCs w:val="22"/>
        </w:rPr>
        <w:t>perfluorocarbonos</w:t>
      </w:r>
      <w:proofErr w:type="spellEnd"/>
      <w:r w:rsidRPr="007F3906">
        <w:rPr>
          <w:rFonts w:ascii="Arial" w:eastAsia="Arial" w:hAnsi="Arial" w:cs="Arial"/>
          <w:sz w:val="22"/>
          <w:szCs w:val="22"/>
        </w:rPr>
        <w:t xml:space="preserve"> (PFC) y </w:t>
      </w:r>
      <w:proofErr w:type="spellStart"/>
      <w:r w:rsidRPr="007F3906">
        <w:rPr>
          <w:rFonts w:ascii="Arial" w:eastAsia="Arial" w:hAnsi="Arial" w:cs="Arial"/>
          <w:sz w:val="22"/>
          <w:szCs w:val="22"/>
        </w:rPr>
        <w:t>hexafluoruro</w:t>
      </w:r>
      <w:proofErr w:type="spellEnd"/>
      <w:r w:rsidRPr="007F3906">
        <w:rPr>
          <w:rFonts w:ascii="Arial" w:eastAsia="Arial" w:hAnsi="Arial" w:cs="Arial"/>
          <w:sz w:val="22"/>
          <w:szCs w:val="22"/>
        </w:rPr>
        <w:t xml:space="preserve"> de azufre (SF</w:t>
      </w:r>
      <w:r w:rsidRPr="007F3906">
        <w:rPr>
          <w:rFonts w:ascii="Arial" w:eastAsia="Arial" w:hAnsi="Arial" w:cs="Arial"/>
          <w:sz w:val="22"/>
          <w:szCs w:val="22"/>
          <w:vertAlign w:val="subscript"/>
        </w:rPr>
        <w:t>6</w:t>
      </w:r>
      <w:r w:rsidRPr="007F3906">
        <w:rPr>
          <w:rFonts w:ascii="Arial" w:eastAsia="Arial" w:hAnsi="Arial" w:cs="Arial"/>
          <w:sz w:val="22"/>
          <w:szCs w:val="22"/>
        </w:rPr>
        <w:t>).</w:t>
      </w:r>
    </w:p>
    <w:p w:rsidR="007F3906" w:rsidRPr="007F3906" w:rsidRDefault="007F3906" w:rsidP="00E824C9">
      <w:pPr>
        <w:spacing w:before="360" w:after="240" w:line="276" w:lineRule="auto"/>
        <w:ind w:left="425"/>
        <w:jc w:val="both"/>
        <w:rPr>
          <w:rFonts w:ascii="Arial" w:eastAsia="Arial" w:hAnsi="Arial" w:cs="Arial"/>
          <w:b/>
          <w:sz w:val="22"/>
          <w:szCs w:val="22"/>
        </w:rPr>
      </w:pPr>
    </w:p>
    <w:p w:rsidR="00E824C9" w:rsidRPr="007F3906" w:rsidRDefault="00E824C9" w:rsidP="00E824C9">
      <w:pPr>
        <w:spacing w:before="360" w:after="240" w:line="276" w:lineRule="auto"/>
        <w:ind w:left="425"/>
        <w:jc w:val="both"/>
        <w:rPr>
          <w:rFonts w:ascii="Arial" w:eastAsia="Arial" w:hAnsi="Arial" w:cs="Arial"/>
          <w:sz w:val="22"/>
          <w:szCs w:val="22"/>
        </w:rPr>
      </w:pPr>
      <w:r w:rsidRPr="007F3906">
        <w:rPr>
          <w:rFonts w:ascii="Arial" w:eastAsia="Arial" w:hAnsi="Arial" w:cs="Arial"/>
          <w:b/>
          <w:sz w:val="22"/>
          <w:szCs w:val="22"/>
        </w:rPr>
        <w:lastRenderedPageBreak/>
        <w:t xml:space="preserve">Reducción de GEI: </w:t>
      </w:r>
      <w:r w:rsidRPr="007F3906">
        <w:rPr>
          <w:rFonts w:ascii="Arial" w:eastAsia="Arial" w:hAnsi="Arial" w:cs="Arial"/>
          <w:sz w:val="22"/>
          <w:szCs w:val="22"/>
        </w:rPr>
        <w:t xml:space="preserve">son las medidas </w:t>
      </w:r>
      <w:r w:rsidR="007F3906" w:rsidRPr="007F3906">
        <w:rPr>
          <w:rFonts w:ascii="Arial" w:eastAsia="Arial" w:hAnsi="Arial" w:cs="Arial"/>
          <w:sz w:val="22"/>
          <w:szCs w:val="22"/>
        </w:rPr>
        <w:t xml:space="preserve">planeadas y/o ejecutadas </w:t>
      </w:r>
      <w:r w:rsidRPr="007F3906">
        <w:rPr>
          <w:rFonts w:ascii="Arial" w:eastAsia="Arial" w:hAnsi="Arial" w:cs="Arial"/>
          <w:sz w:val="22"/>
          <w:szCs w:val="22"/>
        </w:rPr>
        <w:t xml:space="preserve">para disminuir la emisión de gases de efecto invernadero de una fuente en específico, con el fin de reducir el impacto que esta tiene </w:t>
      </w:r>
      <w:r w:rsidR="007F3906" w:rsidRPr="007F3906">
        <w:rPr>
          <w:rFonts w:ascii="Arial" w:eastAsia="Arial" w:hAnsi="Arial" w:cs="Arial"/>
          <w:sz w:val="22"/>
          <w:szCs w:val="22"/>
        </w:rPr>
        <w:t xml:space="preserve">en un inventario general y en la huella de carbono. </w:t>
      </w:r>
    </w:p>
    <w:p w:rsidR="007F3906" w:rsidRPr="007F3906" w:rsidRDefault="00E824C9" w:rsidP="007F3906">
      <w:pPr>
        <w:spacing w:before="360" w:after="240" w:line="276" w:lineRule="auto"/>
        <w:ind w:left="425"/>
        <w:jc w:val="both"/>
        <w:rPr>
          <w:rFonts w:ascii="Arial" w:eastAsia="Arial" w:hAnsi="Arial" w:cs="Arial"/>
          <w:sz w:val="22"/>
          <w:szCs w:val="22"/>
        </w:rPr>
      </w:pPr>
      <w:r w:rsidRPr="007F3906">
        <w:rPr>
          <w:rFonts w:ascii="Arial" w:eastAsia="Arial" w:hAnsi="Arial" w:cs="Arial"/>
          <w:b/>
          <w:sz w:val="22"/>
          <w:szCs w:val="22"/>
        </w:rPr>
        <w:t xml:space="preserve">Compensación de GEI: </w:t>
      </w:r>
      <w:r w:rsidR="007F3906" w:rsidRPr="007F3906">
        <w:rPr>
          <w:rFonts w:ascii="Arial" w:eastAsia="Arial" w:hAnsi="Arial" w:cs="Arial"/>
          <w:sz w:val="22"/>
          <w:szCs w:val="22"/>
        </w:rPr>
        <w:t xml:space="preserve">estas son las medidas tomadas para compensar una o más emisiones de gases de efecto invernadero que no se logran reducir en un periodo determinado. Debe de ser el último recurso a utilizar en los procesos de carbono neutralidad, es decir, se debe compensar la cantidad de emisión que la organización no pudo reducir o mitigar. </w:t>
      </w:r>
    </w:p>
    <w:p w:rsidR="000005FF" w:rsidRPr="007F3906" w:rsidRDefault="00E824C9" w:rsidP="00E824C9">
      <w:pPr>
        <w:spacing w:before="360" w:after="240" w:line="276" w:lineRule="auto"/>
        <w:ind w:left="425"/>
        <w:jc w:val="both"/>
        <w:rPr>
          <w:rFonts w:ascii="Arial" w:eastAsia="Arial" w:hAnsi="Arial" w:cs="Arial"/>
          <w:sz w:val="22"/>
          <w:szCs w:val="22"/>
        </w:rPr>
      </w:pPr>
      <w:r w:rsidRPr="007F3906">
        <w:rPr>
          <w:rFonts w:ascii="Arial" w:eastAsia="Arial" w:hAnsi="Arial" w:cs="Arial"/>
          <w:b/>
          <w:sz w:val="22"/>
          <w:szCs w:val="22"/>
        </w:rPr>
        <w:t xml:space="preserve">Acciones dirigidas: </w:t>
      </w:r>
      <w:r w:rsidR="007F3906" w:rsidRPr="007F3906">
        <w:rPr>
          <w:rFonts w:ascii="Arial" w:eastAsia="Arial" w:hAnsi="Arial" w:cs="Arial"/>
          <w:sz w:val="22"/>
          <w:szCs w:val="22"/>
        </w:rPr>
        <w:t xml:space="preserve">son los proyectos o actividades específicas planeadas por la organización con el fin de reducir o mitigar emisiones directas o indirectas de gases efecto invernadero. </w:t>
      </w:r>
    </w:p>
    <w:p w:rsidR="000005FF" w:rsidRDefault="00EB7F54">
      <w:pPr>
        <w:numPr>
          <w:ilvl w:val="0"/>
          <w:numId w:val="2"/>
        </w:numPr>
        <w:spacing w:before="360" w:after="240" w:line="276" w:lineRule="auto"/>
        <w:ind w:left="425" w:hanging="357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>RESPONSABILIDADES</w:t>
      </w: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Cada persona involucrada en el proceso de GEI, en coordinación con el asesor ambiental, debe cumplir con las siguientes funciones y responsabilidades:</w:t>
      </w:r>
    </w:p>
    <w:p w:rsidR="000005FF" w:rsidRDefault="000005FF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Style w:val="a1"/>
        <w:tblW w:w="9180" w:type="dxa"/>
        <w:tblInd w:w="0" w:type="dxa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ayout w:type="fixed"/>
        <w:tblLook w:val="0000" w:firstRow="0" w:lastRow="0" w:firstColumn="0" w:lastColumn="0" w:noHBand="0" w:noVBand="0"/>
      </w:tblPr>
      <w:tblGrid>
        <w:gridCol w:w="4393"/>
        <w:gridCol w:w="4787"/>
      </w:tblGrid>
      <w:tr w:rsidR="000005FF">
        <w:tc>
          <w:tcPr>
            <w:tcW w:w="4393" w:type="dxa"/>
            <w:shd w:val="clear" w:color="auto" w:fill="000080"/>
          </w:tcPr>
          <w:p w:rsidR="000005FF" w:rsidRDefault="00EB7F54">
            <w:pPr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Puesto</w:t>
            </w:r>
          </w:p>
        </w:tc>
        <w:tc>
          <w:tcPr>
            <w:tcW w:w="4787" w:type="dxa"/>
            <w:shd w:val="clear" w:color="auto" w:fill="000080"/>
          </w:tcPr>
          <w:p w:rsidR="000005FF" w:rsidRDefault="00EB7F54">
            <w:pPr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Responsabilidad</w:t>
            </w:r>
          </w:p>
        </w:tc>
      </w:tr>
      <w:tr w:rsidR="000005FF">
        <w:tc>
          <w:tcPr>
            <w:tcW w:w="4393" w:type="dxa"/>
          </w:tcPr>
          <w:p w:rsidR="000005FF" w:rsidRDefault="00EB7F54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Asesor(a)/pasante</w:t>
            </w:r>
          </w:p>
        </w:tc>
        <w:tc>
          <w:tcPr>
            <w:tcW w:w="4787" w:type="dxa"/>
          </w:tcPr>
          <w:p w:rsidR="000005FF" w:rsidRDefault="00EB7F54">
            <w:pPr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Realizar propuestas para reducir las emisiones de GEI.</w:t>
            </w:r>
          </w:p>
        </w:tc>
      </w:tr>
      <w:tr w:rsidR="000005FF">
        <w:tc>
          <w:tcPr>
            <w:tcW w:w="4393" w:type="dxa"/>
          </w:tcPr>
          <w:p w:rsidR="000005FF" w:rsidRDefault="00EB7F54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Coordinador de la Comisión Institucional de Sostenibilidad de la Asamblea Legislativa (CISAL)</w:t>
            </w:r>
          </w:p>
        </w:tc>
        <w:tc>
          <w:tcPr>
            <w:tcW w:w="4787" w:type="dxa"/>
          </w:tcPr>
          <w:p w:rsidR="000005FF" w:rsidRDefault="00E824C9">
            <w:pPr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Aprueba 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las versión</w:t>
            </w:r>
            <w:r w:rsidR="00EB7F54">
              <w:rPr>
                <w:rFonts w:ascii="Arial" w:eastAsia="Arial" w:hAnsi="Arial" w:cs="Arial"/>
                <w:sz w:val="20"/>
                <w:szCs w:val="20"/>
              </w:rPr>
              <w:t xml:space="preserve"> final</w:t>
            </w:r>
            <w:proofErr w:type="gramEnd"/>
            <w:r w:rsidR="00EB7F54">
              <w:rPr>
                <w:rFonts w:ascii="Arial" w:eastAsia="Arial" w:hAnsi="Arial" w:cs="Arial"/>
                <w:sz w:val="20"/>
                <w:szCs w:val="20"/>
              </w:rPr>
              <w:t xml:space="preserve"> del sistema de información, en este caso las reducciones. </w:t>
            </w:r>
          </w:p>
          <w:p w:rsidR="000005FF" w:rsidRDefault="00EB7F54">
            <w:pPr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Coordina al equipo de carbono neutralidad.</w:t>
            </w:r>
          </w:p>
        </w:tc>
      </w:tr>
      <w:tr w:rsidR="000005FF">
        <w:tc>
          <w:tcPr>
            <w:tcW w:w="4393" w:type="dxa"/>
          </w:tcPr>
          <w:p w:rsidR="000005FF" w:rsidRDefault="00EB7F54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Gestor ambiental</w:t>
            </w:r>
          </w:p>
        </w:tc>
        <w:tc>
          <w:tcPr>
            <w:tcW w:w="4787" w:type="dxa"/>
          </w:tcPr>
          <w:p w:rsidR="000005FF" w:rsidRDefault="00EB7F54">
            <w:pPr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Apoya en la recolección de información y coordinación del equipo.</w:t>
            </w:r>
          </w:p>
          <w:p w:rsidR="000005FF" w:rsidRDefault="00EB7F54">
            <w:pPr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Ejecución de las medidas de reducción.</w:t>
            </w:r>
          </w:p>
        </w:tc>
      </w:tr>
    </w:tbl>
    <w:p w:rsidR="000005FF" w:rsidRDefault="000005FF">
      <w:pPr>
        <w:jc w:val="both"/>
        <w:rPr>
          <w:rFonts w:ascii="Arial" w:eastAsia="Arial" w:hAnsi="Arial" w:cs="Arial"/>
          <w:sz w:val="20"/>
          <w:szCs w:val="20"/>
        </w:rPr>
      </w:pPr>
    </w:p>
    <w:p w:rsidR="000005FF" w:rsidRDefault="00EB7F54">
      <w:pPr>
        <w:numPr>
          <w:ilvl w:val="0"/>
          <w:numId w:val="2"/>
        </w:numPr>
        <w:spacing w:before="360" w:after="240" w:line="276" w:lineRule="auto"/>
        <w:ind w:left="425" w:hanging="357"/>
        <w:jc w:val="both"/>
        <w:rPr>
          <w:rFonts w:ascii="Arial" w:eastAsia="Arial" w:hAnsi="Arial" w:cs="Arial"/>
          <w:color w:val="000080"/>
          <w:u w:val="single"/>
        </w:rPr>
      </w:pPr>
      <w:r>
        <w:rPr>
          <w:rFonts w:ascii="Arial" w:eastAsia="Arial" w:hAnsi="Arial" w:cs="Arial"/>
          <w:b/>
          <w:color w:val="000080"/>
          <w:u w:val="single"/>
        </w:rPr>
        <w:t>PROCEDIMIENTO</w:t>
      </w:r>
    </w:p>
    <w:p w:rsidR="000005FF" w:rsidRDefault="00EB7F54">
      <w:pPr>
        <w:spacing w:line="276" w:lineRule="auto"/>
        <w:ind w:firstLine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 cuantificación de las reducciones de gases efecto invernadero, consiste en planificar las reducciones para ejecutar en un plazo, valorar su impacto y realizar un seguimiento de actividades.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>6.1  Planificación</w:t>
      </w:r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 de reducciones: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 w:rsidP="007F3906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>6.1.1  Identificación</w:t>
      </w:r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 de reducciones:</w:t>
      </w:r>
      <w:r w:rsidR="007F3906">
        <w:rPr>
          <w:rFonts w:ascii="Arial" w:eastAsia="Arial" w:hAnsi="Arial" w:cs="Arial"/>
          <w:sz w:val="22"/>
          <w:szCs w:val="22"/>
        </w:rPr>
        <w:t xml:space="preserve"> </w:t>
      </w:r>
      <w:bookmarkStart w:id="0" w:name="_GoBack"/>
      <w:bookmarkEnd w:id="0"/>
      <w:r>
        <w:rPr>
          <w:rFonts w:ascii="Arial" w:eastAsia="Arial" w:hAnsi="Arial" w:cs="Arial"/>
          <w:sz w:val="22"/>
          <w:szCs w:val="22"/>
        </w:rPr>
        <w:t xml:space="preserve">Se deben identificar las oportunidades de reducción que se tienen en la institución, valorando a partir del inventario de emisiones del periodo anterior y las acciones que se han tomado previamente. </w:t>
      </w:r>
    </w:p>
    <w:p w:rsidR="000005FF" w:rsidRDefault="000005FF">
      <w:pPr>
        <w:spacing w:line="276" w:lineRule="auto"/>
        <w:ind w:firstLine="708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0005FF">
      <w:pPr>
        <w:spacing w:line="276" w:lineRule="auto"/>
        <w:ind w:firstLine="708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0005FF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6.1.2 Plantear acciones de reducción:</w:t>
      </w:r>
    </w:p>
    <w:p w:rsidR="000005FF" w:rsidRDefault="00EB7F54">
      <w:pPr>
        <w:spacing w:line="276" w:lineRule="auto"/>
        <w:ind w:firstLine="708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 acuerdo a cada fuente de emisión se deben plantear una o más acciones dirigidas que lleven a la reducción de la emisión con el propósito de aproximarse lo máximo posible la carbono neutralidad por este medio.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ind w:firstLine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Para esto se debe utilizar el registro de planificación y cuantificación de reducción de emisiones (RCN-02) en el que se pondrán los </w:t>
      </w:r>
      <w:r w:rsidR="00E824C9">
        <w:rPr>
          <w:rFonts w:ascii="Arial" w:eastAsia="Arial" w:hAnsi="Arial" w:cs="Arial"/>
          <w:sz w:val="22"/>
          <w:szCs w:val="22"/>
        </w:rPr>
        <w:t>siguientes rubros</w:t>
      </w:r>
      <w:r>
        <w:rPr>
          <w:rFonts w:ascii="Arial" w:eastAsia="Arial" w:hAnsi="Arial" w:cs="Arial"/>
          <w:sz w:val="22"/>
          <w:szCs w:val="22"/>
        </w:rPr>
        <w:t>: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a2"/>
        <w:tblW w:w="11070" w:type="dxa"/>
        <w:tblInd w:w="-1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1005"/>
        <w:gridCol w:w="1170"/>
        <w:gridCol w:w="1170"/>
        <w:gridCol w:w="1500"/>
        <w:gridCol w:w="1500"/>
        <w:gridCol w:w="1320"/>
        <w:gridCol w:w="1470"/>
        <w:gridCol w:w="1035"/>
      </w:tblGrid>
      <w:tr w:rsidR="000005FF" w:rsidRPr="00E824C9" w:rsidTr="00E824C9">
        <w:tc>
          <w:tcPr>
            <w:tcW w:w="90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Fuente</w:t>
            </w:r>
          </w:p>
        </w:tc>
        <w:tc>
          <w:tcPr>
            <w:tcW w:w="1005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Emisión (t CO2e)</w:t>
            </w:r>
          </w:p>
        </w:tc>
        <w:tc>
          <w:tcPr>
            <w:tcW w:w="117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Medida de reducción</w:t>
            </w:r>
          </w:p>
        </w:tc>
        <w:tc>
          <w:tcPr>
            <w:tcW w:w="117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Meta de reducción</w:t>
            </w:r>
          </w:p>
        </w:tc>
        <w:tc>
          <w:tcPr>
            <w:tcW w:w="150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Cronograma</w:t>
            </w:r>
          </w:p>
        </w:tc>
        <w:tc>
          <w:tcPr>
            <w:tcW w:w="150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Responsable</w:t>
            </w:r>
          </w:p>
        </w:tc>
        <w:tc>
          <w:tcPr>
            <w:tcW w:w="132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Recursos</w:t>
            </w:r>
          </w:p>
        </w:tc>
        <w:tc>
          <w:tcPr>
            <w:tcW w:w="1470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Metodología</w:t>
            </w:r>
          </w:p>
        </w:tc>
        <w:tc>
          <w:tcPr>
            <w:tcW w:w="1035" w:type="dxa"/>
            <w:vAlign w:val="center"/>
          </w:tcPr>
          <w:p w:rsidR="000005FF" w:rsidRPr="00E824C9" w:rsidRDefault="00EB7F54" w:rsidP="00E824C9">
            <w:pPr>
              <w:spacing w:line="276" w:lineRule="auto"/>
              <w:jc w:val="center"/>
              <w:rPr>
                <w:rFonts w:ascii="Arial" w:eastAsia="Arial" w:hAnsi="Arial" w:cs="Arial"/>
                <w:sz w:val="20"/>
                <w:szCs w:val="22"/>
              </w:rPr>
            </w:pPr>
            <w:r w:rsidRPr="00E824C9">
              <w:rPr>
                <w:rFonts w:ascii="Arial" w:eastAsia="Arial" w:hAnsi="Arial" w:cs="Arial"/>
                <w:sz w:val="20"/>
                <w:szCs w:val="22"/>
              </w:rPr>
              <w:t>Control</w:t>
            </w:r>
          </w:p>
        </w:tc>
      </w:tr>
    </w:tbl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ind w:firstLine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Las medidas de reducción deben tener una meta, la cual será evaluada al final del periodo y se dará un seguimiento trimestral.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Nota: en caso de existir emisiones a las cuales no se les pueden aplicar medidas de reducción, estas deberán ser compensadas por medio de las Unidades Costarricenses de Carbono (UCC) del Fondo Nacional de Financiamiento Forestal (FONAFIFO).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6.2 Cuantificación o establecimiento de las medidas de reducción: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De acuerdo a cada medida se calculará un porcentaje de reducción, de acuerdo al alcance de cada acción dirigida. </w:t>
      </w:r>
      <w:r>
        <w:rPr>
          <w:rFonts w:ascii="Arial" w:eastAsia="Arial" w:hAnsi="Arial" w:cs="Arial"/>
          <w:sz w:val="22"/>
          <w:szCs w:val="22"/>
        </w:rPr>
        <w:t xml:space="preserve">El planeamiento de cada acción de debe hacer para el periodo siguiente, sin </w:t>
      </w:r>
      <w:r w:rsidR="00E824C9">
        <w:rPr>
          <w:rFonts w:ascii="Arial" w:eastAsia="Arial" w:hAnsi="Arial" w:cs="Arial"/>
          <w:sz w:val="22"/>
          <w:szCs w:val="22"/>
        </w:rPr>
        <w:t>embargo,</w:t>
      </w:r>
      <w:r>
        <w:rPr>
          <w:rFonts w:ascii="Arial" w:eastAsia="Arial" w:hAnsi="Arial" w:cs="Arial"/>
          <w:sz w:val="22"/>
          <w:szCs w:val="22"/>
        </w:rPr>
        <w:t xml:space="preserve"> se puede hacer un plan de acción que conlleve varios años y a cada año se le asigna un porcentaje de avance.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Las estimaciones de reducción dependen de cada acción, pero siempre se debe hacer un aproximado de porcentaje de reducción que representa cada una. </w:t>
      </w:r>
    </w:p>
    <w:p w:rsidR="000005FF" w:rsidRDefault="000005FF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0005FF">
      <w:pPr>
        <w:tabs>
          <w:tab w:val="left" w:pos="284"/>
          <w:tab w:val="left" w:pos="426"/>
        </w:tabs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0005FF">
      <w:pPr>
        <w:spacing w:line="276" w:lineRule="auto"/>
        <w:ind w:left="142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0005FF">
      <w:pPr>
        <w:tabs>
          <w:tab w:val="left" w:pos="284"/>
          <w:tab w:val="left" w:pos="426"/>
        </w:tabs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0005FF" w:rsidRDefault="00EB7F54">
      <w:pPr>
        <w:tabs>
          <w:tab w:val="left" w:pos="284"/>
          <w:tab w:val="left" w:pos="426"/>
        </w:tabs>
        <w:spacing w:after="200" w:line="276" w:lineRule="auto"/>
        <w:jc w:val="center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sz w:val="36"/>
          <w:szCs w:val="36"/>
        </w:rPr>
        <w:t>FIN DE DOCUMENTO</w:t>
      </w:r>
    </w:p>
    <w:sectPr w:rsidR="000005FF">
      <w:headerReference w:type="default" r:id="rId7"/>
      <w:headerReference w:type="first" r:id="rId8"/>
      <w:pgSz w:w="12240" w:h="15840"/>
      <w:pgMar w:top="1440" w:right="1797" w:bottom="1440" w:left="1797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0C73" w:rsidRDefault="00E90C73">
      <w:r>
        <w:separator/>
      </w:r>
    </w:p>
  </w:endnote>
  <w:endnote w:type="continuationSeparator" w:id="0">
    <w:p w:rsidR="00E90C73" w:rsidRDefault="00E90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0C73" w:rsidRDefault="00E90C73">
      <w:r>
        <w:separator/>
      </w:r>
    </w:p>
  </w:footnote>
  <w:footnote w:type="continuationSeparator" w:id="0">
    <w:p w:rsidR="00E90C73" w:rsidRDefault="00E90C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5FF" w:rsidRDefault="000005FF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sz w:val="36"/>
        <w:szCs w:val="36"/>
      </w:rPr>
    </w:pPr>
  </w:p>
  <w:tbl>
    <w:tblPr>
      <w:tblStyle w:val="a3"/>
      <w:tblW w:w="9993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2704"/>
      <w:gridCol w:w="4788"/>
      <w:gridCol w:w="2501"/>
    </w:tblGrid>
    <w:tr w:rsidR="000005FF">
      <w:trPr>
        <w:trHeight w:val="840"/>
        <w:jc w:val="center"/>
      </w:trPr>
      <w:tc>
        <w:tcPr>
          <w:tcW w:w="9993" w:type="dxa"/>
          <w:gridSpan w:val="3"/>
          <w:tcBorders>
            <w:bottom w:val="single" w:sz="8" w:space="0" w:color="76923C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120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t>PROCEDIMIENTO PARA LA CUANTIFICACIÓN DE GASES DE EFECTO INVERNADERO</w:t>
          </w:r>
        </w:p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color w:val="002060"/>
              <w:sz w:val="22"/>
              <w:szCs w:val="22"/>
            </w:rPr>
            <w:t>INDICAR NOMBRE DE LA EMPRESA</w:t>
          </w:r>
        </w:p>
      </w:tc>
    </w:tr>
    <w:tr w:rsidR="000005FF">
      <w:trPr>
        <w:trHeight w:val="220"/>
        <w:jc w:val="center"/>
      </w:trPr>
      <w:tc>
        <w:tcPr>
          <w:tcW w:w="2704" w:type="dxa"/>
          <w:tcBorders>
            <w:top w:val="single" w:sz="8" w:space="0" w:color="76923C"/>
            <w:right w:val="single" w:sz="8" w:space="0" w:color="76923C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ind w:right="360"/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 xml:space="preserve">Versión: </w:t>
          </w:r>
          <w:r>
            <w:rPr>
              <w:rFonts w:ascii="Calibri" w:eastAsia="Calibri" w:hAnsi="Calibri" w:cs="Calibri"/>
              <w:sz w:val="18"/>
              <w:szCs w:val="18"/>
            </w:rPr>
            <w:t>A</w:t>
          </w:r>
        </w:p>
      </w:tc>
      <w:tc>
        <w:tcPr>
          <w:tcW w:w="4788" w:type="dxa"/>
          <w:tcBorders>
            <w:top w:val="single" w:sz="8" w:space="0" w:color="76923C"/>
            <w:left w:val="single" w:sz="8" w:space="0" w:color="76923C"/>
            <w:right w:val="single" w:sz="8" w:space="0" w:color="76923C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 xml:space="preserve">Página </w: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begin"/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instrText>PAGE</w:instrTex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separate"/>
          </w:r>
          <w:r w:rsidR="007F3906">
            <w:rPr>
              <w:rFonts w:ascii="Calibri" w:eastAsia="Calibri" w:hAnsi="Calibri" w:cs="Calibri"/>
              <w:noProof/>
              <w:color w:val="000000"/>
              <w:sz w:val="18"/>
              <w:szCs w:val="18"/>
            </w:rPr>
            <w:t>2</w: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end"/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 xml:space="preserve"> de </w: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begin"/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instrText>NUMPAGES</w:instrTex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separate"/>
          </w:r>
          <w:r w:rsidR="007F3906">
            <w:rPr>
              <w:rFonts w:ascii="Calibri" w:eastAsia="Calibri" w:hAnsi="Calibri" w:cs="Calibri"/>
              <w:noProof/>
              <w:color w:val="000000"/>
              <w:sz w:val="18"/>
              <w:szCs w:val="18"/>
            </w:rPr>
            <w:t>3</w:t>
          </w: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fldChar w:fldCharType="end"/>
          </w:r>
        </w:p>
      </w:tc>
      <w:tc>
        <w:tcPr>
          <w:tcW w:w="2501" w:type="dxa"/>
          <w:tcBorders>
            <w:top w:val="single" w:sz="8" w:space="0" w:color="76923C"/>
            <w:left w:val="single" w:sz="8" w:space="0" w:color="76923C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>Código: PCN-02</w:t>
          </w:r>
        </w:p>
      </w:tc>
    </w:tr>
  </w:tbl>
  <w:p w:rsidR="000005FF" w:rsidRDefault="000005F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5FF" w:rsidRDefault="000005FF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4"/>
      <w:tblW w:w="9991" w:type="dxa"/>
      <w:jc w:val="center"/>
      <w:tblInd w:w="0" w:type="dxa"/>
      <w:tblBorders>
        <w:top w:val="single" w:sz="8" w:space="0" w:color="76923C"/>
        <w:left w:val="single" w:sz="8" w:space="0" w:color="76923C"/>
        <w:bottom w:val="single" w:sz="8" w:space="0" w:color="76923C"/>
        <w:right w:val="single" w:sz="8" w:space="0" w:color="76923C"/>
        <w:insideH w:val="single" w:sz="8" w:space="0" w:color="76923C"/>
        <w:insideV w:val="single" w:sz="8" w:space="0" w:color="76923C"/>
      </w:tblBorders>
      <w:tblLayout w:type="fixed"/>
      <w:tblLook w:val="0000" w:firstRow="0" w:lastRow="0" w:firstColumn="0" w:lastColumn="0" w:noHBand="0" w:noVBand="0"/>
    </w:tblPr>
    <w:tblGrid>
      <w:gridCol w:w="3933"/>
      <w:gridCol w:w="6"/>
      <w:gridCol w:w="3725"/>
      <w:gridCol w:w="1516"/>
      <w:gridCol w:w="811"/>
    </w:tblGrid>
    <w:tr w:rsidR="000005FF">
      <w:trPr>
        <w:trHeight w:val="720"/>
        <w:jc w:val="center"/>
      </w:trPr>
      <w:tc>
        <w:tcPr>
          <w:tcW w:w="3933" w:type="dxa"/>
          <w:vAlign w:val="center"/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120"/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noProof/>
              <w:color w:val="000000"/>
              <w:sz w:val="18"/>
              <w:szCs w:val="18"/>
              <w:highlight w:val="yellow"/>
              <w:lang w:val="en-US"/>
            </w:rPr>
            <w:drawing>
              <wp:inline distT="0" distB="0" distL="114300" distR="114300">
                <wp:extent cx="1134110" cy="845820"/>
                <wp:effectExtent l="0" t="0" r="0" b="0"/>
                <wp:docPr id="1" name="image1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34110" cy="84582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31" w:type="dxa"/>
          <w:gridSpan w:val="2"/>
          <w:tcBorders>
            <w:right w:val="single" w:sz="4" w:space="0" w:color="000000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120"/>
            <w:jc w:val="center"/>
            <w:rPr>
              <w:rFonts w:ascii="Calibri" w:eastAsia="Calibri" w:hAnsi="Calibri" w:cs="Calibri"/>
              <w:color w:val="000000"/>
              <w:sz w:val="20"/>
              <w:szCs w:val="20"/>
            </w:rPr>
          </w:pP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t>PROCEDIMIENTO PARA LA CUANTIFICACIÓN DE REDUCCIONES</w:t>
          </w:r>
        </w:p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120"/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b/>
              <w:color w:val="002060"/>
              <w:sz w:val="22"/>
              <w:szCs w:val="22"/>
            </w:rPr>
            <w:t xml:space="preserve">Asamblea Legislativa de Costa Rica </w:t>
          </w:r>
        </w:p>
      </w:tc>
      <w:tc>
        <w:tcPr>
          <w:tcW w:w="2327" w:type="dxa"/>
          <w:gridSpan w:val="2"/>
          <w:tcBorders>
            <w:left w:val="single" w:sz="4" w:space="0" w:color="000000"/>
          </w:tcBorders>
        </w:tcPr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line="276" w:lineRule="auto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color w:val="000000"/>
              <w:sz w:val="18"/>
              <w:szCs w:val="18"/>
            </w:rPr>
            <w:t>Código:</w:t>
          </w:r>
        </w:p>
        <w:p w:rsidR="000005FF" w:rsidRDefault="00EB7F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Calibri" w:eastAsia="Calibri" w:hAnsi="Calibri" w:cs="Calibri"/>
              <w:color w:val="000000"/>
            </w:rPr>
          </w:pPr>
          <w:r>
            <w:rPr>
              <w:rFonts w:ascii="Calibri" w:eastAsia="Calibri" w:hAnsi="Calibri" w:cs="Calibri"/>
              <w:color w:val="000000"/>
            </w:rPr>
            <w:t>PCN – 02</w:t>
          </w:r>
        </w:p>
      </w:tc>
    </w:tr>
    <w:tr w:rsidR="000005FF">
      <w:trPr>
        <w:trHeight w:val="260"/>
        <w:jc w:val="center"/>
      </w:trPr>
      <w:tc>
        <w:tcPr>
          <w:tcW w:w="3939" w:type="dxa"/>
          <w:gridSpan w:val="2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sz w:val="18"/>
              <w:szCs w:val="18"/>
            </w:rPr>
            <w:t>Nombre del responsable de la elaboración:</w:t>
          </w:r>
        </w:p>
      </w:tc>
      <w:tc>
        <w:tcPr>
          <w:tcW w:w="3725" w:type="dxa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sz w:val="18"/>
              <w:szCs w:val="18"/>
            </w:rPr>
            <w:t>Nombre del responsable de la aprobación:</w:t>
          </w:r>
        </w:p>
      </w:tc>
      <w:tc>
        <w:tcPr>
          <w:tcW w:w="2327" w:type="dxa"/>
          <w:gridSpan w:val="2"/>
        </w:tcPr>
        <w:p w:rsidR="000005FF" w:rsidRDefault="000005FF">
          <w:pPr>
            <w:spacing w:line="276" w:lineRule="auto"/>
            <w:ind w:left="74"/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</w:p>
      </w:tc>
    </w:tr>
    <w:tr w:rsidR="000005FF">
      <w:trPr>
        <w:trHeight w:val="400"/>
        <w:jc w:val="center"/>
      </w:trPr>
      <w:tc>
        <w:tcPr>
          <w:tcW w:w="3939" w:type="dxa"/>
          <w:gridSpan w:val="2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>Milton Madriz Cedeño</w:t>
          </w:r>
        </w:p>
      </w:tc>
      <w:tc>
        <w:tcPr>
          <w:tcW w:w="3725" w:type="dxa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 xml:space="preserve">Antonio </w:t>
          </w:r>
          <w:proofErr w:type="spellStart"/>
          <w:r>
            <w:rPr>
              <w:rFonts w:ascii="Calibri" w:eastAsia="Calibri" w:hAnsi="Calibri" w:cs="Calibri"/>
              <w:sz w:val="18"/>
              <w:szCs w:val="18"/>
            </w:rPr>
            <w:t>Ayales</w:t>
          </w:r>
          <w:proofErr w:type="spellEnd"/>
          <w:r>
            <w:rPr>
              <w:rFonts w:ascii="Calibri" w:eastAsia="Calibri" w:hAnsi="Calibri" w:cs="Calibri"/>
              <w:sz w:val="18"/>
              <w:szCs w:val="18"/>
            </w:rPr>
            <w:t xml:space="preserve"> </w:t>
          </w:r>
          <w:proofErr w:type="spellStart"/>
          <w:r>
            <w:rPr>
              <w:rFonts w:ascii="Calibri" w:eastAsia="Calibri" w:hAnsi="Calibri" w:cs="Calibri"/>
              <w:sz w:val="18"/>
              <w:szCs w:val="18"/>
            </w:rPr>
            <w:t>Esna</w:t>
          </w:r>
          <w:proofErr w:type="spellEnd"/>
        </w:p>
      </w:tc>
      <w:tc>
        <w:tcPr>
          <w:tcW w:w="2327" w:type="dxa"/>
          <w:gridSpan w:val="2"/>
        </w:tcPr>
        <w:p w:rsidR="000005FF" w:rsidRDefault="00EB7F54">
          <w:pPr>
            <w:spacing w:line="276" w:lineRule="auto"/>
            <w:ind w:left="74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sz w:val="18"/>
              <w:szCs w:val="18"/>
            </w:rPr>
            <w:t>Vigente desde:</w:t>
          </w:r>
        </w:p>
        <w:p w:rsidR="000005FF" w:rsidRDefault="00EB7F54">
          <w:pPr>
            <w:spacing w:line="276" w:lineRule="auto"/>
            <w:ind w:left="74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color w:val="000000"/>
              <w:sz w:val="18"/>
              <w:szCs w:val="18"/>
            </w:rPr>
            <w:t>15/04/2018</w:t>
          </w:r>
        </w:p>
      </w:tc>
    </w:tr>
    <w:tr w:rsidR="000005FF">
      <w:trPr>
        <w:trHeight w:val="500"/>
        <w:jc w:val="center"/>
      </w:trPr>
      <w:tc>
        <w:tcPr>
          <w:tcW w:w="3939" w:type="dxa"/>
          <w:gridSpan w:val="2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 xml:space="preserve">Departamento </w:t>
          </w:r>
        </w:p>
      </w:tc>
      <w:tc>
        <w:tcPr>
          <w:tcW w:w="3725" w:type="dxa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 xml:space="preserve">Gerencia General </w:t>
          </w:r>
        </w:p>
      </w:tc>
      <w:tc>
        <w:tcPr>
          <w:tcW w:w="1516" w:type="dxa"/>
          <w:vAlign w:val="center"/>
        </w:tcPr>
        <w:p w:rsidR="000005FF" w:rsidRDefault="00EB7F54">
          <w:pPr>
            <w:tabs>
              <w:tab w:val="left" w:pos="1013"/>
              <w:tab w:val="center" w:pos="1289"/>
            </w:tabs>
            <w:spacing w:line="276" w:lineRule="auto"/>
            <w:ind w:left="74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 xml:space="preserve">Página </w:t>
          </w:r>
          <w:r>
            <w:rPr>
              <w:rFonts w:ascii="Calibri" w:eastAsia="Calibri" w:hAnsi="Calibri" w:cs="Calibri"/>
              <w:sz w:val="18"/>
              <w:szCs w:val="18"/>
            </w:rPr>
            <w:fldChar w:fldCharType="begin"/>
          </w:r>
          <w:r>
            <w:rPr>
              <w:rFonts w:ascii="Calibri" w:eastAsia="Calibri" w:hAnsi="Calibri" w:cs="Calibri"/>
              <w:sz w:val="18"/>
              <w:szCs w:val="18"/>
            </w:rPr>
            <w:instrText>PAGE</w:instrText>
          </w:r>
          <w:r>
            <w:rPr>
              <w:rFonts w:ascii="Calibri" w:eastAsia="Calibri" w:hAnsi="Calibri" w:cs="Calibri"/>
              <w:sz w:val="18"/>
              <w:szCs w:val="18"/>
            </w:rPr>
            <w:fldChar w:fldCharType="separate"/>
          </w:r>
          <w:r w:rsidR="007F3906">
            <w:rPr>
              <w:rFonts w:ascii="Calibri" w:eastAsia="Calibri" w:hAnsi="Calibri" w:cs="Calibri"/>
              <w:noProof/>
              <w:sz w:val="18"/>
              <w:szCs w:val="18"/>
            </w:rPr>
            <w:t>1</w:t>
          </w:r>
          <w:r>
            <w:rPr>
              <w:rFonts w:ascii="Calibri" w:eastAsia="Calibri" w:hAnsi="Calibri" w:cs="Calibri"/>
              <w:sz w:val="18"/>
              <w:szCs w:val="18"/>
            </w:rPr>
            <w:fldChar w:fldCharType="end"/>
          </w:r>
          <w:r>
            <w:rPr>
              <w:rFonts w:ascii="Calibri" w:eastAsia="Calibri" w:hAnsi="Calibri" w:cs="Calibri"/>
              <w:sz w:val="18"/>
              <w:szCs w:val="18"/>
            </w:rPr>
            <w:t xml:space="preserve"> de 17</w:t>
          </w:r>
        </w:p>
      </w:tc>
      <w:tc>
        <w:tcPr>
          <w:tcW w:w="811" w:type="dxa"/>
          <w:vAlign w:val="center"/>
        </w:tcPr>
        <w:p w:rsidR="000005FF" w:rsidRDefault="00EB7F54">
          <w:pPr>
            <w:spacing w:line="276" w:lineRule="auto"/>
            <w:jc w:val="center"/>
            <w:rPr>
              <w:rFonts w:ascii="Calibri" w:eastAsia="Calibri" w:hAnsi="Calibri" w:cs="Calibri"/>
              <w:sz w:val="18"/>
              <w:szCs w:val="18"/>
            </w:rPr>
          </w:pPr>
          <w:r>
            <w:rPr>
              <w:rFonts w:ascii="Calibri" w:eastAsia="Calibri" w:hAnsi="Calibri" w:cs="Calibri"/>
              <w:b/>
              <w:sz w:val="18"/>
              <w:szCs w:val="18"/>
            </w:rPr>
            <w:t>Versión:</w:t>
          </w:r>
        </w:p>
        <w:p w:rsidR="000005FF" w:rsidRDefault="00EB7F54">
          <w:pPr>
            <w:spacing w:line="276" w:lineRule="auto"/>
            <w:ind w:left="74"/>
            <w:jc w:val="center"/>
            <w:rPr>
              <w:rFonts w:ascii="Calibri" w:eastAsia="Calibri" w:hAnsi="Calibri" w:cs="Calibri"/>
              <w:color w:val="000000"/>
              <w:sz w:val="18"/>
              <w:szCs w:val="18"/>
            </w:rPr>
          </w:pPr>
          <w:r>
            <w:rPr>
              <w:rFonts w:ascii="Calibri" w:eastAsia="Calibri" w:hAnsi="Calibri" w:cs="Calibri"/>
              <w:sz w:val="18"/>
              <w:szCs w:val="18"/>
            </w:rPr>
            <w:t>A</w:t>
          </w:r>
        </w:p>
      </w:tc>
    </w:tr>
  </w:tbl>
  <w:p w:rsidR="000005FF" w:rsidRDefault="000005FF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E6121"/>
    <w:multiLevelType w:val="multilevel"/>
    <w:tmpl w:val="D1C88576"/>
    <w:lvl w:ilvl="0">
      <w:start w:val="1"/>
      <w:numFmt w:val="decimal"/>
      <w:lvlText w:val="%1."/>
      <w:lvlJc w:val="left"/>
      <w:pPr>
        <w:ind w:left="786" w:hanging="36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788" w:hanging="360"/>
      </w:pPr>
      <w:rPr>
        <w:vertAlign w:val="baseline"/>
      </w:rPr>
    </w:lvl>
    <w:lvl w:ilvl="2">
      <w:start w:val="4"/>
      <w:numFmt w:val="decimal"/>
      <w:lvlText w:val="%1.%2.%3"/>
      <w:lvlJc w:val="left"/>
      <w:pPr>
        <w:ind w:left="1148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1148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508" w:hanging="108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508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868" w:hanging="144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868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2228" w:hanging="1800"/>
      </w:pPr>
      <w:rPr>
        <w:vertAlign w:val="baseline"/>
      </w:rPr>
    </w:lvl>
  </w:abstractNum>
  <w:abstractNum w:abstractNumId="1" w15:restartNumberingAfterBreak="0">
    <w:nsid w:val="70EA0C3B"/>
    <w:multiLevelType w:val="multilevel"/>
    <w:tmpl w:val="EF5068DA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FF"/>
    <w:rsid w:val="000005FF"/>
    <w:rsid w:val="007F3906"/>
    <w:rsid w:val="00C0356B"/>
    <w:rsid w:val="00E824C9"/>
    <w:rsid w:val="00E90C73"/>
    <w:rsid w:val="00EB7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FBD26"/>
  <w15:docId w15:val="{A7CBF2EC-37EB-43FB-988A-A0C5500A4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katherine</dc:creator>
  <cp:lastModifiedBy>katherine</cp:lastModifiedBy>
  <cp:revision>3</cp:revision>
  <dcterms:created xsi:type="dcterms:W3CDTF">2020-05-03T23:33:00Z</dcterms:created>
  <dcterms:modified xsi:type="dcterms:W3CDTF">2020-07-17T22:38:00Z</dcterms:modified>
</cp:coreProperties>
</file>