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C3E" w:rsidRDefault="003978D6">
      <w:pPr>
        <w:tabs>
          <w:tab w:val="left" w:pos="3510"/>
        </w:tabs>
        <w:rPr>
          <w:rFonts w:ascii="Arial" w:eastAsia="Arial" w:hAnsi="Arial" w:cs="Arial"/>
        </w:rPr>
      </w:pPr>
      <w:r>
        <w:rPr>
          <w:rFonts w:ascii="Arial" w:eastAsia="Arial" w:hAnsi="Arial" w:cs="Arial"/>
        </w:rPr>
        <w:tab/>
      </w: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sz w:val="24"/>
          <w:szCs w:val="24"/>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3978D6">
      <w:pPr>
        <w:tabs>
          <w:tab w:val="left" w:pos="3510"/>
        </w:tabs>
        <w:jc w:val="center"/>
        <w:rPr>
          <w:rFonts w:ascii="Arial" w:eastAsia="Arial" w:hAnsi="Arial" w:cs="Arial"/>
          <w:sz w:val="72"/>
          <w:szCs w:val="72"/>
        </w:rPr>
      </w:pPr>
      <w:r>
        <w:rPr>
          <w:rFonts w:ascii="Arial" w:eastAsia="Arial" w:hAnsi="Arial" w:cs="Arial"/>
          <w:sz w:val="72"/>
          <w:szCs w:val="72"/>
        </w:rPr>
        <w:t>Procedimiento de Aseguramiento de la Calidad</w:t>
      </w: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7F0C3E">
        <w:tc>
          <w:tcPr>
            <w:tcW w:w="2992"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7F0C3E" w:rsidRDefault="007F0C3E">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7F0C3E">
        <w:tc>
          <w:tcPr>
            <w:tcW w:w="2992"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7F0C3E">
        <w:tc>
          <w:tcPr>
            <w:tcW w:w="2992"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3978D6">
      <w:pPr>
        <w:keepNext/>
        <w:keepLines/>
        <w:pBdr>
          <w:top w:val="nil"/>
          <w:left w:val="nil"/>
          <w:bottom w:val="nil"/>
          <w:right w:val="nil"/>
          <w:between w:val="nil"/>
        </w:pBdr>
        <w:spacing w:before="480" w:after="0"/>
        <w:rPr>
          <w:rFonts w:ascii="Arial" w:eastAsia="Arial" w:hAnsi="Arial" w:cs="Arial"/>
          <w:b/>
          <w:color w:val="000000"/>
          <w:sz w:val="28"/>
          <w:szCs w:val="28"/>
        </w:rPr>
      </w:pPr>
      <w:r>
        <w:rPr>
          <w:rFonts w:ascii="Arial" w:eastAsia="Arial" w:hAnsi="Arial" w:cs="Arial"/>
          <w:b/>
          <w:color w:val="000000"/>
          <w:sz w:val="28"/>
          <w:szCs w:val="28"/>
        </w:rPr>
        <w:lastRenderedPageBreak/>
        <w:t>Contenido</w:t>
      </w:r>
    </w:p>
    <w:sdt>
      <w:sdtPr>
        <w:id w:val="-1748183557"/>
        <w:docPartObj>
          <w:docPartGallery w:val="Table of Contents"/>
          <w:docPartUnique/>
        </w:docPartObj>
      </w:sdtPr>
      <w:sdtEndPr/>
      <w:sdtContent>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r>
            <w:fldChar w:fldCharType="begin"/>
          </w:r>
          <w:r>
            <w:instrText xml:space="preserve"> TOC \h \u \z </w:instrText>
          </w:r>
          <w:r>
            <w:fldChar w:fldCharType="separate"/>
          </w:r>
          <w:hyperlink w:anchor="_1fob9te">
            <w:r>
              <w:rPr>
                <w:rFonts w:ascii="Arial" w:eastAsia="Arial" w:hAnsi="Arial" w:cs="Arial"/>
                <w:color w:val="000000"/>
              </w:rPr>
              <w:t>1.</w:t>
            </w:r>
            <w:r>
              <w:rPr>
                <w:rFonts w:ascii="Arial" w:eastAsia="Arial" w:hAnsi="Arial" w:cs="Arial"/>
                <w:color w:val="000000"/>
              </w:rPr>
              <w:tab/>
              <w:t>OBJETIVO</w:t>
            </w:r>
            <w:r>
              <w:rPr>
                <w:rFonts w:ascii="Arial" w:eastAsia="Arial" w:hAnsi="Arial" w:cs="Arial"/>
                <w:color w:val="000000"/>
              </w:rPr>
              <w:tab/>
              <w:t>3</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3znysh7">
            <w:r>
              <w:rPr>
                <w:rFonts w:ascii="Arial" w:eastAsia="Arial" w:hAnsi="Arial" w:cs="Arial"/>
                <w:color w:val="000000"/>
              </w:rPr>
              <w:t>2.</w:t>
            </w:r>
            <w:r>
              <w:rPr>
                <w:rFonts w:ascii="Arial" w:eastAsia="Arial" w:hAnsi="Arial" w:cs="Arial"/>
                <w:color w:val="000000"/>
              </w:rPr>
              <w:tab/>
            </w:r>
            <w:r>
              <w:rPr>
                <w:rFonts w:ascii="Arial" w:eastAsia="Arial" w:hAnsi="Arial" w:cs="Arial"/>
                <w:color w:val="000000"/>
              </w:rPr>
              <w:t>ALCANCE</w:t>
            </w:r>
            <w:r>
              <w:rPr>
                <w:rFonts w:ascii="Arial" w:eastAsia="Arial" w:hAnsi="Arial" w:cs="Arial"/>
                <w:color w:val="000000"/>
              </w:rPr>
              <w:tab/>
              <w:t>3</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2et92p0">
            <w:r>
              <w:rPr>
                <w:rFonts w:ascii="Arial" w:eastAsia="Arial" w:hAnsi="Arial" w:cs="Arial"/>
                <w:color w:val="000000"/>
              </w:rPr>
              <w:t>3.</w:t>
            </w:r>
            <w:r>
              <w:rPr>
                <w:rFonts w:ascii="Arial" w:eastAsia="Arial" w:hAnsi="Arial" w:cs="Arial"/>
                <w:color w:val="000000"/>
              </w:rPr>
              <w:tab/>
              <w:t>DEFINICIONES</w:t>
            </w:r>
            <w:r>
              <w:rPr>
                <w:rFonts w:ascii="Arial" w:eastAsia="Arial" w:hAnsi="Arial" w:cs="Arial"/>
                <w:color w:val="000000"/>
              </w:rPr>
              <w:tab/>
              <w:t>3</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tyjcwt">
            <w:r>
              <w:rPr>
                <w:rFonts w:ascii="Arial" w:eastAsia="Arial" w:hAnsi="Arial" w:cs="Arial"/>
                <w:color w:val="000000"/>
              </w:rPr>
              <w:t>4.</w:t>
            </w:r>
            <w:r>
              <w:rPr>
                <w:rFonts w:ascii="Arial" w:eastAsia="Arial" w:hAnsi="Arial" w:cs="Arial"/>
                <w:color w:val="000000"/>
              </w:rPr>
              <w:tab/>
              <w:t>RESPONSABILIDADES</w:t>
            </w:r>
            <w:r>
              <w:rPr>
                <w:rFonts w:ascii="Arial" w:eastAsia="Arial" w:hAnsi="Arial" w:cs="Arial"/>
                <w:color w:val="000000"/>
              </w:rPr>
              <w:tab/>
              <w:t>3</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3dy6vkm">
            <w:r>
              <w:rPr>
                <w:rFonts w:ascii="Arial" w:eastAsia="Arial" w:hAnsi="Arial" w:cs="Arial"/>
                <w:color w:val="000000"/>
              </w:rPr>
              <w:t>5.</w:t>
            </w:r>
            <w:r>
              <w:rPr>
                <w:rFonts w:ascii="Arial" w:eastAsia="Arial" w:hAnsi="Arial" w:cs="Arial"/>
                <w:color w:val="000000"/>
              </w:rPr>
              <w:tab/>
              <w:t>PROCEDIMIENTO</w:t>
            </w:r>
            <w:r>
              <w:rPr>
                <w:rFonts w:ascii="Arial" w:eastAsia="Arial" w:hAnsi="Arial" w:cs="Arial"/>
                <w:color w:val="000000"/>
              </w:rPr>
              <w:tab/>
              <w:t>4</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1t3h5sf">
            <w:r>
              <w:rPr>
                <w:rFonts w:ascii="Arial" w:eastAsia="Arial" w:hAnsi="Arial" w:cs="Arial"/>
                <w:color w:val="000000"/>
              </w:rPr>
              <w:t>6.</w:t>
            </w:r>
            <w:r>
              <w:rPr>
                <w:rFonts w:ascii="Arial" w:eastAsia="Arial" w:hAnsi="Arial" w:cs="Arial"/>
                <w:color w:val="000000"/>
              </w:rPr>
              <w:tab/>
              <w:t>REGISTROS</w:t>
            </w:r>
            <w:r>
              <w:rPr>
                <w:rFonts w:ascii="Arial" w:eastAsia="Arial" w:hAnsi="Arial" w:cs="Arial"/>
                <w:color w:val="000000"/>
              </w:rPr>
              <w:tab/>
              <w:t>5</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4d34og8">
            <w:r>
              <w:rPr>
                <w:rFonts w:ascii="Arial" w:eastAsia="Arial" w:hAnsi="Arial" w:cs="Arial"/>
                <w:color w:val="000000"/>
              </w:rPr>
              <w:t>7.</w:t>
            </w:r>
            <w:r>
              <w:rPr>
                <w:rFonts w:ascii="Arial" w:eastAsia="Arial" w:hAnsi="Arial" w:cs="Arial"/>
                <w:color w:val="000000"/>
              </w:rPr>
              <w:tab/>
              <w:t>REFERENCIAS</w:t>
            </w:r>
            <w:r>
              <w:rPr>
                <w:rFonts w:ascii="Arial" w:eastAsia="Arial" w:hAnsi="Arial" w:cs="Arial"/>
                <w:color w:val="000000"/>
              </w:rPr>
              <w:tab/>
              <w:t>5</w:t>
            </w:r>
          </w:hyperlink>
        </w:p>
        <w:p w:rsidR="007F0C3E" w:rsidRDefault="003978D6">
          <w:pPr>
            <w:pBdr>
              <w:top w:val="nil"/>
              <w:left w:val="nil"/>
              <w:bottom w:val="nil"/>
              <w:right w:val="nil"/>
              <w:between w:val="nil"/>
            </w:pBdr>
            <w:tabs>
              <w:tab w:val="left" w:pos="440"/>
              <w:tab w:val="right" w:pos="8828"/>
            </w:tabs>
            <w:spacing w:after="100"/>
            <w:rPr>
              <w:rFonts w:ascii="Arial" w:eastAsia="Arial" w:hAnsi="Arial" w:cs="Arial"/>
              <w:color w:val="000000"/>
            </w:rPr>
          </w:pPr>
          <w:hyperlink w:anchor="_2s8eyo1">
            <w:r>
              <w:rPr>
                <w:rFonts w:ascii="Arial" w:eastAsia="Arial" w:hAnsi="Arial" w:cs="Arial"/>
                <w:color w:val="000000"/>
              </w:rPr>
              <w:t>8.</w:t>
            </w:r>
            <w:r>
              <w:rPr>
                <w:rFonts w:ascii="Arial" w:eastAsia="Arial" w:hAnsi="Arial" w:cs="Arial"/>
                <w:color w:val="000000"/>
              </w:rPr>
              <w:tab/>
              <w:t>CONTROL DE CAMBIOS</w:t>
            </w:r>
            <w:r>
              <w:rPr>
                <w:rFonts w:ascii="Arial" w:eastAsia="Arial" w:hAnsi="Arial" w:cs="Arial"/>
                <w:color w:val="000000"/>
              </w:rPr>
              <w:tab/>
              <w:t>6</w:t>
            </w:r>
          </w:hyperlink>
        </w:p>
        <w:p w:rsidR="007F0C3E" w:rsidRDefault="003978D6">
          <w:pPr>
            <w:rPr>
              <w:rFonts w:ascii="Arial" w:eastAsia="Arial" w:hAnsi="Arial" w:cs="Arial"/>
            </w:rPr>
          </w:pPr>
          <w:r>
            <w:fldChar w:fldCharType="end"/>
          </w:r>
        </w:p>
      </w:sdtContent>
    </w:sdt>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bookmarkStart w:id="0" w:name="_gjdgxs" w:colFirst="0" w:colLast="0"/>
      <w:bookmarkEnd w:id="0"/>
    </w:p>
    <w:p w:rsidR="007F0C3E" w:rsidRDefault="007F0C3E">
      <w:pPr>
        <w:tabs>
          <w:tab w:val="left" w:pos="3510"/>
        </w:tabs>
        <w:rPr>
          <w:rFonts w:ascii="Arial" w:eastAsia="Arial" w:hAnsi="Arial" w:cs="Arial"/>
        </w:rPr>
      </w:pPr>
      <w:bookmarkStart w:id="1" w:name="_30j0zll" w:colFirst="0" w:colLast="0"/>
      <w:bookmarkEnd w:id="1"/>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3978D6" w:rsidRDefault="003978D6">
      <w:pPr>
        <w:tabs>
          <w:tab w:val="left" w:pos="3510"/>
        </w:tabs>
        <w:rPr>
          <w:rFonts w:ascii="Arial" w:eastAsia="Arial" w:hAnsi="Arial" w:cs="Arial"/>
        </w:rPr>
      </w:pPr>
    </w:p>
    <w:p w:rsidR="007F0C3E" w:rsidRDefault="007F0C3E">
      <w:pPr>
        <w:tabs>
          <w:tab w:val="left" w:pos="3510"/>
        </w:tabs>
        <w:rPr>
          <w:rFonts w:ascii="Arial" w:eastAsia="Arial" w:hAnsi="Arial" w:cs="Arial"/>
        </w:rPr>
      </w:pPr>
    </w:p>
    <w:p w:rsidR="007F0C3E" w:rsidRDefault="007F0C3E">
      <w:pPr>
        <w:tabs>
          <w:tab w:val="left" w:pos="1935"/>
        </w:tabs>
        <w:rPr>
          <w:rFonts w:ascii="Arial" w:eastAsia="Arial" w:hAnsi="Arial" w:cs="Arial"/>
        </w:rPr>
      </w:pPr>
    </w:p>
    <w:p w:rsidR="007F0C3E" w:rsidRDefault="003978D6">
      <w:pPr>
        <w:pStyle w:val="Heading1"/>
        <w:numPr>
          <w:ilvl w:val="0"/>
          <w:numId w:val="1"/>
        </w:numPr>
      </w:pPr>
      <w:bookmarkStart w:id="2" w:name="_1fob9te" w:colFirst="0" w:colLast="0"/>
      <w:bookmarkEnd w:id="2"/>
      <w:r>
        <w:lastRenderedPageBreak/>
        <w:t>OBJETIVO</w:t>
      </w:r>
    </w:p>
    <w:p w:rsidR="007F0C3E" w:rsidRDefault="003978D6">
      <w:pPr>
        <w:spacing w:after="0" w:line="360" w:lineRule="auto"/>
        <w:ind w:firstLine="709"/>
        <w:jc w:val="both"/>
        <w:rPr>
          <w:rFonts w:ascii="Arial" w:eastAsia="Arial" w:hAnsi="Arial" w:cs="Arial"/>
        </w:rPr>
      </w:pPr>
      <w:r>
        <w:rPr>
          <w:rFonts w:ascii="Arial" w:eastAsia="Arial" w:hAnsi="Arial" w:cs="Arial"/>
        </w:rPr>
        <w:t>Establecer los lineamientos para el seguimiento de la validez de los resultados generados en el Laboratorio ___________________ de la Universidad Nacional.</w:t>
      </w:r>
    </w:p>
    <w:p w:rsidR="007F0C3E" w:rsidRDefault="007F0C3E">
      <w:pPr>
        <w:tabs>
          <w:tab w:val="left" w:pos="3510"/>
        </w:tabs>
        <w:spacing w:after="0" w:line="360" w:lineRule="auto"/>
        <w:ind w:firstLine="709"/>
        <w:jc w:val="both"/>
        <w:rPr>
          <w:rFonts w:ascii="Arial" w:eastAsia="Arial" w:hAnsi="Arial" w:cs="Arial"/>
        </w:rPr>
      </w:pPr>
    </w:p>
    <w:p w:rsidR="007F0C3E" w:rsidRDefault="003978D6">
      <w:pPr>
        <w:pStyle w:val="Heading1"/>
        <w:numPr>
          <w:ilvl w:val="0"/>
          <w:numId w:val="1"/>
        </w:numPr>
      </w:pPr>
      <w:bookmarkStart w:id="3" w:name="_3znysh7" w:colFirst="0" w:colLast="0"/>
      <w:bookmarkEnd w:id="3"/>
      <w:r>
        <w:t>ALCANCE</w:t>
      </w:r>
    </w:p>
    <w:p w:rsidR="007F0C3E" w:rsidRDefault="003978D6">
      <w:pPr>
        <w:spacing w:after="0" w:line="360" w:lineRule="auto"/>
        <w:ind w:firstLine="709"/>
        <w:jc w:val="both"/>
        <w:rPr>
          <w:rFonts w:ascii="Arial" w:eastAsia="Arial" w:hAnsi="Arial" w:cs="Arial"/>
        </w:rPr>
      </w:pPr>
      <w:r>
        <w:rPr>
          <w:rFonts w:ascii="Arial" w:eastAsia="Arial" w:hAnsi="Arial" w:cs="Arial"/>
        </w:rPr>
        <w:t xml:space="preserve">   Este procedimiento aplica a todos los métodos de ensayo en el Sistema de Gestión de la Calidad del Laboratorio ___________________.</w:t>
      </w:r>
    </w:p>
    <w:p w:rsidR="007F0C3E" w:rsidRDefault="007F0C3E">
      <w:pPr>
        <w:spacing w:after="0" w:line="360" w:lineRule="auto"/>
        <w:ind w:firstLine="709"/>
        <w:jc w:val="both"/>
        <w:rPr>
          <w:rFonts w:ascii="Arial" w:eastAsia="Arial" w:hAnsi="Arial" w:cs="Arial"/>
        </w:rPr>
      </w:pPr>
    </w:p>
    <w:p w:rsidR="007F0C3E" w:rsidRDefault="003978D6">
      <w:pPr>
        <w:pStyle w:val="Heading1"/>
        <w:numPr>
          <w:ilvl w:val="0"/>
          <w:numId w:val="1"/>
        </w:numPr>
      </w:pPr>
      <w:bookmarkStart w:id="4" w:name="_2et92p0" w:colFirst="0" w:colLast="0"/>
      <w:bookmarkEnd w:id="4"/>
      <w:r>
        <w:t>DEFINICIONES</w:t>
      </w:r>
    </w:p>
    <w:p w:rsidR="007F0C3E" w:rsidRDefault="003978D6">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bookmarkStart w:id="5" w:name="_GoBack"/>
      <w:bookmarkEnd w:id="5"/>
      <w:r>
        <w:rPr>
          <w:rFonts w:ascii="Arial" w:eastAsia="Arial" w:hAnsi="Arial" w:cs="Arial"/>
          <w:color w:val="000000"/>
        </w:rPr>
        <w:t xml:space="preserve">Comparación </w:t>
      </w:r>
      <w:proofErr w:type="spellStart"/>
      <w:r>
        <w:rPr>
          <w:rFonts w:ascii="Arial" w:eastAsia="Arial" w:hAnsi="Arial" w:cs="Arial"/>
          <w:color w:val="000000"/>
        </w:rPr>
        <w:t>interlaboratorios</w:t>
      </w:r>
      <w:proofErr w:type="spellEnd"/>
      <w:r>
        <w:rPr>
          <w:rFonts w:ascii="Arial" w:eastAsia="Arial" w:hAnsi="Arial" w:cs="Arial"/>
          <w:color w:val="000000"/>
        </w:rPr>
        <w:t>: organización, realización y evaluación de mediciones o ensayos sobre el mismo ítem o ítems similares por dos o más laboratorios de acuerdo con condiciones predeterminadas.</w:t>
      </w:r>
    </w:p>
    <w:p w:rsidR="007F0C3E" w:rsidRDefault="003978D6">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 xml:space="preserve">Comparación </w:t>
      </w:r>
      <w:proofErr w:type="spellStart"/>
      <w:r>
        <w:rPr>
          <w:rFonts w:ascii="Arial" w:eastAsia="Arial" w:hAnsi="Arial" w:cs="Arial"/>
          <w:color w:val="000000"/>
        </w:rPr>
        <w:t>intralaboratorio</w:t>
      </w:r>
      <w:proofErr w:type="spellEnd"/>
      <w:r>
        <w:rPr>
          <w:rFonts w:ascii="Arial" w:eastAsia="Arial" w:hAnsi="Arial" w:cs="Arial"/>
          <w:color w:val="000000"/>
        </w:rPr>
        <w:t>: organización, realizaci</w:t>
      </w:r>
      <w:r>
        <w:rPr>
          <w:rFonts w:ascii="Arial" w:eastAsia="Arial" w:hAnsi="Arial" w:cs="Arial"/>
          <w:color w:val="000000"/>
        </w:rPr>
        <w:t>ón y evaluación de mediciones o ensayos sobre el mismo ítem o ítems similares, dentro del mismo laboratorio, de acuerdo con condiciones predeterminadas.</w:t>
      </w:r>
    </w:p>
    <w:p w:rsidR="007F0C3E" w:rsidRDefault="003978D6">
      <w:pPr>
        <w:numPr>
          <w:ilvl w:val="1"/>
          <w:numId w:val="5"/>
        </w:numPr>
        <w:pBdr>
          <w:top w:val="nil"/>
          <w:left w:val="nil"/>
          <w:bottom w:val="nil"/>
          <w:right w:val="nil"/>
          <w:between w:val="nil"/>
        </w:pBdr>
        <w:tabs>
          <w:tab w:val="left" w:pos="993"/>
        </w:tabs>
        <w:jc w:val="both"/>
        <w:rPr>
          <w:rFonts w:ascii="Arial" w:eastAsia="Arial" w:hAnsi="Arial" w:cs="Arial"/>
          <w:color w:val="000000"/>
        </w:rPr>
      </w:pPr>
      <w:r>
        <w:rPr>
          <w:rFonts w:ascii="Arial" w:eastAsia="Arial" w:hAnsi="Arial" w:cs="Arial"/>
          <w:color w:val="000000"/>
        </w:rPr>
        <w:t xml:space="preserve">Ensayo de aptitud: evaluación del desempeño de los participantes con respecto a criterios previamente establecidos mediante comparaciones </w:t>
      </w:r>
      <w:proofErr w:type="spellStart"/>
      <w:r>
        <w:rPr>
          <w:rFonts w:ascii="Arial" w:eastAsia="Arial" w:hAnsi="Arial" w:cs="Arial"/>
          <w:color w:val="000000"/>
        </w:rPr>
        <w:t>interlaboratorios</w:t>
      </w:r>
      <w:proofErr w:type="spellEnd"/>
      <w:r>
        <w:rPr>
          <w:rFonts w:ascii="Arial" w:eastAsia="Arial" w:hAnsi="Arial" w:cs="Arial"/>
          <w:color w:val="000000"/>
        </w:rPr>
        <w:t xml:space="preserve">. </w:t>
      </w:r>
    </w:p>
    <w:p w:rsidR="007F0C3E" w:rsidRDefault="003978D6">
      <w:pPr>
        <w:numPr>
          <w:ilvl w:val="1"/>
          <w:numId w:val="5"/>
        </w:numPr>
        <w:pBdr>
          <w:top w:val="nil"/>
          <w:left w:val="nil"/>
          <w:bottom w:val="nil"/>
          <w:right w:val="nil"/>
          <w:between w:val="nil"/>
        </w:pBdr>
        <w:tabs>
          <w:tab w:val="left" w:pos="993"/>
        </w:tabs>
        <w:jc w:val="both"/>
        <w:rPr>
          <w:rFonts w:ascii="Arial" w:eastAsia="Arial" w:hAnsi="Arial" w:cs="Arial"/>
        </w:rPr>
      </w:pPr>
      <w:r>
        <w:rPr>
          <w:rFonts w:ascii="Arial" w:eastAsia="Arial" w:hAnsi="Arial" w:cs="Arial"/>
        </w:rPr>
        <w:t>Familia de ensayos o calibraciones: Conjunto de ensayos o calibraciones, en el que cualquiera de s</w:t>
      </w:r>
      <w:r>
        <w:rPr>
          <w:rFonts w:ascii="Arial" w:eastAsia="Arial" w:hAnsi="Arial" w:cs="Arial"/>
        </w:rPr>
        <w:t xml:space="preserve">us miembros es razonablemente representativo de los demás en cuanto a la evaluación de la validez de los resultados obtenidos. Es decir, que el resultado en un ensayo de aptitud u otra comparación </w:t>
      </w:r>
      <w:proofErr w:type="spellStart"/>
      <w:r>
        <w:rPr>
          <w:rFonts w:ascii="Arial" w:eastAsia="Arial" w:hAnsi="Arial" w:cs="Arial"/>
        </w:rPr>
        <w:t>interlaboratorio</w:t>
      </w:r>
      <w:proofErr w:type="spellEnd"/>
      <w:r>
        <w:rPr>
          <w:rFonts w:ascii="Arial" w:eastAsia="Arial" w:hAnsi="Arial" w:cs="Arial"/>
        </w:rPr>
        <w:t>, debe poder ser directamente correlacionad</w:t>
      </w:r>
      <w:r>
        <w:rPr>
          <w:rFonts w:ascii="Arial" w:eastAsia="Arial" w:hAnsi="Arial" w:cs="Arial"/>
        </w:rPr>
        <w:t>o con los otros grupos de propiedad/ productos, magnitud o equipos, incluidos en la misma familia. Ver Apartado 11.1 de ECA-MC-C20.</w:t>
      </w:r>
    </w:p>
    <w:p w:rsidR="007F0C3E" w:rsidRDefault="003978D6">
      <w:pPr>
        <w:pStyle w:val="Heading1"/>
        <w:numPr>
          <w:ilvl w:val="0"/>
          <w:numId w:val="1"/>
        </w:numPr>
      </w:pPr>
      <w:bookmarkStart w:id="6" w:name="_tyjcwt" w:colFirst="0" w:colLast="0"/>
      <w:bookmarkEnd w:id="6"/>
      <w:r>
        <w:t>RESPONSABILIDADES</w:t>
      </w:r>
    </w:p>
    <w:p w:rsidR="007F0C3E" w:rsidRDefault="003978D6">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del  Laboratorio</w:t>
      </w:r>
      <w:r>
        <w:rPr>
          <w:rFonts w:ascii="Arial" w:eastAsia="Arial" w:hAnsi="Arial" w:cs="Arial"/>
          <w:color w:val="000000"/>
        </w:rPr>
        <w:t>: es el responsable de:</w:t>
      </w:r>
    </w:p>
    <w:p w:rsidR="007F0C3E" w:rsidRDefault="003978D6">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Velar por la disponibilidad de los recursos necesarios p</w:t>
      </w:r>
      <w:r>
        <w:rPr>
          <w:rFonts w:ascii="Arial" w:eastAsia="Arial" w:hAnsi="Arial" w:cs="Arial"/>
          <w:color w:val="000000"/>
        </w:rPr>
        <w:t>ara el aseguramiento de la validez de los resultados de medición generados por el Laboratorio.</w:t>
      </w:r>
    </w:p>
    <w:p w:rsidR="007F0C3E" w:rsidRDefault="003978D6">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 Calidad:</w:t>
      </w:r>
      <w:r>
        <w:rPr>
          <w:rFonts w:ascii="Arial" w:eastAsia="Arial" w:hAnsi="Arial" w:cs="Arial"/>
          <w:color w:val="000000"/>
        </w:rPr>
        <w:t xml:space="preserve"> es el responsable de:</w:t>
      </w:r>
    </w:p>
    <w:p w:rsidR="007F0C3E" w:rsidRDefault="003978D6">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lastRenderedPageBreak/>
        <w:t>Planificar las actividades necesarias para el aseguramiento de la validez de los resultados de medición.</w:t>
      </w:r>
    </w:p>
    <w:p w:rsidR="007F0C3E" w:rsidRDefault="003978D6">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Dar seguimiento y control a los resultados obtenidos según las herramientas estadísticas establecidas.</w:t>
      </w:r>
    </w:p>
    <w:p w:rsidR="007F0C3E" w:rsidRDefault="007F0C3E">
      <w:pPr>
        <w:tabs>
          <w:tab w:val="left" w:pos="3510"/>
        </w:tabs>
        <w:spacing w:after="0"/>
        <w:jc w:val="both"/>
        <w:rPr>
          <w:rFonts w:ascii="Arial" w:eastAsia="Arial" w:hAnsi="Arial" w:cs="Arial"/>
        </w:rPr>
      </w:pPr>
    </w:p>
    <w:p w:rsidR="007F0C3E" w:rsidRDefault="007F0C3E">
      <w:pPr>
        <w:tabs>
          <w:tab w:val="left" w:pos="3510"/>
        </w:tabs>
        <w:spacing w:after="0"/>
        <w:jc w:val="both"/>
        <w:rPr>
          <w:rFonts w:ascii="Arial" w:eastAsia="Arial" w:hAnsi="Arial" w:cs="Arial"/>
        </w:rPr>
      </w:pPr>
    </w:p>
    <w:p w:rsidR="007F0C3E" w:rsidRDefault="003978D6">
      <w:pPr>
        <w:pStyle w:val="Heading1"/>
        <w:numPr>
          <w:ilvl w:val="0"/>
          <w:numId w:val="2"/>
        </w:numPr>
      </w:pPr>
      <w:bookmarkStart w:id="7" w:name="_3dy6vkm" w:colFirst="0" w:colLast="0"/>
      <w:bookmarkEnd w:id="7"/>
      <w:r>
        <w:t>PROCEDIMIENTO</w:t>
      </w:r>
    </w:p>
    <w:p w:rsidR="007F0C3E" w:rsidRDefault="003978D6">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Generalidades.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Laboratorio debe contar con el registro </w:t>
      </w:r>
      <w:r>
        <w:rPr>
          <w:rFonts w:ascii="Arial" w:eastAsia="Arial" w:hAnsi="Arial" w:cs="Arial"/>
          <w:color w:val="000000"/>
          <w:highlight w:val="yellow"/>
        </w:rPr>
        <w:t>código</w:t>
      </w:r>
      <w:r>
        <w:rPr>
          <w:rFonts w:ascii="Arial" w:eastAsia="Arial" w:hAnsi="Arial" w:cs="Arial"/>
          <w:color w:val="000000"/>
        </w:rPr>
        <w:t xml:space="preserve"> del Programa para el Aseguramiento de la Calidad, en este se deben plani</w:t>
      </w:r>
      <w:r>
        <w:rPr>
          <w:rFonts w:ascii="Arial" w:eastAsia="Arial" w:hAnsi="Arial" w:cs="Arial"/>
          <w:color w:val="000000"/>
        </w:rPr>
        <w:t>ficar las actividades de control y seguimiento.</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 debe establecer en cada procedimiento de análisis el o los métodos utilizados para el aseguramiento de la calidad de los resultados, entre ellos:</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Uso de materiales de referencia o materiales control de calidad</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Uso de instrumentos alternativos que han sido calibrados para obtener resultados trazables</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Comprobaciones funcionales del equipamiento de ensayo y de medición</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Uso de patrones de verificación o</w:t>
      </w:r>
      <w:r>
        <w:rPr>
          <w:rFonts w:ascii="Arial" w:eastAsia="Arial" w:hAnsi="Arial" w:cs="Arial"/>
          <w:color w:val="000000"/>
        </w:rPr>
        <w:t xml:space="preserve"> patrones de trabajo con gráficos de control, cuando sea aplicable</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Comprobaciones intermedias en los equipos de medición</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Repetición del ensayo o calibración utilizando los mismos métodos o métodos diferentes</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Reensayo de los ítems conservados</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Correlación de</w:t>
      </w:r>
      <w:r>
        <w:rPr>
          <w:rFonts w:ascii="Arial" w:eastAsia="Arial" w:hAnsi="Arial" w:cs="Arial"/>
          <w:color w:val="000000"/>
        </w:rPr>
        <w:t xml:space="preserve"> resultados para las diferentes características de un ítem</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Revisión de los resultados informados</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 xml:space="preserve">Comparaciones </w:t>
      </w:r>
      <w:proofErr w:type="spellStart"/>
      <w:r>
        <w:rPr>
          <w:rFonts w:ascii="Arial" w:eastAsia="Arial" w:hAnsi="Arial" w:cs="Arial"/>
          <w:color w:val="000000"/>
        </w:rPr>
        <w:t>intralaboratorio</w:t>
      </w:r>
      <w:proofErr w:type="spellEnd"/>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 xml:space="preserve">Participación en comparaciones </w:t>
      </w:r>
      <w:proofErr w:type="spellStart"/>
      <w:r>
        <w:rPr>
          <w:rFonts w:ascii="Arial" w:eastAsia="Arial" w:hAnsi="Arial" w:cs="Arial"/>
          <w:color w:val="000000"/>
        </w:rPr>
        <w:t>interlaboratorios</w:t>
      </w:r>
      <w:proofErr w:type="spellEnd"/>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Participación en ensayos de aptitud</w:t>
      </w:r>
    </w:p>
    <w:p w:rsidR="007F0C3E" w:rsidRDefault="003978D6">
      <w:pPr>
        <w:numPr>
          <w:ilvl w:val="4"/>
          <w:numId w:val="6"/>
        </w:numPr>
        <w:pBdr>
          <w:top w:val="nil"/>
          <w:left w:val="nil"/>
          <w:bottom w:val="nil"/>
          <w:right w:val="nil"/>
          <w:between w:val="nil"/>
        </w:pBdr>
        <w:spacing w:after="0"/>
        <w:ind w:left="1701" w:hanging="567"/>
        <w:jc w:val="both"/>
        <w:rPr>
          <w:color w:val="000000"/>
        </w:rPr>
      </w:pPr>
      <w:r>
        <w:rPr>
          <w:rFonts w:ascii="Arial" w:eastAsia="Arial" w:hAnsi="Arial" w:cs="Arial"/>
          <w:color w:val="000000"/>
        </w:rPr>
        <w:t>Ensayo de muestras ciegas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rPr>
        <w:t xml:space="preserve">En caso no poder </w:t>
      </w:r>
      <w:r>
        <w:rPr>
          <w:rFonts w:ascii="Arial" w:eastAsia="Arial" w:hAnsi="Arial" w:cs="Arial"/>
        </w:rPr>
        <w:t>incluir alguno de los mecanismos indicados en el apartado 5.1.2 se deberá justificar técnicamente por medio de un oficio, la razón por la cual no fue posible incluir dicho mecanismo.</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Los datos obtenidos de las actividades mencionadas anteriormente deben se</w:t>
      </w:r>
      <w:r>
        <w:rPr>
          <w:rFonts w:ascii="Arial" w:eastAsia="Arial" w:hAnsi="Arial" w:cs="Arial"/>
          <w:color w:val="000000"/>
        </w:rPr>
        <w:t xml:space="preserve">r revisados por el </w:t>
      </w:r>
      <w:r>
        <w:rPr>
          <w:rFonts w:ascii="Arial" w:eastAsia="Arial" w:hAnsi="Arial" w:cs="Arial"/>
          <w:color w:val="000000"/>
          <w:highlight w:val="yellow"/>
        </w:rPr>
        <w:t>Encargado de Calidad</w:t>
      </w:r>
      <w:r>
        <w:rPr>
          <w:rFonts w:ascii="Arial" w:eastAsia="Arial" w:hAnsi="Arial" w:cs="Arial"/>
          <w:color w:val="000000"/>
        </w:rPr>
        <w:t xml:space="preserve"> cada </w:t>
      </w:r>
      <w:r>
        <w:rPr>
          <w:rFonts w:ascii="Arial" w:eastAsia="Arial" w:hAnsi="Arial" w:cs="Arial"/>
          <w:color w:val="000000"/>
          <w:highlight w:val="yellow"/>
        </w:rPr>
        <w:t>X</w:t>
      </w:r>
      <w:r>
        <w:rPr>
          <w:rFonts w:ascii="Arial" w:eastAsia="Arial" w:hAnsi="Arial" w:cs="Arial"/>
          <w:color w:val="000000"/>
        </w:rPr>
        <w:t xml:space="preserve"> días con el fin de detectar resultados no satisfactorios.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lastRenderedPageBreak/>
        <w:t xml:space="preserve">Cuando se detecten resultados no satisfactorios mientras se llevan a cabo las pruebas de aseguramiento de la calidad, se deben detener las actividades y realizar una revisión de las condiciones en las que se están desarrollando los ensayos, se debe volver </w:t>
      </w:r>
      <w:r>
        <w:rPr>
          <w:rFonts w:ascii="Arial" w:eastAsia="Arial" w:hAnsi="Arial" w:cs="Arial"/>
          <w:color w:val="000000"/>
        </w:rPr>
        <w:t xml:space="preserve">a realizar y si no se obtienen los resultados esperados, se debe comunicar al </w:t>
      </w:r>
      <w:r>
        <w:rPr>
          <w:rFonts w:ascii="Arial" w:eastAsia="Arial" w:hAnsi="Arial" w:cs="Arial"/>
          <w:color w:val="000000"/>
          <w:highlight w:val="yellow"/>
        </w:rPr>
        <w:t>superior</w:t>
      </w:r>
      <w:r>
        <w:rPr>
          <w:rFonts w:ascii="Arial" w:eastAsia="Arial" w:hAnsi="Arial" w:cs="Arial"/>
          <w:color w:val="000000"/>
        </w:rPr>
        <w:t>.</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w:t>
      </w:r>
      <w:r>
        <w:rPr>
          <w:rFonts w:ascii="Arial" w:eastAsia="Arial" w:hAnsi="Arial" w:cs="Arial"/>
          <w:color w:val="000000"/>
          <w:highlight w:val="yellow"/>
        </w:rPr>
        <w:t>superior</w:t>
      </w:r>
      <w:r>
        <w:rPr>
          <w:rFonts w:ascii="Arial" w:eastAsia="Arial" w:hAnsi="Arial" w:cs="Arial"/>
          <w:color w:val="000000"/>
        </w:rPr>
        <w:t xml:space="preserve"> deberá tomar las medidas necesarias que incluyen la apertura de una Oportunidad de Mejora según lo determinado en el procedimiento código, con el fin de determinar las causas que originan la obtención de este tipo de resultados.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Una vez que se ha llevado </w:t>
      </w:r>
      <w:r>
        <w:rPr>
          <w:rFonts w:ascii="Arial" w:eastAsia="Arial" w:hAnsi="Arial" w:cs="Arial"/>
          <w:color w:val="000000"/>
        </w:rPr>
        <w:t xml:space="preserve">a cabo el seguimiento de la Oportunidad de Mejora, se debe repetir el ensayo de aseguramiento de la validez de los resultados y una vez que se éstos son satisfactorios, se puede proceder a continuar con el desarrollo de los análisis y su posterior reporte </w:t>
      </w:r>
      <w:r>
        <w:rPr>
          <w:rFonts w:ascii="Arial" w:eastAsia="Arial" w:hAnsi="Arial" w:cs="Arial"/>
          <w:color w:val="000000"/>
        </w:rPr>
        <w:t>al cliente.</w:t>
      </w:r>
    </w:p>
    <w:p w:rsidR="007F0C3E" w:rsidRDefault="007F0C3E">
      <w:pPr>
        <w:pBdr>
          <w:top w:val="nil"/>
          <w:left w:val="nil"/>
          <w:bottom w:val="nil"/>
          <w:right w:val="nil"/>
          <w:between w:val="nil"/>
        </w:pBdr>
        <w:spacing w:after="0"/>
        <w:ind w:left="502" w:hanging="720"/>
        <w:jc w:val="both"/>
        <w:rPr>
          <w:rFonts w:ascii="Arial" w:eastAsia="Arial" w:hAnsi="Arial" w:cs="Arial"/>
          <w:color w:val="000000"/>
        </w:rPr>
      </w:pPr>
    </w:p>
    <w:p w:rsidR="007F0C3E" w:rsidRDefault="003978D6">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Ensayos de aptitud</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Laboratorio debe tener establecidos sus proveedores de ensayos de aptitud que sean debidamente acreditados en la norma ISO 17043. </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En el caso de que no existan </w:t>
      </w:r>
      <w:r>
        <w:rPr>
          <w:rFonts w:ascii="Arial" w:eastAsia="Arial" w:hAnsi="Arial" w:cs="Arial"/>
        </w:rPr>
        <w:t>programas de ensayos de aptitud acreditados o en proceso de a</w:t>
      </w:r>
      <w:r>
        <w:rPr>
          <w:rFonts w:ascii="Arial" w:eastAsia="Arial" w:hAnsi="Arial" w:cs="Arial"/>
        </w:rPr>
        <w:t>creditación disponibles para algún ensayo en específico, el Laboratorio debe:</w:t>
      </w:r>
    </w:p>
    <w:p w:rsidR="007F0C3E" w:rsidRDefault="003978D6">
      <w:pPr>
        <w:numPr>
          <w:ilvl w:val="3"/>
          <w:numId w:val="6"/>
        </w:numPr>
        <w:pBdr>
          <w:top w:val="nil"/>
          <w:left w:val="nil"/>
          <w:bottom w:val="nil"/>
          <w:right w:val="nil"/>
          <w:between w:val="nil"/>
        </w:pBdr>
        <w:spacing w:after="0"/>
        <w:jc w:val="both"/>
        <w:rPr>
          <w:rFonts w:ascii="Arial" w:eastAsia="Arial" w:hAnsi="Arial" w:cs="Arial"/>
        </w:rPr>
      </w:pPr>
      <w:r>
        <w:rPr>
          <w:rFonts w:ascii="Arial" w:eastAsia="Arial" w:hAnsi="Arial" w:cs="Arial"/>
        </w:rPr>
        <w:t>Documentar una justificación, debidamente respaldada con evidencia objetiva, en caso de que no sea posible la participación en este tipo de programas o ejercicios.</w:t>
      </w:r>
    </w:p>
    <w:p w:rsidR="007F0C3E" w:rsidRDefault="003978D6">
      <w:pPr>
        <w:numPr>
          <w:ilvl w:val="3"/>
          <w:numId w:val="6"/>
        </w:numPr>
        <w:pBdr>
          <w:top w:val="nil"/>
          <w:left w:val="nil"/>
          <w:bottom w:val="nil"/>
          <w:right w:val="nil"/>
          <w:between w:val="nil"/>
        </w:pBdr>
        <w:spacing w:after="0"/>
        <w:jc w:val="both"/>
        <w:rPr>
          <w:rFonts w:ascii="Arial" w:eastAsia="Arial" w:hAnsi="Arial" w:cs="Arial"/>
        </w:rPr>
      </w:pPr>
      <w:r>
        <w:rPr>
          <w:rFonts w:ascii="Arial" w:eastAsia="Arial" w:hAnsi="Arial" w:cs="Arial"/>
        </w:rPr>
        <w:t>Demostrar por algún otro medio, debidamente documentado, que posee la competencia técnica, para las actividades acreditadas o en proceso de acreditación, por cualquiera de los siguientes métodos:</w:t>
      </w:r>
    </w:p>
    <w:p w:rsidR="007F0C3E" w:rsidRDefault="003978D6">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a) El uso regular de materiales de referencia certificados o</w:t>
      </w:r>
      <w:r>
        <w:rPr>
          <w:rFonts w:ascii="Arial" w:eastAsia="Arial" w:hAnsi="Arial" w:cs="Arial"/>
        </w:rPr>
        <w:t xml:space="preserve"> un control de calidad interno utilizando materiales de referencia secundarios.</w:t>
      </w:r>
    </w:p>
    <w:p w:rsidR="007F0C3E" w:rsidRDefault="003978D6">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b) La repetición de ensayos o calibraciones utilizando el mismo método o métodos diferentes.</w:t>
      </w:r>
    </w:p>
    <w:p w:rsidR="007F0C3E" w:rsidRDefault="003978D6">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c) La repetición de ensayos o calibraciones de los objetos retenidos.</w:t>
      </w:r>
    </w:p>
    <w:p w:rsidR="007F0C3E" w:rsidRDefault="003978D6">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d) La ejecuci</w:t>
      </w:r>
      <w:r>
        <w:rPr>
          <w:rFonts w:ascii="Arial" w:eastAsia="Arial" w:hAnsi="Arial" w:cs="Arial"/>
        </w:rPr>
        <w:t xml:space="preserve">ón de ejercicios de comparación </w:t>
      </w:r>
      <w:proofErr w:type="spellStart"/>
      <w:r>
        <w:rPr>
          <w:rFonts w:ascii="Arial" w:eastAsia="Arial" w:hAnsi="Arial" w:cs="Arial"/>
        </w:rPr>
        <w:t>intralaboratorio</w:t>
      </w:r>
      <w:proofErr w:type="spellEnd"/>
      <w:r>
        <w:rPr>
          <w:rFonts w:ascii="Arial" w:eastAsia="Arial" w:hAnsi="Arial" w:cs="Arial"/>
        </w:rPr>
        <w:t>.</w:t>
      </w:r>
    </w:p>
    <w:p w:rsidR="007F0C3E" w:rsidRDefault="003978D6">
      <w:pPr>
        <w:pBdr>
          <w:top w:val="nil"/>
          <w:left w:val="nil"/>
          <w:bottom w:val="nil"/>
          <w:right w:val="nil"/>
          <w:between w:val="nil"/>
        </w:pBdr>
        <w:spacing w:after="0"/>
        <w:ind w:left="1080"/>
        <w:jc w:val="both"/>
        <w:rPr>
          <w:rFonts w:ascii="Arial" w:eastAsia="Arial" w:hAnsi="Arial" w:cs="Arial"/>
        </w:rPr>
      </w:pPr>
      <w:r>
        <w:rPr>
          <w:rFonts w:ascii="Arial" w:eastAsia="Arial" w:hAnsi="Arial" w:cs="Arial"/>
        </w:rPr>
        <w:t>e) La aplicación de ensayos o calibraciones con muestras ciegas o equipos testigo.</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Se debe realizar la evaluación a estos proveedores según lo establecido en el procedimiento </w:t>
      </w:r>
      <w:r>
        <w:rPr>
          <w:rFonts w:ascii="Arial" w:eastAsia="Arial" w:hAnsi="Arial" w:cs="Arial"/>
          <w:color w:val="000000"/>
          <w:highlight w:val="yellow"/>
        </w:rPr>
        <w:t>código</w:t>
      </w:r>
      <w:r>
        <w:rPr>
          <w:rFonts w:ascii="Arial" w:eastAsia="Arial" w:hAnsi="Arial" w:cs="Arial"/>
          <w:color w:val="000000"/>
        </w:rPr>
        <w:t xml:space="preserve"> de Productos y Servicios</w:t>
      </w:r>
      <w:r>
        <w:rPr>
          <w:rFonts w:ascii="Arial" w:eastAsia="Arial" w:hAnsi="Arial" w:cs="Arial"/>
          <w:color w:val="000000"/>
        </w:rPr>
        <w:t xml:space="preserve"> suministrados externamente.</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lastRenderedPageBreak/>
        <w:t xml:space="preserve">El </w:t>
      </w:r>
      <w:r>
        <w:rPr>
          <w:rFonts w:ascii="Arial" w:eastAsia="Arial" w:hAnsi="Arial" w:cs="Arial"/>
          <w:color w:val="000000"/>
          <w:highlight w:val="yellow"/>
        </w:rPr>
        <w:t>Encargado de Calidad</w:t>
      </w:r>
      <w:r>
        <w:rPr>
          <w:rFonts w:ascii="Arial" w:eastAsia="Arial" w:hAnsi="Arial" w:cs="Arial"/>
          <w:color w:val="000000"/>
        </w:rPr>
        <w:t xml:space="preserve"> debe establecer en el registro </w:t>
      </w:r>
      <w:r>
        <w:rPr>
          <w:rFonts w:ascii="Arial" w:eastAsia="Arial" w:hAnsi="Arial" w:cs="Arial"/>
          <w:color w:val="000000"/>
          <w:highlight w:val="yellow"/>
        </w:rPr>
        <w:t>código</w:t>
      </w:r>
      <w:r>
        <w:rPr>
          <w:rFonts w:ascii="Arial" w:eastAsia="Arial" w:hAnsi="Arial" w:cs="Arial"/>
          <w:color w:val="000000"/>
        </w:rPr>
        <w:t xml:space="preserve"> del Programa de Aseguramiento de la Calidad, la periodicidad con las que se realizarán los diferentes ensayos de aptitud utiliza</w:t>
      </w:r>
      <w:r>
        <w:rPr>
          <w:rFonts w:ascii="Arial" w:eastAsia="Arial" w:hAnsi="Arial" w:cs="Arial"/>
        </w:rPr>
        <w:t>ndo</w:t>
      </w:r>
      <w:r>
        <w:rPr>
          <w:rFonts w:ascii="Arial" w:eastAsia="Arial" w:hAnsi="Arial" w:cs="Arial"/>
          <w:color w:val="000000"/>
        </w:rPr>
        <w:t xml:space="preserve"> el formato ECA-MC-C20-F02</w:t>
      </w:r>
      <w:r>
        <w:rPr>
          <w:rFonts w:ascii="Arial" w:eastAsia="Arial" w:hAnsi="Arial" w:cs="Arial"/>
        </w:rPr>
        <w:t>; éste d</w:t>
      </w:r>
      <w:r>
        <w:rPr>
          <w:rFonts w:ascii="Arial" w:eastAsia="Arial" w:hAnsi="Arial" w:cs="Arial"/>
        </w:rPr>
        <w:t xml:space="preserve">eberá contemplar un periodo de 4 años en los cuales se incluya la participación en ensayos de aptitud u otras comparaciones </w:t>
      </w:r>
      <w:proofErr w:type="spellStart"/>
      <w:r>
        <w:rPr>
          <w:rFonts w:ascii="Arial" w:eastAsia="Arial" w:hAnsi="Arial" w:cs="Arial"/>
        </w:rPr>
        <w:t>interlaboratorio</w:t>
      </w:r>
      <w:proofErr w:type="spellEnd"/>
      <w:r>
        <w:rPr>
          <w:rFonts w:ascii="Arial" w:eastAsia="Arial" w:hAnsi="Arial" w:cs="Arial"/>
        </w:rPr>
        <w:t>, según corresponda, para todas sus familias de actividades acreditadas. Este plan debe ser comunicado al ECA para s</w:t>
      </w:r>
      <w:r>
        <w:rPr>
          <w:rFonts w:ascii="Arial" w:eastAsia="Arial" w:hAnsi="Arial" w:cs="Arial"/>
        </w:rPr>
        <w:t>u revisión y aprobación.</w:t>
      </w:r>
    </w:p>
    <w:p w:rsidR="007F0C3E" w:rsidRDefault="003978D6">
      <w:pPr>
        <w:numPr>
          <w:ilvl w:val="2"/>
          <w:numId w:val="6"/>
        </w:numPr>
        <w:pBdr>
          <w:top w:val="nil"/>
          <w:left w:val="nil"/>
          <w:bottom w:val="nil"/>
          <w:right w:val="nil"/>
          <w:between w:val="nil"/>
        </w:pBdr>
        <w:spacing w:after="0"/>
        <w:jc w:val="both"/>
        <w:rPr>
          <w:rFonts w:ascii="Arial" w:eastAsia="Arial" w:hAnsi="Arial" w:cs="Arial"/>
        </w:rPr>
      </w:pPr>
      <w:r>
        <w:rPr>
          <w:rFonts w:ascii="Arial" w:eastAsia="Arial" w:hAnsi="Arial" w:cs="Arial"/>
        </w:rPr>
        <w:t xml:space="preserve">El </w:t>
      </w:r>
      <w:r>
        <w:rPr>
          <w:rFonts w:ascii="Arial" w:eastAsia="Arial" w:hAnsi="Arial" w:cs="Arial"/>
          <w:highlight w:val="yellow"/>
        </w:rPr>
        <w:t>Encargado de Laboratorio</w:t>
      </w:r>
      <w:r>
        <w:rPr>
          <w:rFonts w:ascii="Arial" w:eastAsia="Arial" w:hAnsi="Arial" w:cs="Arial"/>
        </w:rPr>
        <w:t xml:space="preserve"> debe designar el personal que realizará los ensayos de aptitud cuando exista más de un funcionario autorizado a realizar las funciones.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Una vez obtenidos los resultados de la participación en el ensayo d</w:t>
      </w:r>
      <w:r>
        <w:rPr>
          <w:rFonts w:ascii="Arial" w:eastAsia="Arial" w:hAnsi="Arial" w:cs="Arial"/>
          <w:color w:val="000000"/>
        </w:rPr>
        <w:t>e aptitud se debe</w:t>
      </w:r>
      <w:r>
        <w:rPr>
          <w:rFonts w:ascii="Arial" w:eastAsia="Arial" w:hAnsi="Arial" w:cs="Arial"/>
        </w:rPr>
        <w:t xml:space="preserve"> realizar un análisis crítico de los mismos y posteriormente,</w:t>
      </w:r>
      <w:r>
        <w:rPr>
          <w:rFonts w:ascii="Arial" w:eastAsia="Arial" w:hAnsi="Arial" w:cs="Arial"/>
          <w:color w:val="000000"/>
        </w:rPr>
        <w:t xml:space="preserve"> el envío del reporte en el formulario ECA-MC-C20-F01,</w:t>
      </w:r>
      <w:r>
        <w:rPr>
          <w:rFonts w:ascii="Arial" w:eastAsia="Arial" w:hAnsi="Arial" w:cs="Arial"/>
        </w:rPr>
        <w:t xml:space="preserve"> estos</w:t>
      </w:r>
      <w:r>
        <w:rPr>
          <w:rFonts w:ascii="Arial" w:eastAsia="Arial" w:hAnsi="Arial" w:cs="Arial"/>
          <w:color w:val="000000"/>
        </w:rPr>
        <w:t xml:space="preserve"> resultados deben ser comunicados a la Secretaría de Acreditación del ECA en un plazo no mayor de</w:t>
      </w:r>
      <w:r>
        <w:rPr>
          <w:rFonts w:ascii="Arial" w:eastAsia="Arial" w:hAnsi="Arial" w:cs="Arial"/>
        </w:rPr>
        <w:t xml:space="preserve"> 30</w:t>
      </w:r>
      <w:r>
        <w:rPr>
          <w:rFonts w:ascii="Arial" w:eastAsia="Arial" w:hAnsi="Arial" w:cs="Arial"/>
          <w:color w:val="000000"/>
        </w:rPr>
        <w:t xml:space="preserve"> días hábiles.</w:t>
      </w:r>
    </w:p>
    <w:p w:rsidR="007F0C3E" w:rsidRDefault="003978D6">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Los resultados relacionados con estos ensayos de aptitud deben ser comunicados al personal respectivo del Laboratorio.</w:t>
      </w:r>
    </w:p>
    <w:p w:rsidR="007F0C3E" w:rsidRDefault="003978D6">
      <w:pPr>
        <w:numPr>
          <w:ilvl w:val="2"/>
          <w:numId w:val="6"/>
        </w:numPr>
        <w:pBdr>
          <w:top w:val="nil"/>
          <w:left w:val="nil"/>
          <w:bottom w:val="nil"/>
          <w:right w:val="nil"/>
          <w:between w:val="nil"/>
        </w:pBdr>
        <w:spacing w:after="0"/>
        <w:jc w:val="both"/>
        <w:rPr>
          <w:rFonts w:ascii="Arial" w:eastAsia="Arial" w:hAnsi="Arial" w:cs="Arial"/>
        </w:rPr>
      </w:pPr>
      <w:r>
        <w:rPr>
          <w:rFonts w:ascii="Arial" w:eastAsia="Arial" w:hAnsi="Arial" w:cs="Arial"/>
        </w:rPr>
        <w:t>Solo en el caso de obtener resultados insatisfactorios en ensayos de aptitud, el Laboratorio debe participar nuevamente en un ensayo de a</w:t>
      </w:r>
      <w:r>
        <w:rPr>
          <w:rFonts w:ascii="Arial" w:eastAsia="Arial" w:hAnsi="Arial" w:cs="Arial"/>
        </w:rPr>
        <w:t>ptitud subsecuentes, si están disponibles, o cumplir con el punto 5.2.2 de este documento, en un plazo no mayor de seis meses de recibido el resultado insatisfactorio, para demostrar que las acciones correctivas fueron efectivas.</w:t>
      </w:r>
    </w:p>
    <w:p w:rsidR="007F0C3E" w:rsidRDefault="007F0C3E">
      <w:pPr>
        <w:tabs>
          <w:tab w:val="left" w:pos="3510"/>
        </w:tabs>
        <w:jc w:val="both"/>
        <w:rPr>
          <w:rFonts w:ascii="Arial" w:eastAsia="Arial" w:hAnsi="Arial" w:cs="Arial"/>
        </w:rPr>
      </w:pPr>
    </w:p>
    <w:p w:rsidR="007F0C3E" w:rsidRDefault="003978D6">
      <w:pPr>
        <w:pStyle w:val="Heading1"/>
        <w:numPr>
          <w:ilvl w:val="0"/>
          <w:numId w:val="2"/>
        </w:numPr>
      </w:pPr>
      <w:bookmarkStart w:id="8" w:name="_1t3h5sf" w:colFirst="0" w:colLast="0"/>
      <w:bookmarkEnd w:id="8"/>
      <w:r>
        <w:t>REGISTROS</w:t>
      </w:r>
    </w:p>
    <w:p w:rsidR="007F0C3E" w:rsidRDefault="003978D6">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códi</w:t>
      </w:r>
      <w:r>
        <w:rPr>
          <w:rFonts w:ascii="Arial" w:eastAsia="Arial" w:hAnsi="Arial" w:cs="Arial"/>
          <w:color w:val="000000"/>
          <w:highlight w:val="yellow"/>
        </w:rPr>
        <w:t>go y el respectivo nombre</w:t>
      </w:r>
    </w:p>
    <w:p w:rsidR="007F0C3E" w:rsidRDefault="007F0C3E">
      <w:pPr>
        <w:pBdr>
          <w:top w:val="nil"/>
          <w:left w:val="nil"/>
          <w:bottom w:val="nil"/>
          <w:right w:val="nil"/>
          <w:between w:val="nil"/>
        </w:pBdr>
        <w:tabs>
          <w:tab w:val="left" w:pos="3510"/>
        </w:tabs>
        <w:ind w:left="720" w:hanging="720"/>
        <w:jc w:val="both"/>
        <w:rPr>
          <w:rFonts w:ascii="Arial" w:eastAsia="Arial" w:hAnsi="Arial" w:cs="Arial"/>
          <w:b/>
          <w:color w:val="000000"/>
        </w:rPr>
      </w:pPr>
    </w:p>
    <w:p w:rsidR="007F0C3E" w:rsidRDefault="003978D6">
      <w:pPr>
        <w:pStyle w:val="Heading1"/>
        <w:numPr>
          <w:ilvl w:val="0"/>
          <w:numId w:val="2"/>
        </w:numPr>
      </w:pPr>
      <w:bookmarkStart w:id="9" w:name="_4d34og8" w:colFirst="0" w:colLast="0"/>
      <w:bookmarkEnd w:id="9"/>
      <w:r>
        <w:t>REFERENCIAS</w:t>
      </w:r>
    </w:p>
    <w:p w:rsidR="007F0C3E" w:rsidRDefault="003978D6">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7F0C3E" w:rsidRDefault="003978D6">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INTE/ISO 31000:2011.  Gestión del riesgo. Principios y directrices. INTECO, Costa Rica, 04 de noviembre del 2011.</w:t>
      </w:r>
    </w:p>
    <w:p w:rsidR="007F0C3E" w:rsidRDefault="003978D6">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lastRenderedPageBreak/>
        <w:t>Política para la participación en ensayos/pruebas de aptitud y otras comparaciones ECA-MC-P17. Versión 7. Ente Costarricense de Acredita</w:t>
      </w:r>
      <w:r>
        <w:rPr>
          <w:rFonts w:ascii="Arial" w:eastAsia="Arial" w:hAnsi="Arial" w:cs="Arial"/>
          <w:color w:val="000000"/>
        </w:rPr>
        <w:t>ción, Costa Rica, 30 de abril del 2018.</w:t>
      </w:r>
    </w:p>
    <w:p w:rsidR="007F0C3E" w:rsidRDefault="003978D6">
      <w:pPr>
        <w:numPr>
          <w:ilvl w:val="1"/>
          <w:numId w:val="2"/>
        </w:numPr>
        <w:pBdr>
          <w:top w:val="nil"/>
          <w:left w:val="nil"/>
          <w:bottom w:val="nil"/>
          <w:right w:val="nil"/>
          <w:between w:val="nil"/>
        </w:pBdr>
        <w:tabs>
          <w:tab w:val="left" w:pos="567"/>
        </w:tabs>
        <w:spacing w:after="0"/>
        <w:jc w:val="both"/>
        <w:rPr>
          <w:rFonts w:ascii="Arial" w:eastAsia="Arial" w:hAnsi="Arial" w:cs="Arial"/>
        </w:rPr>
      </w:pPr>
      <w:r>
        <w:rPr>
          <w:rFonts w:ascii="Arial" w:eastAsia="Arial" w:hAnsi="Arial" w:cs="Arial"/>
        </w:rPr>
        <w:t xml:space="preserve">Criterios para la participación en ensayos de aptitud y otras comparaciones </w:t>
      </w:r>
      <w:proofErr w:type="spellStart"/>
      <w:r>
        <w:rPr>
          <w:rFonts w:ascii="Arial" w:eastAsia="Arial" w:hAnsi="Arial" w:cs="Arial"/>
        </w:rPr>
        <w:t>interlaboratorio</w:t>
      </w:r>
      <w:proofErr w:type="spellEnd"/>
      <w:r>
        <w:rPr>
          <w:rFonts w:ascii="Arial" w:eastAsia="Arial" w:hAnsi="Arial" w:cs="Arial"/>
        </w:rPr>
        <w:t xml:space="preserve"> ECA-MC-C20. Versión 01. Ente Costarricense de Acreditación, Costa Rica, 22 de noviembre del 2018.</w:t>
      </w:r>
    </w:p>
    <w:p w:rsidR="007F0C3E" w:rsidRDefault="007F0C3E">
      <w:pPr>
        <w:pBdr>
          <w:top w:val="nil"/>
          <w:left w:val="nil"/>
          <w:bottom w:val="nil"/>
          <w:right w:val="nil"/>
          <w:between w:val="nil"/>
        </w:pBdr>
        <w:tabs>
          <w:tab w:val="left" w:pos="3510"/>
        </w:tabs>
        <w:ind w:left="720" w:hanging="720"/>
        <w:jc w:val="both"/>
        <w:rPr>
          <w:rFonts w:ascii="Arial" w:eastAsia="Arial" w:hAnsi="Arial" w:cs="Arial"/>
          <w:color w:val="000000"/>
        </w:rPr>
      </w:pPr>
    </w:p>
    <w:p w:rsidR="007F0C3E" w:rsidRDefault="003978D6">
      <w:pPr>
        <w:pStyle w:val="Heading1"/>
        <w:numPr>
          <w:ilvl w:val="0"/>
          <w:numId w:val="2"/>
        </w:numPr>
      </w:pPr>
      <w:bookmarkStart w:id="10" w:name="_2s8eyo1" w:colFirst="0" w:colLast="0"/>
      <w:bookmarkEnd w:id="10"/>
      <w:r>
        <w:t>CONTROL DE CAMBIOS</w:t>
      </w:r>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7F0C3E">
        <w:tc>
          <w:tcPr>
            <w:tcW w:w="2365" w:type="dxa"/>
          </w:tcPr>
          <w:p w:rsidR="007F0C3E" w:rsidRDefault="003978D6">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w:t>
            </w:r>
            <w:r>
              <w:rPr>
                <w:rFonts w:ascii="Arial" w:eastAsia="Arial" w:hAnsi="Arial" w:cs="Arial"/>
                <w:b/>
                <w:color w:val="000000"/>
              </w:rPr>
              <w:t>ado</w:t>
            </w:r>
          </w:p>
        </w:tc>
        <w:tc>
          <w:tcPr>
            <w:tcW w:w="5969" w:type="dxa"/>
          </w:tcPr>
          <w:p w:rsidR="007F0C3E" w:rsidRDefault="003978D6">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7F0C3E">
        <w:tc>
          <w:tcPr>
            <w:tcW w:w="2365" w:type="dxa"/>
          </w:tcPr>
          <w:p w:rsidR="007F0C3E" w:rsidRDefault="003978D6">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7F0C3E" w:rsidRDefault="003978D6">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7F0C3E" w:rsidRDefault="007F0C3E">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7F0C3E" w:rsidRDefault="007F0C3E">
      <w:pPr>
        <w:pBdr>
          <w:top w:val="nil"/>
          <w:left w:val="nil"/>
          <w:bottom w:val="nil"/>
          <w:right w:val="nil"/>
          <w:between w:val="nil"/>
        </w:pBdr>
        <w:tabs>
          <w:tab w:val="left" w:pos="3510"/>
        </w:tabs>
        <w:ind w:left="1080" w:hanging="720"/>
        <w:rPr>
          <w:rFonts w:ascii="Arial" w:eastAsia="Arial" w:hAnsi="Arial" w:cs="Arial"/>
          <w:color w:val="000000"/>
        </w:rPr>
      </w:pPr>
    </w:p>
    <w:sectPr w:rsidR="007F0C3E">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3978D6">
      <w:pPr>
        <w:spacing w:after="0" w:line="240" w:lineRule="auto"/>
      </w:pPr>
      <w:r>
        <w:separator/>
      </w:r>
    </w:p>
  </w:endnote>
  <w:endnote w:type="continuationSeparator" w:id="0">
    <w:p w:rsidR="00000000" w:rsidRDefault="00397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0C3E" w:rsidRDefault="003978D6">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p>
  <w:p w:rsidR="007F0C3E" w:rsidRDefault="007F0C3E">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3978D6">
      <w:pPr>
        <w:spacing w:after="0" w:line="240" w:lineRule="auto"/>
      </w:pPr>
      <w:r>
        <w:separator/>
      </w:r>
    </w:p>
  </w:footnote>
  <w:footnote w:type="continuationSeparator" w:id="0">
    <w:p w:rsidR="00000000" w:rsidRDefault="003978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0C3E" w:rsidRDefault="007F0C3E">
    <w:pPr>
      <w:pBdr>
        <w:top w:val="nil"/>
        <w:left w:val="nil"/>
        <w:bottom w:val="nil"/>
        <w:right w:val="nil"/>
        <w:between w:val="nil"/>
      </w:pBdr>
      <w:tabs>
        <w:tab w:val="center" w:pos="4419"/>
        <w:tab w:val="right" w:pos="8838"/>
      </w:tabs>
      <w:spacing w:after="0" w:line="240" w:lineRule="auto"/>
      <w:rPr>
        <w:color w:val="000000"/>
      </w:rPr>
    </w:pPr>
  </w:p>
  <w:tbl>
    <w:tblPr>
      <w:tblStyle w:val="a1"/>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7F0C3E">
      <w:tc>
        <w:tcPr>
          <w:tcW w:w="2093" w:type="dxa"/>
          <w:vMerge w:val="restart"/>
        </w:tcPr>
        <w:p w:rsidR="007F0C3E" w:rsidRDefault="003978D6">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lang w:val="en-US"/>
            </w:rPr>
            <w:drawing>
              <wp:inline distT="0" distB="0" distL="114300" distR="114300">
                <wp:extent cx="1110615" cy="101854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7F0C3E" w:rsidRDefault="003978D6">
          <w:pPr>
            <w:keepNext/>
            <w:spacing w:before="120" w:after="120"/>
            <w:jc w:val="center"/>
            <w:rPr>
              <w:rFonts w:ascii="Arial" w:eastAsia="Arial" w:hAnsi="Arial" w:cs="Arial"/>
              <w:b/>
            </w:rPr>
          </w:pPr>
          <w:r>
            <w:rPr>
              <w:rFonts w:ascii="Arial" w:eastAsia="Arial" w:hAnsi="Arial" w:cs="Arial"/>
              <w:b/>
            </w:rPr>
            <w:t>UNIVERSIDAD NACIONAL</w:t>
          </w:r>
        </w:p>
        <w:p w:rsidR="007F0C3E" w:rsidRDefault="003978D6">
          <w:pPr>
            <w:keepNext/>
            <w:spacing w:before="120" w:after="120"/>
            <w:jc w:val="center"/>
            <w:rPr>
              <w:rFonts w:ascii="Arial" w:eastAsia="Arial" w:hAnsi="Arial" w:cs="Arial"/>
              <w:b/>
            </w:rPr>
          </w:pPr>
          <w:r>
            <w:rPr>
              <w:rFonts w:ascii="Arial" w:eastAsia="Arial" w:hAnsi="Arial" w:cs="Arial"/>
              <w:b/>
            </w:rPr>
            <w:t>ESCUELA DE _____________________</w:t>
          </w:r>
        </w:p>
        <w:p w:rsidR="007F0C3E" w:rsidRDefault="003978D6">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7F0C3E" w:rsidRDefault="007F0C3E">
          <w:pPr>
            <w:pBdr>
              <w:top w:val="nil"/>
              <w:left w:val="nil"/>
              <w:bottom w:val="nil"/>
              <w:right w:val="nil"/>
              <w:between w:val="nil"/>
            </w:pBdr>
            <w:tabs>
              <w:tab w:val="center" w:pos="4381"/>
              <w:tab w:val="left" w:pos="6300"/>
            </w:tabs>
            <w:rPr>
              <w:rFonts w:ascii="Arial" w:eastAsia="Arial" w:hAnsi="Arial" w:cs="Arial"/>
              <w:color w:val="000000"/>
            </w:rPr>
          </w:pPr>
        </w:p>
        <w:p w:rsidR="007F0C3E" w:rsidRDefault="007F0C3E">
          <w:pPr>
            <w:pBdr>
              <w:top w:val="nil"/>
              <w:left w:val="nil"/>
              <w:bottom w:val="nil"/>
              <w:right w:val="nil"/>
              <w:between w:val="nil"/>
            </w:pBdr>
            <w:tabs>
              <w:tab w:val="center" w:pos="4381"/>
              <w:tab w:val="left" w:pos="6300"/>
            </w:tabs>
            <w:jc w:val="center"/>
            <w:rPr>
              <w:rFonts w:ascii="Arial" w:eastAsia="Arial" w:hAnsi="Arial" w:cs="Arial"/>
              <w:color w:val="000000"/>
            </w:rPr>
          </w:pPr>
        </w:p>
        <w:p w:rsidR="007F0C3E" w:rsidRDefault="003978D6">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7F0C3E">
      <w:tc>
        <w:tcPr>
          <w:tcW w:w="2093" w:type="dxa"/>
          <w:vMerge/>
        </w:tcPr>
        <w:p w:rsidR="007F0C3E" w:rsidRDefault="007F0C3E">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7F0C3E" w:rsidRDefault="007F0C3E">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7F0C3E" w:rsidRDefault="003978D6">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p>
      </w:tc>
    </w:tr>
    <w:tr w:rsidR="007F0C3E">
      <w:trPr>
        <w:trHeight w:val="640"/>
      </w:trPr>
      <w:tc>
        <w:tcPr>
          <w:tcW w:w="2093" w:type="dxa"/>
        </w:tcPr>
        <w:p w:rsidR="007F0C3E" w:rsidRDefault="003978D6">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7F0C3E" w:rsidRDefault="003978D6">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7F0C3E" w:rsidRDefault="003978D6">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7F0C3E" w:rsidRDefault="007F0C3E">
    <w:pPr>
      <w:pBdr>
        <w:top w:val="nil"/>
        <w:left w:val="nil"/>
        <w:bottom w:val="nil"/>
        <w:right w:val="nil"/>
        <w:between w:val="nil"/>
      </w:pBdr>
      <w:tabs>
        <w:tab w:val="center" w:pos="4419"/>
        <w:tab w:val="right" w:pos="8838"/>
      </w:tabs>
      <w:spacing w:after="0" w:line="240" w:lineRule="auto"/>
      <w:rPr>
        <w:color w:val="000000"/>
      </w:rPr>
    </w:pPr>
  </w:p>
  <w:p w:rsidR="007F0C3E" w:rsidRDefault="007F0C3E">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0761F"/>
    <w:multiLevelType w:val="multilevel"/>
    <w:tmpl w:val="B6FA108C"/>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1" w15:restartNumberingAfterBreak="0">
    <w:nsid w:val="0AD94E2B"/>
    <w:multiLevelType w:val="multilevel"/>
    <w:tmpl w:val="2FD2EE7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 w15:restartNumberingAfterBreak="0">
    <w:nsid w:val="20145BB9"/>
    <w:multiLevelType w:val="multilevel"/>
    <w:tmpl w:val="0C3A830C"/>
    <w:lvl w:ilvl="0">
      <w:start w:val="3"/>
      <w:numFmt w:val="decimal"/>
      <w:lvlText w:val="%1."/>
      <w:lvlJc w:val="left"/>
      <w:pPr>
        <w:ind w:left="720" w:hanging="360"/>
      </w:pPr>
    </w:lvl>
    <w:lvl w:ilvl="1">
      <w:start w:val="1"/>
      <w:numFmt w:val="decimal"/>
      <w:lvlText w:val="%1.%2."/>
      <w:lvlJc w:val="left"/>
      <w:pPr>
        <w:ind w:left="720"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15:restartNumberingAfterBreak="0">
    <w:nsid w:val="2C99198F"/>
    <w:multiLevelType w:val="multilevel"/>
    <w:tmpl w:val="7DD4A554"/>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4" w15:restartNumberingAfterBreak="0">
    <w:nsid w:val="7C796E7C"/>
    <w:multiLevelType w:val="multilevel"/>
    <w:tmpl w:val="CD9A3658"/>
    <w:lvl w:ilvl="0">
      <w:start w:val="5"/>
      <w:numFmt w:val="decimal"/>
      <w:lvlText w:val="%1."/>
      <w:lvlJc w:val="left"/>
      <w:pPr>
        <w:ind w:left="720" w:hanging="360"/>
      </w:pPr>
    </w:lvl>
    <w:lvl w:ilvl="1">
      <w:start w:val="1"/>
      <w:numFmt w:val="decimal"/>
      <w:lvlText w:val="%1.%2."/>
      <w:lvlJc w:val="left"/>
      <w:pPr>
        <w:ind w:left="502"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bullet"/>
      <w:lvlText w:val="o"/>
      <w:lvlJc w:val="left"/>
      <w:pPr>
        <w:ind w:left="2215" w:hanging="1080"/>
      </w:pPr>
      <w:rPr>
        <w:rFonts w:ascii="Courier New" w:eastAsia="Courier New" w:hAnsi="Courier New" w:cs="Courier New"/>
      </w:rPr>
    </w:lvl>
    <w:lvl w:ilvl="5">
      <w:start w:val="1"/>
      <w:numFmt w:val="decimal"/>
      <w:lvlText w:val="%1.%2.%3.%4.o.%6."/>
      <w:lvlJc w:val="left"/>
      <w:pPr>
        <w:ind w:left="1440" w:hanging="1080"/>
      </w:pPr>
    </w:lvl>
    <w:lvl w:ilvl="6">
      <w:start w:val="1"/>
      <w:numFmt w:val="decimal"/>
      <w:lvlText w:val="%1.%2.%3.%4.o.%6.%7."/>
      <w:lvlJc w:val="left"/>
      <w:pPr>
        <w:ind w:left="1800" w:hanging="1440"/>
      </w:pPr>
    </w:lvl>
    <w:lvl w:ilvl="7">
      <w:start w:val="1"/>
      <w:numFmt w:val="decimal"/>
      <w:lvlText w:val="%1.%2.%3.%4.o.%6.%7.%8."/>
      <w:lvlJc w:val="left"/>
      <w:pPr>
        <w:ind w:left="1800" w:hanging="1440"/>
      </w:pPr>
    </w:lvl>
    <w:lvl w:ilvl="8">
      <w:start w:val="1"/>
      <w:numFmt w:val="decimal"/>
      <w:lvlText w:val="%1.%2.%3.%4.o.%6.%7.%8.%9."/>
      <w:lvlJc w:val="left"/>
      <w:pPr>
        <w:ind w:left="2160" w:hanging="1800"/>
      </w:pPr>
    </w:lvl>
  </w:abstractNum>
  <w:abstractNum w:abstractNumId="5" w15:restartNumberingAfterBreak="0">
    <w:nsid w:val="7DDF3685"/>
    <w:multiLevelType w:val="multilevel"/>
    <w:tmpl w:val="9FAC1894"/>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1"/>
  </w:num>
  <w:num w:numId="2">
    <w:abstractNumId w:val="5"/>
  </w:num>
  <w:num w:numId="3">
    <w:abstractNumId w:val="3"/>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C3E"/>
    <w:rsid w:val="003978D6"/>
    <w:rsid w:val="007F0C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519BC1-ECE7-416E-AA1F-7AE7EACE7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after="120" w:line="360" w:lineRule="auto"/>
      <w:jc w:val="both"/>
      <w:outlineLvl w:val="0"/>
    </w:pPr>
    <w:rPr>
      <w:rFonts w:ascii="Arial" w:eastAsia="Arial" w:hAnsi="Arial" w:cs="Arial"/>
      <w:b/>
      <w:sz w:val="24"/>
      <w:szCs w:val="24"/>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1239</Words>
  <Characters>7067</Characters>
  <Application>Microsoft Office Word</Application>
  <DocSecurity>0</DocSecurity>
  <Lines>58</Lines>
  <Paragraphs>16</Paragraphs>
  <ScaleCrop>false</ScaleCrop>
  <Company/>
  <LinksUpToDate>false</LinksUpToDate>
  <CharactersWithSpaces>8290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Alexander</cp:lastModifiedBy>
  <cp:revision>2</cp:revision>
  <dcterms:created xsi:type="dcterms:W3CDTF">2019-09-04T05:17:00Z</dcterms:created>
  <dcterms:modified xsi:type="dcterms:W3CDTF">2019-09-04T05:18:00Z</dcterms:modified>
</cp:coreProperties>
</file>