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11" w14:textId="77777777" w:rsidR="00E51D2F" w:rsidRPr="00BA4A54" w:rsidRDefault="00000000">
      <w:pPr>
        <w:spacing w:before="240" w:after="240" w:line="240" w:lineRule="auto"/>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Modelo de evaluación de los aprendizajes del Sistema Educativo costarricense: Percepciones de docentes de I y II ciclo de la Educación General Básica en el año 2023</w:t>
      </w:r>
    </w:p>
    <w:p w14:paraId="00000012" w14:textId="77777777" w:rsidR="00E51D2F" w:rsidRPr="00BA4A54" w:rsidRDefault="00000000">
      <w:pPr>
        <w:spacing w:after="240" w:line="240" w:lineRule="auto"/>
        <w:rPr>
          <w:rFonts w:ascii="Times New Roman" w:eastAsia="Times New Roman" w:hAnsi="Times New Roman" w:cs="Times New Roman"/>
          <w:sz w:val="24"/>
          <w:szCs w:val="24"/>
          <w:lang w:val="en-US"/>
        </w:rPr>
      </w:pPr>
      <w:r w:rsidRPr="00BA4A54">
        <w:rPr>
          <w:rFonts w:ascii="Times New Roman" w:eastAsia="Times New Roman" w:hAnsi="Times New Roman" w:cs="Times New Roman"/>
          <w:sz w:val="24"/>
          <w:szCs w:val="24"/>
          <w:lang w:val="en-US"/>
        </w:rPr>
        <w:t>Learning evaluation model of the Costa Rican educational system: Perceptions of teachers of I and II cycles of Basic General Education in the year 2023</w:t>
      </w:r>
    </w:p>
    <w:p w14:paraId="00000014" w14:textId="5C45BEA0" w:rsidR="00E51D2F" w:rsidRPr="00BA4A54" w:rsidRDefault="00992735">
      <w:pPr>
        <w:spacing w:after="240" w:line="240" w:lineRule="auto"/>
        <w:rPr>
          <w:rFonts w:ascii="Times New Roman" w:eastAsia="Times New Roman" w:hAnsi="Times New Roman" w:cs="Times New Roman"/>
          <w:sz w:val="24"/>
          <w:szCs w:val="24"/>
          <w:lang w:val="pt-BR"/>
        </w:rPr>
      </w:pPr>
      <w:r w:rsidRPr="00BA4A54">
        <w:rPr>
          <w:rFonts w:ascii="Times New Roman" w:eastAsia="Times New Roman" w:hAnsi="Times New Roman" w:cs="Times New Roman"/>
          <w:sz w:val="24"/>
          <w:szCs w:val="24"/>
          <w:lang w:val="pt-BR"/>
        </w:rPr>
        <w:t xml:space="preserve">Modelo de avaliação da aprendizagem do sistema educacional costarriquenho: Percepções dos </w:t>
      </w:r>
      <w:r w:rsidR="003B668D" w:rsidRPr="00BA4A54">
        <w:rPr>
          <w:rFonts w:ascii="Times New Roman" w:eastAsia="Times New Roman" w:hAnsi="Times New Roman" w:cs="Times New Roman"/>
          <w:sz w:val="24"/>
          <w:szCs w:val="24"/>
          <w:lang w:val="pt-BR"/>
        </w:rPr>
        <w:t>professores</w:t>
      </w:r>
      <w:r w:rsidRPr="00BA4A54">
        <w:rPr>
          <w:rFonts w:ascii="Times New Roman" w:eastAsia="Times New Roman" w:hAnsi="Times New Roman" w:cs="Times New Roman"/>
          <w:sz w:val="24"/>
          <w:szCs w:val="24"/>
          <w:lang w:val="pt-BR"/>
        </w:rPr>
        <w:t xml:space="preserve"> do I e II Ciclo do Ensino Básico Geral no ano de 2023</w:t>
      </w:r>
    </w:p>
    <w:p w14:paraId="28E7E94D" w14:textId="77777777" w:rsidR="00D8742C" w:rsidRDefault="00D8742C">
      <w:pPr>
        <w:spacing w:after="240" w:line="240" w:lineRule="auto"/>
        <w:rPr>
          <w:rFonts w:ascii="Times New Roman" w:eastAsia="Times New Roman" w:hAnsi="Times New Roman" w:cs="Times New Roman"/>
          <w:sz w:val="24"/>
          <w:szCs w:val="24"/>
          <w:lang w:val="pt-BR"/>
        </w:rPr>
      </w:pPr>
    </w:p>
    <w:p w14:paraId="00000019" w14:textId="6E0CFF2B" w:rsidR="00E51D2F" w:rsidRPr="00BA4A54" w:rsidRDefault="00000000">
      <w:pPr>
        <w:spacing w:after="0" w:line="240" w:lineRule="auto"/>
        <w:rPr>
          <w:rFonts w:ascii="Times New Roman" w:eastAsia="Times New Roman" w:hAnsi="Times New Roman" w:cs="Times New Roman"/>
          <w:sz w:val="24"/>
          <w:szCs w:val="24"/>
          <w:lang w:val="es-ES"/>
        </w:rPr>
      </w:pPr>
      <w:r w:rsidRPr="00BA4A54">
        <w:rPr>
          <w:rFonts w:ascii="Times New Roman" w:eastAsia="Times New Roman" w:hAnsi="Times New Roman" w:cs="Times New Roman"/>
          <w:sz w:val="24"/>
          <w:szCs w:val="24"/>
          <w:lang w:val="es-ES"/>
        </w:rPr>
        <w:t>Josiane Pawlowski</w:t>
      </w:r>
      <w:r w:rsidR="00992735" w:rsidRPr="00BA4A54">
        <w:rPr>
          <w:rFonts w:ascii="Times New Roman" w:eastAsia="Times New Roman" w:hAnsi="Times New Roman" w:cs="Times New Roman"/>
          <w:sz w:val="24"/>
          <w:szCs w:val="24"/>
          <w:lang w:val="es-ES"/>
        </w:rPr>
        <w:t xml:space="preserve">, </w:t>
      </w:r>
      <w:r w:rsidR="00992735" w:rsidRPr="00BA4A54">
        <w:rPr>
          <w:rFonts w:ascii="Times New Roman" w:eastAsia="Times New Roman" w:hAnsi="Times New Roman" w:cs="Times New Roman"/>
          <w:sz w:val="24"/>
          <w:szCs w:val="24"/>
        </w:rPr>
        <w:t xml:space="preserve">Instituto de Estudios Interdisciplinarios de la Niñez y la Adolescencia (INEINA) del Centro de Investigación y Docencia en Educación (CIDE) de la Universidad Nacional, Heredia, Costa Rica, </w:t>
      </w:r>
      <w:hyperlink r:id="rId9" w:history="1">
        <w:r w:rsidR="00D8742C" w:rsidRPr="00BA4A54">
          <w:rPr>
            <w:rFonts w:ascii="Times New Roman" w:eastAsia="Times New Roman" w:hAnsi="Times New Roman" w:cs="Times New Roman"/>
            <w:sz w:val="24"/>
            <w:szCs w:val="24"/>
            <w:u w:val="single"/>
          </w:rPr>
          <w:t>josiane.pawlowski@una.cr</w:t>
        </w:r>
      </w:hyperlink>
      <w:r w:rsidR="00D8742C" w:rsidRPr="00BA4A54">
        <w:rPr>
          <w:rFonts w:ascii="Times New Roman" w:eastAsia="Times New Roman" w:hAnsi="Times New Roman" w:cs="Times New Roman"/>
          <w:sz w:val="24"/>
          <w:szCs w:val="24"/>
          <w:u w:val="single"/>
        </w:rPr>
        <w:t xml:space="preserve">, </w:t>
      </w:r>
      <w:r w:rsidRPr="00BA4A54">
        <w:rPr>
          <w:rFonts w:ascii="Times New Roman" w:eastAsia="Times New Roman" w:hAnsi="Times New Roman" w:cs="Times New Roman"/>
          <w:sz w:val="24"/>
          <w:szCs w:val="24"/>
          <w:lang w:val="es-ES"/>
        </w:rPr>
        <w:t>https://orcid.org/0000-0002-3597-349X</w:t>
      </w:r>
    </w:p>
    <w:p w14:paraId="259432E7" w14:textId="77777777" w:rsidR="00CD41AC" w:rsidRDefault="00CD41AC">
      <w:pPr>
        <w:spacing w:after="0" w:line="240" w:lineRule="auto"/>
        <w:rPr>
          <w:rFonts w:ascii="Times New Roman" w:eastAsia="Times New Roman" w:hAnsi="Times New Roman" w:cs="Times New Roman"/>
          <w:sz w:val="24"/>
          <w:szCs w:val="24"/>
          <w:lang w:val="es-ES"/>
        </w:rPr>
      </w:pPr>
    </w:p>
    <w:p w14:paraId="0000001A" w14:textId="51D9A4CD" w:rsidR="00E51D2F" w:rsidRPr="00BA4A54" w:rsidRDefault="00000000">
      <w:pPr>
        <w:spacing w:after="0" w:line="240" w:lineRule="auto"/>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María Sofía Herrera Segura</w:t>
      </w:r>
      <w:r w:rsidR="00D8742C" w:rsidRPr="00BA4A54">
        <w:rPr>
          <w:rFonts w:ascii="Times New Roman" w:eastAsia="Times New Roman" w:hAnsi="Times New Roman" w:cs="Times New Roman"/>
          <w:sz w:val="24"/>
          <w:szCs w:val="24"/>
        </w:rPr>
        <w:t xml:space="preserve">, Instituto de Estudios Interdisciplinarios de la Niñez y la Adolescencia (INEINA) del Centro de Investigación y Docencia en Educación (CIDE) de la Universidad Nacional, Heredia, Costa Rica, </w:t>
      </w:r>
      <w:r w:rsidR="00D8742C" w:rsidRPr="00BA4A54">
        <w:rPr>
          <w:rStyle w:val="gi"/>
          <w:rFonts w:ascii="Times New Roman" w:hAnsi="Times New Roman" w:cs="Times New Roman"/>
          <w:sz w:val="24"/>
          <w:szCs w:val="24"/>
        </w:rPr>
        <w:t>sofia.herrera.segura@una.cr</w:t>
      </w:r>
      <w:r w:rsidRPr="00BA4A54">
        <w:rPr>
          <w:rFonts w:ascii="Times New Roman" w:eastAsia="Times New Roman" w:hAnsi="Times New Roman" w:cs="Times New Roman"/>
          <w:sz w:val="24"/>
          <w:szCs w:val="24"/>
        </w:rPr>
        <w:t xml:space="preserve"> https://orcid.org/0000-0001-7666-2869</w:t>
      </w:r>
    </w:p>
    <w:p w14:paraId="0000001B" w14:textId="77777777" w:rsidR="00E51D2F" w:rsidRPr="00BA4A54" w:rsidRDefault="00E51D2F">
      <w:pPr>
        <w:spacing w:after="240" w:line="240" w:lineRule="auto"/>
        <w:rPr>
          <w:rFonts w:ascii="Times New Roman" w:eastAsia="Times New Roman" w:hAnsi="Times New Roman" w:cs="Times New Roman"/>
          <w:sz w:val="24"/>
          <w:szCs w:val="24"/>
        </w:rPr>
      </w:pPr>
    </w:p>
    <w:p w14:paraId="0000001D" w14:textId="3FA109E8" w:rsidR="00E51D2F" w:rsidRPr="00BA4A54" w:rsidRDefault="00000000" w:rsidP="00FC2E44">
      <w:pPr>
        <w:spacing w:before="240" w:after="240" w:line="240" w:lineRule="auto"/>
        <w:rPr>
          <w:rFonts w:ascii="Times New Roman" w:eastAsia="Times New Roman" w:hAnsi="Times New Roman" w:cs="Times New Roman"/>
          <w:b/>
          <w:bCs/>
          <w:sz w:val="24"/>
          <w:szCs w:val="24"/>
        </w:rPr>
      </w:pPr>
      <w:r w:rsidRPr="00BA4A54">
        <w:rPr>
          <w:rFonts w:ascii="Times New Roman" w:eastAsia="Times New Roman" w:hAnsi="Times New Roman" w:cs="Times New Roman"/>
          <w:b/>
          <w:bCs/>
          <w:sz w:val="24"/>
          <w:szCs w:val="24"/>
        </w:rPr>
        <w:t>Resumen</w:t>
      </w:r>
    </w:p>
    <w:p w14:paraId="0000001E" w14:textId="0D6083B1" w:rsidR="00E51D2F" w:rsidRPr="00BA4A54" w:rsidRDefault="00000000">
      <w:pPr>
        <w:spacing w:before="240" w:after="240" w:line="360" w:lineRule="auto"/>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 xml:space="preserve">El objetivo fue evaluar las percepciones del personal docente de I y II ciclo de la Educación General Básica sobre el modelo de evaluación planteado por el Ministerio de Educación Pública </w:t>
      </w:r>
      <w:r w:rsidR="00454430" w:rsidRPr="00BA4A54">
        <w:rPr>
          <w:rFonts w:ascii="Times New Roman" w:eastAsia="Times New Roman" w:hAnsi="Times New Roman" w:cs="Times New Roman"/>
          <w:sz w:val="24"/>
          <w:szCs w:val="24"/>
        </w:rPr>
        <w:t>de Costa Rica</w:t>
      </w:r>
      <w:r w:rsidRPr="00BA4A54">
        <w:rPr>
          <w:rFonts w:ascii="Times New Roman" w:eastAsia="Times New Roman" w:hAnsi="Times New Roman" w:cs="Times New Roman"/>
          <w:sz w:val="24"/>
          <w:szCs w:val="24"/>
        </w:rPr>
        <w:t xml:space="preserve">. Se realizó un estudio con diseño mixto concurrente. Participaron 294 personas docentes de I y II ciclo, 92,2% mujeres, con edad entre 22 y 68 años. Un cuestionario con preguntas cerradas y abiertas fue diseñado en formato de encuesta en la plataforma digital LimeSurvey. Las personas docentes recibieron una invitación por correo electrónico institucional del equipo investigador con un enlace a la encuesta en línea alojada en LimeSurvey. Las preguntas cerradas se analizaron utilizando el Programa Estadístico SPSS y las preguntas abiertas mediante una codificación y categorización de las respuestas. Los resultados indicaron concordancia en lo que se refiere a los lineamientos para evaluar las tareas y la asistencia, así como con la construcción de las pruebas escritas según los indicadores de aprendizaje. No obstante, los lineamientos para evaluar el rubro del trabajo cotidiano no son tan claros. Las acciones para mejorar el modelo actual de evaluación de los aprendizajes sugeridas fueron: 1) revisar los rubros y porcentajes de evaluación, 2) detallar mejor la estructura de cómo desarrollar el trabajo cotidiano, y 3) potenciar los aprendizajes </w:t>
      </w:r>
      <w:r w:rsidRPr="00BA4A54">
        <w:rPr>
          <w:rFonts w:ascii="Times New Roman" w:eastAsia="Times New Roman" w:hAnsi="Times New Roman" w:cs="Times New Roman"/>
          <w:sz w:val="24"/>
          <w:szCs w:val="24"/>
        </w:rPr>
        <w:lastRenderedPageBreak/>
        <w:t>de formas más comprensivas. La encuesta realizada proporcionó informaciones que pueden contribuir en la discusión de las acciones para mejorar el sistema vigente acerca del modelo de evaluación de los aprendizajes.</w:t>
      </w:r>
    </w:p>
    <w:p w14:paraId="0000001F" w14:textId="77777777" w:rsidR="00E51D2F" w:rsidRPr="00BA4A54" w:rsidRDefault="00000000">
      <w:pPr>
        <w:spacing w:after="0" w:line="360" w:lineRule="auto"/>
        <w:jc w:val="both"/>
        <w:rPr>
          <w:rFonts w:ascii="Times New Roman" w:eastAsia="Times New Roman" w:hAnsi="Times New Roman" w:cs="Times New Roman"/>
          <w:sz w:val="24"/>
          <w:szCs w:val="24"/>
        </w:rPr>
      </w:pPr>
      <w:r w:rsidRPr="00BA4A54">
        <w:rPr>
          <w:rFonts w:ascii="Times New Roman" w:eastAsia="Times New Roman" w:hAnsi="Times New Roman" w:cs="Times New Roman"/>
          <w:b/>
          <w:sz w:val="24"/>
          <w:szCs w:val="24"/>
        </w:rPr>
        <w:t xml:space="preserve">Palabras clave: </w:t>
      </w:r>
      <w:r w:rsidRPr="00BA4A54">
        <w:rPr>
          <w:rFonts w:ascii="Times New Roman" w:eastAsia="Times New Roman" w:hAnsi="Times New Roman" w:cs="Times New Roman"/>
          <w:sz w:val="24"/>
          <w:szCs w:val="24"/>
        </w:rPr>
        <w:t>modelo de evaluación; aprendizaje; Educación General Básica; docente; sistema educativo</w:t>
      </w:r>
    </w:p>
    <w:p w14:paraId="00000020" w14:textId="77777777" w:rsidR="00E51D2F" w:rsidRPr="00BA4A54" w:rsidRDefault="00E51D2F">
      <w:pPr>
        <w:spacing w:after="0" w:line="360" w:lineRule="auto"/>
        <w:jc w:val="both"/>
        <w:rPr>
          <w:rFonts w:ascii="Times New Roman" w:eastAsia="Times New Roman" w:hAnsi="Times New Roman" w:cs="Times New Roman"/>
          <w:sz w:val="24"/>
          <w:szCs w:val="24"/>
        </w:rPr>
      </w:pPr>
    </w:p>
    <w:p w14:paraId="00000021" w14:textId="77777777" w:rsidR="00E51D2F" w:rsidRPr="00BA4A54" w:rsidRDefault="00000000">
      <w:pPr>
        <w:spacing w:after="0" w:line="360" w:lineRule="auto"/>
        <w:jc w:val="both"/>
        <w:rPr>
          <w:rFonts w:ascii="Times New Roman" w:eastAsia="Times New Roman" w:hAnsi="Times New Roman" w:cs="Times New Roman"/>
          <w:b/>
          <w:sz w:val="24"/>
          <w:szCs w:val="24"/>
          <w:lang w:val="en-US"/>
        </w:rPr>
      </w:pPr>
      <w:r w:rsidRPr="00BA4A54">
        <w:rPr>
          <w:rFonts w:ascii="Times New Roman" w:eastAsia="Times New Roman" w:hAnsi="Times New Roman" w:cs="Times New Roman"/>
          <w:b/>
          <w:sz w:val="24"/>
          <w:szCs w:val="24"/>
          <w:lang w:val="en-US"/>
        </w:rPr>
        <w:t>Abstract</w:t>
      </w:r>
    </w:p>
    <w:p w14:paraId="00000022" w14:textId="4A2CBBD4" w:rsidR="00E51D2F" w:rsidRPr="00BA4A54" w:rsidRDefault="00000000">
      <w:pPr>
        <w:spacing w:after="0" w:line="360" w:lineRule="auto"/>
        <w:rPr>
          <w:rFonts w:ascii="Times New Roman" w:eastAsia="Times New Roman" w:hAnsi="Times New Roman" w:cs="Times New Roman"/>
          <w:sz w:val="24"/>
          <w:szCs w:val="24"/>
          <w:lang w:val="en-US"/>
        </w:rPr>
      </w:pPr>
      <w:r w:rsidRPr="00BA4A54">
        <w:rPr>
          <w:rFonts w:ascii="Times New Roman" w:eastAsia="Times New Roman" w:hAnsi="Times New Roman" w:cs="Times New Roman"/>
          <w:sz w:val="24"/>
          <w:szCs w:val="24"/>
          <w:lang w:val="en-US"/>
        </w:rPr>
        <w:t>The objective was to evaluate the perceptions of the teaching staff of I and II cycles of Basic General Education about the evaluation model proposed by the Ministry of Public Education</w:t>
      </w:r>
      <w:r w:rsidR="00454430" w:rsidRPr="00BA4A54">
        <w:rPr>
          <w:rFonts w:ascii="Times New Roman" w:eastAsia="Times New Roman" w:hAnsi="Times New Roman" w:cs="Times New Roman"/>
          <w:sz w:val="24"/>
          <w:szCs w:val="24"/>
          <w:lang w:val="en-US"/>
        </w:rPr>
        <w:t xml:space="preserve"> of Costa Rica</w:t>
      </w:r>
      <w:r w:rsidRPr="00BA4A54">
        <w:rPr>
          <w:rFonts w:ascii="Times New Roman" w:eastAsia="Times New Roman" w:hAnsi="Times New Roman" w:cs="Times New Roman"/>
          <w:sz w:val="24"/>
          <w:szCs w:val="24"/>
          <w:lang w:val="en-US"/>
        </w:rPr>
        <w:t xml:space="preserve">. A study with a concurrent mixed design was carried out. 294 I and II cycle teachers participated, 92.2% women, aged between 22 and 68 years. A questionnaire with closed and open questions was designed in a survey format on the LimeSurvey digital platform. The teachers received an invitation by institutional email from the research team with a link to the online survey hosted on LimeSurvey. The closed questions were analyzed using the SPSS Statistical Program and the open questions through coding and categorization of the responses. The results indicated agreement </w:t>
      </w:r>
      <w:r w:rsidR="00FC2E44" w:rsidRPr="00BA4A54">
        <w:rPr>
          <w:rFonts w:ascii="Times New Roman" w:eastAsia="Times New Roman" w:hAnsi="Times New Roman" w:cs="Times New Roman"/>
          <w:sz w:val="24"/>
          <w:szCs w:val="24"/>
          <w:lang w:val="en-US"/>
        </w:rPr>
        <w:t>regarding</w:t>
      </w:r>
      <w:r w:rsidRPr="00BA4A54">
        <w:rPr>
          <w:rFonts w:ascii="Times New Roman" w:eastAsia="Times New Roman" w:hAnsi="Times New Roman" w:cs="Times New Roman"/>
          <w:sz w:val="24"/>
          <w:szCs w:val="24"/>
          <w:lang w:val="en-US"/>
        </w:rPr>
        <w:t xml:space="preserve"> the guidelines for evaluating tasks and attendance, as well as with the construction of written tests according to learning indicators. However, the guidelines for evaluating the daily work category are not so clear. The suggested actions to improve the current learning evaluation model were: 1) review the evaluation items and percentages, 2) better detail the structure of how to carry out daily work, and 3) enhance learning in more comprehensive ways. The survey carried out provided information that can contribute to the discussion of actions to improve the current system regarding the learning evaluation model.</w:t>
      </w:r>
    </w:p>
    <w:p w14:paraId="00000023" w14:textId="77777777" w:rsidR="00E51D2F" w:rsidRPr="00BA4A54" w:rsidRDefault="00000000">
      <w:pPr>
        <w:spacing w:after="0" w:line="360" w:lineRule="auto"/>
        <w:rPr>
          <w:rFonts w:ascii="Times New Roman" w:eastAsia="Times New Roman" w:hAnsi="Times New Roman" w:cs="Times New Roman"/>
          <w:sz w:val="24"/>
          <w:szCs w:val="24"/>
          <w:lang w:val="en-US"/>
        </w:rPr>
      </w:pPr>
      <w:r w:rsidRPr="00BA4A54">
        <w:rPr>
          <w:rFonts w:ascii="Times New Roman" w:eastAsia="Times New Roman" w:hAnsi="Times New Roman" w:cs="Times New Roman"/>
          <w:sz w:val="24"/>
          <w:szCs w:val="24"/>
          <w:lang w:val="en-US"/>
        </w:rPr>
        <w:t>Keywords: evaluation model; learning; Basic general education; teacher, Education system</w:t>
      </w:r>
    </w:p>
    <w:p w14:paraId="00000024" w14:textId="77777777" w:rsidR="00E51D2F" w:rsidRPr="00BA4A54" w:rsidRDefault="00E51D2F">
      <w:pPr>
        <w:spacing w:after="0" w:line="360" w:lineRule="auto"/>
        <w:rPr>
          <w:rFonts w:ascii="Times New Roman" w:eastAsia="Times New Roman" w:hAnsi="Times New Roman" w:cs="Times New Roman"/>
          <w:sz w:val="24"/>
          <w:szCs w:val="24"/>
          <w:lang w:val="en-US"/>
        </w:rPr>
      </w:pPr>
    </w:p>
    <w:p w14:paraId="00000025" w14:textId="77777777" w:rsidR="00E51D2F" w:rsidRPr="00BA4A54" w:rsidRDefault="00E51D2F">
      <w:pPr>
        <w:spacing w:after="0" w:line="360" w:lineRule="auto"/>
        <w:jc w:val="both"/>
        <w:rPr>
          <w:rFonts w:ascii="Times New Roman" w:eastAsia="Times New Roman" w:hAnsi="Times New Roman" w:cs="Times New Roman"/>
          <w:b/>
          <w:sz w:val="24"/>
          <w:szCs w:val="24"/>
          <w:lang w:val="en-US"/>
        </w:rPr>
      </w:pPr>
    </w:p>
    <w:p w14:paraId="00000026" w14:textId="77777777" w:rsidR="00E51D2F" w:rsidRPr="00BA4A54" w:rsidRDefault="00000000">
      <w:pPr>
        <w:spacing w:after="0" w:line="360" w:lineRule="auto"/>
        <w:jc w:val="both"/>
        <w:rPr>
          <w:rFonts w:ascii="Times New Roman" w:eastAsia="Times New Roman" w:hAnsi="Times New Roman" w:cs="Times New Roman"/>
          <w:b/>
          <w:sz w:val="24"/>
          <w:szCs w:val="24"/>
          <w:lang w:val="pt-BR"/>
        </w:rPr>
      </w:pPr>
      <w:r w:rsidRPr="00BA4A54">
        <w:rPr>
          <w:rFonts w:ascii="Times New Roman" w:eastAsia="Times New Roman" w:hAnsi="Times New Roman" w:cs="Times New Roman"/>
          <w:b/>
          <w:sz w:val="24"/>
          <w:szCs w:val="24"/>
          <w:lang w:val="pt-BR"/>
        </w:rPr>
        <w:t>Resumo</w:t>
      </w:r>
    </w:p>
    <w:p w14:paraId="00000027" w14:textId="1FC65100" w:rsidR="00E51D2F" w:rsidRPr="00BA4A54" w:rsidRDefault="00000000">
      <w:pPr>
        <w:spacing w:after="0" w:line="360" w:lineRule="auto"/>
        <w:rPr>
          <w:rFonts w:ascii="Times New Roman" w:eastAsia="Times New Roman" w:hAnsi="Times New Roman" w:cs="Times New Roman"/>
          <w:sz w:val="24"/>
          <w:szCs w:val="24"/>
          <w:lang w:val="pt-BR"/>
        </w:rPr>
      </w:pPr>
      <w:r w:rsidRPr="00BA4A54">
        <w:rPr>
          <w:rFonts w:ascii="Times New Roman" w:eastAsia="Times New Roman" w:hAnsi="Times New Roman" w:cs="Times New Roman"/>
          <w:sz w:val="24"/>
          <w:szCs w:val="24"/>
          <w:lang w:val="pt-BR"/>
        </w:rPr>
        <w:t xml:space="preserve">O objetivo foi avaliar as percepções do corpo docente de I e II ciclos do Ensino Básico Geral sobre o modelo de avaliação proposto pelo Ministério da Educação Pública </w:t>
      </w:r>
      <w:r w:rsidR="00454430" w:rsidRPr="00BA4A54">
        <w:rPr>
          <w:rFonts w:ascii="Times New Roman" w:eastAsia="Times New Roman" w:hAnsi="Times New Roman" w:cs="Times New Roman"/>
          <w:sz w:val="24"/>
          <w:szCs w:val="24"/>
          <w:lang w:val="pt-BR"/>
        </w:rPr>
        <w:t>de Costa Rica</w:t>
      </w:r>
      <w:r w:rsidRPr="00BA4A54">
        <w:rPr>
          <w:rFonts w:ascii="Times New Roman" w:eastAsia="Times New Roman" w:hAnsi="Times New Roman" w:cs="Times New Roman"/>
          <w:sz w:val="24"/>
          <w:szCs w:val="24"/>
          <w:lang w:val="pt-BR"/>
        </w:rPr>
        <w:t xml:space="preserve">. Foi realizado um estudo com delineamento misto concorrente. Participaram 294 professores de I e II ciclos, 92,2% mulheres, com idades compreendidas entre os 22 e os 68 </w:t>
      </w:r>
      <w:r w:rsidRPr="00BA4A54">
        <w:rPr>
          <w:rFonts w:ascii="Times New Roman" w:eastAsia="Times New Roman" w:hAnsi="Times New Roman" w:cs="Times New Roman"/>
          <w:sz w:val="24"/>
          <w:szCs w:val="24"/>
          <w:lang w:val="pt-BR"/>
        </w:rPr>
        <w:lastRenderedPageBreak/>
        <w:t>anos. Foi elaborado um questionário com perguntas fechadas e abertas em formato de enquete na plataforma digital LimeSurvey. Os professores receberam um convite por e-mail institucional da equipe de pesquisa que continha um link para a enquete online hospedada no LimeSurvey. As questões fechadas foram analisadas através do Programa Estatístico SPSS e as questões abertas através de uma codificação e categorização das respostas. Os resultados indicaram concordância das pessoas participantes quanto às diretrizes de avaliação das tarefas e</w:t>
      </w:r>
      <w:r w:rsidR="00F84C9C" w:rsidRPr="00BA4A54">
        <w:rPr>
          <w:rFonts w:ascii="Times New Roman" w:eastAsia="Times New Roman" w:hAnsi="Times New Roman" w:cs="Times New Roman"/>
          <w:sz w:val="24"/>
          <w:szCs w:val="24"/>
          <w:lang w:val="pt-BR"/>
        </w:rPr>
        <w:t xml:space="preserve"> frequência/a</w:t>
      </w:r>
      <w:r w:rsidRPr="00BA4A54">
        <w:rPr>
          <w:rFonts w:ascii="Times New Roman" w:eastAsia="Times New Roman" w:hAnsi="Times New Roman" w:cs="Times New Roman"/>
          <w:sz w:val="24"/>
          <w:szCs w:val="24"/>
          <w:lang w:val="pt-BR"/>
        </w:rPr>
        <w:t xml:space="preserve">ssiduidade, bem como à construção das provas escritas segundo indicadores de aprendizagem. Contudo, as diretrizes para avaliação do trabalho cotidiano não são tão claras. As ações sugeridas para melhorar o atual modelo de avaliação da aprendizagem foram: 1) revisar os itens e percentuais de avaliação, 2) detalhar melhor a estrutura de como realizar o trabalho diário e 3) </w:t>
      </w:r>
      <w:sdt>
        <w:sdtPr>
          <w:rPr>
            <w:rFonts w:ascii="Times New Roman" w:hAnsi="Times New Roman" w:cs="Times New Roman"/>
            <w:sz w:val="24"/>
            <w:szCs w:val="24"/>
          </w:rPr>
          <w:tag w:val="goog_rdk_1"/>
          <w:id w:val="-1639410102"/>
        </w:sdtPr>
        <w:sdtContent/>
      </w:sdt>
      <w:r w:rsidRPr="00BA4A54">
        <w:rPr>
          <w:rFonts w:ascii="Times New Roman" w:eastAsia="Times New Roman" w:hAnsi="Times New Roman" w:cs="Times New Roman"/>
          <w:sz w:val="24"/>
          <w:szCs w:val="24"/>
          <w:lang w:val="pt-BR"/>
        </w:rPr>
        <w:t>aprimorar a aprendizagem para formas mais integrais. A pesquisa realizada forneceu informações que podem contribuir para a discussão de ações para melhorar o sistema atual no que diz respeito ao modelo de avaliação da aprendizagem.</w:t>
      </w:r>
    </w:p>
    <w:p w14:paraId="00000028" w14:textId="2F225F9F" w:rsidR="00E51D2F" w:rsidRPr="00BA4A54" w:rsidRDefault="00000000">
      <w:pPr>
        <w:spacing w:after="0" w:line="360" w:lineRule="auto"/>
        <w:jc w:val="both"/>
        <w:rPr>
          <w:rFonts w:ascii="Times New Roman" w:eastAsia="Times New Roman" w:hAnsi="Times New Roman" w:cs="Times New Roman"/>
          <w:b/>
          <w:sz w:val="24"/>
          <w:szCs w:val="24"/>
          <w:lang w:val="pt-BR"/>
        </w:rPr>
      </w:pPr>
      <w:r w:rsidRPr="00BA4A54">
        <w:rPr>
          <w:rFonts w:ascii="Times New Roman" w:eastAsia="Times New Roman" w:hAnsi="Times New Roman" w:cs="Times New Roman"/>
          <w:b/>
          <w:sz w:val="24"/>
          <w:szCs w:val="24"/>
          <w:lang w:val="pt-BR"/>
        </w:rPr>
        <w:t xml:space="preserve">Palavras-chave: </w:t>
      </w:r>
      <w:r w:rsidRPr="00BA4A54">
        <w:rPr>
          <w:rFonts w:ascii="Times New Roman" w:eastAsia="Times New Roman" w:hAnsi="Times New Roman" w:cs="Times New Roman"/>
          <w:sz w:val="24"/>
          <w:szCs w:val="24"/>
          <w:lang w:val="pt-BR"/>
        </w:rPr>
        <w:t>modelo de avaliação; aprendizagem; E</w:t>
      </w:r>
      <w:r w:rsidR="005D341E" w:rsidRPr="00BA4A54">
        <w:rPr>
          <w:rFonts w:ascii="Times New Roman" w:eastAsia="Times New Roman" w:hAnsi="Times New Roman" w:cs="Times New Roman"/>
          <w:sz w:val="24"/>
          <w:szCs w:val="24"/>
          <w:lang w:val="pt-BR"/>
        </w:rPr>
        <w:t xml:space="preserve">nsino Geral </w:t>
      </w:r>
      <w:r w:rsidRPr="00BA4A54">
        <w:rPr>
          <w:rFonts w:ascii="Times New Roman" w:eastAsia="Times New Roman" w:hAnsi="Times New Roman" w:cs="Times New Roman"/>
          <w:sz w:val="24"/>
          <w:szCs w:val="24"/>
          <w:lang w:val="pt-BR"/>
        </w:rPr>
        <w:t>Básic</w:t>
      </w:r>
      <w:r w:rsidR="005D341E" w:rsidRPr="00BA4A54">
        <w:rPr>
          <w:rFonts w:ascii="Times New Roman" w:eastAsia="Times New Roman" w:hAnsi="Times New Roman" w:cs="Times New Roman"/>
          <w:sz w:val="24"/>
          <w:szCs w:val="24"/>
          <w:lang w:val="pt-BR"/>
        </w:rPr>
        <w:t>a</w:t>
      </w:r>
      <w:r w:rsidRPr="00BA4A54">
        <w:rPr>
          <w:rFonts w:ascii="Times New Roman" w:eastAsia="Times New Roman" w:hAnsi="Times New Roman" w:cs="Times New Roman"/>
          <w:sz w:val="24"/>
          <w:szCs w:val="24"/>
          <w:lang w:val="pt-BR"/>
        </w:rPr>
        <w:t xml:space="preserve">; </w:t>
      </w:r>
      <w:r w:rsidR="005D341E" w:rsidRPr="00BA4A54">
        <w:rPr>
          <w:rFonts w:ascii="Times New Roman" w:eastAsia="Times New Roman" w:hAnsi="Times New Roman" w:cs="Times New Roman"/>
          <w:sz w:val="24"/>
          <w:szCs w:val="24"/>
          <w:lang w:val="pt-BR"/>
        </w:rPr>
        <w:t>professor</w:t>
      </w:r>
      <w:r w:rsidRPr="00BA4A54">
        <w:rPr>
          <w:rFonts w:ascii="Times New Roman" w:eastAsia="Times New Roman" w:hAnsi="Times New Roman" w:cs="Times New Roman"/>
          <w:sz w:val="24"/>
          <w:szCs w:val="24"/>
          <w:lang w:val="pt-BR"/>
        </w:rPr>
        <w:t>; Sistema Educativo</w:t>
      </w:r>
    </w:p>
    <w:p w14:paraId="00000029" w14:textId="77777777" w:rsidR="00E51D2F" w:rsidRPr="00BA4A54" w:rsidRDefault="00E51D2F">
      <w:pPr>
        <w:spacing w:after="0" w:line="360" w:lineRule="auto"/>
        <w:jc w:val="both"/>
        <w:rPr>
          <w:rFonts w:ascii="Times New Roman" w:eastAsia="Times New Roman" w:hAnsi="Times New Roman" w:cs="Times New Roman"/>
          <w:b/>
          <w:sz w:val="24"/>
          <w:szCs w:val="24"/>
          <w:lang w:val="pt-BR"/>
        </w:rPr>
      </w:pPr>
    </w:p>
    <w:p w14:paraId="0000002A" w14:textId="77777777" w:rsidR="00E51D2F" w:rsidRPr="00BA4A54" w:rsidRDefault="00000000">
      <w:pPr>
        <w:spacing w:after="0" w:line="360" w:lineRule="auto"/>
        <w:jc w:val="both"/>
        <w:rPr>
          <w:rFonts w:ascii="Times New Roman" w:eastAsia="Times New Roman" w:hAnsi="Times New Roman" w:cs="Times New Roman"/>
          <w:b/>
          <w:sz w:val="24"/>
          <w:szCs w:val="24"/>
        </w:rPr>
      </w:pPr>
      <w:sdt>
        <w:sdtPr>
          <w:rPr>
            <w:rFonts w:ascii="Times New Roman" w:hAnsi="Times New Roman" w:cs="Times New Roman"/>
            <w:sz w:val="24"/>
            <w:szCs w:val="24"/>
          </w:rPr>
          <w:tag w:val="goog_rdk_2"/>
          <w:id w:val="1470553784"/>
        </w:sdtPr>
        <w:sdtContent/>
      </w:sdt>
      <w:r w:rsidRPr="00BA4A54">
        <w:rPr>
          <w:rFonts w:ascii="Times New Roman" w:eastAsia="Times New Roman" w:hAnsi="Times New Roman" w:cs="Times New Roman"/>
          <w:b/>
          <w:sz w:val="24"/>
          <w:szCs w:val="24"/>
        </w:rPr>
        <w:t xml:space="preserve">Introducción </w:t>
      </w:r>
    </w:p>
    <w:p w14:paraId="0000002D" w14:textId="7DB5A245" w:rsidR="00E51D2F" w:rsidRPr="00BA4A54" w:rsidRDefault="00000000">
      <w:pPr>
        <w:tabs>
          <w:tab w:val="left" w:pos="1560"/>
        </w:tabs>
        <w:spacing w:after="0" w:line="360" w:lineRule="auto"/>
        <w:ind w:firstLine="709"/>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La evaluación de los aprendizajes en la educación es un proceso fundamental que ayuda a obtener información relevante y necesaria de los conocimientos, habilidades, destrezas y competencias adquiridas por las personas estudiantes (Moreno, 2016; Ramírez, 2009). Debe concebirse como un proceso continuo de reflexión y toma de decisiones, que propicia avances en la construcción del conocimiento (</w:t>
      </w:r>
      <w:r w:rsidR="009814DD" w:rsidRPr="00BA4A54">
        <w:rPr>
          <w:rFonts w:ascii="Times New Roman" w:eastAsia="Times New Roman" w:hAnsi="Times New Roman" w:cs="Times New Roman"/>
          <w:sz w:val="24"/>
          <w:szCs w:val="24"/>
        </w:rPr>
        <w:t>Cáceres Mesa et al., 2018</w:t>
      </w:r>
      <w:r w:rsidRPr="00BA4A54">
        <w:rPr>
          <w:rFonts w:ascii="Times New Roman" w:eastAsia="Times New Roman" w:hAnsi="Times New Roman" w:cs="Times New Roman"/>
          <w:sz w:val="24"/>
          <w:szCs w:val="24"/>
        </w:rPr>
        <w:t>). En este proceso, tanto el docente como la persona estudiante están inmersos. La persona docente propone y propicia, en congruencia con los programas de estudio y la planificación, las estrategias y experiencias de aprendizaje, con el propósito de que el estudiante pueda demostrar de forma progresiva los logros tanto en la construcción del conocimiento como en su accionar (Ahumada, 2001).</w:t>
      </w:r>
    </w:p>
    <w:p w14:paraId="0000002E" w14:textId="42396B6D" w:rsidR="00E51D2F" w:rsidRPr="00BA4A54" w:rsidRDefault="00000000">
      <w:pPr>
        <w:tabs>
          <w:tab w:val="left" w:pos="1560"/>
        </w:tabs>
        <w:spacing w:after="0" w:line="360" w:lineRule="auto"/>
        <w:ind w:firstLine="709"/>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Al ser un proceso continuo de recopilación de información cualitativa y cuantitativa, (M</w:t>
      </w:r>
      <w:r w:rsidR="00454430" w:rsidRPr="00BA4A54">
        <w:rPr>
          <w:rFonts w:ascii="Times New Roman" w:eastAsia="Times New Roman" w:hAnsi="Times New Roman" w:cs="Times New Roman"/>
          <w:sz w:val="24"/>
          <w:szCs w:val="24"/>
        </w:rPr>
        <w:t>inisterio de Educación Pública [M</w:t>
      </w:r>
      <w:r w:rsidRPr="00BA4A54">
        <w:rPr>
          <w:rFonts w:ascii="Times New Roman" w:eastAsia="Times New Roman" w:hAnsi="Times New Roman" w:cs="Times New Roman"/>
          <w:sz w:val="24"/>
          <w:szCs w:val="24"/>
        </w:rPr>
        <w:t>EP</w:t>
      </w:r>
      <w:r w:rsidR="00454430"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 xml:space="preserve">, 2023), es necesario emplear diversos métodos de evaluación que sean adecuados para cada objetivo de aprendizaje y que permitan evaluar </w:t>
      </w:r>
      <w:r w:rsidRPr="00BA4A54">
        <w:rPr>
          <w:rFonts w:ascii="Times New Roman" w:eastAsia="Times New Roman" w:hAnsi="Times New Roman" w:cs="Times New Roman"/>
          <w:sz w:val="24"/>
          <w:szCs w:val="24"/>
        </w:rPr>
        <w:lastRenderedPageBreak/>
        <w:t>diferentes habilidades y conocimiento</w:t>
      </w:r>
      <w:r w:rsidR="008D6E34" w:rsidRPr="00BA4A54">
        <w:rPr>
          <w:rFonts w:ascii="Times New Roman" w:eastAsia="Times New Roman" w:hAnsi="Times New Roman" w:cs="Times New Roman"/>
          <w:sz w:val="24"/>
          <w:szCs w:val="24"/>
        </w:rPr>
        <w:t>s</w:t>
      </w:r>
      <w:r w:rsidRPr="00BA4A54">
        <w:rPr>
          <w:rFonts w:ascii="Times New Roman" w:eastAsia="Times New Roman" w:hAnsi="Times New Roman" w:cs="Times New Roman"/>
          <w:sz w:val="24"/>
          <w:szCs w:val="24"/>
        </w:rPr>
        <w:t xml:space="preserve">. La evaluación </w:t>
      </w:r>
      <w:r w:rsidR="008D6E34" w:rsidRPr="00BA4A54">
        <w:rPr>
          <w:rFonts w:ascii="Times New Roman" w:eastAsia="Times New Roman" w:hAnsi="Times New Roman" w:cs="Times New Roman"/>
          <w:sz w:val="24"/>
          <w:szCs w:val="24"/>
        </w:rPr>
        <w:t xml:space="preserve">también </w:t>
      </w:r>
      <w:r w:rsidRPr="00BA4A54">
        <w:rPr>
          <w:rFonts w:ascii="Times New Roman" w:eastAsia="Times New Roman" w:hAnsi="Times New Roman" w:cs="Times New Roman"/>
          <w:sz w:val="24"/>
          <w:szCs w:val="24"/>
        </w:rPr>
        <w:t xml:space="preserve">implica una variedad de técnicas y herramientas que permiten recabar información objetiva y precisa sobre los logros alcanzados por </w:t>
      </w:r>
      <w:r w:rsidR="00454430" w:rsidRPr="00BA4A54">
        <w:rPr>
          <w:rFonts w:ascii="Times New Roman" w:eastAsia="Times New Roman" w:hAnsi="Times New Roman" w:cs="Times New Roman"/>
          <w:sz w:val="24"/>
          <w:szCs w:val="24"/>
        </w:rPr>
        <w:t>el estudiantado</w:t>
      </w:r>
      <w:r w:rsidRPr="00BA4A54">
        <w:rPr>
          <w:rFonts w:ascii="Times New Roman" w:eastAsia="Times New Roman" w:hAnsi="Times New Roman" w:cs="Times New Roman"/>
          <w:sz w:val="24"/>
          <w:szCs w:val="24"/>
        </w:rPr>
        <w:t xml:space="preserve"> (Moreno, 2016). Entre las técnicas </w:t>
      </w:r>
      <w:r w:rsidR="00454430" w:rsidRPr="00BA4A54">
        <w:rPr>
          <w:rFonts w:ascii="Times New Roman" w:eastAsia="Times New Roman" w:hAnsi="Times New Roman" w:cs="Times New Roman"/>
          <w:sz w:val="24"/>
          <w:szCs w:val="24"/>
        </w:rPr>
        <w:t>usualmente utilizadas</w:t>
      </w:r>
      <w:r w:rsidRPr="00BA4A54">
        <w:rPr>
          <w:rFonts w:ascii="Times New Roman" w:eastAsia="Times New Roman" w:hAnsi="Times New Roman" w:cs="Times New Roman"/>
          <w:sz w:val="24"/>
          <w:szCs w:val="24"/>
        </w:rPr>
        <w:t xml:space="preserve"> se encuentran las pruebas escritas, las observaciones en el aula, los trabajos prácticos o cotidianos, las tareas y</w:t>
      </w:r>
      <w:r w:rsidR="00454430"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 xml:space="preserve"> en algunos caso</w:t>
      </w:r>
      <w:r w:rsidR="00454430"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s los proyectos de investigación (MEP, 2024</w:t>
      </w:r>
      <w:r w:rsidR="00893A84" w:rsidRPr="00BA4A54">
        <w:rPr>
          <w:rFonts w:ascii="Times New Roman" w:eastAsia="Times New Roman" w:hAnsi="Times New Roman" w:cs="Times New Roman"/>
          <w:sz w:val="24"/>
          <w:szCs w:val="24"/>
        </w:rPr>
        <w:t>; Sánchez Mendiola, 2018</w:t>
      </w:r>
      <w:r w:rsidRPr="00BA4A54">
        <w:rPr>
          <w:rFonts w:ascii="Times New Roman" w:eastAsia="Times New Roman" w:hAnsi="Times New Roman" w:cs="Times New Roman"/>
          <w:sz w:val="24"/>
          <w:szCs w:val="24"/>
        </w:rPr>
        <w:t>).</w:t>
      </w:r>
    </w:p>
    <w:p w14:paraId="0000002F" w14:textId="578A2E20" w:rsidR="00E51D2F" w:rsidRPr="00BA4A54" w:rsidRDefault="00000000" w:rsidP="00860629">
      <w:pPr>
        <w:tabs>
          <w:tab w:val="left" w:pos="1560"/>
        </w:tabs>
        <w:spacing w:after="0" w:line="360" w:lineRule="auto"/>
        <w:ind w:firstLine="709"/>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A través de la evaluación, las personas docentes pueden identificar los avances y dificultades, así como adaptar sus estrategias de aprendizaje para mejorar los procesos</w:t>
      </w:r>
      <w:r w:rsidR="00454430" w:rsidRPr="00BA4A54">
        <w:rPr>
          <w:rFonts w:ascii="Times New Roman" w:eastAsia="Times New Roman" w:hAnsi="Times New Roman" w:cs="Times New Roman"/>
          <w:sz w:val="24"/>
          <w:szCs w:val="24"/>
        </w:rPr>
        <w:t xml:space="preserve"> de adquisición de conocimiento</w:t>
      </w:r>
      <w:r w:rsidRPr="00BA4A54">
        <w:rPr>
          <w:rFonts w:ascii="Times New Roman" w:eastAsia="Times New Roman" w:hAnsi="Times New Roman" w:cs="Times New Roman"/>
          <w:sz w:val="24"/>
          <w:szCs w:val="24"/>
        </w:rPr>
        <w:t>. También permite formular acciones de reorientación de la planificación desarrollada, realimentar y acompañar al estudiantado, según sus características e intereses, de manera tal que logren vivenciar procesos de autorreflexión en torno a la construcción de sus conocimientos</w:t>
      </w:r>
      <w:r w:rsidR="00860629" w:rsidRPr="00BA4A54">
        <w:rPr>
          <w:rFonts w:ascii="Times New Roman" w:eastAsia="Times New Roman" w:hAnsi="Times New Roman" w:cs="Times New Roman"/>
          <w:sz w:val="24"/>
          <w:szCs w:val="24"/>
        </w:rPr>
        <w:t xml:space="preserve"> (Cáceres Mesa et al., 2018). </w:t>
      </w:r>
      <w:r w:rsidRPr="00BA4A54">
        <w:rPr>
          <w:rFonts w:ascii="Times New Roman" w:eastAsia="Times New Roman" w:hAnsi="Times New Roman" w:cs="Times New Roman"/>
          <w:sz w:val="24"/>
          <w:szCs w:val="24"/>
        </w:rPr>
        <w:t xml:space="preserve">La evaluación de los aprendizajes no es un proceso aislado, sino que está estrechamente relacionada con el currículo y los objetivos de aprendizaje establecidos, </w:t>
      </w:r>
      <w:r w:rsidR="009814DD" w:rsidRPr="00BA4A54">
        <w:rPr>
          <w:rFonts w:ascii="Times New Roman" w:eastAsia="Times New Roman" w:hAnsi="Times New Roman" w:cs="Times New Roman"/>
          <w:sz w:val="24"/>
          <w:szCs w:val="24"/>
        </w:rPr>
        <w:t xml:space="preserve">y, por lo tanto, posibilita </w:t>
      </w:r>
      <w:r w:rsidRPr="00BA4A54">
        <w:rPr>
          <w:rFonts w:ascii="Times New Roman" w:eastAsia="Times New Roman" w:hAnsi="Times New Roman" w:cs="Times New Roman"/>
          <w:sz w:val="24"/>
          <w:szCs w:val="24"/>
        </w:rPr>
        <w:t>medir el grado de cumplimiento de los objetivos y la calidad del proceso educativo.</w:t>
      </w:r>
    </w:p>
    <w:p w14:paraId="00000030" w14:textId="409CB7BA" w:rsidR="00E51D2F" w:rsidRPr="00BA4A54" w:rsidRDefault="00000000">
      <w:pPr>
        <w:spacing w:after="0" w:line="360" w:lineRule="auto"/>
        <w:ind w:firstLine="709"/>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La evaluación no solo se debe centrar en la calificación de los estudiantes. Hay una necesidad de valorar los progresos constructivos que realiza</w:t>
      </w:r>
      <w:r w:rsidR="00454430" w:rsidRPr="00BA4A54">
        <w:rPr>
          <w:rFonts w:ascii="Times New Roman" w:eastAsia="Times New Roman" w:hAnsi="Times New Roman" w:cs="Times New Roman"/>
          <w:sz w:val="24"/>
          <w:szCs w:val="24"/>
        </w:rPr>
        <w:t xml:space="preserve"> el estudiantado en </w:t>
      </w:r>
      <w:r w:rsidRPr="00BA4A54">
        <w:rPr>
          <w:rFonts w:ascii="Times New Roman" w:eastAsia="Times New Roman" w:hAnsi="Times New Roman" w:cs="Times New Roman"/>
          <w:sz w:val="24"/>
          <w:szCs w:val="24"/>
        </w:rPr>
        <w:t xml:space="preserve">el espacio pedagógico. En este sentido, las personas docentes son las encargadas de ayudar a crear herramientas para que </w:t>
      </w:r>
      <w:r w:rsidR="00454430" w:rsidRPr="00BA4A54">
        <w:rPr>
          <w:rFonts w:ascii="Times New Roman" w:eastAsia="Times New Roman" w:hAnsi="Times New Roman" w:cs="Times New Roman"/>
          <w:sz w:val="24"/>
          <w:szCs w:val="24"/>
        </w:rPr>
        <w:t xml:space="preserve">las personas estudiantes se </w:t>
      </w:r>
      <w:r w:rsidRPr="00BA4A54">
        <w:rPr>
          <w:rFonts w:ascii="Times New Roman" w:eastAsia="Times New Roman" w:hAnsi="Times New Roman" w:cs="Times New Roman"/>
          <w:sz w:val="24"/>
          <w:szCs w:val="24"/>
        </w:rPr>
        <w:t>sientan segur</w:t>
      </w:r>
      <w:r w:rsidR="00454430" w:rsidRPr="00BA4A54">
        <w:rPr>
          <w:rFonts w:ascii="Times New Roman" w:eastAsia="Times New Roman" w:hAnsi="Times New Roman" w:cs="Times New Roman"/>
          <w:sz w:val="24"/>
          <w:szCs w:val="24"/>
        </w:rPr>
        <w:t>a</w:t>
      </w:r>
      <w:r w:rsidRPr="00BA4A54">
        <w:rPr>
          <w:rFonts w:ascii="Times New Roman" w:eastAsia="Times New Roman" w:hAnsi="Times New Roman" w:cs="Times New Roman"/>
          <w:sz w:val="24"/>
          <w:szCs w:val="24"/>
        </w:rPr>
        <w:t>s con el aprendizaje</w:t>
      </w:r>
      <w:r w:rsidR="00454430" w:rsidRPr="00BA4A54">
        <w:rPr>
          <w:rFonts w:ascii="Times New Roman" w:eastAsia="Times New Roman" w:hAnsi="Times New Roman" w:cs="Times New Roman"/>
          <w:sz w:val="24"/>
          <w:szCs w:val="24"/>
        </w:rPr>
        <w:t xml:space="preserve">. Más </w:t>
      </w:r>
      <w:r w:rsidRPr="00BA4A54">
        <w:rPr>
          <w:rFonts w:ascii="Times New Roman" w:eastAsia="Times New Roman" w:hAnsi="Times New Roman" w:cs="Times New Roman"/>
          <w:sz w:val="24"/>
          <w:szCs w:val="24"/>
        </w:rPr>
        <w:t xml:space="preserve">que calificar, </w:t>
      </w:r>
      <w:r w:rsidR="00454430" w:rsidRPr="00BA4A54">
        <w:rPr>
          <w:rFonts w:ascii="Times New Roman" w:eastAsia="Times New Roman" w:hAnsi="Times New Roman" w:cs="Times New Roman"/>
          <w:sz w:val="24"/>
          <w:szCs w:val="24"/>
        </w:rPr>
        <w:t xml:space="preserve">es importante </w:t>
      </w:r>
      <w:r w:rsidRPr="00BA4A54">
        <w:rPr>
          <w:rFonts w:ascii="Times New Roman" w:eastAsia="Times New Roman" w:hAnsi="Times New Roman" w:cs="Times New Roman"/>
          <w:sz w:val="24"/>
          <w:szCs w:val="24"/>
        </w:rPr>
        <w:t xml:space="preserve">asegurar que exista una comprensión del conocimiento y que esté sea </w:t>
      </w:r>
      <w:r w:rsidR="00F00DE1" w:rsidRPr="00BA4A54">
        <w:rPr>
          <w:rFonts w:ascii="Times New Roman" w:eastAsia="Times New Roman" w:hAnsi="Times New Roman" w:cs="Times New Roman"/>
          <w:sz w:val="24"/>
          <w:szCs w:val="24"/>
        </w:rPr>
        <w:t>significativo,</w:t>
      </w:r>
      <w:r w:rsidRPr="00BA4A54">
        <w:rPr>
          <w:rFonts w:ascii="Times New Roman" w:eastAsia="Times New Roman" w:hAnsi="Times New Roman" w:cs="Times New Roman"/>
          <w:sz w:val="24"/>
          <w:szCs w:val="24"/>
        </w:rPr>
        <w:t xml:space="preserve"> así como consciente y perdurable. Este aprendizaje significativo busca centrarse más en el proceso que en el producto (</w:t>
      </w:r>
      <w:r w:rsidR="00A044D1" w:rsidRPr="00BA4A54">
        <w:rPr>
          <w:rFonts w:ascii="Times New Roman" w:hAnsi="Times New Roman" w:cs="Times New Roman"/>
          <w:color w:val="111111"/>
          <w:sz w:val="24"/>
          <w:szCs w:val="24"/>
          <w:shd w:val="clear" w:color="auto" w:fill="FBFBF3"/>
        </w:rPr>
        <w:t>Baque-Reyes &amp; Portilla-Faican</w:t>
      </w:r>
      <w:r w:rsidR="00A044D1" w:rsidRPr="00BA4A54">
        <w:rPr>
          <w:rFonts w:ascii="Times New Roman" w:eastAsia="Times New Roman" w:hAnsi="Times New Roman" w:cs="Times New Roman"/>
          <w:sz w:val="24"/>
          <w:szCs w:val="24"/>
        </w:rPr>
        <w:t>, 2021</w:t>
      </w:r>
      <w:r w:rsidRPr="00BA4A54">
        <w:rPr>
          <w:rFonts w:ascii="Times New Roman" w:eastAsia="Times New Roman" w:hAnsi="Times New Roman" w:cs="Times New Roman"/>
          <w:sz w:val="24"/>
          <w:szCs w:val="24"/>
        </w:rPr>
        <w:t>).</w:t>
      </w:r>
    </w:p>
    <w:p w14:paraId="00000031" w14:textId="309C6BF7" w:rsidR="00E51D2F" w:rsidRPr="00BA4A54" w:rsidRDefault="00000000">
      <w:pPr>
        <w:spacing w:after="0" w:line="360" w:lineRule="auto"/>
        <w:ind w:firstLine="708"/>
        <w:jc w:val="both"/>
        <w:rPr>
          <w:rFonts w:ascii="Times New Roman" w:eastAsia="Times New Roman" w:hAnsi="Times New Roman" w:cs="Times New Roman"/>
          <w:strike/>
          <w:sz w:val="24"/>
          <w:szCs w:val="24"/>
        </w:rPr>
      </w:pPr>
      <w:r w:rsidRPr="00BA4A54">
        <w:rPr>
          <w:rFonts w:ascii="Times New Roman" w:eastAsia="Times New Roman" w:hAnsi="Times New Roman" w:cs="Times New Roman"/>
          <w:sz w:val="24"/>
          <w:szCs w:val="24"/>
        </w:rPr>
        <w:t xml:space="preserve">Con la finalidad de que la evaluación contribuya a la construcción de los procesos de aprendizaje, ésta debe realizarse desde una visión integradora, justa, equitativa y objetiva, evitando cualquier tipo de discriminación o sesgo. Es decir, los criterios de evaluación deben ser claros y comunicados de manera transparente al estudiantado, de modo que puedan comprender qué se espera de ellos y cómo serán evaluados (Fernández, 2017). </w:t>
      </w:r>
      <w:r w:rsidR="00F00DE1" w:rsidRPr="00BA4A54">
        <w:rPr>
          <w:rFonts w:ascii="Times New Roman" w:eastAsia="Times New Roman" w:hAnsi="Times New Roman" w:cs="Times New Roman"/>
          <w:sz w:val="24"/>
          <w:szCs w:val="24"/>
        </w:rPr>
        <w:t>L</w:t>
      </w:r>
      <w:r w:rsidRPr="00BA4A54">
        <w:rPr>
          <w:rFonts w:ascii="Times New Roman" w:eastAsia="Times New Roman" w:hAnsi="Times New Roman" w:cs="Times New Roman"/>
          <w:sz w:val="24"/>
          <w:szCs w:val="24"/>
        </w:rPr>
        <w:t>a evaluación</w:t>
      </w:r>
      <w:r w:rsidR="00454430" w:rsidRPr="00BA4A54">
        <w:rPr>
          <w:rFonts w:ascii="Times New Roman" w:eastAsia="Times New Roman" w:hAnsi="Times New Roman" w:cs="Times New Roman"/>
          <w:sz w:val="24"/>
          <w:szCs w:val="24"/>
        </w:rPr>
        <w:t xml:space="preserve"> también debe ser entendida </w:t>
      </w:r>
      <w:r w:rsidRPr="00BA4A54">
        <w:rPr>
          <w:rFonts w:ascii="Times New Roman" w:eastAsia="Times New Roman" w:hAnsi="Times New Roman" w:cs="Times New Roman"/>
          <w:sz w:val="24"/>
          <w:szCs w:val="24"/>
        </w:rPr>
        <w:t xml:space="preserve">como un proceso de retroalimentación que permite medir el progreso y la mejora continua (Fernández, 2017). La realimentación de los aprendizajes posibilita que el estudiantado tenga mayor conocimiento sobre sus fortalezas y áreas de mejora, permitiéndoles reflexionar sobre su propio desempeño y realizar ajustes necesarios </w:t>
      </w:r>
      <w:r w:rsidRPr="00BA4A54">
        <w:rPr>
          <w:rFonts w:ascii="Times New Roman" w:eastAsia="Times New Roman" w:hAnsi="Times New Roman" w:cs="Times New Roman"/>
          <w:sz w:val="24"/>
          <w:szCs w:val="24"/>
        </w:rPr>
        <w:lastRenderedPageBreak/>
        <w:t xml:space="preserve">para alcanzar un mayor nivel de aprendizaje (Canabal </w:t>
      </w:r>
      <w:r w:rsidR="00450C4B" w:rsidRPr="00BA4A54">
        <w:rPr>
          <w:rFonts w:ascii="Times New Roman" w:eastAsia="Times New Roman" w:hAnsi="Times New Roman" w:cs="Times New Roman"/>
          <w:sz w:val="24"/>
          <w:szCs w:val="24"/>
        </w:rPr>
        <w:t>&amp;</w:t>
      </w:r>
      <w:r w:rsidRPr="00BA4A54">
        <w:rPr>
          <w:rFonts w:ascii="Times New Roman" w:eastAsia="Times New Roman" w:hAnsi="Times New Roman" w:cs="Times New Roman"/>
          <w:sz w:val="24"/>
          <w:szCs w:val="24"/>
        </w:rPr>
        <w:t xml:space="preserve"> Margalef, 2017; </w:t>
      </w:r>
      <w:r w:rsidR="00450C4B" w:rsidRPr="00BA4A54">
        <w:rPr>
          <w:rFonts w:ascii="Times New Roman" w:eastAsia="Times New Roman" w:hAnsi="Times New Roman" w:cs="Times New Roman"/>
          <w:sz w:val="24"/>
          <w:szCs w:val="24"/>
        </w:rPr>
        <w:t>Castro Larroule &amp; Moraga Tononi</w:t>
      </w:r>
      <w:r w:rsidRPr="00BA4A54">
        <w:rPr>
          <w:rFonts w:ascii="Times New Roman" w:eastAsia="Times New Roman" w:hAnsi="Times New Roman" w:cs="Times New Roman"/>
          <w:sz w:val="24"/>
          <w:szCs w:val="24"/>
        </w:rPr>
        <w:t>, 2020).</w:t>
      </w:r>
      <w:r w:rsidR="00F00DE1" w:rsidRPr="00BA4A54">
        <w:rPr>
          <w:rFonts w:ascii="Times New Roman" w:eastAsia="Times New Roman" w:hAnsi="Times New Roman" w:cs="Times New Roman"/>
          <w:sz w:val="24"/>
          <w:szCs w:val="24"/>
        </w:rPr>
        <w:t xml:space="preserve"> </w:t>
      </w:r>
      <w:r w:rsidR="00454430" w:rsidRPr="00BA4A54">
        <w:rPr>
          <w:rFonts w:ascii="Times New Roman" w:eastAsia="Times New Roman" w:hAnsi="Times New Roman" w:cs="Times New Roman"/>
          <w:sz w:val="24"/>
          <w:szCs w:val="24"/>
        </w:rPr>
        <w:t>Siendo p</w:t>
      </w:r>
      <w:r w:rsidR="00F00DE1" w:rsidRPr="00BA4A54">
        <w:rPr>
          <w:rFonts w:ascii="Times New Roman" w:eastAsia="Times New Roman" w:hAnsi="Times New Roman" w:cs="Times New Roman"/>
          <w:sz w:val="24"/>
          <w:szCs w:val="24"/>
        </w:rPr>
        <w:t>arte de la evaluación formativa y asociada con el logro de aprendizaje</w:t>
      </w:r>
      <w:r w:rsidR="00454430" w:rsidRPr="00BA4A54">
        <w:rPr>
          <w:rFonts w:ascii="Times New Roman" w:eastAsia="Times New Roman" w:hAnsi="Times New Roman" w:cs="Times New Roman"/>
          <w:sz w:val="24"/>
          <w:szCs w:val="24"/>
        </w:rPr>
        <w:t xml:space="preserve">, la retroalimentación </w:t>
      </w:r>
      <w:r w:rsidR="00F00DE1" w:rsidRPr="00BA4A54">
        <w:rPr>
          <w:rFonts w:ascii="Times New Roman" w:eastAsia="Times New Roman" w:hAnsi="Times New Roman" w:cs="Times New Roman"/>
          <w:sz w:val="24"/>
          <w:szCs w:val="24"/>
        </w:rPr>
        <w:t>debe ser entregad</w:t>
      </w:r>
      <w:r w:rsidR="00454430" w:rsidRPr="00BA4A54">
        <w:rPr>
          <w:rFonts w:ascii="Times New Roman" w:eastAsia="Times New Roman" w:hAnsi="Times New Roman" w:cs="Times New Roman"/>
          <w:sz w:val="24"/>
          <w:szCs w:val="24"/>
        </w:rPr>
        <w:t>a</w:t>
      </w:r>
      <w:r w:rsidR="00F00DE1" w:rsidRPr="00BA4A54">
        <w:rPr>
          <w:rFonts w:ascii="Times New Roman" w:eastAsia="Times New Roman" w:hAnsi="Times New Roman" w:cs="Times New Roman"/>
          <w:sz w:val="24"/>
          <w:szCs w:val="24"/>
        </w:rPr>
        <w:t xml:space="preserve"> en el tiempo adecuado y servir de apoyo para el docente y para sus estudiantes (Mollo Flores et al., 2022).</w:t>
      </w:r>
      <w:r w:rsidR="00F00DE1" w:rsidRPr="00BA4A54">
        <w:rPr>
          <w:rFonts w:ascii="Times New Roman" w:hAnsi="Times New Roman" w:cs="Times New Roman"/>
          <w:color w:val="000000"/>
          <w:sz w:val="24"/>
          <w:szCs w:val="24"/>
        </w:rPr>
        <w:t xml:space="preserve">  </w:t>
      </w:r>
    </w:p>
    <w:p w14:paraId="00000032" w14:textId="77777777" w:rsidR="00E51D2F" w:rsidRPr="00BA4A54" w:rsidRDefault="00E51D2F">
      <w:pPr>
        <w:pBdr>
          <w:top w:val="nil"/>
          <w:left w:val="nil"/>
          <w:bottom w:val="nil"/>
          <w:right w:val="nil"/>
          <w:between w:val="nil"/>
        </w:pBdr>
        <w:spacing w:after="0" w:line="360" w:lineRule="auto"/>
        <w:ind w:firstLine="709"/>
        <w:jc w:val="both"/>
        <w:rPr>
          <w:rFonts w:ascii="Times New Roman" w:eastAsia="Times New Roman" w:hAnsi="Times New Roman" w:cs="Times New Roman"/>
          <w:sz w:val="24"/>
          <w:szCs w:val="24"/>
        </w:rPr>
      </w:pPr>
    </w:p>
    <w:p w14:paraId="00000033" w14:textId="77777777" w:rsidR="00E51D2F" w:rsidRPr="00BA4A54" w:rsidRDefault="00000000">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sidRPr="00BA4A54">
        <w:rPr>
          <w:rFonts w:ascii="Times New Roman" w:eastAsia="Times New Roman" w:hAnsi="Times New Roman" w:cs="Times New Roman"/>
          <w:b/>
          <w:sz w:val="24"/>
          <w:szCs w:val="24"/>
        </w:rPr>
        <w:t xml:space="preserve">Estado de la cuestión </w:t>
      </w:r>
    </w:p>
    <w:p w14:paraId="00000034" w14:textId="77777777" w:rsidR="00E51D2F" w:rsidRPr="00BA4A54" w:rsidRDefault="00000000">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 xml:space="preserve">Históricamente, el Sistema Educativo de Costa Rica ha tenido una cultura de evaluación de los aprendizajes desde un enfoque más sumativo. Sin embargo, con la nueva Política de Transformación Curricular se inició un proceso de cambio hacia una evaluación más formativa y transformadora. Dicha política, también contempla en su línea de trabajo 11 generar “Evaluación de calidad que sustente la toma de decisiones para mejorar los procesos de enseñanza y aprendizaje” (MEP, 2016). </w:t>
      </w:r>
    </w:p>
    <w:p w14:paraId="00000035" w14:textId="77777777" w:rsidR="00E51D2F" w:rsidRPr="00BA4A54" w:rsidRDefault="00000000">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 xml:space="preserve">Aunado a lo anterior, el Gobierno actual propuso una </w:t>
      </w:r>
      <w:r w:rsidRPr="00BA4A54">
        <w:rPr>
          <w:rFonts w:ascii="Times New Roman" w:eastAsia="Times New Roman" w:hAnsi="Times New Roman" w:cs="Times New Roman"/>
          <w:sz w:val="24"/>
          <w:szCs w:val="24"/>
        </w:rPr>
        <w:t>R</w:t>
      </w:r>
      <w:r w:rsidRPr="00BA4A54">
        <w:rPr>
          <w:rFonts w:ascii="Times New Roman" w:eastAsia="Times New Roman" w:hAnsi="Times New Roman" w:cs="Times New Roman"/>
          <w:color w:val="000000"/>
          <w:sz w:val="24"/>
          <w:szCs w:val="24"/>
        </w:rPr>
        <w:t>uta de la Educación donde uno de sus componentes es la</w:t>
      </w:r>
      <w:r w:rsidRPr="00BA4A54">
        <w:rPr>
          <w:rFonts w:ascii="Times New Roman" w:eastAsia="Times New Roman" w:hAnsi="Times New Roman" w:cs="Times New Roman"/>
          <w:sz w:val="24"/>
          <w:szCs w:val="24"/>
        </w:rPr>
        <w:t xml:space="preserve"> r</w:t>
      </w:r>
      <w:r w:rsidRPr="00BA4A54">
        <w:rPr>
          <w:rFonts w:ascii="Times New Roman" w:eastAsia="Times New Roman" w:hAnsi="Times New Roman" w:cs="Times New Roman"/>
          <w:color w:val="000000"/>
          <w:sz w:val="24"/>
          <w:szCs w:val="24"/>
        </w:rPr>
        <w:t>enovación del sistema de evaluación para el mejoramiento continuo (MEP, 2023). Tal propuesta se puede evidencia</w:t>
      </w:r>
      <w:r w:rsidRPr="00BA4A54">
        <w:rPr>
          <w:rFonts w:ascii="Times New Roman" w:eastAsia="Times New Roman" w:hAnsi="Times New Roman" w:cs="Times New Roman"/>
          <w:sz w:val="24"/>
          <w:szCs w:val="24"/>
        </w:rPr>
        <w:t>r</w:t>
      </w:r>
      <w:r w:rsidRPr="00BA4A54">
        <w:rPr>
          <w:rFonts w:ascii="Times New Roman" w:eastAsia="Times New Roman" w:hAnsi="Times New Roman" w:cs="Times New Roman"/>
          <w:color w:val="000000"/>
          <w:sz w:val="24"/>
          <w:szCs w:val="24"/>
        </w:rPr>
        <w:t xml:space="preserve"> en la transformación de la nueva política curricular, ya que dentro de los retos para educar para una nueva ciudadanía obliga a “poner a cada estudiante como centro del quehacer educativo</w:t>
      </w:r>
      <w:r w:rsidRPr="00BA4A54">
        <w:rPr>
          <w:rFonts w:ascii="Times New Roman" w:eastAsia="Times New Roman" w:hAnsi="Times New Roman" w:cs="Times New Roman"/>
          <w:b/>
          <w:color w:val="000000"/>
          <w:sz w:val="24"/>
          <w:szCs w:val="24"/>
        </w:rPr>
        <w:t xml:space="preserve"> </w:t>
      </w:r>
      <w:r w:rsidRPr="00BA4A54">
        <w:rPr>
          <w:rFonts w:ascii="Times New Roman" w:eastAsia="Times New Roman" w:hAnsi="Times New Roman" w:cs="Times New Roman"/>
          <w:color w:val="000000"/>
          <w:sz w:val="24"/>
          <w:szCs w:val="24"/>
        </w:rPr>
        <w:t xml:space="preserve">y a asumir abordajes pedagógicos novedosos que propicien un desarrollo, al máximo, de los potenciales de cada estudiante” (MEP, 2016, p. 25) y por ende impacta en los procesos de evaluación al concebirla como formativa y transformadora. </w:t>
      </w:r>
    </w:p>
    <w:p w14:paraId="00000036" w14:textId="0A770687" w:rsidR="00E51D2F" w:rsidRPr="00BA4A54" w:rsidRDefault="00000000">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El sistema de evaluación del MEP en Costa Rica, se divide en dos periodos lectivos que van desde la Educación Preescolar, la Educación General Básica como en la Educación Diversificada en todas sus modalidades. En preescolar el sistema de evaluación es 100% formativo,</w:t>
      </w:r>
      <w:r w:rsidRPr="00BA4A54">
        <w:rPr>
          <w:rFonts w:ascii="Times New Roman" w:eastAsia="Times New Roman" w:hAnsi="Times New Roman" w:cs="Times New Roman"/>
          <w:sz w:val="24"/>
          <w:szCs w:val="24"/>
        </w:rPr>
        <w:t xml:space="preserve"> contempla </w:t>
      </w:r>
      <w:r w:rsidRPr="00BA4A54">
        <w:rPr>
          <w:rFonts w:ascii="Times New Roman" w:eastAsia="Times New Roman" w:hAnsi="Times New Roman" w:cs="Times New Roman"/>
          <w:color w:val="000000"/>
          <w:sz w:val="24"/>
          <w:szCs w:val="24"/>
        </w:rPr>
        <w:t>un periodo diagnóstico (febrero y marzo) y dos periodos evaluativos (primer peri</w:t>
      </w:r>
      <w:r w:rsidRPr="00BA4A54">
        <w:rPr>
          <w:rFonts w:ascii="Times New Roman" w:eastAsia="Times New Roman" w:hAnsi="Times New Roman" w:cs="Times New Roman"/>
          <w:sz w:val="24"/>
          <w:szCs w:val="24"/>
        </w:rPr>
        <w:t xml:space="preserve">odo desde </w:t>
      </w:r>
      <w:r w:rsidRPr="00BA4A54">
        <w:rPr>
          <w:rFonts w:ascii="Times New Roman" w:eastAsia="Times New Roman" w:hAnsi="Times New Roman" w:cs="Times New Roman"/>
          <w:color w:val="000000"/>
          <w:sz w:val="24"/>
          <w:szCs w:val="24"/>
        </w:rPr>
        <w:t>abril</w:t>
      </w:r>
      <w:r w:rsidRPr="00BA4A54">
        <w:rPr>
          <w:rFonts w:ascii="Times New Roman" w:eastAsia="Times New Roman" w:hAnsi="Times New Roman" w:cs="Times New Roman"/>
          <w:sz w:val="24"/>
          <w:szCs w:val="24"/>
        </w:rPr>
        <w:t xml:space="preserve"> a</w:t>
      </w:r>
      <w:r w:rsidRPr="00BA4A54">
        <w:rPr>
          <w:rFonts w:ascii="Times New Roman" w:eastAsia="Times New Roman" w:hAnsi="Times New Roman" w:cs="Times New Roman"/>
          <w:color w:val="000000"/>
          <w:sz w:val="24"/>
          <w:szCs w:val="24"/>
        </w:rPr>
        <w:t xml:space="preserve"> j</w:t>
      </w:r>
      <w:r w:rsidRPr="00BA4A54">
        <w:rPr>
          <w:rFonts w:ascii="Times New Roman" w:eastAsia="Times New Roman" w:hAnsi="Times New Roman" w:cs="Times New Roman"/>
          <w:sz w:val="24"/>
          <w:szCs w:val="24"/>
        </w:rPr>
        <w:t>ulio y el segundo periodo de agosto a diciembre)</w:t>
      </w:r>
      <w:r w:rsidRPr="00BA4A54">
        <w:rPr>
          <w:rFonts w:ascii="Times New Roman" w:eastAsia="Times New Roman" w:hAnsi="Times New Roman" w:cs="Times New Roman"/>
          <w:color w:val="000000"/>
          <w:sz w:val="24"/>
          <w:szCs w:val="24"/>
        </w:rPr>
        <w:t>. P</w:t>
      </w:r>
      <w:r w:rsidRPr="00BA4A54">
        <w:rPr>
          <w:rFonts w:ascii="Times New Roman" w:eastAsia="Times New Roman" w:hAnsi="Times New Roman" w:cs="Times New Roman"/>
          <w:sz w:val="24"/>
          <w:szCs w:val="24"/>
        </w:rPr>
        <w:t>or</w:t>
      </w:r>
      <w:r w:rsidRPr="00BA4A54">
        <w:rPr>
          <w:rFonts w:ascii="Times New Roman" w:eastAsia="Times New Roman" w:hAnsi="Times New Roman" w:cs="Times New Roman"/>
          <w:color w:val="000000"/>
          <w:sz w:val="24"/>
          <w:szCs w:val="24"/>
        </w:rPr>
        <w:t xml:space="preserve"> lo tanto, se evalúan a</w:t>
      </w:r>
      <w:r w:rsidR="006A578D" w:rsidRPr="00BA4A54">
        <w:rPr>
          <w:rFonts w:ascii="Times New Roman" w:eastAsia="Times New Roman" w:hAnsi="Times New Roman" w:cs="Times New Roman"/>
          <w:color w:val="000000"/>
          <w:sz w:val="24"/>
          <w:szCs w:val="24"/>
        </w:rPr>
        <w:t xml:space="preserve">l estudiantado </w:t>
      </w:r>
      <w:r w:rsidRPr="00BA4A54">
        <w:rPr>
          <w:rFonts w:ascii="Times New Roman" w:eastAsia="Times New Roman" w:hAnsi="Times New Roman" w:cs="Times New Roman"/>
          <w:color w:val="000000"/>
          <w:sz w:val="24"/>
          <w:szCs w:val="24"/>
        </w:rPr>
        <w:t xml:space="preserve"> en dos momentos del </w:t>
      </w:r>
      <w:r w:rsidRPr="00BA4A54">
        <w:rPr>
          <w:rFonts w:ascii="Times New Roman" w:eastAsia="Times New Roman" w:hAnsi="Times New Roman" w:cs="Times New Roman"/>
          <w:sz w:val="24"/>
          <w:szCs w:val="24"/>
        </w:rPr>
        <w:t>periodo lectivo</w:t>
      </w:r>
      <w:r w:rsidRPr="00BA4A54">
        <w:rPr>
          <w:rFonts w:ascii="Times New Roman" w:eastAsia="Times New Roman" w:hAnsi="Times New Roman" w:cs="Times New Roman"/>
          <w:color w:val="000000"/>
          <w:sz w:val="24"/>
          <w:szCs w:val="24"/>
        </w:rPr>
        <w:t xml:space="preserve"> y se elaboran dos informes </w:t>
      </w:r>
      <w:r w:rsidRPr="00BA4A54">
        <w:rPr>
          <w:rFonts w:ascii="Times New Roman" w:eastAsia="Times New Roman" w:hAnsi="Times New Roman" w:cs="Times New Roman"/>
          <w:sz w:val="24"/>
          <w:szCs w:val="24"/>
        </w:rPr>
        <w:t xml:space="preserve">que se envían </w:t>
      </w:r>
      <w:r w:rsidRPr="00BA4A54">
        <w:rPr>
          <w:rFonts w:ascii="Times New Roman" w:eastAsia="Times New Roman" w:hAnsi="Times New Roman" w:cs="Times New Roman"/>
          <w:color w:val="000000"/>
          <w:sz w:val="24"/>
          <w:szCs w:val="24"/>
        </w:rPr>
        <w:t xml:space="preserve">al hogar para hacer del conocimiento de las familias el grado de avance y los procesos logrados. </w:t>
      </w:r>
    </w:p>
    <w:p w14:paraId="00000037" w14:textId="77777777" w:rsidR="00E51D2F" w:rsidRPr="00BA4A54" w:rsidRDefault="00000000">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 xml:space="preserve"> La Educación General Básica y la Educación Diversificada tienen componentes de evaluación de carácter sumativo establecidos en el Reglamento de Evaluación de los A</w:t>
      </w:r>
      <w:r w:rsidRPr="00BA4A54">
        <w:rPr>
          <w:rFonts w:ascii="Times New Roman" w:eastAsia="Times New Roman" w:hAnsi="Times New Roman" w:cs="Times New Roman"/>
          <w:sz w:val="24"/>
          <w:szCs w:val="24"/>
        </w:rPr>
        <w:t xml:space="preserve">prendizajes (REA) del MEP vigente desde el 06 de febrero de 2018, </w:t>
      </w:r>
      <w:r w:rsidRPr="00BA4A54">
        <w:rPr>
          <w:rFonts w:ascii="Times New Roman" w:eastAsia="Times New Roman" w:hAnsi="Times New Roman" w:cs="Times New Roman"/>
          <w:color w:val="000000"/>
          <w:sz w:val="24"/>
          <w:szCs w:val="24"/>
        </w:rPr>
        <w:t xml:space="preserve">los mismos no pueden </w:t>
      </w:r>
      <w:r w:rsidRPr="00BA4A54">
        <w:rPr>
          <w:rFonts w:ascii="Times New Roman" w:eastAsia="Times New Roman" w:hAnsi="Times New Roman" w:cs="Times New Roman"/>
          <w:color w:val="000000"/>
          <w:sz w:val="24"/>
          <w:szCs w:val="24"/>
        </w:rPr>
        <w:lastRenderedPageBreak/>
        <w:t>obviarse</w:t>
      </w:r>
      <w:r w:rsidRPr="00BA4A54">
        <w:rPr>
          <w:rFonts w:ascii="Times New Roman" w:eastAsia="Times New Roman" w:hAnsi="Times New Roman" w:cs="Times New Roman"/>
          <w:sz w:val="24"/>
          <w:szCs w:val="24"/>
        </w:rPr>
        <w:t>, pero si sufre</w:t>
      </w:r>
      <w:r w:rsidRPr="00BA4A54">
        <w:rPr>
          <w:rFonts w:ascii="Times New Roman" w:eastAsia="Times New Roman" w:hAnsi="Times New Roman" w:cs="Times New Roman"/>
          <w:color w:val="000000"/>
          <w:sz w:val="24"/>
          <w:szCs w:val="24"/>
        </w:rPr>
        <w:t xml:space="preserve"> modifica</w:t>
      </w:r>
      <w:r w:rsidRPr="00BA4A54">
        <w:rPr>
          <w:rFonts w:ascii="Times New Roman" w:eastAsia="Times New Roman" w:hAnsi="Times New Roman" w:cs="Times New Roman"/>
          <w:sz w:val="24"/>
          <w:szCs w:val="24"/>
        </w:rPr>
        <w:t xml:space="preserve">ciones anuales según las necesidades y demandas actuales. Este reglamento establece una </w:t>
      </w:r>
      <w:r w:rsidRPr="00BA4A54">
        <w:rPr>
          <w:rFonts w:ascii="Times New Roman" w:eastAsia="Times New Roman" w:hAnsi="Times New Roman" w:cs="Times New Roman"/>
          <w:color w:val="000000"/>
          <w:sz w:val="24"/>
          <w:szCs w:val="24"/>
        </w:rPr>
        <w:t>divi</w:t>
      </w:r>
      <w:r w:rsidRPr="00BA4A54">
        <w:rPr>
          <w:rFonts w:ascii="Times New Roman" w:eastAsia="Times New Roman" w:hAnsi="Times New Roman" w:cs="Times New Roman"/>
          <w:sz w:val="24"/>
          <w:szCs w:val="24"/>
        </w:rPr>
        <w:t>sión de</w:t>
      </w:r>
      <w:r w:rsidRPr="00BA4A54">
        <w:rPr>
          <w:rFonts w:ascii="Times New Roman" w:eastAsia="Times New Roman" w:hAnsi="Times New Roman" w:cs="Times New Roman"/>
          <w:color w:val="000000"/>
          <w:sz w:val="24"/>
          <w:szCs w:val="24"/>
        </w:rPr>
        <w:t xml:space="preserve"> rubros en cada asignatura para cada periodo del curso lectivo en todos los niveles y modalidades</w:t>
      </w:r>
      <w:r w:rsidRPr="00BA4A54">
        <w:rPr>
          <w:rFonts w:ascii="Times New Roman" w:eastAsia="Times New Roman" w:hAnsi="Times New Roman" w:cs="Times New Roman"/>
          <w:sz w:val="24"/>
          <w:szCs w:val="24"/>
        </w:rPr>
        <w:t xml:space="preserve">, los rubros y sus porcentajes son los siguientes: 60% en </w:t>
      </w:r>
      <w:r w:rsidRPr="00BA4A54">
        <w:rPr>
          <w:rFonts w:ascii="Times New Roman" w:eastAsia="Times New Roman" w:hAnsi="Times New Roman" w:cs="Times New Roman"/>
          <w:color w:val="000000"/>
          <w:sz w:val="24"/>
          <w:szCs w:val="24"/>
        </w:rPr>
        <w:t>Trabajo cotidiano p</w:t>
      </w:r>
      <w:r w:rsidRPr="00BA4A54">
        <w:rPr>
          <w:rFonts w:ascii="Times New Roman" w:eastAsia="Times New Roman" w:hAnsi="Times New Roman" w:cs="Times New Roman"/>
          <w:sz w:val="24"/>
          <w:szCs w:val="24"/>
        </w:rPr>
        <w:t>ara</w:t>
      </w:r>
      <w:r w:rsidRPr="00BA4A54">
        <w:rPr>
          <w:rFonts w:ascii="Times New Roman" w:eastAsia="Times New Roman" w:hAnsi="Times New Roman" w:cs="Times New Roman"/>
          <w:color w:val="000000"/>
          <w:sz w:val="24"/>
          <w:szCs w:val="24"/>
        </w:rPr>
        <w:t xml:space="preserve"> I ciclo y 50% para II ciclo, </w:t>
      </w:r>
      <w:r w:rsidRPr="00BA4A54">
        <w:rPr>
          <w:rFonts w:ascii="Times New Roman" w:eastAsia="Times New Roman" w:hAnsi="Times New Roman" w:cs="Times New Roman"/>
          <w:sz w:val="24"/>
          <w:szCs w:val="24"/>
        </w:rPr>
        <w:t xml:space="preserve">10% en </w:t>
      </w:r>
      <w:r w:rsidRPr="00BA4A54">
        <w:rPr>
          <w:rFonts w:ascii="Times New Roman" w:eastAsia="Times New Roman" w:hAnsi="Times New Roman" w:cs="Times New Roman"/>
          <w:color w:val="000000"/>
          <w:sz w:val="24"/>
          <w:szCs w:val="24"/>
        </w:rPr>
        <w:t xml:space="preserve">tareas para ambos ciclos, </w:t>
      </w:r>
      <w:r w:rsidRPr="00BA4A54">
        <w:rPr>
          <w:rFonts w:ascii="Times New Roman" w:eastAsia="Times New Roman" w:hAnsi="Times New Roman" w:cs="Times New Roman"/>
          <w:sz w:val="24"/>
          <w:szCs w:val="24"/>
        </w:rPr>
        <w:t xml:space="preserve">20% en </w:t>
      </w:r>
      <w:r w:rsidRPr="00BA4A54">
        <w:rPr>
          <w:rFonts w:ascii="Times New Roman" w:eastAsia="Times New Roman" w:hAnsi="Times New Roman" w:cs="Times New Roman"/>
          <w:color w:val="000000"/>
          <w:sz w:val="24"/>
          <w:szCs w:val="24"/>
        </w:rPr>
        <w:t xml:space="preserve">pruebas (2 exámenes por periodo) para I ciclo y 30 % para II ciclo, y </w:t>
      </w:r>
      <w:r w:rsidRPr="00BA4A54">
        <w:rPr>
          <w:rFonts w:ascii="Times New Roman" w:eastAsia="Times New Roman" w:hAnsi="Times New Roman" w:cs="Times New Roman"/>
          <w:sz w:val="24"/>
          <w:szCs w:val="24"/>
        </w:rPr>
        <w:t xml:space="preserve">10% en </w:t>
      </w:r>
      <w:r w:rsidRPr="00BA4A54">
        <w:rPr>
          <w:rFonts w:ascii="Times New Roman" w:eastAsia="Times New Roman" w:hAnsi="Times New Roman" w:cs="Times New Roman"/>
          <w:color w:val="000000"/>
          <w:sz w:val="24"/>
          <w:szCs w:val="24"/>
        </w:rPr>
        <w:t>asistencia para ambos ciclos.</w:t>
      </w:r>
    </w:p>
    <w:p w14:paraId="00000038" w14:textId="77777777" w:rsidR="00E51D2F" w:rsidRPr="00BA4A54" w:rsidRDefault="00000000">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 xml:space="preserve">El MEP establece la revisión total de su contenido y actualización del reglamento de evaluación </w:t>
      </w:r>
      <w:r w:rsidRPr="00BA4A54">
        <w:rPr>
          <w:rFonts w:ascii="Times New Roman" w:eastAsia="Times New Roman" w:hAnsi="Times New Roman" w:cs="Times New Roman"/>
          <w:sz w:val="24"/>
          <w:szCs w:val="24"/>
        </w:rPr>
        <w:t xml:space="preserve">anualmente. La finalidad de esta revisión es </w:t>
      </w:r>
      <w:r w:rsidRPr="00BA4A54">
        <w:rPr>
          <w:rFonts w:ascii="Times New Roman" w:eastAsia="Times New Roman" w:hAnsi="Times New Roman" w:cs="Times New Roman"/>
          <w:color w:val="000000"/>
          <w:sz w:val="24"/>
          <w:szCs w:val="24"/>
        </w:rPr>
        <w:t xml:space="preserve">adaptar la norma de la evaluación de los aprendizajes a las necesidades propias del contexto educativo nacional, </w:t>
      </w:r>
      <w:r w:rsidRPr="00BA4A54">
        <w:rPr>
          <w:rFonts w:ascii="Times New Roman" w:eastAsia="Times New Roman" w:hAnsi="Times New Roman" w:cs="Times New Roman"/>
          <w:sz w:val="24"/>
          <w:szCs w:val="24"/>
        </w:rPr>
        <w:t xml:space="preserve">a </w:t>
      </w:r>
      <w:r w:rsidRPr="00BA4A54">
        <w:rPr>
          <w:rFonts w:ascii="Times New Roman" w:eastAsia="Times New Roman" w:hAnsi="Times New Roman" w:cs="Times New Roman"/>
          <w:color w:val="000000"/>
          <w:sz w:val="24"/>
          <w:szCs w:val="24"/>
        </w:rPr>
        <w:t>las nuevas tendencias académicas en el campo de la evaluación de los aprendizajes, así como, a las recientes transformaciones curriculares y aprobación de nuevos programas de estudios, en conjunto con la necesidad de fortalecer la evaluación formativa.</w:t>
      </w:r>
    </w:p>
    <w:p w14:paraId="00000039" w14:textId="3C90E6C1" w:rsidR="00E51D2F" w:rsidRPr="00BA4A54" w:rsidRDefault="00000000">
      <w:pPr>
        <w:pBdr>
          <w:top w:val="nil"/>
          <w:left w:val="nil"/>
          <w:bottom w:val="nil"/>
          <w:right w:val="nil"/>
          <w:between w:val="nil"/>
        </w:pBd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color w:val="000000"/>
          <w:sz w:val="24"/>
          <w:szCs w:val="24"/>
        </w:rPr>
        <w:t xml:space="preserve">La evaluación de los aprendizajes en Costa </w:t>
      </w:r>
      <w:r w:rsidRPr="00BA4A54">
        <w:rPr>
          <w:rFonts w:ascii="Times New Roman" w:eastAsia="Times New Roman" w:hAnsi="Times New Roman" w:cs="Times New Roman"/>
          <w:sz w:val="24"/>
          <w:szCs w:val="24"/>
        </w:rPr>
        <w:t>Rica tiene tres funciones en el proceso educativo</w:t>
      </w:r>
      <w:r w:rsidRPr="00BA4A54">
        <w:rPr>
          <w:rFonts w:ascii="Times New Roman" w:eastAsia="Times New Roman" w:hAnsi="Times New Roman" w:cs="Times New Roman"/>
          <w:color w:val="000000"/>
          <w:sz w:val="24"/>
          <w:szCs w:val="24"/>
        </w:rPr>
        <w:t>: 1)</w:t>
      </w:r>
      <w:r w:rsidRPr="00BA4A54">
        <w:rPr>
          <w:rFonts w:ascii="Times New Roman" w:eastAsia="Times New Roman" w:hAnsi="Times New Roman" w:cs="Times New Roman"/>
          <w:sz w:val="24"/>
          <w:szCs w:val="24"/>
        </w:rPr>
        <w:t xml:space="preserve"> </w:t>
      </w:r>
      <w:r w:rsidRPr="00BA4A54">
        <w:rPr>
          <w:rFonts w:ascii="Times New Roman" w:eastAsia="Times New Roman" w:hAnsi="Times New Roman" w:cs="Times New Roman"/>
          <w:color w:val="000000"/>
          <w:sz w:val="24"/>
          <w:szCs w:val="24"/>
        </w:rPr>
        <w:t xml:space="preserve">diagnóstica: permite tener inicialmente un panorama más claro de la persona estudiante en las áreas del desarrollo, y un punto de partida para desarrollar los aprendizajes; 2) formativa: brinda información oportuna acerca de las construcciones de aprendizaje que se realiza, con el fin de tomar acciones y decisiones para mejorar los procesos y reorientar o realimentar las áreas que así lo requieran; y 3) sumativa: sistematiza los logros alcanzados desde diversos rubros y porcentajes asignados que al final del periodo lectivo determina el </w:t>
      </w:r>
      <w:r w:rsidRPr="00BA4A54">
        <w:rPr>
          <w:rFonts w:ascii="Times New Roman" w:eastAsia="Times New Roman" w:hAnsi="Times New Roman" w:cs="Times New Roman"/>
          <w:sz w:val="24"/>
          <w:szCs w:val="24"/>
        </w:rPr>
        <w:t xml:space="preserve">promedio obtenido </w:t>
      </w:r>
      <w:sdt>
        <w:sdtPr>
          <w:rPr>
            <w:rFonts w:ascii="Times New Roman" w:hAnsi="Times New Roman" w:cs="Times New Roman"/>
            <w:sz w:val="24"/>
            <w:szCs w:val="24"/>
          </w:rPr>
          <w:tag w:val="goog_rdk_4"/>
          <w:id w:val="-1663150379"/>
        </w:sdtPr>
        <w:sdtContent/>
      </w:sdt>
      <w:r w:rsidRPr="00BA4A54">
        <w:rPr>
          <w:rFonts w:ascii="Times New Roman" w:eastAsia="Times New Roman" w:hAnsi="Times New Roman" w:cs="Times New Roman"/>
          <w:sz w:val="24"/>
          <w:szCs w:val="24"/>
        </w:rPr>
        <w:t>(</w:t>
      </w:r>
      <w:r w:rsidR="00046BF6" w:rsidRPr="00BA4A54">
        <w:rPr>
          <w:rFonts w:ascii="Times New Roman" w:eastAsia="Times New Roman" w:hAnsi="Times New Roman" w:cs="Times New Roman"/>
          <w:sz w:val="24"/>
          <w:szCs w:val="24"/>
        </w:rPr>
        <w:t>MEP, 2023</w:t>
      </w:r>
      <w:r w:rsidR="00F00DE1" w:rsidRPr="00BA4A54">
        <w:rPr>
          <w:rFonts w:ascii="Times New Roman" w:eastAsia="Times New Roman" w:hAnsi="Times New Roman" w:cs="Times New Roman"/>
          <w:sz w:val="24"/>
          <w:szCs w:val="24"/>
        </w:rPr>
        <w:t>;</w:t>
      </w:r>
      <w:r w:rsidR="00046BF6" w:rsidRPr="00BA4A54">
        <w:rPr>
          <w:rFonts w:ascii="Times New Roman" w:eastAsia="Times New Roman" w:hAnsi="Times New Roman" w:cs="Times New Roman"/>
          <w:sz w:val="24"/>
          <w:szCs w:val="24"/>
        </w:rPr>
        <w:t xml:space="preserve"> </w:t>
      </w:r>
      <w:r w:rsidRPr="00BA4A54">
        <w:rPr>
          <w:rFonts w:ascii="Times New Roman" w:eastAsia="Times New Roman" w:hAnsi="Times New Roman" w:cs="Times New Roman"/>
          <w:sz w:val="24"/>
          <w:szCs w:val="24"/>
        </w:rPr>
        <w:t>Castro, 2020</w:t>
      </w:r>
      <w:r w:rsidR="00F00DE1" w:rsidRPr="00BA4A54">
        <w:rPr>
          <w:rFonts w:ascii="Times New Roman" w:eastAsia="Times New Roman" w:hAnsi="Times New Roman" w:cs="Times New Roman"/>
          <w:sz w:val="24"/>
          <w:szCs w:val="24"/>
        </w:rPr>
        <w:t>).</w:t>
      </w:r>
    </w:p>
    <w:p w14:paraId="0000003A" w14:textId="52FCB84B" w:rsidR="00E51D2F" w:rsidRPr="00BA4A54" w:rsidRDefault="00000000">
      <w:pPr>
        <w:pBdr>
          <w:top w:val="nil"/>
          <w:left w:val="nil"/>
          <w:bottom w:val="nil"/>
          <w:right w:val="nil"/>
          <w:between w:val="nil"/>
        </w:pBd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 xml:space="preserve">Actualmente, dentro del Sistema Educativo </w:t>
      </w:r>
      <w:r w:rsidR="00454430" w:rsidRPr="00BA4A54">
        <w:rPr>
          <w:rFonts w:ascii="Times New Roman" w:eastAsia="Times New Roman" w:hAnsi="Times New Roman" w:cs="Times New Roman"/>
          <w:sz w:val="24"/>
          <w:szCs w:val="24"/>
        </w:rPr>
        <w:t>c</w:t>
      </w:r>
      <w:r w:rsidRPr="00BA4A54">
        <w:rPr>
          <w:rFonts w:ascii="Times New Roman" w:eastAsia="Times New Roman" w:hAnsi="Times New Roman" w:cs="Times New Roman"/>
          <w:sz w:val="24"/>
          <w:szCs w:val="24"/>
        </w:rPr>
        <w:t>ostarricense</w:t>
      </w:r>
      <w:r w:rsidR="00454430"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 xml:space="preserve"> la evaluación tiene un papel fundamental, ya que define los criterios, rubros y porcentajes que determinan si los estudiantes avanzan o no a los siguientes niveles educativos</w:t>
      </w:r>
      <w:r w:rsidR="00454430" w:rsidRPr="00BA4A54">
        <w:rPr>
          <w:rFonts w:ascii="Times New Roman" w:eastAsia="Times New Roman" w:hAnsi="Times New Roman" w:cs="Times New Roman"/>
          <w:sz w:val="24"/>
          <w:szCs w:val="24"/>
        </w:rPr>
        <w:t xml:space="preserve">. En este contexto, </w:t>
      </w:r>
      <w:r w:rsidRPr="00BA4A54">
        <w:rPr>
          <w:rFonts w:ascii="Times New Roman" w:eastAsia="Times New Roman" w:hAnsi="Times New Roman" w:cs="Times New Roman"/>
          <w:sz w:val="24"/>
          <w:szCs w:val="24"/>
        </w:rPr>
        <w:t xml:space="preserve">es </w:t>
      </w:r>
      <w:r w:rsidR="00454430" w:rsidRPr="00BA4A54">
        <w:rPr>
          <w:rFonts w:ascii="Times New Roman" w:eastAsia="Times New Roman" w:hAnsi="Times New Roman" w:cs="Times New Roman"/>
          <w:sz w:val="24"/>
          <w:szCs w:val="24"/>
        </w:rPr>
        <w:t xml:space="preserve">la persona docente la </w:t>
      </w:r>
      <w:r w:rsidRPr="00BA4A54">
        <w:rPr>
          <w:rFonts w:ascii="Times New Roman" w:eastAsia="Times New Roman" w:hAnsi="Times New Roman" w:cs="Times New Roman"/>
          <w:sz w:val="24"/>
          <w:szCs w:val="24"/>
        </w:rPr>
        <w:t>encargad</w:t>
      </w:r>
      <w:r w:rsidR="00454430" w:rsidRPr="00BA4A54">
        <w:rPr>
          <w:rFonts w:ascii="Times New Roman" w:eastAsia="Times New Roman" w:hAnsi="Times New Roman" w:cs="Times New Roman"/>
          <w:sz w:val="24"/>
          <w:szCs w:val="24"/>
        </w:rPr>
        <w:t>a</w:t>
      </w:r>
      <w:r w:rsidRPr="00BA4A54">
        <w:rPr>
          <w:rFonts w:ascii="Times New Roman" w:eastAsia="Times New Roman" w:hAnsi="Times New Roman" w:cs="Times New Roman"/>
          <w:sz w:val="24"/>
          <w:szCs w:val="24"/>
        </w:rPr>
        <w:t xml:space="preserve"> de validar los procesos, acompañar a los estudiantes y propiciar las construcciones de los aprendizajes. </w:t>
      </w:r>
      <w:r w:rsidR="00454430" w:rsidRPr="00BA4A54">
        <w:rPr>
          <w:rFonts w:ascii="Times New Roman" w:eastAsia="Times New Roman" w:hAnsi="Times New Roman" w:cs="Times New Roman"/>
          <w:sz w:val="24"/>
          <w:szCs w:val="24"/>
        </w:rPr>
        <w:t xml:space="preserve">Por lo tanto, debe </w:t>
      </w:r>
      <w:r w:rsidRPr="00BA4A54">
        <w:rPr>
          <w:rFonts w:ascii="Times New Roman" w:eastAsia="Times New Roman" w:hAnsi="Times New Roman" w:cs="Times New Roman"/>
          <w:sz w:val="24"/>
          <w:szCs w:val="24"/>
        </w:rPr>
        <w:t xml:space="preserve">conocer el reglamento de evaluación y </w:t>
      </w:r>
      <w:r w:rsidR="00454430" w:rsidRPr="00BA4A54">
        <w:rPr>
          <w:rFonts w:ascii="Times New Roman" w:eastAsia="Times New Roman" w:hAnsi="Times New Roman" w:cs="Times New Roman"/>
          <w:sz w:val="24"/>
          <w:szCs w:val="24"/>
        </w:rPr>
        <w:t>sa</w:t>
      </w:r>
      <w:r w:rsidRPr="00BA4A54">
        <w:rPr>
          <w:rFonts w:ascii="Times New Roman" w:eastAsia="Times New Roman" w:hAnsi="Times New Roman" w:cs="Times New Roman"/>
          <w:sz w:val="24"/>
          <w:szCs w:val="24"/>
        </w:rPr>
        <w:t>ber cómo mediar los criterios, indicadores y contenidos para alcanzar los objetivos que se establecen en cada nivel educativo</w:t>
      </w:r>
      <w:r w:rsidR="00454430" w:rsidRPr="00BA4A54">
        <w:rPr>
          <w:rFonts w:ascii="Times New Roman" w:eastAsia="Times New Roman" w:hAnsi="Times New Roman" w:cs="Times New Roman"/>
          <w:sz w:val="24"/>
          <w:szCs w:val="24"/>
        </w:rPr>
        <w:t>. S</w:t>
      </w:r>
      <w:r w:rsidRPr="00BA4A54">
        <w:rPr>
          <w:rFonts w:ascii="Times New Roman" w:eastAsia="Times New Roman" w:hAnsi="Times New Roman" w:cs="Times New Roman"/>
          <w:sz w:val="24"/>
          <w:szCs w:val="24"/>
        </w:rPr>
        <w:t xml:space="preserve">in embargo, hay ocasiones en las que requieren apoyo y guía para comprender en su totalidad lo que se estipula por reglamento o lineamiento de parte del MEP. Ante esto, </w:t>
      </w:r>
      <w:r w:rsidR="00454430" w:rsidRPr="00BA4A54">
        <w:rPr>
          <w:rFonts w:ascii="Times New Roman" w:eastAsia="Times New Roman" w:hAnsi="Times New Roman" w:cs="Times New Roman"/>
          <w:sz w:val="24"/>
          <w:szCs w:val="24"/>
        </w:rPr>
        <w:t xml:space="preserve">se indaga respecto a </w:t>
      </w:r>
      <w:r w:rsidRPr="00BA4A54">
        <w:rPr>
          <w:rFonts w:ascii="Times New Roman" w:eastAsia="Times New Roman" w:hAnsi="Times New Roman" w:cs="Times New Roman"/>
          <w:sz w:val="24"/>
          <w:szCs w:val="24"/>
        </w:rPr>
        <w:t>l</w:t>
      </w:r>
      <w:r w:rsidR="00454430" w:rsidRPr="00BA4A54">
        <w:rPr>
          <w:rFonts w:ascii="Times New Roman" w:eastAsia="Times New Roman" w:hAnsi="Times New Roman" w:cs="Times New Roman"/>
          <w:sz w:val="24"/>
          <w:szCs w:val="24"/>
        </w:rPr>
        <w:t xml:space="preserve">os conocimientos y actitudes </w:t>
      </w:r>
      <w:r w:rsidRPr="00BA4A54">
        <w:rPr>
          <w:rFonts w:ascii="Times New Roman" w:eastAsia="Times New Roman" w:hAnsi="Times New Roman" w:cs="Times New Roman"/>
          <w:sz w:val="24"/>
          <w:szCs w:val="24"/>
        </w:rPr>
        <w:t xml:space="preserve">que tienen los docentes relacionados al sistema de evaluación de los aprendizajes y cómo ésta les ayuda o no en su medición pedagógica. </w:t>
      </w:r>
    </w:p>
    <w:p w14:paraId="0000003B" w14:textId="4314B6E7" w:rsidR="00E51D2F" w:rsidRPr="00BA4A54" w:rsidRDefault="00000000">
      <w:pPr>
        <w:pBdr>
          <w:top w:val="nil"/>
          <w:left w:val="nil"/>
          <w:bottom w:val="nil"/>
          <w:right w:val="nil"/>
          <w:between w:val="nil"/>
        </w:pBd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lastRenderedPageBreak/>
        <w:t>Por lo tanto, dada su importancia, el objetivo del presente estudio es comprender la</w:t>
      </w:r>
      <w:r w:rsidR="00454430" w:rsidRPr="00BA4A54">
        <w:rPr>
          <w:rFonts w:ascii="Times New Roman" w:eastAsia="Times New Roman" w:hAnsi="Times New Roman" w:cs="Times New Roman"/>
          <w:sz w:val="24"/>
          <w:szCs w:val="24"/>
        </w:rPr>
        <w:t xml:space="preserve">s percepciones </w:t>
      </w:r>
      <w:r w:rsidRPr="00BA4A54">
        <w:rPr>
          <w:rFonts w:ascii="Times New Roman" w:eastAsia="Times New Roman" w:hAnsi="Times New Roman" w:cs="Times New Roman"/>
          <w:sz w:val="24"/>
          <w:szCs w:val="24"/>
        </w:rPr>
        <w:t>del personal docente de I y II ciclo de la Educación General Básica sobre el modelo de evaluación planteado por el ME</w:t>
      </w:r>
      <w:r w:rsidR="00454430" w:rsidRPr="00BA4A54">
        <w:rPr>
          <w:rFonts w:ascii="Times New Roman" w:eastAsia="Times New Roman" w:hAnsi="Times New Roman" w:cs="Times New Roman"/>
          <w:sz w:val="24"/>
          <w:szCs w:val="24"/>
        </w:rPr>
        <w:t xml:space="preserve">P. Esto puede </w:t>
      </w:r>
      <w:r w:rsidRPr="00BA4A54">
        <w:rPr>
          <w:rFonts w:ascii="Times New Roman" w:eastAsia="Times New Roman" w:hAnsi="Times New Roman" w:cs="Times New Roman"/>
          <w:sz w:val="24"/>
          <w:szCs w:val="24"/>
        </w:rPr>
        <w:t xml:space="preserve">aportar insumos que permitan la discusión y reflexión acerca de la evaluación de los aprendizajes en Costa Rica. </w:t>
      </w:r>
    </w:p>
    <w:p w14:paraId="0000003C" w14:textId="77777777" w:rsidR="00E51D2F" w:rsidRPr="00BA4A54" w:rsidRDefault="00E51D2F">
      <w:pPr>
        <w:pBdr>
          <w:top w:val="nil"/>
          <w:left w:val="nil"/>
          <w:bottom w:val="nil"/>
          <w:right w:val="nil"/>
          <w:between w:val="nil"/>
        </w:pBdr>
        <w:spacing w:after="0" w:line="360" w:lineRule="auto"/>
        <w:ind w:firstLine="708"/>
        <w:jc w:val="both"/>
        <w:rPr>
          <w:rFonts w:ascii="Times New Roman" w:eastAsia="Times New Roman" w:hAnsi="Times New Roman" w:cs="Times New Roman"/>
          <w:sz w:val="24"/>
          <w:szCs w:val="24"/>
        </w:rPr>
      </w:pPr>
    </w:p>
    <w:p w14:paraId="68C7D716" w14:textId="77777777" w:rsidR="004D0F54" w:rsidRPr="00BA4A54" w:rsidRDefault="004D0F54">
      <w:pPr>
        <w:spacing w:after="0" w:line="360" w:lineRule="auto"/>
        <w:rPr>
          <w:rFonts w:ascii="Times New Roman" w:eastAsia="Times New Roman" w:hAnsi="Times New Roman" w:cs="Times New Roman"/>
          <w:b/>
          <w:sz w:val="24"/>
          <w:szCs w:val="24"/>
        </w:rPr>
      </w:pPr>
    </w:p>
    <w:p w14:paraId="0000003E" w14:textId="310A0753" w:rsidR="00E51D2F" w:rsidRPr="00BA4A54" w:rsidRDefault="00000000">
      <w:pPr>
        <w:spacing w:after="0" w:line="360" w:lineRule="auto"/>
        <w:rPr>
          <w:rFonts w:ascii="Times New Roman" w:eastAsia="Times New Roman" w:hAnsi="Times New Roman" w:cs="Times New Roman"/>
          <w:sz w:val="24"/>
          <w:szCs w:val="24"/>
        </w:rPr>
      </w:pPr>
      <w:r w:rsidRPr="00BA4A54">
        <w:rPr>
          <w:rFonts w:ascii="Times New Roman" w:eastAsia="Times New Roman" w:hAnsi="Times New Roman" w:cs="Times New Roman"/>
          <w:b/>
          <w:sz w:val="24"/>
          <w:szCs w:val="24"/>
        </w:rPr>
        <w:t>Metodología</w:t>
      </w:r>
    </w:p>
    <w:p w14:paraId="0000003F" w14:textId="77777777" w:rsidR="00E51D2F" w:rsidRPr="00BA4A54" w:rsidRDefault="00E51D2F">
      <w:pPr>
        <w:spacing w:after="0" w:line="360" w:lineRule="auto"/>
        <w:jc w:val="both"/>
        <w:rPr>
          <w:rFonts w:ascii="Times New Roman" w:eastAsia="Times New Roman" w:hAnsi="Times New Roman" w:cs="Times New Roman"/>
          <w:b/>
          <w:sz w:val="24"/>
          <w:szCs w:val="24"/>
        </w:rPr>
      </w:pPr>
    </w:p>
    <w:p w14:paraId="00000040" w14:textId="77777777" w:rsidR="00E51D2F" w:rsidRPr="00BA4A54" w:rsidRDefault="00000000">
      <w:pPr>
        <w:spacing w:after="0" w:line="360" w:lineRule="auto"/>
        <w:jc w:val="both"/>
        <w:rPr>
          <w:rFonts w:ascii="Times New Roman" w:eastAsia="Times New Roman" w:hAnsi="Times New Roman" w:cs="Times New Roman"/>
          <w:b/>
          <w:sz w:val="24"/>
          <w:szCs w:val="24"/>
        </w:rPr>
      </w:pPr>
      <w:r w:rsidRPr="00BA4A54">
        <w:rPr>
          <w:rFonts w:ascii="Times New Roman" w:eastAsia="Times New Roman" w:hAnsi="Times New Roman" w:cs="Times New Roman"/>
          <w:b/>
          <w:sz w:val="24"/>
          <w:szCs w:val="24"/>
        </w:rPr>
        <w:t xml:space="preserve">Tipo de Diseño </w:t>
      </w:r>
    </w:p>
    <w:p w14:paraId="00000041" w14:textId="77777777" w:rsidR="00E51D2F" w:rsidRPr="00BA4A54" w:rsidRDefault="00000000">
      <w:pPr>
        <w:spacing w:after="0" w:line="360" w:lineRule="auto"/>
        <w:ind w:firstLine="720"/>
        <w:jc w:val="both"/>
        <w:rPr>
          <w:rFonts w:ascii="Times New Roman" w:hAnsi="Times New Roman" w:cs="Times New Roman"/>
          <w:b/>
          <w:sz w:val="24"/>
          <w:szCs w:val="24"/>
        </w:rPr>
      </w:pPr>
      <w:r w:rsidRPr="00BA4A54">
        <w:rPr>
          <w:rFonts w:ascii="Times New Roman" w:eastAsia="Times New Roman" w:hAnsi="Times New Roman" w:cs="Times New Roman"/>
          <w:sz w:val="24"/>
          <w:szCs w:val="24"/>
        </w:rPr>
        <w:t>La presente investigación es un estudio con diseño mixto concurrente (Hernández et al. 2018), en que ambos enfoques cuantitativo y cualitativo se integran en la búsqueda de una mejor comprensión del fenómeno estudiado. De este modo se realiza una integración de la información recabada para dar mayor contraste de la realidad que se vivencian las personas docentes dentro de su espacio pedagógico desde la aplicación de la evaluación.</w:t>
      </w:r>
    </w:p>
    <w:p w14:paraId="00000042" w14:textId="77777777" w:rsidR="00E51D2F" w:rsidRPr="00BA4A54" w:rsidRDefault="00E51D2F">
      <w:pPr>
        <w:spacing w:after="0" w:line="360" w:lineRule="auto"/>
        <w:ind w:firstLine="708"/>
        <w:jc w:val="both"/>
        <w:rPr>
          <w:rFonts w:ascii="Times New Roman" w:hAnsi="Times New Roman" w:cs="Times New Roman"/>
          <w:b/>
          <w:sz w:val="24"/>
          <w:szCs w:val="24"/>
        </w:rPr>
      </w:pPr>
    </w:p>
    <w:p w14:paraId="00000043" w14:textId="77777777" w:rsidR="00E51D2F" w:rsidRPr="00BA4A54" w:rsidRDefault="00000000">
      <w:pPr>
        <w:spacing w:after="0" w:line="360" w:lineRule="auto"/>
        <w:jc w:val="both"/>
        <w:rPr>
          <w:rFonts w:ascii="Times New Roman" w:eastAsia="Times New Roman" w:hAnsi="Times New Roman" w:cs="Times New Roman"/>
          <w:b/>
          <w:sz w:val="24"/>
          <w:szCs w:val="24"/>
        </w:rPr>
      </w:pPr>
      <w:r w:rsidRPr="00BA4A54">
        <w:rPr>
          <w:rFonts w:ascii="Times New Roman" w:eastAsia="Times New Roman" w:hAnsi="Times New Roman" w:cs="Times New Roman"/>
          <w:b/>
          <w:sz w:val="24"/>
          <w:szCs w:val="24"/>
        </w:rPr>
        <w:t>Población y muestra del estudio</w:t>
      </w:r>
    </w:p>
    <w:p w14:paraId="00000044" w14:textId="37CF38D2" w:rsidR="00E51D2F" w:rsidRPr="00BA4A54" w:rsidRDefault="00000000">
      <w:pPr>
        <w:spacing w:after="0" w:line="360" w:lineRule="auto"/>
        <w:ind w:firstLine="708"/>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La población de interés está constituida por los docentes en ejercicio del I y II ciclo del M</w:t>
      </w:r>
      <w:r w:rsidR="00454430" w:rsidRPr="00BA4A54">
        <w:rPr>
          <w:rFonts w:ascii="Times New Roman" w:eastAsia="Times New Roman" w:hAnsi="Times New Roman" w:cs="Times New Roman"/>
          <w:color w:val="0D0D0D"/>
          <w:sz w:val="24"/>
          <w:szCs w:val="24"/>
        </w:rPr>
        <w:t>EP de Costa Rica</w:t>
      </w:r>
      <w:r w:rsidRPr="00BA4A54">
        <w:rPr>
          <w:rFonts w:ascii="Times New Roman" w:eastAsia="Times New Roman" w:hAnsi="Times New Roman" w:cs="Times New Roman"/>
          <w:color w:val="0D0D0D"/>
          <w:sz w:val="24"/>
          <w:szCs w:val="24"/>
        </w:rPr>
        <w:t>. Participaron del estudio 294 personas docentes, 92,2% mujeres, 7,5% hombres y una persona que prefirió no decirlo, con edad entre 22 y 68 años (</w:t>
      </w:r>
      <w:r w:rsidRPr="00BA4A54">
        <w:rPr>
          <w:rFonts w:ascii="Times New Roman" w:eastAsia="Times New Roman" w:hAnsi="Times New Roman" w:cs="Times New Roman"/>
          <w:i/>
          <w:color w:val="0D0D0D"/>
          <w:sz w:val="24"/>
          <w:szCs w:val="24"/>
        </w:rPr>
        <w:t>M</w:t>
      </w:r>
      <w:r w:rsidRPr="00BA4A54">
        <w:rPr>
          <w:rFonts w:ascii="Times New Roman" w:eastAsia="Times New Roman" w:hAnsi="Times New Roman" w:cs="Times New Roman"/>
          <w:color w:val="0D0D0D"/>
          <w:sz w:val="24"/>
          <w:szCs w:val="24"/>
        </w:rPr>
        <w:t xml:space="preserve"> = 44,86; DS = 9,5), siendo que casi 70% de las personas participantes estaban en el rango de 40 a 68 años, como puede ser observado en la Tabla 1.</w:t>
      </w:r>
    </w:p>
    <w:p w14:paraId="00000045" w14:textId="1CED94E2" w:rsidR="00E51D2F" w:rsidRPr="00BA4A54" w:rsidRDefault="00000000">
      <w:pPr>
        <w:spacing w:after="0" w:line="360" w:lineRule="auto"/>
        <w:ind w:firstLine="708"/>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 xml:space="preserve">La mayoría de las personas docentes tenían la Licenciatura (70,7%) como último grado académico obtenido, 8,5% tenían Bachillerato universitario, 19,7% de ellas con Maestría y 1% (3 personas) habían concluido un Doctorado. Respecto a su área de formación en </w:t>
      </w:r>
      <w:r w:rsidR="00454430" w:rsidRPr="00BA4A54">
        <w:rPr>
          <w:rFonts w:ascii="Times New Roman" w:eastAsia="Times New Roman" w:hAnsi="Times New Roman" w:cs="Times New Roman"/>
          <w:color w:val="0D0D0D"/>
          <w:sz w:val="24"/>
          <w:szCs w:val="24"/>
        </w:rPr>
        <w:t>Ministerio</w:t>
      </w:r>
      <w:r w:rsidRPr="00BA4A54">
        <w:rPr>
          <w:rFonts w:ascii="Times New Roman" w:eastAsia="Times New Roman" w:hAnsi="Times New Roman" w:cs="Times New Roman"/>
          <w:color w:val="0D0D0D"/>
          <w:sz w:val="24"/>
          <w:szCs w:val="24"/>
        </w:rPr>
        <w:t>, 93,9% pertenece a I y II Ciclo de Educación General Básica, 3,4% a Preescolar, 1,7% a Educación Especial y 1% a Administración Educativa.</w:t>
      </w:r>
    </w:p>
    <w:p w14:paraId="00000046" w14:textId="77777777" w:rsidR="00E51D2F" w:rsidRPr="00BA4A54" w:rsidRDefault="00000000">
      <w:pPr>
        <w:spacing w:after="0" w:line="360" w:lineRule="auto"/>
        <w:ind w:firstLine="708"/>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Las personas participantes actualmente trabajaban en la jornada diurna de un centro educativo público en Costa Rica y su experiencia laboral va desde menos de un año hasta 37 años (</w:t>
      </w:r>
      <w:r w:rsidRPr="00BA4A54">
        <w:rPr>
          <w:rFonts w:ascii="Times New Roman" w:eastAsia="Times New Roman" w:hAnsi="Times New Roman" w:cs="Times New Roman"/>
          <w:i/>
          <w:color w:val="0D0D0D"/>
          <w:sz w:val="24"/>
          <w:szCs w:val="24"/>
        </w:rPr>
        <w:t>M</w:t>
      </w:r>
      <w:r w:rsidRPr="00BA4A54">
        <w:rPr>
          <w:rFonts w:ascii="Times New Roman" w:eastAsia="Times New Roman" w:hAnsi="Times New Roman" w:cs="Times New Roman"/>
          <w:color w:val="0D0D0D"/>
          <w:sz w:val="24"/>
          <w:szCs w:val="24"/>
        </w:rPr>
        <w:t xml:space="preserve"> = 15,97; </w:t>
      </w:r>
      <w:r w:rsidRPr="00BA4A54">
        <w:rPr>
          <w:rFonts w:ascii="Times New Roman" w:eastAsia="Times New Roman" w:hAnsi="Times New Roman" w:cs="Times New Roman"/>
          <w:i/>
          <w:color w:val="0D0D0D"/>
          <w:sz w:val="24"/>
          <w:szCs w:val="24"/>
        </w:rPr>
        <w:t>DS</w:t>
      </w:r>
      <w:r w:rsidRPr="00BA4A54">
        <w:rPr>
          <w:rFonts w:ascii="Times New Roman" w:eastAsia="Times New Roman" w:hAnsi="Times New Roman" w:cs="Times New Roman"/>
          <w:color w:val="0D0D0D"/>
          <w:sz w:val="24"/>
          <w:szCs w:val="24"/>
        </w:rPr>
        <w:t xml:space="preserve"> = 9,7) como docente de I y II ciclo (materias básicas). Dividida la muestra por rangos de experiencia laboral, se encuentra que 63,3% de las personas participantes se encuentra desde hace más de 10 años trabajando en el I y II ciclo con la </w:t>
      </w:r>
      <w:r w:rsidRPr="00BA4A54">
        <w:rPr>
          <w:rFonts w:ascii="Times New Roman" w:eastAsia="Times New Roman" w:hAnsi="Times New Roman" w:cs="Times New Roman"/>
          <w:color w:val="0D0D0D"/>
          <w:sz w:val="24"/>
          <w:szCs w:val="24"/>
        </w:rPr>
        <w:lastRenderedPageBreak/>
        <w:t xml:space="preserve">educación infantil, como se verifica en la Tabla 1. La ubicación del local de trabajo de las personas participantes era, al momento de la recolección, en su mayoría la provincia de San José (40,1%), seguido de Alajuela (18,7%), Heredia (10,9%), Puntarenas (9,9%), Cartago (8,5%), Limón (6,1%) y Guanacaste (5,8%). Respecto a la modalidad de la escuela donde labora, 50,7% se encuentra en la urbana, 31% en la rural, 10,5% en la atención prioritaria y 7,8% en la modalidad unidocente. Durante el año de 2023, las personas participantes atendían desde primero hasta sexto nivel, siendo que muchas veces un mismo docente atendía a más de un nivel, como puede ser verificado en la Tabla 1. </w:t>
      </w:r>
    </w:p>
    <w:p w14:paraId="00000047" w14:textId="77777777" w:rsidR="00E51D2F" w:rsidRPr="00BA4A54" w:rsidRDefault="00E51D2F">
      <w:pPr>
        <w:spacing w:after="0" w:line="360" w:lineRule="auto"/>
        <w:ind w:firstLine="708"/>
        <w:jc w:val="both"/>
        <w:rPr>
          <w:rFonts w:ascii="Times New Roman" w:eastAsia="Times New Roman" w:hAnsi="Times New Roman" w:cs="Times New Roman"/>
          <w:color w:val="0D0D0D"/>
          <w:sz w:val="24"/>
          <w:szCs w:val="24"/>
        </w:rPr>
      </w:pPr>
    </w:p>
    <w:p w14:paraId="00000048" w14:textId="77777777" w:rsidR="00E51D2F" w:rsidRPr="00BA4A54" w:rsidRDefault="00000000">
      <w:pPr>
        <w:rPr>
          <w:rFonts w:ascii="Times New Roman" w:eastAsia="Times New Roman" w:hAnsi="Times New Roman" w:cs="Times New Roman"/>
          <w:color w:val="0D0D0D"/>
          <w:sz w:val="24"/>
          <w:szCs w:val="24"/>
        </w:rPr>
      </w:pPr>
      <w:sdt>
        <w:sdtPr>
          <w:rPr>
            <w:rFonts w:ascii="Times New Roman" w:hAnsi="Times New Roman" w:cs="Times New Roman"/>
            <w:sz w:val="24"/>
            <w:szCs w:val="24"/>
          </w:rPr>
          <w:tag w:val="goog_rdk_5"/>
          <w:id w:val="-744649979"/>
        </w:sdtPr>
        <w:sdtContent/>
      </w:sdt>
      <w:r w:rsidRPr="00BA4A54">
        <w:rPr>
          <w:rFonts w:ascii="Times New Roman" w:eastAsia="Times New Roman" w:hAnsi="Times New Roman" w:cs="Times New Roman"/>
          <w:color w:val="0D0D0D"/>
          <w:sz w:val="24"/>
          <w:szCs w:val="24"/>
        </w:rPr>
        <w:t>Tabla 1</w:t>
      </w:r>
    </w:p>
    <w:p w14:paraId="00000049" w14:textId="77777777" w:rsidR="00E51D2F" w:rsidRPr="00BA4A54" w:rsidRDefault="00000000">
      <w:pPr>
        <w:rPr>
          <w:rFonts w:ascii="Times New Roman" w:eastAsia="Times New Roman" w:hAnsi="Times New Roman" w:cs="Times New Roman"/>
          <w:i/>
          <w:color w:val="0D0D0D"/>
          <w:sz w:val="24"/>
          <w:szCs w:val="24"/>
        </w:rPr>
      </w:pPr>
      <w:r w:rsidRPr="00BA4A54">
        <w:rPr>
          <w:rFonts w:ascii="Times New Roman" w:eastAsia="Times New Roman" w:hAnsi="Times New Roman" w:cs="Times New Roman"/>
          <w:i/>
          <w:color w:val="0D0D0D"/>
          <w:sz w:val="24"/>
          <w:szCs w:val="24"/>
        </w:rPr>
        <w:t xml:space="preserve">Características sociodemográficas de la muestra </w:t>
      </w:r>
    </w:p>
    <w:tbl>
      <w:tblPr>
        <w:tblStyle w:val="8"/>
        <w:tblW w:w="8793" w:type="dxa"/>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59"/>
        <w:gridCol w:w="2754"/>
        <w:gridCol w:w="2880"/>
      </w:tblGrid>
      <w:tr w:rsidR="00E51D2F" w:rsidRPr="00BA4A54" w14:paraId="5727EB0A" w14:textId="77777777">
        <w:tc>
          <w:tcPr>
            <w:tcW w:w="3159" w:type="dxa"/>
            <w:tcBorders>
              <w:left w:val="nil"/>
              <w:bottom w:val="single" w:sz="4" w:space="0" w:color="000000"/>
              <w:right w:val="nil"/>
            </w:tcBorders>
          </w:tcPr>
          <w:p w14:paraId="0000004A" w14:textId="77777777" w:rsidR="00E51D2F" w:rsidRPr="00BA4A54" w:rsidRDefault="00E51D2F">
            <w:pPr>
              <w:spacing w:line="360" w:lineRule="auto"/>
              <w:jc w:val="both"/>
              <w:rPr>
                <w:rFonts w:ascii="Times New Roman" w:eastAsia="Times New Roman" w:hAnsi="Times New Roman" w:cs="Times New Roman"/>
                <w:color w:val="0D0D0D"/>
                <w:sz w:val="24"/>
                <w:szCs w:val="24"/>
              </w:rPr>
            </w:pPr>
          </w:p>
        </w:tc>
        <w:tc>
          <w:tcPr>
            <w:tcW w:w="2754" w:type="dxa"/>
            <w:tcBorders>
              <w:left w:val="nil"/>
              <w:bottom w:val="single" w:sz="4" w:space="0" w:color="000000"/>
              <w:right w:val="nil"/>
            </w:tcBorders>
          </w:tcPr>
          <w:p w14:paraId="0000004B" w14:textId="77777777" w:rsidR="00E51D2F" w:rsidRPr="00BA4A54" w:rsidRDefault="00000000">
            <w:pPr>
              <w:spacing w:line="360" w:lineRule="auto"/>
              <w:jc w:val="center"/>
              <w:rPr>
                <w:rFonts w:ascii="Times New Roman" w:eastAsia="Times New Roman" w:hAnsi="Times New Roman" w:cs="Times New Roman"/>
                <w:i/>
                <w:iCs/>
                <w:color w:val="0D0D0D"/>
                <w:sz w:val="24"/>
                <w:szCs w:val="24"/>
              </w:rPr>
            </w:pPr>
            <w:r w:rsidRPr="00BA4A54">
              <w:rPr>
                <w:rFonts w:ascii="Times New Roman" w:eastAsia="Times New Roman" w:hAnsi="Times New Roman" w:cs="Times New Roman"/>
                <w:i/>
                <w:iCs/>
                <w:color w:val="0D0D0D"/>
                <w:sz w:val="24"/>
                <w:szCs w:val="24"/>
              </w:rPr>
              <w:t>f</w:t>
            </w:r>
          </w:p>
        </w:tc>
        <w:tc>
          <w:tcPr>
            <w:tcW w:w="2880" w:type="dxa"/>
            <w:tcBorders>
              <w:left w:val="nil"/>
              <w:bottom w:val="single" w:sz="4" w:space="0" w:color="000000"/>
              <w:right w:val="nil"/>
            </w:tcBorders>
          </w:tcPr>
          <w:p w14:paraId="0000004C"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w:t>
            </w:r>
          </w:p>
        </w:tc>
      </w:tr>
      <w:tr w:rsidR="00E51D2F" w:rsidRPr="00BA4A54" w14:paraId="3170BACC" w14:textId="77777777">
        <w:tc>
          <w:tcPr>
            <w:tcW w:w="3159" w:type="dxa"/>
            <w:tcBorders>
              <w:top w:val="single" w:sz="4" w:space="0" w:color="000000"/>
              <w:left w:val="nil"/>
              <w:bottom w:val="nil"/>
              <w:right w:val="nil"/>
            </w:tcBorders>
          </w:tcPr>
          <w:p w14:paraId="0000004D" w14:textId="77777777" w:rsidR="00E51D2F" w:rsidRPr="00BA4A54" w:rsidRDefault="00000000">
            <w:pPr>
              <w:spacing w:line="360" w:lineRule="auto"/>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Rangos de edad</w:t>
            </w:r>
          </w:p>
        </w:tc>
        <w:tc>
          <w:tcPr>
            <w:tcW w:w="2754" w:type="dxa"/>
            <w:tcBorders>
              <w:top w:val="single" w:sz="4" w:space="0" w:color="000000"/>
              <w:left w:val="nil"/>
              <w:bottom w:val="nil"/>
              <w:right w:val="nil"/>
            </w:tcBorders>
          </w:tcPr>
          <w:p w14:paraId="0000004E" w14:textId="77777777" w:rsidR="00E51D2F" w:rsidRPr="00BA4A54" w:rsidRDefault="00E51D2F">
            <w:pPr>
              <w:spacing w:line="360" w:lineRule="auto"/>
              <w:jc w:val="center"/>
              <w:rPr>
                <w:rFonts w:ascii="Times New Roman" w:eastAsia="Times New Roman" w:hAnsi="Times New Roman" w:cs="Times New Roman"/>
                <w:color w:val="0D0D0D"/>
                <w:sz w:val="24"/>
                <w:szCs w:val="24"/>
              </w:rPr>
            </w:pPr>
          </w:p>
        </w:tc>
        <w:tc>
          <w:tcPr>
            <w:tcW w:w="2880" w:type="dxa"/>
            <w:tcBorders>
              <w:top w:val="single" w:sz="4" w:space="0" w:color="000000"/>
              <w:left w:val="nil"/>
              <w:bottom w:val="nil"/>
              <w:right w:val="nil"/>
            </w:tcBorders>
          </w:tcPr>
          <w:p w14:paraId="0000004F" w14:textId="77777777" w:rsidR="00E51D2F" w:rsidRPr="00BA4A54" w:rsidRDefault="00E51D2F">
            <w:pPr>
              <w:spacing w:line="360" w:lineRule="auto"/>
              <w:jc w:val="center"/>
              <w:rPr>
                <w:rFonts w:ascii="Times New Roman" w:eastAsia="Times New Roman" w:hAnsi="Times New Roman" w:cs="Times New Roman"/>
                <w:color w:val="0D0D0D"/>
                <w:sz w:val="24"/>
                <w:szCs w:val="24"/>
              </w:rPr>
            </w:pPr>
          </w:p>
        </w:tc>
      </w:tr>
      <w:tr w:rsidR="00E51D2F" w:rsidRPr="00BA4A54" w14:paraId="4CBAE79F" w14:textId="77777777">
        <w:tc>
          <w:tcPr>
            <w:tcW w:w="3159" w:type="dxa"/>
            <w:tcBorders>
              <w:top w:val="nil"/>
              <w:left w:val="nil"/>
              <w:bottom w:val="nil"/>
              <w:right w:val="nil"/>
            </w:tcBorders>
          </w:tcPr>
          <w:p w14:paraId="00000050"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22-30</w:t>
            </w:r>
          </w:p>
        </w:tc>
        <w:tc>
          <w:tcPr>
            <w:tcW w:w="2754" w:type="dxa"/>
            <w:tcBorders>
              <w:top w:val="nil"/>
              <w:left w:val="nil"/>
              <w:bottom w:val="nil"/>
              <w:right w:val="nil"/>
            </w:tcBorders>
            <w:vAlign w:val="center"/>
          </w:tcPr>
          <w:p w14:paraId="00000051"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20</w:t>
            </w:r>
          </w:p>
        </w:tc>
        <w:tc>
          <w:tcPr>
            <w:tcW w:w="2880" w:type="dxa"/>
            <w:tcBorders>
              <w:top w:val="nil"/>
              <w:left w:val="nil"/>
              <w:bottom w:val="nil"/>
              <w:right w:val="nil"/>
            </w:tcBorders>
            <w:vAlign w:val="center"/>
          </w:tcPr>
          <w:p w14:paraId="00000052"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6,8</w:t>
            </w:r>
          </w:p>
        </w:tc>
      </w:tr>
      <w:tr w:rsidR="00E51D2F" w:rsidRPr="00BA4A54" w14:paraId="39548B7D" w14:textId="77777777">
        <w:tc>
          <w:tcPr>
            <w:tcW w:w="3159" w:type="dxa"/>
            <w:tcBorders>
              <w:top w:val="nil"/>
              <w:left w:val="nil"/>
              <w:bottom w:val="nil"/>
              <w:right w:val="nil"/>
            </w:tcBorders>
          </w:tcPr>
          <w:p w14:paraId="00000053"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30-39</w:t>
            </w:r>
          </w:p>
        </w:tc>
        <w:tc>
          <w:tcPr>
            <w:tcW w:w="2754" w:type="dxa"/>
            <w:tcBorders>
              <w:top w:val="nil"/>
              <w:left w:val="nil"/>
              <w:bottom w:val="nil"/>
              <w:right w:val="nil"/>
            </w:tcBorders>
            <w:vAlign w:val="center"/>
          </w:tcPr>
          <w:p w14:paraId="00000054"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69</w:t>
            </w:r>
          </w:p>
        </w:tc>
        <w:tc>
          <w:tcPr>
            <w:tcW w:w="2880" w:type="dxa"/>
            <w:tcBorders>
              <w:top w:val="nil"/>
              <w:left w:val="nil"/>
              <w:bottom w:val="nil"/>
              <w:right w:val="nil"/>
            </w:tcBorders>
            <w:vAlign w:val="center"/>
          </w:tcPr>
          <w:p w14:paraId="00000055"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23,5</w:t>
            </w:r>
          </w:p>
        </w:tc>
      </w:tr>
      <w:tr w:rsidR="00E51D2F" w:rsidRPr="00BA4A54" w14:paraId="7B78143F" w14:textId="77777777">
        <w:tc>
          <w:tcPr>
            <w:tcW w:w="3159" w:type="dxa"/>
            <w:tcBorders>
              <w:top w:val="nil"/>
              <w:left w:val="nil"/>
              <w:bottom w:val="nil"/>
              <w:right w:val="nil"/>
            </w:tcBorders>
          </w:tcPr>
          <w:p w14:paraId="00000056"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40-49</w:t>
            </w:r>
          </w:p>
        </w:tc>
        <w:tc>
          <w:tcPr>
            <w:tcW w:w="2754" w:type="dxa"/>
            <w:tcBorders>
              <w:top w:val="nil"/>
              <w:left w:val="nil"/>
              <w:bottom w:val="nil"/>
              <w:right w:val="nil"/>
            </w:tcBorders>
            <w:vAlign w:val="center"/>
          </w:tcPr>
          <w:p w14:paraId="00000057"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87</w:t>
            </w:r>
          </w:p>
        </w:tc>
        <w:tc>
          <w:tcPr>
            <w:tcW w:w="2880" w:type="dxa"/>
            <w:tcBorders>
              <w:top w:val="nil"/>
              <w:left w:val="nil"/>
              <w:bottom w:val="nil"/>
              <w:right w:val="nil"/>
            </w:tcBorders>
            <w:vAlign w:val="center"/>
          </w:tcPr>
          <w:p w14:paraId="00000058"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29,6</w:t>
            </w:r>
          </w:p>
        </w:tc>
      </w:tr>
      <w:tr w:rsidR="00E51D2F" w:rsidRPr="00BA4A54" w14:paraId="48ADACEC" w14:textId="77777777">
        <w:tc>
          <w:tcPr>
            <w:tcW w:w="3159" w:type="dxa"/>
            <w:tcBorders>
              <w:top w:val="nil"/>
              <w:left w:val="nil"/>
              <w:bottom w:val="nil"/>
              <w:right w:val="nil"/>
            </w:tcBorders>
          </w:tcPr>
          <w:p w14:paraId="00000059"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50-59</w:t>
            </w:r>
          </w:p>
        </w:tc>
        <w:tc>
          <w:tcPr>
            <w:tcW w:w="2754" w:type="dxa"/>
            <w:tcBorders>
              <w:top w:val="nil"/>
              <w:left w:val="nil"/>
              <w:bottom w:val="nil"/>
              <w:right w:val="nil"/>
            </w:tcBorders>
            <w:vAlign w:val="center"/>
          </w:tcPr>
          <w:p w14:paraId="0000005A"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110</w:t>
            </w:r>
          </w:p>
        </w:tc>
        <w:tc>
          <w:tcPr>
            <w:tcW w:w="2880" w:type="dxa"/>
            <w:tcBorders>
              <w:top w:val="nil"/>
              <w:left w:val="nil"/>
              <w:bottom w:val="nil"/>
              <w:right w:val="nil"/>
            </w:tcBorders>
            <w:vAlign w:val="center"/>
          </w:tcPr>
          <w:p w14:paraId="0000005B"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37,4</w:t>
            </w:r>
          </w:p>
        </w:tc>
      </w:tr>
      <w:tr w:rsidR="00E51D2F" w:rsidRPr="00BA4A54" w14:paraId="49CFB346" w14:textId="77777777">
        <w:tc>
          <w:tcPr>
            <w:tcW w:w="3159" w:type="dxa"/>
            <w:tcBorders>
              <w:top w:val="nil"/>
              <w:left w:val="nil"/>
              <w:bottom w:val="nil"/>
              <w:right w:val="nil"/>
            </w:tcBorders>
          </w:tcPr>
          <w:p w14:paraId="0000005C"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60-68</w:t>
            </w:r>
          </w:p>
        </w:tc>
        <w:tc>
          <w:tcPr>
            <w:tcW w:w="2754" w:type="dxa"/>
            <w:tcBorders>
              <w:top w:val="nil"/>
              <w:left w:val="nil"/>
              <w:bottom w:val="nil"/>
              <w:right w:val="nil"/>
            </w:tcBorders>
            <w:vAlign w:val="center"/>
          </w:tcPr>
          <w:p w14:paraId="0000005D"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8</w:t>
            </w:r>
          </w:p>
        </w:tc>
        <w:tc>
          <w:tcPr>
            <w:tcW w:w="2880" w:type="dxa"/>
            <w:tcBorders>
              <w:top w:val="nil"/>
              <w:left w:val="nil"/>
              <w:bottom w:val="nil"/>
              <w:right w:val="nil"/>
            </w:tcBorders>
            <w:vAlign w:val="center"/>
          </w:tcPr>
          <w:p w14:paraId="0000005E"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2,7</w:t>
            </w:r>
          </w:p>
        </w:tc>
      </w:tr>
      <w:tr w:rsidR="00E51D2F" w:rsidRPr="00BA4A54" w14:paraId="401D6098" w14:textId="77777777">
        <w:tc>
          <w:tcPr>
            <w:tcW w:w="3159" w:type="dxa"/>
            <w:tcBorders>
              <w:top w:val="nil"/>
              <w:left w:val="nil"/>
              <w:bottom w:val="nil"/>
              <w:right w:val="nil"/>
            </w:tcBorders>
          </w:tcPr>
          <w:p w14:paraId="0000005F" w14:textId="77777777" w:rsidR="00E51D2F" w:rsidRPr="00BA4A54" w:rsidRDefault="00000000">
            <w:pPr>
              <w:spacing w:line="360" w:lineRule="auto"/>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Años de experiencia laboral</w:t>
            </w:r>
          </w:p>
        </w:tc>
        <w:tc>
          <w:tcPr>
            <w:tcW w:w="2754" w:type="dxa"/>
            <w:tcBorders>
              <w:top w:val="nil"/>
              <w:left w:val="nil"/>
              <w:bottom w:val="nil"/>
              <w:right w:val="nil"/>
            </w:tcBorders>
          </w:tcPr>
          <w:p w14:paraId="00000060" w14:textId="77777777" w:rsidR="00E51D2F" w:rsidRPr="00BA4A54" w:rsidRDefault="00E51D2F">
            <w:pPr>
              <w:spacing w:line="360" w:lineRule="auto"/>
              <w:jc w:val="center"/>
              <w:rPr>
                <w:rFonts w:ascii="Times New Roman" w:eastAsia="Times New Roman" w:hAnsi="Times New Roman" w:cs="Times New Roman"/>
                <w:color w:val="0D0D0D"/>
                <w:sz w:val="24"/>
                <w:szCs w:val="24"/>
              </w:rPr>
            </w:pPr>
          </w:p>
        </w:tc>
        <w:tc>
          <w:tcPr>
            <w:tcW w:w="2880" w:type="dxa"/>
            <w:tcBorders>
              <w:top w:val="nil"/>
              <w:left w:val="nil"/>
              <w:bottom w:val="nil"/>
              <w:right w:val="nil"/>
            </w:tcBorders>
          </w:tcPr>
          <w:p w14:paraId="00000061" w14:textId="77777777" w:rsidR="00E51D2F" w:rsidRPr="00BA4A54" w:rsidRDefault="00E51D2F">
            <w:pPr>
              <w:spacing w:line="360" w:lineRule="auto"/>
              <w:jc w:val="center"/>
              <w:rPr>
                <w:rFonts w:ascii="Times New Roman" w:eastAsia="Times New Roman" w:hAnsi="Times New Roman" w:cs="Times New Roman"/>
                <w:color w:val="0D0D0D"/>
                <w:sz w:val="24"/>
                <w:szCs w:val="24"/>
              </w:rPr>
            </w:pPr>
          </w:p>
        </w:tc>
      </w:tr>
      <w:tr w:rsidR="00E51D2F" w:rsidRPr="00BA4A54" w14:paraId="420F6ABB" w14:textId="77777777">
        <w:tc>
          <w:tcPr>
            <w:tcW w:w="3159" w:type="dxa"/>
            <w:tcBorders>
              <w:top w:val="nil"/>
              <w:left w:val="nil"/>
              <w:bottom w:val="nil"/>
              <w:right w:val="nil"/>
            </w:tcBorders>
          </w:tcPr>
          <w:p w14:paraId="00000062"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0-2</w:t>
            </w:r>
          </w:p>
        </w:tc>
        <w:tc>
          <w:tcPr>
            <w:tcW w:w="2754" w:type="dxa"/>
            <w:tcBorders>
              <w:top w:val="nil"/>
              <w:left w:val="nil"/>
              <w:bottom w:val="nil"/>
              <w:right w:val="nil"/>
            </w:tcBorders>
            <w:vAlign w:val="center"/>
          </w:tcPr>
          <w:p w14:paraId="00000063"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18</w:t>
            </w:r>
          </w:p>
        </w:tc>
        <w:tc>
          <w:tcPr>
            <w:tcW w:w="2880" w:type="dxa"/>
            <w:tcBorders>
              <w:top w:val="nil"/>
              <w:left w:val="nil"/>
              <w:bottom w:val="nil"/>
              <w:right w:val="nil"/>
            </w:tcBorders>
            <w:vAlign w:val="center"/>
          </w:tcPr>
          <w:p w14:paraId="00000064"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6,1</w:t>
            </w:r>
          </w:p>
        </w:tc>
      </w:tr>
      <w:tr w:rsidR="00E51D2F" w:rsidRPr="00BA4A54" w14:paraId="647E54A9" w14:textId="77777777">
        <w:tc>
          <w:tcPr>
            <w:tcW w:w="3159" w:type="dxa"/>
            <w:tcBorders>
              <w:top w:val="nil"/>
              <w:left w:val="nil"/>
              <w:bottom w:val="nil"/>
              <w:right w:val="nil"/>
            </w:tcBorders>
          </w:tcPr>
          <w:p w14:paraId="00000065"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3-5</w:t>
            </w:r>
          </w:p>
        </w:tc>
        <w:tc>
          <w:tcPr>
            <w:tcW w:w="2754" w:type="dxa"/>
            <w:tcBorders>
              <w:top w:val="nil"/>
              <w:left w:val="nil"/>
              <w:bottom w:val="nil"/>
              <w:right w:val="nil"/>
            </w:tcBorders>
            <w:vAlign w:val="center"/>
          </w:tcPr>
          <w:p w14:paraId="00000066"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41</w:t>
            </w:r>
          </w:p>
        </w:tc>
        <w:tc>
          <w:tcPr>
            <w:tcW w:w="2880" w:type="dxa"/>
            <w:tcBorders>
              <w:top w:val="nil"/>
              <w:left w:val="nil"/>
              <w:bottom w:val="nil"/>
              <w:right w:val="nil"/>
            </w:tcBorders>
            <w:vAlign w:val="center"/>
          </w:tcPr>
          <w:p w14:paraId="00000067"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13,9</w:t>
            </w:r>
          </w:p>
        </w:tc>
      </w:tr>
      <w:tr w:rsidR="00E51D2F" w:rsidRPr="00BA4A54" w14:paraId="5D82B13B" w14:textId="77777777">
        <w:tc>
          <w:tcPr>
            <w:tcW w:w="3159" w:type="dxa"/>
            <w:tcBorders>
              <w:top w:val="nil"/>
              <w:left w:val="nil"/>
              <w:bottom w:val="nil"/>
              <w:right w:val="nil"/>
            </w:tcBorders>
          </w:tcPr>
          <w:p w14:paraId="00000068"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6-10</w:t>
            </w:r>
          </w:p>
        </w:tc>
        <w:tc>
          <w:tcPr>
            <w:tcW w:w="2754" w:type="dxa"/>
            <w:tcBorders>
              <w:top w:val="nil"/>
              <w:left w:val="nil"/>
              <w:bottom w:val="nil"/>
              <w:right w:val="nil"/>
            </w:tcBorders>
            <w:vAlign w:val="center"/>
          </w:tcPr>
          <w:p w14:paraId="00000069"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49</w:t>
            </w:r>
          </w:p>
        </w:tc>
        <w:tc>
          <w:tcPr>
            <w:tcW w:w="2880" w:type="dxa"/>
            <w:tcBorders>
              <w:top w:val="nil"/>
              <w:left w:val="nil"/>
              <w:bottom w:val="nil"/>
              <w:right w:val="nil"/>
            </w:tcBorders>
            <w:vAlign w:val="center"/>
          </w:tcPr>
          <w:p w14:paraId="0000006A"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16,7</w:t>
            </w:r>
          </w:p>
        </w:tc>
      </w:tr>
      <w:tr w:rsidR="00E51D2F" w:rsidRPr="00BA4A54" w14:paraId="79D61C77" w14:textId="77777777">
        <w:tc>
          <w:tcPr>
            <w:tcW w:w="3159" w:type="dxa"/>
            <w:tcBorders>
              <w:top w:val="nil"/>
              <w:left w:val="nil"/>
              <w:bottom w:val="nil"/>
              <w:right w:val="nil"/>
            </w:tcBorders>
          </w:tcPr>
          <w:p w14:paraId="0000006B"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11-20</w:t>
            </w:r>
          </w:p>
        </w:tc>
        <w:tc>
          <w:tcPr>
            <w:tcW w:w="2754" w:type="dxa"/>
            <w:tcBorders>
              <w:top w:val="nil"/>
              <w:left w:val="nil"/>
              <w:bottom w:val="nil"/>
              <w:right w:val="nil"/>
            </w:tcBorders>
            <w:vAlign w:val="center"/>
          </w:tcPr>
          <w:p w14:paraId="0000006C"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69</w:t>
            </w:r>
          </w:p>
        </w:tc>
        <w:tc>
          <w:tcPr>
            <w:tcW w:w="2880" w:type="dxa"/>
            <w:tcBorders>
              <w:top w:val="nil"/>
              <w:left w:val="nil"/>
              <w:bottom w:val="nil"/>
              <w:right w:val="nil"/>
            </w:tcBorders>
            <w:vAlign w:val="center"/>
          </w:tcPr>
          <w:p w14:paraId="0000006D"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23,5</w:t>
            </w:r>
          </w:p>
        </w:tc>
      </w:tr>
      <w:tr w:rsidR="00E51D2F" w:rsidRPr="00BA4A54" w14:paraId="260F00FC" w14:textId="77777777">
        <w:tc>
          <w:tcPr>
            <w:tcW w:w="3159" w:type="dxa"/>
            <w:tcBorders>
              <w:top w:val="nil"/>
              <w:left w:val="nil"/>
              <w:bottom w:val="nil"/>
              <w:right w:val="nil"/>
            </w:tcBorders>
          </w:tcPr>
          <w:p w14:paraId="0000006E"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21-30</w:t>
            </w:r>
          </w:p>
        </w:tc>
        <w:tc>
          <w:tcPr>
            <w:tcW w:w="2754" w:type="dxa"/>
            <w:tcBorders>
              <w:top w:val="nil"/>
              <w:left w:val="nil"/>
              <w:bottom w:val="nil"/>
              <w:right w:val="nil"/>
            </w:tcBorders>
            <w:vAlign w:val="center"/>
          </w:tcPr>
          <w:p w14:paraId="0000006F"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103</w:t>
            </w:r>
          </w:p>
        </w:tc>
        <w:tc>
          <w:tcPr>
            <w:tcW w:w="2880" w:type="dxa"/>
            <w:tcBorders>
              <w:top w:val="nil"/>
              <w:left w:val="nil"/>
              <w:bottom w:val="nil"/>
              <w:right w:val="nil"/>
            </w:tcBorders>
            <w:vAlign w:val="center"/>
          </w:tcPr>
          <w:p w14:paraId="00000070"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35,0</w:t>
            </w:r>
          </w:p>
        </w:tc>
      </w:tr>
      <w:tr w:rsidR="00E51D2F" w:rsidRPr="00BA4A54" w14:paraId="28A591D9" w14:textId="77777777">
        <w:tc>
          <w:tcPr>
            <w:tcW w:w="3159" w:type="dxa"/>
            <w:tcBorders>
              <w:top w:val="nil"/>
              <w:left w:val="nil"/>
              <w:bottom w:val="nil"/>
              <w:right w:val="nil"/>
            </w:tcBorders>
          </w:tcPr>
          <w:p w14:paraId="00000071"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31-37</w:t>
            </w:r>
          </w:p>
        </w:tc>
        <w:tc>
          <w:tcPr>
            <w:tcW w:w="2754" w:type="dxa"/>
            <w:tcBorders>
              <w:top w:val="nil"/>
              <w:left w:val="nil"/>
              <w:bottom w:val="nil"/>
              <w:right w:val="nil"/>
            </w:tcBorders>
            <w:vAlign w:val="center"/>
          </w:tcPr>
          <w:p w14:paraId="00000072"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14</w:t>
            </w:r>
          </w:p>
        </w:tc>
        <w:tc>
          <w:tcPr>
            <w:tcW w:w="2880" w:type="dxa"/>
            <w:tcBorders>
              <w:top w:val="nil"/>
              <w:left w:val="nil"/>
              <w:bottom w:val="nil"/>
              <w:right w:val="nil"/>
            </w:tcBorders>
            <w:vAlign w:val="center"/>
          </w:tcPr>
          <w:p w14:paraId="00000073"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4,8</w:t>
            </w:r>
          </w:p>
        </w:tc>
      </w:tr>
      <w:tr w:rsidR="00E51D2F" w:rsidRPr="00BA4A54" w14:paraId="72D9048D" w14:textId="77777777">
        <w:tc>
          <w:tcPr>
            <w:tcW w:w="3159" w:type="dxa"/>
            <w:tcBorders>
              <w:top w:val="nil"/>
              <w:left w:val="nil"/>
              <w:bottom w:val="nil"/>
              <w:right w:val="nil"/>
            </w:tcBorders>
          </w:tcPr>
          <w:p w14:paraId="00000074" w14:textId="77777777" w:rsidR="00E51D2F" w:rsidRPr="00BA4A54" w:rsidRDefault="00000000">
            <w:pPr>
              <w:spacing w:line="360" w:lineRule="auto"/>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Nivel atendido en el año 2024</w:t>
            </w:r>
          </w:p>
        </w:tc>
        <w:tc>
          <w:tcPr>
            <w:tcW w:w="2754" w:type="dxa"/>
            <w:tcBorders>
              <w:top w:val="nil"/>
              <w:left w:val="nil"/>
              <w:bottom w:val="nil"/>
              <w:right w:val="nil"/>
            </w:tcBorders>
          </w:tcPr>
          <w:p w14:paraId="00000075" w14:textId="77777777" w:rsidR="00E51D2F" w:rsidRPr="00BA4A54" w:rsidRDefault="00E51D2F">
            <w:pPr>
              <w:spacing w:line="360" w:lineRule="auto"/>
              <w:jc w:val="center"/>
              <w:rPr>
                <w:rFonts w:ascii="Times New Roman" w:eastAsia="Times New Roman" w:hAnsi="Times New Roman" w:cs="Times New Roman"/>
                <w:color w:val="0D0D0D"/>
                <w:sz w:val="24"/>
                <w:szCs w:val="24"/>
              </w:rPr>
            </w:pPr>
          </w:p>
        </w:tc>
        <w:tc>
          <w:tcPr>
            <w:tcW w:w="2880" w:type="dxa"/>
            <w:tcBorders>
              <w:top w:val="nil"/>
              <w:left w:val="nil"/>
              <w:bottom w:val="nil"/>
              <w:right w:val="nil"/>
            </w:tcBorders>
          </w:tcPr>
          <w:p w14:paraId="00000076" w14:textId="77777777" w:rsidR="00E51D2F" w:rsidRPr="00BA4A54" w:rsidRDefault="00E51D2F">
            <w:pPr>
              <w:spacing w:line="360" w:lineRule="auto"/>
              <w:jc w:val="center"/>
              <w:rPr>
                <w:rFonts w:ascii="Times New Roman" w:eastAsia="Times New Roman" w:hAnsi="Times New Roman" w:cs="Times New Roman"/>
                <w:color w:val="0D0D0D"/>
                <w:sz w:val="24"/>
                <w:szCs w:val="24"/>
              </w:rPr>
            </w:pPr>
          </w:p>
        </w:tc>
      </w:tr>
      <w:tr w:rsidR="00E51D2F" w:rsidRPr="00BA4A54" w14:paraId="0A908372" w14:textId="77777777">
        <w:tc>
          <w:tcPr>
            <w:tcW w:w="3159" w:type="dxa"/>
            <w:tcBorders>
              <w:top w:val="nil"/>
              <w:left w:val="nil"/>
              <w:bottom w:val="nil"/>
              <w:right w:val="nil"/>
            </w:tcBorders>
          </w:tcPr>
          <w:p w14:paraId="00000077"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Primero</w:t>
            </w:r>
          </w:p>
        </w:tc>
        <w:tc>
          <w:tcPr>
            <w:tcW w:w="2754" w:type="dxa"/>
            <w:tcBorders>
              <w:top w:val="nil"/>
              <w:left w:val="nil"/>
              <w:bottom w:val="nil"/>
              <w:right w:val="nil"/>
            </w:tcBorders>
          </w:tcPr>
          <w:p w14:paraId="00000078"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110</w:t>
            </w:r>
          </w:p>
        </w:tc>
        <w:tc>
          <w:tcPr>
            <w:tcW w:w="2880" w:type="dxa"/>
            <w:tcBorders>
              <w:top w:val="nil"/>
              <w:left w:val="nil"/>
              <w:bottom w:val="nil"/>
              <w:right w:val="nil"/>
            </w:tcBorders>
          </w:tcPr>
          <w:p w14:paraId="00000079"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37,4</w:t>
            </w:r>
          </w:p>
        </w:tc>
      </w:tr>
      <w:tr w:rsidR="00E51D2F" w:rsidRPr="00BA4A54" w14:paraId="650F6761" w14:textId="77777777">
        <w:tc>
          <w:tcPr>
            <w:tcW w:w="3159" w:type="dxa"/>
            <w:tcBorders>
              <w:top w:val="nil"/>
              <w:left w:val="nil"/>
              <w:bottom w:val="nil"/>
              <w:right w:val="nil"/>
            </w:tcBorders>
          </w:tcPr>
          <w:p w14:paraId="0000007A"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Segundo</w:t>
            </w:r>
          </w:p>
        </w:tc>
        <w:tc>
          <w:tcPr>
            <w:tcW w:w="2754" w:type="dxa"/>
            <w:tcBorders>
              <w:top w:val="nil"/>
              <w:left w:val="nil"/>
              <w:bottom w:val="nil"/>
              <w:right w:val="nil"/>
            </w:tcBorders>
          </w:tcPr>
          <w:p w14:paraId="0000007B"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114</w:t>
            </w:r>
          </w:p>
        </w:tc>
        <w:tc>
          <w:tcPr>
            <w:tcW w:w="2880" w:type="dxa"/>
            <w:tcBorders>
              <w:top w:val="nil"/>
              <w:left w:val="nil"/>
              <w:bottom w:val="nil"/>
              <w:right w:val="nil"/>
            </w:tcBorders>
          </w:tcPr>
          <w:p w14:paraId="0000007C"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38,8</w:t>
            </w:r>
          </w:p>
        </w:tc>
      </w:tr>
      <w:tr w:rsidR="00E51D2F" w:rsidRPr="00BA4A54" w14:paraId="1AFDF292" w14:textId="77777777">
        <w:tc>
          <w:tcPr>
            <w:tcW w:w="3159" w:type="dxa"/>
            <w:tcBorders>
              <w:top w:val="nil"/>
              <w:left w:val="nil"/>
              <w:bottom w:val="nil"/>
              <w:right w:val="nil"/>
            </w:tcBorders>
          </w:tcPr>
          <w:p w14:paraId="0000007D"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Tercero</w:t>
            </w:r>
          </w:p>
        </w:tc>
        <w:tc>
          <w:tcPr>
            <w:tcW w:w="2754" w:type="dxa"/>
            <w:tcBorders>
              <w:top w:val="nil"/>
              <w:left w:val="nil"/>
              <w:bottom w:val="nil"/>
              <w:right w:val="nil"/>
            </w:tcBorders>
          </w:tcPr>
          <w:p w14:paraId="0000007E"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102</w:t>
            </w:r>
          </w:p>
        </w:tc>
        <w:tc>
          <w:tcPr>
            <w:tcW w:w="2880" w:type="dxa"/>
            <w:tcBorders>
              <w:top w:val="nil"/>
              <w:left w:val="nil"/>
              <w:bottom w:val="nil"/>
              <w:right w:val="nil"/>
            </w:tcBorders>
          </w:tcPr>
          <w:p w14:paraId="0000007F"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34,7</w:t>
            </w:r>
          </w:p>
        </w:tc>
      </w:tr>
      <w:tr w:rsidR="00E51D2F" w:rsidRPr="00BA4A54" w14:paraId="1B4F87F5" w14:textId="77777777">
        <w:tc>
          <w:tcPr>
            <w:tcW w:w="3159" w:type="dxa"/>
            <w:tcBorders>
              <w:top w:val="nil"/>
              <w:left w:val="nil"/>
              <w:bottom w:val="nil"/>
              <w:right w:val="nil"/>
            </w:tcBorders>
          </w:tcPr>
          <w:p w14:paraId="00000080"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Cuarto</w:t>
            </w:r>
          </w:p>
        </w:tc>
        <w:tc>
          <w:tcPr>
            <w:tcW w:w="2754" w:type="dxa"/>
            <w:tcBorders>
              <w:top w:val="nil"/>
              <w:left w:val="nil"/>
              <w:bottom w:val="nil"/>
              <w:right w:val="nil"/>
            </w:tcBorders>
          </w:tcPr>
          <w:p w14:paraId="00000081"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111</w:t>
            </w:r>
          </w:p>
        </w:tc>
        <w:tc>
          <w:tcPr>
            <w:tcW w:w="2880" w:type="dxa"/>
            <w:tcBorders>
              <w:top w:val="nil"/>
              <w:left w:val="nil"/>
              <w:bottom w:val="nil"/>
              <w:right w:val="nil"/>
            </w:tcBorders>
          </w:tcPr>
          <w:p w14:paraId="00000082"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37,8</w:t>
            </w:r>
          </w:p>
        </w:tc>
      </w:tr>
      <w:tr w:rsidR="00E51D2F" w:rsidRPr="00BA4A54" w14:paraId="551F8F54" w14:textId="77777777">
        <w:tc>
          <w:tcPr>
            <w:tcW w:w="3159" w:type="dxa"/>
            <w:tcBorders>
              <w:top w:val="nil"/>
              <w:left w:val="nil"/>
              <w:bottom w:val="nil"/>
              <w:right w:val="nil"/>
            </w:tcBorders>
          </w:tcPr>
          <w:p w14:paraId="00000083"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Quinto</w:t>
            </w:r>
          </w:p>
        </w:tc>
        <w:tc>
          <w:tcPr>
            <w:tcW w:w="2754" w:type="dxa"/>
            <w:tcBorders>
              <w:top w:val="nil"/>
              <w:left w:val="nil"/>
              <w:bottom w:val="nil"/>
              <w:right w:val="nil"/>
            </w:tcBorders>
          </w:tcPr>
          <w:p w14:paraId="00000084"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120</w:t>
            </w:r>
          </w:p>
        </w:tc>
        <w:tc>
          <w:tcPr>
            <w:tcW w:w="2880" w:type="dxa"/>
            <w:tcBorders>
              <w:top w:val="nil"/>
              <w:left w:val="nil"/>
              <w:bottom w:val="nil"/>
              <w:right w:val="nil"/>
            </w:tcBorders>
          </w:tcPr>
          <w:p w14:paraId="00000085"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40,8</w:t>
            </w:r>
          </w:p>
        </w:tc>
      </w:tr>
      <w:tr w:rsidR="00E51D2F" w:rsidRPr="00BA4A54" w14:paraId="36CA74BD" w14:textId="77777777">
        <w:tc>
          <w:tcPr>
            <w:tcW w:w="3159" w:type="dxa"/>
            <w:tcBorders>
              <w:top w:val="nil"/>
              <w:left w:val="nil"/>
              <w:bottom w:val="single" w:sz="4" w:space="0" w:color="000000"/>
              <w:right w:val="nil"/>
            </w:tcBorders>
          </w:tcPr>
          <w:p w14:paraId="00000086" w14:textId="77777777" w:rsidR="00E51D2F" w:rsidRPr="00BA4A54" w:rsidRDefault="00000000">
            <w:pPr>
              <w:spacing w:line="360" w:lineRule="auto"/>
              <w:ind w:left="720"/>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lastRenderedPageBreak/>
              <w:t>Sexto</w:t>
            </w:r>
          </w:p>
        </w:tc>
        <w:tc>
          <w:tcPr>
            <w:tcW w:w="2754" w:type="dxa"/>
            <w:tcBorders>
              <w:top w:val="nil"/>
              <w:left w:val="nil"/>
              <w:bottom w:val="single" w:sz="4" w:space="0" w:color="000000"/>
              <w:right w:val="nil"/>
            </w:tcBorders>
          </w:tcPr>
          <w:p w14:paraId="00000087"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115</w:t>
            </w:r>
          </w:p>
        </w:tc>
        <w:tc>
          <w:tcPr>
            <w:tcW w:w="2880" w:type="dxa"/>
            <w:tcBorders>
              <w:top w:val="nil"/>
              <w:left w:val="nil"/>
              <w:bottom w:val="single" w:sz="4" w:space="0" w:color="000000"/>
              <w:right w:val="nil"/>
            </w:tcBorders>
          </w:tcPr>
          <w:p w14:paraId="00000088" w14:textId="77777777" w:rsidR="00E51D2F" w:rsidRPr="00BA4A54" w:rsidRDefault="00000000">
            <w:pPr>
              <w:spacing w:line="360" w:lineRule="auto"/>
              <w:jc w:val="center"/>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39,1</w:t>
            </w:r>
          </w:p>
        </w:tc>
      </w:tr>
    </w:tbl>
    <w:p w14:paraId="00000089" w14:textId="77777777" w:rsidR="00E51D2F" w:rsidRPr="00BA4A54" w:rsidRDefault="00E51D2F">
      <w:pPr>
        <w:rPr>
          <w:rFonts w:ascii="Times New Roman" w:eastAsia="Times New Roman" w:hAnsi="Times New Roman" w:cs="Times New Roman"/>
          <w:color w:val="0D0D0D"/>
          <w:sz w:val="24"/>
          <w:szCs w:val="24"/>
        </w:rPr>
      </w:pPr>
    </w:p>
    <w:p w14:paraId="0000008A" w14:textId="77777777" w:rsidR="00E51D2F" w:rsidRPr="00BA4A54" w:rsidRDefault="00000000">
      <w:pPr>
        <w:spacing w:after="0" w:line="360" w:lineRule="auto"/>
        <w:jc w:val="both"/>
        <w:rPr>
          <w:rFonts w:ascii="Times New Roman" w:eastAsia="Times New Roman" w:hAnsi="Times New Roman" w:cs="Times New Roman"/>
          <w:b/>
          <w:color w:val="000000"/>
          <w:sz w:val="24"/>
          <w:szCs w:val="24"/>
        </w:rPr>
      </w:pPr>
      <w:r w:rsidRPr="00BA4A54">
        <w:rPr>
          <w:rFonts w:ascii="Times New Roman" w:eastAsia="Times New Roman" w:hAnsi="Times New Roman" w:cs="Times New Roman"/>
          <w:b/>
          <w:color w:val="000000"/>
          <w:sz w:val="24"/>
          <w:szCs w:val="24"/>
        </w:rPr>
        <w:t>Instrumento de Recolección de Datos</w:t>
      </w:r>
    </w:p>
    <w:p w14:paraId="0000008B" w14:textId="77777777" w:rsidR="00E51D2F" w:rsidRPr="00BA4A54" w:rsidRDefault="00000000">
      <w:pPr>
        <w:spacing w:after="0" w:line="360" w:lineRule="auto"/>
        <w:ind w:firstLine="708"/>
        <w:jc w:val="both"/>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Para la recolección de datos, un cuestionario fue diseñado específicamente para la finalidad de este estudio. El cuestionario resultó de un estudio previo en que se realizaron cinco grupos focales con docentes de escuelas en contextos distintos, por ejemplo, unidocente, de atención prioritaria, rura</w:t>
      </w:r>
      <w:r w:rsidRPr="00BA4A54">
        <w:rPr>
          <w:rFonts w:ascii="Times New Roman" w:eastAsia="Times New Roman" w:hAnsi="Times New Roman" w:cs="Times New Roman"/>
          <w:sz w:val="24"/>
          <w:szCs w:val="24"/>
        </w:rPr>
        <w:t>l</w:t>
      </w:r>
      <w:r w:rsidRPr="00BA4A54">
        <w:rPr>
          <w:rFonts w:ascii="Times New Roman" w:eastAsia="Times New Roman" w:hAnsi="Times New Roman" w:cs="Times New Roman"/>
          <w:color w:val="000000"/>
          <w:sz w:val="24"/>
          <w:szCs w:val="24"/>
        </w:rPr>
        <w:t xml:space="preserve"> y urbana. El cuestionario fue organizado en formato de encuesta en la plataforma digital LimeSurvey</w:t>
      </w:r>
      <w:r w:rsidRPr="00BA4A54">
        <w:rPr>
          <w:rFonts w:ascii="Times New Roman" w:eastAsia="Times New Roman" w:hAnsi="Times New Roman" w:cs="Times New Roman"/>
          <w:sz w:val="24"/>
          <w:szCs w:val="24"/>
        </w:rPr>
        <w:t>, la cual fue</w:t>
      </w:r>
      <w:r w:rsidRPr="00BA4A54">
        <w:rPr>
          <w:rFonts w:ascii="Times New Roman" w:eastAsia="Times New Roman" w:hAnsi="Times New Roman" w:cs="Times New Roman"/>
          <w:color w:val="000000"/>
          <w:sz w:val="24"/>
          <w:szCs w:val="24"/>
        </w:rPr>
        <w:t xml:space="preserve"> compuesta por cinco secciones: 1</w:t>
      </w:r>
      <w:r w:rsidRPr="00BA4A54">
        <w:rPr>
          <w:rFonts w:ascii="Times New Roman" w:eastAsia="Times New Roman" w:hAnsi="Times New Roman" w:cs="Times New Roman"/>
          <w:sz w:val="24"/>
          <w:szCs w:val="24"/>
        </w:rPr>
        <w:t xml:space="preserve">) Información personal con datos necesarios para caracterización de los participantes; 2) Información laboral respecto a las instituciones donde laboran, niveles que atendían y años de servicio laboral; 3) Valoración general con la finalidad de conocer el porcentaje de acuerdo con las decisiones tomadas por el MEP para la evaluación de los aprendizajes; 4) Aspectos sobre la evaluación de rubros que se implementan a nivel del aula, enfatizando porcentajes de acuerdo respecto a la claridad de los lineamientos del MEP, y aspectos que le han facilitado o dificultado la evaluación de los aprendizajes; criterios relacionados a los rubros y porcentajes de evaluación, acciones que podrían realizarse para mejorar la evaluación, así como el tipo de estrategias que implementan para desarrollar la evaluación y métodos de registro; y 5) Información acerca de la macroevolución, centrándose en la opinión acerca de las pruebas comprensivas y estandarizadas. En resumen, la encuesta estaba </w:t>
      </w:r>
      <w:r w:rsidRPr="00BA4A54">
        <w:rPr>
          <w:rFonts w:ascii="Times New Roman" w:eastAsia="Times New Roman" w:hAnsi="Times New Roman" w:cs="Times New Roman"/>
          <w:color w:val="202124"/>
          <w:sz w:val="24"/>
          <w:szCs w:val="24"/>
        </w:rPr>
        <w:t xml:space="preserve">conformada por preguntas iniciales, 18 preguntas </w:t>
      </w:r>
      <w:r w:rsidRPr="00BA4A54">
        <w:rPr>
          <w:rFonts w:ascii="Times New Roman" w:eastAsia="Times New Roman" w:hAnsi="Times New Roman" w:cs="Times New Roman"/>
          <w:sz w:val="24"/>
          <w:szCs w:val="24"/>
        </w:rPr>
        <w:t>cerradas y nueve preguntas abiertas complementarias. Las preguntas cerradas tenían algunas opciones de respuesta múltiple y otras de tipo Likert</w:t>
      </w:r>
      <w:r w:rsidRPr="00BA4A54">
        <w:rPr>
          <w:rFonts w:ascii="Times New Roman" w:eastAsia="Times New Roman" w:hAnsi="Times New Roman" w:cs="Times New Roman"/>
          <w:color w:val="202124"/>
          <w:sz w:val="24"/>
          <w:szCs w:val="24"/>
        </w:rPr>
        <w:t>.</w:t>
      </w:r>
    </w:p>
    <w:p w14:paraId="0000008C" w14:textId="77777777" w:rsidR="00E51D2F" w:rsidRPr="00BA4A54" w:rsidRDefault="00E51D2F">
      <w:pPr>
        <w:spacing w:after="0" w:line="360" w:lineRule="auto"/>
        <w:jc w:val="both"/>
        <w:rPr>
          <w:rFonts w:ascii="Times New Roman" w:eastAsia="Times New Roman" w:hAnsi="Times New Roman" w:cs="Times New Roman"/>
          <w:color w:val="000000"/>
          <w:sz w:val="24"/>
          <w:szCs w:val="24"/>
        </w:rPr>
      </w:pPr>
    </w:p>
    <w:p w14:paraId="0000008D" w14:textId="77777777" w:rsidR="00E51D2F" w:rsidRPr="00BA4A54" w:rsidRDefault="00000000">
      <w:pPr>
        <w:spacing w:after="0" w:line="360" w:lineRule="auto"/>
        <w:jc w:val="both"/>
        <w:rPr>
          <w:rFonts w:ascii="Times New Roman" w:eastAsia="Times New Roman" w:hAnsi="Times New Roman" w:cs="Times New Roman"/>
          <w:b/>
          <w:color w:val="000000"/>
          <w:sz w:val="24"/>
          <w:szCs w:val="24"/>
        </w:rPr>
      </w:pPr>
      <w:r w:rsidRPr="00BA4A54">
        <w:rPr>
          <w:rFonts w:ascii="Times New Roman" w:eastAsia="Times New Roman" w:hAnsi="Times New Roman" w:cs="Times New Roman"/>
          <w:b/>
          <w:color w:val="000000"/>
          <w:sz w:val="24"/>
          <w:szCs w:val="24"/>
        </w:rPr>
        <w:t>Procedimiento de Recolección de Datos</w:t>
      </w:r>
    </w:p>
    <w:p w14:paraId="0000008E" w14:textId="77777777" w:rsidR="00E51D2F" w:rsidRPr="00BA4A54" w:rsidRDefault="00000000">
      <w:pPr>
        <w:spacing w:after="0" w:line="360" w:lineRule="auto"/>
        <w:ind w:firstLine="708"/>
        <w:jc w:val="both"/>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D0D0D"/>
          <w:sz w:val="24"/>
          <w:szCs w:val="24"/>
        </w:rPr>
        <w:t xml:space="preserve">Se utilizó una base de datos de correos de docentes que se había conformado a partir de contactos laborales de las investigadoras y de estudiantes graduados de las carreras de Educación de I y II Ciclo de las diferentes universidades públicas del país. </w:t>
      </w:r>
      <w:r w:rsidRPr="00BA4A54">
        <w:rPr>
          <w:rFonts w:ascii="Times New Roman" w:eastAsia="Times New Roman" w:hAnsi="Times New Roman" w:cs="Times New Roman"/>
          <w:color w:val="000000"/>
          <w:sz w:val="24"/>
          <w:szCs w:val="24"/>
        </w:rPr>
        <w:t>L</w:t>
      </w:r>
      <w:r w:rsidRPr="00BA4A54">
        <w:rPr>
          <w:rFonts w:ascii="Times New Roman" w:eastAsia="Times New Roman" w:hAnsi="Times New Roman" w:cs="Times New Roman"/>
          <w:sz w:val="24"/>
          <w:szCs w:val="24"/>
        </w:rPr>
        <w:t>as personas</w:t>
      </w:r>
      <w:r w:rsidRPr="00BA4A54">
        <w:rPr>
          <w:rFonts w:ascii="Times New Roman" w:eastAsia="Times New Roman" w:hAnsi="Times New Roman" w:cs="Times New Roman"/>
          <w:color w:val="000000"/>
          <w:sz w:val="24"/>
          <w:szCs w:val="24"/>
        </w:rPr>
        <w:t xml:space="preserve"> docentes recibieron una invitación por correo electrónico institucional del equipo investigador con un enlace al cuestionario en línea alojado en LimeSurvey. Asimismo, el cuestionario fue enviado por plataformas digitales como Whatsapp y se realizaron publicaciones en redes sociales como Facebook, con la intención de llegar a la mayor </w:t>
      </w:r>
      <w:r w:rsidRPr="00BA4A54">
        <w:rPr>
          <w:rFonts w:ascii="Times New Roman" w:eastAsia="Times New Roman" w:hAnsi="Times New Roman" w:cs="Times New Roman"/>
          <w:color w:val="000000"/>
          <w:sz w:val="24"/>
          <w:szCs w:val="24"/>
        </w:rPr>
        <w:lastRenderedPageBreak/>
        <w:t xml:space="preserve">cantidad de docentes a lo largo del país. En la invitación se proporcionó información detallada sobre el propósito del estudio, la confidencialidad de los datos y la posibilidad de participar de manera voluntaria. </w:t>
      </w:r>
    </w:p>
    <w:p w14:paraId="0000008F" w14:textId="77777777" w:rsidR="00E51D2F" w:rsidRPr="00BA4A54" w:rsidRDefault="00000000">
      <w:pPr>
        <w:spacing w:after="0" w:line="360" w:lineRule="auto"/>
        <w:ind w:firstLine="708"/>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00000"/>
          <w:sz w:val="24"/>
          <w:szCs w:val="24"/>
        </w:rPr>
        <w:t>La encuentra se realizó en los meses de noviembre y diciembre del 2023. Se estableció un plazo para</w:t>
      </w:r>
      <w:r w:rsidRPr="00BA4A54">
        <w:rPr>
          <w:rFonts w:ascii="Times New Roman" w:eastAsia="Times New Roman" w:hAnsi="Times New Roman" w:cs="Times New Roman"/>
          <w:sz w:val="24"/>
          <w:szCs w:val="24"/>
        </w:rPr>
        <w:t xml:space="preserve"> contestar el </w:t>
      </w:r>
      <w:r w:rsidRPr="00BA4A54">
        <w:rPr>
          <w:rFonts w:ascii="Times New Roman" w:eastAsia="Times New Roman" w:hAnsi="Times New Roman" w:cs="Times New Roman"/>
          <w:color w:val="000000"/>
          <w:sz w:val="24"/>
          <w:szCs w:val="24"/>
        </w:rPr>
        <w:t xml:space="preserve">cuestionario hasta el 15 de diciembre. La encuesta </w:t>
      </w:r>
      <w:r w:rsidRPr="00BA4A54">
        <w:rPr>
          <w:rFonts w:ascii="Times New Roman" w:eastAsia="Times New Roman" w:hAnsi="Times New Roman" w:cs="Times New Roman"/>
          <w:sz w:val="24"/>
          <w:szCs w:val="24"/>
        </w:rPr>
        <w:t>tomó</w:t>
      </w:r>
      <w:r w:rsidRPr="00BA4A54">
        <w:rPr>
          <w:rFonts w:ascii="Times New Roman" w:eastAsia="Times New Roman" w:hAnsi="Times New Roman" w:cs="Times New Roman"/>
          <w:color w:val="000000"/>
          <w:sz w:val="24"/>
          <w:szCs w:val="24"/>
        </w:rPr>
        <w:t xml:space="preserve"> </w:t>
      </w:r>
      <w:r w:rsidRPr="00BA4A54">
        <w:rPr>
          <w:rFonts w:ascii="Times New Roman" w:eastAsia="Times New Roman" w:hAnsi="Times New Roman" w:cs="Times New Roman"/>
          <w:color w:val="202124"/>
          <w:sz w:val="24"/>
          <w:szCs w:val="24"/>
        </w:rPr>
        <w:t>aproximadamente 15 minutos para ser completada.</w:t>
      </w:r>
    </w:p>
    <w:p w14:paraId="00000090" w14:textId="77777777" w:rsidR="00E51D2F" w:rsidRPr="00BA4A54" w:rsidRDefault="00E51D2F">
      <w:pPr>
        <w:spacing w:after="0" w:line="360" w:lineRule="auto"/>
        <w:jc w:val="both"/>
        <w:rPr>
          <w:rFonts w:ascii="Times New Roman" w:eastAsia="Times New Roman" w:hAnsi="Times New Roman" w:cs="Times New Roman"/>
          <w:color w:val="000000"/>
          <w:sz w:val="24"/>
          <w:szCs w:val="24"/>
        </w:rPr>
      </w:pPr>
    </w:p>
    <w:p w14:paraId="00000091" w14:textId="77777777" w:rsidR="00E51D2F" w:rsidRPr="00BA4A54" w:rsidRDefault="00000000">
      <w:pPr>
        <w:spacing w:after="0" w:line="360" w:lineRule="auto"/>
        <w:jc w:val="both"/>
        <w:rPr>
          <w:rFonts w:ascii="Times New Roman" w:eastAsia="Times New Roman" w:hAnsi="Times New Roman" w:cs="Times New Roman"/>
          <w:b/>
          <w:color w:val="000000"/>
          <w:sz w:val="24"/>
          <w:szCs w:val="24"/>
        </w:rPr>
      </w:pPr>
      <w:r w:rsidRPr="00BA4A54">
        <w:rPr>
          <w:rFonts w:ascii="Times New Roman" w:eastAsia="Times New Roman" w:hAnsi="Times New Roman" w:cs="Times New Roman"/>
          <w:b/>
          <w:color w:val="000000"/>
          <w:sz w:val="24"/>
          <w:szCs w:val="24"/>
        </w:rPr>
        <w:t>Análisis de Datos</w:t>
      </w:r>
    </w:p>
    <w:p w14:paraId="00000092" w14:textId="77777777" w:rsidR="00E51D2F" w:rsidRPr="00BA4A54" w:rsidRDefault="00000000">
      <w:pPr>
        <w:spacing w:after="0" w:line="360" w:lineRule="auto"/>
        <w:ind w:firstLine="708"/>
        <w:jc w:val="both"/>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El análisis de los datos se realizó en dos enfoques de manera integrada. Las preguntas cerradas se analizaron de manera cuantitativa utilizando e</w:t>
      </w:r>
      <w:r w:rsidRPr="00BA4A54">
        <w:rPr>
          <w:rFonts w:ascii="Times New Roman" w:eastAsia="Times New Roman" w:hAnsi="Times New Roman" w:cs="Times New Roman"/>
          <w:sz w:val="24"/>
          <w:szCs w:val="24"/>
        </w:rPr>
        <w:t>l</w:t>
      </w:r>
      <w:r w:rsidRPr="00BA4A54">
        <w:rPr>
          <w:rFonts w:ascii="Times New Roman" w:eastAsia="Times New Roman" w:hAnsi="Times New Roman" w:cs="Times New Roman"/>
          <w:color w:val="000000"/>
          <w:sz w:val="24"/>
          <w:szCs w:val="24"/>
        </w:rPr>
        <w:t xml:space="preserve"> Programa Estadístico SPSS </w:t>
      </w:r>
      <w:r w:rsidRPr="00BA4A54">
        <w:rPr>
          <w:rFonts w:ascii="Times New Roman" w:eastAsia="Times New Roman" w:hAnsi="Times New Roman" w:cs="Times New Roman"/>
          <w:sz w:val="24"/>
          <w:szCs w:val="24"/>
        </w:rPr>
        <w:t>23 (Statistical Package for Social Sciences)</w:t>
      </w:r>
      <w:r w:rsidRPr="00BA4A54">
        <w:rPr>
          <w:rFonts w:ascii="Times New Roman" w:eastAsia="Times New Roman" w:hAnsi="Times New Roman" w:cs="Times New Roman"/>
          <w:color w:val="000000"/>
          <w:sz w:val="24"/>
          <w:szCs w:val="24"/>
        </w:rPr>
        <w:t xml:space="preserve">. Se realizó un análisis </w:t>
      </w:r>
      <w:r w:rsidRPr="00BA4A54">
        <w:rPr>
          <w:rFonts w:ascii="Times New Roman" w:eastAsia="Times New Roman" w:hAnsi="Times New Roman" w:cs="Times New Roman"/>
          <w:sz w:val="24"/>
          <w:szCs w:val="24"/>
        </w:rPr>
        <w:t>descriptivo de frecuencias</w:t>
      </w:r>
      <w:r w:rsidRPr="00BA4A54">
        <w:rPr>
          <w:rFonts w:ascii="Times New Roman" w:eastAsia="Times New Roman" w:hAnsi="Times New Roman" w:cs="Times New Roman"/>
          <w:color w:val="000000"/>
          <w:sz w:val="24"/>
          <w:szCs w:val="24"/>
        </w:rPr>
        <w:t>, porcentajes y medidas de tendencia central. Las preguntas abiertas se analizaron cualitativamente mediante</w:t>
      </w:r>
      <w:r w:rsidRPr="00BA4A54">
        <w:rPr>
          <w:rFonts w:ascii="Times New Roman" w:eastAsia="Times New Roman" w:hAnsi="Times New Roman" w:cs="Times New Roman"/>
          <w:sz w:val="24"/>
          <w:szCs w:val="24"/>
        </w:rPr>
        <w:t xml:space="preserve"> </w:t>
      </w:r>
      <w:r w:rsidRPr="00BA4A54">
        <w:rPr>
          <w:rFonts w:ascii="Times New Roman" w:eastAsia="Times New Roman" w:hAnsi="Times New Roman" w:cs="Times New Roman"/>
          <w:color w:val="000000"/>
          <w:sz w:val="24"/>
          <w:szCs w:val="24"/>
        </w:rPr>
        <w:t>una codificación y categorización de las respuestas de las personas participantes, identificando patrones, temas y categorías emergentes relacionados con la percepción y experiencias en torno al modelo de evaluación del MEP.</w:t>
      </w:r>
    </w:p>
    <w:p w14:paraId="00000093" w14:textId="77777777" w:rsidR="00E51D2F" w:rsidRPr="00BA4A54" w:rsidRDefault="00E51D2F">
      <w:pPr>
        <w:spacing w:after="0" w:line="360" w:lineRule="auto"/>
        <w:rPr>
          <w:rFonts w:ascii="Times New Roman" w:eastAsia="Times New Roman" w:hAnsi="Times New Roman" w:cs="Times New Roman"/>
          <w:sz w:val="24"/>
          <w:szCs w:val="24"/>
        </w:rPr>
      </w:pPr>
    </w:p>
    <w:p w14:paraId="00000094" w14:textId="77777777" w:rsidR="00E51D2F" w:rsidRPr="00BA4A54" w:rsidRDefault="00E51D2F">
      <w:pPr>
        <w:spacing w:after="0" w:line="360" w:lineRule="auto"/>
        <w:rPr>
          <w:rFonts w:ascii="Times New Roman" w:eastAsia="Times New Roman" w:hAnsi="Times New Roman" w:cs="Times New Roman"/>
          <w:sz w:val="24"/>
          <w:szCs w:val="24"/>
        </w:rPr>
      </w:pPr>
    </w:p>
    <w:p w14:paraId="00000095" w14:textId="77777777" w:rsidR="00E51D2F" w:rsidRPr="00BA4A54" w:rsidRDefault="00000000">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r w:rsidRPr="00BA4A54">
        <w:rPr>
          <w:rFonts w:ascii="Times New Roman" w:eastAsia="Times New Roman" w:hAnsi="Times New Roman" w:cs="Times New Roman"/>
          <w:b/>
          <w:color w:val="000000"/>
          <w:sz w:val="24"/>
          <w:szCs w:val="24"/>
        </w:rPr>
        <w:t>Resultados</w:t>
      </w:r>
    </w:p>
    <w:p w14:paraId="00000096" w14:textId="43CAEF82" w:rsidR="00E51D2F" w:rsidRPr="00BA4A54" w:rsidRDefault="00000000">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La encuesta realizada con las personas docentes proporcionó diferentes informaciones respecto a la percepción acerca de los lineamientos vigentes hasta diciembre de 2023 sobre el modelo de evaluación de los aprendiz</w:t>
      </w:r>
      <w:r w:rsidRPr="00BA4A54">
        <w:rPr>
          <w:rFonts w:ascii="Times New Roman" w:eastAsia="Times New Roman" w:hAnsi="Times New Roman" w:cs="Times New Roman"/>
          <w:sz w:val="24"/>
          <w:szCs w:val="24"/>
        </w:rPr>
        <w:t>ajes</w:t>
      </w:r>
      <w:r w:rsidRPr="00BA4A54">
        <w:rPr>
          <w:rFonts w:ascii="Times New Roman" w:eastAsia="Times New Roman" w:hAnsi="Times New Roman" w:cs="Times New Roman"/>
          <w:color w:val="000000"/>
          <w:sz w:val="24"/>
          <w:szCs w:val="24"/>
        </w:rPr>
        <w:t xml:space="preserve"> propuesto por el MEP. Las personas participantes aportaron desde su conocimiento acerca de los lineamientos para la evaluación de los aprendizajes hasta sus opiniones dirigidas a cambios y propuestas de acciones para mejorar el sistema vigente.</w:t>
      </w:r>
    </w:p>
    <w:p w14:paraId="00000097" w14:textId="0737738E" w:rsidR="00E51D2F" w:rsidRPr="00BA4A54" w:rsidRDefault="00000000">
      <w:pPr>
        <w:pBdr>
          <w:top w:val="nil"/>
          <w:left w:val="nil"/>
          <w:bottom w:val="nil"/>
          <w:right w:val="nil"/>
          <w:between w:val="nil"/>
        </w:pBd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color w:val="000000"/>
          <w:sz w:val="24"/>
          <w:szCs w:val="24"/>
        </w:rPr>
        <w:t xml:space="preserve">Una importante característica de la muestra evaluada es que esta se conformó, en su mayoría, por mujeres con </w:t>
      </w:r>
      <w:r w:rsidRPr="00BA4A54">
        <w:rPr>
          <w:rFonts w:ascii="Times New Roman" w:eastAsia="Times New Roman" w:hAnsi="Times New Roman" w:cs="Times New Roman"/>
          <w:sz w:val="24"/>
          <w:szCs w:val="24"/>
        </w:rPr>
        <w:t xml:space="preserve">más de 40 años y más de 10 años de experiencia laboral en I y II ciclo de la </w:t>
      </w:r>
      <w:r w:rsidR="006A578D" w:rsidRPr="00BA4A54">
        <w:rPr>
          <w:rFonts w:ascii="Times New Roman" w:eastAsia="Times New Roman" w:hAnsi="Times New Roman" w:cs="Times New Roman"/>
          <w:sz w:val="24"/>
          <w:szCs w:val="24"/>
        </w:rPr>
        <w:t>E</w:t>
      </w:r>
      <w:r w:rsidRPr="00BA4A54">
        <w:rPr>
          <w:rFonts w:ascii="Times New Roman" w:eastAsia="Times New Roman" w:hAnsi="Times New Roman" w:cs="Times New Roman"/>
          <w:sz w:val="24"/>
          <w:szCs w:val="24"/>
        </w:rPr>
        <w:t xml:space="preserve">ducación </w:t>
      </w:r>
      <w:r w:rsidR="006A578D" w:rsidRPr="00BA4A54">
        <w:rPr>
          <w:rFonts w:ascii="Times New Roman" w:eastAsia="Times New Roman" w:hAnsi="Times New Roman" w:cs="Times New Roman"/>
          <w:sz w:val="24"/>
          <w:szCs w:val="24"/>
        </w:rPr>
        <w:t>G</w:t>
      </w:r>
      <w:r w:rsidRPr="00BA4A54">
        <w:rPr>
          <w:rFonts w:ascii="Times New Roman" w:eastAsia="Times New Roman" w:hAnsi="Times New Roman" w:cs="Times New Roman"/>
          <w:sz w:val="24"/>
          <w:szCs w:val="24"/>
        </w:rPr>
        <w:t xml:space="preserve">eneral </w:t>
      </w:r>
      <w:r w:rsidR="006A578D" w:rsidRPr="00BA4A54">
        <w:rPr>
          <w:rFonts w:ascii="Times New Roman" w:eastAsia="Times New Roman" w:hAnsi="Times New Roman" w:cs="Times New Roman"/>
          <w:sz w:val="24"/>
          <w:szCs w:val="24"/>
        </w:rPr>
        <w:t>B</w:t>
      </w:r>
      <w:r w:rsidRPr="00BA4A54">
        <w:rPr>
          <w:rFonts w:ascii="Times New Roman" w:eastAsia="Times New Roman" w:hAnsi="Times New Roman" w:cs="Times New Roman"/>
          <w:sz w:val="24"/>
          <w:szCs w:val="24"/>
        </w:rPr>
        <w:t>ásica. Por consiguiente, los datos recolectados se limitan a la visión de esta muestra específica, siendo necesario considerar la posibilidad de que existan percepciones distintas no abarcadas en el presente estudio.</w:t>
      </w:r>
    </w:p>
    <w:p w14:paraId="00000098" w14:textId="4F3F40D5" w:rsidR="00E51D2F" w:rsidRPr="00BA4A54" w:rsidRDefault="00000000">
      <w:pPr>
        <w:pBdr>
          <w:top w:val="nil"/>
          <w:left w:val="nil"/>
          <w:bottom w:val="nil"/>
          <w:right w:val="nil"/>
          <w:between w:val="nil"/>
        </w:pBd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 xml:space="preserve">Hasta el momento en que contestaron la encuesta, de las 294 personas docentes participantes, 69,4% no habían recibido una capacitación del MEP sobre la evaluación de los </w:t>
      </w:r>
      <w:r w:rsidRPr="00BA4A54">
        <w:rPr>
          <w:rFonts w:ascii="Times New Roman" w:eastAsia="Times New Roman" w:hAnsi="Times New Roman" w:cs="Times New Roman"/>
          <w:sz w:val="24"/>
          <w:szCs w:val="24"/>
        </w:rPr>
        <w:lastRenderedPageBreak/>
        <w:t xml:space="preserve">aprendizajes. Las demás (30,6%) habían realizado solamente una capacitación. Las personas docentes indicaron que los temas de estas capacitaciones </w:t>
      </w:r>
      <w:r w:rsidR="006A578D" w:rsidRPr="00BA4A54">
        <w:rPr>
          <w:rFonts w:ascii="Times New Roman" w:eastAsia="Times New Roman" w:hAnsi="Times New Roman" w:cs="Times New Roman"/>
          <w:sz w:val="24"/>
          <w:szCs w:val="24"/>
        </w:rPr>
        <w:t>versaron sobre</w:t>
      </w:r>
      <w:r w:rsidRPr="00BA4A54">
        <w:rPr>
          <w:rFonts w:ascii="Times New Roman" w:eastAsia="Times New Roman" w:hAnsi="Times New Roman" w:cs="Times New Roman"/>
          <w:sz w:val="24"/>
          <w:szCs w:val="24"/>
        </w:rPr>
        <w:t>: pruebas estandarizadas y pruebas comprensivas</w:t>
      </w:r>
      <w:r w:rsidR="006A578D" w:rsidRPr="00BA4A54">
        <w:rPr>
          <w:rFonts w:ascii="Times New Roman" w:eastAsia="Times New Roman" w:hAnsi="Times New Roman" w:cs="Times New Roman"/>
          <w:sz w:val="24"/>
          <w:szCs w:val="24"/>
        </w:rPr>
        <w:t xml:space="preserve"> (macroevaluación)</w:t>
      </w:r>
      <w:r w:rsidRPr="00BA4A54">
        <w:rPr>
          <w:rFonts w:ascii="Times New Roman" w:eastAsia="Times New Roman" w:hAnsi="Times New Roman" w:cs="Times New Roman"/>
          <w:sz w:val="24"/>
          <w:szCs w:val="24"/>
        </w:rPr>
        <w:t>, formatos y cambios en pruebas escritas, rubros y componentes establecidos para la evaluación de los aprendizajes</w:t>
      </w:r>
      <w:r w:rsidR="006A578D" w:rsidRPr="00BA4A54">
        <w:rPr>
          <w:rFonts w:ascii="Times New Roman" w:eastAsia="Times New Roman" w:hAnsi="Times New Roman" w:cs="Times New Roman"/>
          <w:sz w:val="24"/>
          <w:szCs w:val="24"/>
        </w:rPr>
        <w:t xml:space="preserve"> (microevaluación)</w:t>
      </w:r>
      <w:r w:rsidRPr="00BA4A54">
        <w:rPr>
          <w:rFonts w:ascii="Times New Roman" w:eastAsia="Times New Roman" w:hAnsi="Times New Roman" w:cs="Times New Roman"/>
          <w:sz w:val="24"/>
          <w:szCs w:val="24"/>
        </w:rPr>
        <w:t>,  elaboración de instrumentos e indicadores, planeamiento y estrategias de aprendizaje, lineamientos del MEP y cambios en el</w:t>
      </w:r>
      <w:r w:rsidR="006A578D" w:rsidRPr="00BA4A54">
        <w:rPr>
          <w:rFonts w:ascii="Times New Roman" w:eastAsia="Times New Roman" w:hAnsi="Times New Roman" w:cs="Times New Roman"/>
          <w:sz w:val="24"/>
          <w:szCs w:val="24"/>
        </w:rPr>
        <w:t xml:space="preserve"> </w:t>
      </w:r>
      <w:r w:rsidRPr="00BA4A54">
        <w:rPr>
          <w:rFonts w:ascii="Times New Roman" w:eastAsia="Times New Roman" w:hAnsi="Times New Roman" w:cs="Times New Roman"/>
          <w:sz w:val="24"/>
          <w:szCs w:val="24"/>
        </w:rPr>
        <w:t>REA, asesoramiento en evaluación de los aprendizajes en el contexto de la transformación curricular y algunos otros temas acerca de la flexibilidad en evaluación a estudiantes con alguna condición o diagnóstico.</w:t>
      </w:r>
    </w:p>
    <w:p w14:paraId="00000099" w14:textId="77777777" w:rsidR="00E51D2F" w:rsidRPr="00BA4A54" w:rsidRDefault="00000000">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r w:rsidRPr="00BA4A54">
        <w:rPr>
          <w:rFonts w:ascii="Times New Roman" w:eastAsia="Times New Roman" w:hAnsi="Times New Roman" w:cs="Times New Roman"/>
          <w:sz w:val="24"/>
          <w:szCs w:val="24"/>
        </w:rPr>
        <w:t xml:space="preserve">Con respecto a la claridad de los lineamientos del MEP, las personas </w:t>
      </w:r>
      <w:r w:rsidRPr="00BA4A54">
        <w:rPr>
          <w:rFonts w:ascii="Times New Roman" w:eastAsia="Times New Roman" w:hAnsi="Times New Roman" w:cs="Times New Roman"/>
          <w:color w:val="000000"/>
          <w:sz w:val="24"/>
          <w:szCs w:val="24"/>
        </w:rPr>
        <w:t xml:space="preserve">evaluadas están más de acuerdo que en desacuerdo en lo que se refiere a los lineamientos para la </w:t>
      </w:r>
      <w:r w:rsidRPr="00BA4A54">
        <w:rPr>
          <w:rFonts w:ascii="Times New Roman" w:eastAsia="Times New Roman" w:hAnsi="Times New Roman" w:cs="Times New Roman"/>
          <w:sz w:val="24"/>
          <w:szCs w:val="24"/>
        </w:rPr>
        <w:t xml:space="preserve">construcción de las pruebas escritas según los indicadores de aprendizaje, así como a </w:t>
      </w:r>
      <w:r w:rsidRPr="00BA4A54">
        <w:rPr>
          <w:rFonts w:ascii="Times New Roman" w:eastAsia="Times New Roman" w:hAnsi="Times New Roman" w:cs="Times New Roman"/>
          <w:color w:val="000000"/>
          <w:sz w:val="24"/>
          <w:szCs w:val="24"/>
        </w:rPr>
        <w:t xml:space="preserve">evaluar </w:t>
      </w:r>
      <w:r w:rsidRPr="00BA4A54">
        <w:rPr>
          <w:rFonts w:ascii="Times New Roman" w:eastAsia="Times New Roman" w:hAnsi="Times New Roman" w:cs="Times New Roman"/>
          <w:sz w:val="24"/>
          <w:szCs w:val="24"/>
        </w:rPr>
        <w:t xml:space="preserve">las </w:t>
      </w:r>
      <w:r w:rsidRPr="00BA4A54">
        <w:rPr>
          <w:rFonts w:ascii="Times New Roman" w:eastAsia="Times New Roman" w:hAnsi="Times New Roman" w:cs="Times New Roman"/>
          <w:color w:val="000000"/>
          <w:sz w:val="24"/>
          <w:szCs w:val="24"/>
        </w:rPr>
        <w:t xml:space="preserve">tareas y </w:t>
      </w:r>
      <w:r w:rsidRPr="00BA4A54">
        <w:rPr>
          <w:rFonts w:ascii="Times New Roman" w:eastAsia="Times New Roman" w:hAnsi="Times New Roman" w:cs="Times New Roman"/>
          <w:sz w:val="24"/>
          <w:szCs w:val="24"/>
        </w:rPr>
        <w:t>l</w:t>
      </w:r>
      <w:r w:rsidRPr="00BA4A54">
        <w:rPr>
          <w:rFonts w:ascii="Times New Roman" w:eastAsia="Times New Roman" w:hAnsi="Times New Roman" w:cs="Times New Roman"/>
          <w:color w:val="000000"/>
          <w:sz w:val="24"/>
          <w:szCs w:val="24"/>
        </w:rPr>
        <w:t>a asistencia. No obstante, indican menos claridad de</w:t>
      </w:r>
      <w:r w:rsidRPr="00BA4A54">
        <w:rPr>
          <w:rFonts w:ascii="Times New Roman" w:eastAsia="Times New Roman" w:hAnsi="Times New Roman" w:cs="Times New Roman"/>
          <w:sz w:val="24"/>
          <w:szCs w:val="24"/>
        </w:rPr>
        <w:t xml:space="preserve"> lo</w:t>
      </w:r>
      <w:r w:rsidRPr="00BA4A54">
        <w:rPr>
          <w:rFonts w:ascii="Times New Roman" w:eastAsia="Times New Roman" w:hAnsi="Times New Roman" w:cs="Times New Roman"/>
          <w:color w:val="000000"/>
          <w:sz w:val="24"/>
          <w:szCs w:val="24"/>
        </w:rPr>
        <w:t>s lineamientos para evaluar el rubro del trabajo cotidiano, tal como puede ser observado en la Tabla 2.</w:t>
      </w:r>
    </w:p>
    <w:p w14:paraId="0000009A" w14:textId="77777777" w:rsidR="00E51D2F" w:rsidRPr="00BA4A54" w:rsidRDefault="00E51D2F">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p>
    <w:p w14:paraId="0000009B" w14:textId="77777777" w:rsidR="00E51D2F" w:rsidRPr="00BA4A54" w:rsidRDefault="00000000">
      <w:pP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Tabla 2</w:t>
      </w:r>
    </w:p>
    <w:p w14:paraId="0000009C" w14:textId="77777777" w:rsidR="00E51D2F" w:rsidRPr="00BA4A54" w:rsidRDefault="00000000">
      <w:pPr>
        <w:jc w:val="both"/>
        <w:rPr>
          <w:rFonts w:ascii="Times New Roman" w:eastAsia="Times New Roman" w:hAnsi="Times New Roman" w:cs="Times New Roman"/>
          <w:sz w:val="24"/>
          <w:szCs w:val="24"/>
        </w:rPr>
      </w:pPr>
      <w:r w:rsidRPr="00BA4A54">
        <w:rPr>
          <w:rFonts w:ascii="Times New Roman" w:eastAsia="Times New Roman" w:hAnsi="Times New Roman" w:cs="Times New Roman"/>
          <w:i/>
          <w:sz w:val="24"/>
          <w:szCs w:val="24"/>
        </w:rPr>
        <w:t>Porcentaje de acuerdo de las personas docentes con respecto a la claridad de los lineamientos del MEP para evaluar el trabajo cotidiano, las tareas, la asistencia y para construir las pruebas escritas</w:t>
      </w:r>
    </w:p>
    <w:tbl>
      <w:tblPr>
        <w:tblStyle w:val="7"/>
        <w:tblpPr w:leftFromText="141" w:rightFromText="141" w:vertAnchor="text" w:tblpY="1"/>
        <w:tblW w:w="9193" w:type="dxa"/>
        <w:tblInd w:w="0" w:type="dxa"/>
        <w:tblBorders>
          <w:top w:val="single" w:sz="4" w:space="0" w:color="000000"/>
          <w:bottom w:val="single" w:sz="4" w:space="0" w:color="000000"/>
        </w:tblBorders>
        <w:tblLayout w:type="fixed"/>
        <w:tblLook w:val="0000" w:firstRow="0" w:lastRow="0" w:firstColumn="0" w:lastColumn="0" w:noHBand="0" w:noVBand="0"/>
      </w:tblPr>
      <w:tblGrid>
        <w:gridCol w:w="3969"/>
        <w:gridCol w:w="1203"/>
        <w:gridCol w:w="103"/>
        <w:gridCol w:w="956"/>
        <w:gridCol w:w="350"/>
        <w:gridCol w:w="1090"/>
        <w:gridCol w:w="216"/>
        <w:gridCol w:w="1306"/>
      </w:tblGrid>
      <w:tr w:rsidR="00E51D2F" w:rsidRPr="00BA4A54" w14:paraId="1DCBB4F6" w14:textId="77777777">
        <w:trPr>
          <w:cantSplit/>
          <w:trHeight w:val="416"/>
        </w:trPr>
        <w:tc>
          <w:tcPr>
            <w:tcW w:w="3969" w:type="dxa"/>
            <w:vMerge w:val="restart"/>
            <w:tcBorders>
              <w:top w:val="single" w:sz="4" w:space="0" w:color="000000"/>
            </w:tcBorders>
            <w:shd w:val="clear" w:color="auto" w:fill="FFFFFF"/>
          </w:tcPr>
          <w:p w14:paraId="0000009D" w14:textId="77777777" w:rsidR="00E51D2F" w:rsidRPr="00BA4A54" w:rsidRDefault="00000000">
            <w:pPr>
              <w:ind w:left="60" w:right="60"/>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Claridad de los lineamientos del sistema de evaluación del MEP para:</w:t>
            </w:r>
          </w:p>
        </w:tc>
        <w:tc>
          <w:tcPr>
            <w:tcW w:w="5224" w:type="dxa"/>
            <w:gridSpan w:val="7"/>
            <w:tcBorders>
              <w:top w:val="single" w:sz="4" w:space="0" w:color="000000"/>
              <w:bottom w:val="single" w:sz="4" w:space="0" w:color="000000"/>
            </w:tcBorders>
            <w:shd w:val="clear" w:color="auto" w:fill="FFFFFF"/>
          </w:tcPr>
          <w:p w14:paraId="0000009E" w14:textId="77777777" w:rsidR="00E51D2F" w:rsidRPr="00BA4A54" w:rsidRDefault="00000000">
            <w:pPr>
              <w:spacing w:after="12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Porcentaje de Acuerdo</w:t>
            </w:r>
          </w:p>
        </w:tc>
      </w:tr>
      <w:tr w:rsidR="00E51D2F" w:rsidRPr="00BA4A54" w14:paraId="2AE9F36C" w14:textId="77777777">
        <w:trPr>
          <w:cantSplit/>
          <w:trHeight w:val="416"/>
        </w:trPr>
        <w:tc>
          <w:tcPr>
            <w:tcW w:w="3969" w:type="dxa"/>
            <w:vMerge/>
            <w:tcBorders>
              <w:top w:val="single" w:sz="4" w:space="0" w:color="000000"/>
            </w:tcBorders>
            <w:shd w:val="clear" w:color="auto" w:fill="FFFFFF"/>
          </w:tcPr>
          <w:p w14:paraId="000000A5" w14:textId="77777777" w:rsidR="00E51D2F" w:rsidRPr="00BA4A54" w:rsidRDefault="00E51D2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306" w:type="dxa"/>
            <w:gridSpan w:val="2"/>
            <w:tcBorders>
              <w:top w:val="single" w:sz="4" w:space="0" w:color="000000"/>
              <w:bottom w:val="single" w:sz="4" w:space="0" w:color="000000"/>
            </w:tcBorders>
            <w:shd w:val="clear" w:color="auto" w:fill="FFFFFF"/>
          </w:tcPr>
          <w:p w14:paraId="000000A6"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Mucho</w:t>
            </w:r>
          </w:p>
        </w:tc>
        <w:tc>
          <w:tcPr>
            <w:tcW w:w="1306" w:type="dxa"/>
            <w:gridSpan w:val="2"/>
            <w:tcBorders>
              <w:top w:val="single" w:sz="4" w:space="0" w:color="000000"/>
              <w:bottom w:val="single" w:sz="4" w:space="0" w:color="000000"/>
            </w:tcBorders>
            <w:shd w:val="clear" w:color="auto" w:fill="FFFFFF"/>
          </w:tcPr>
          <w:p w14:paraId="000000A8"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Algo</w:t>
            </w:r>
          </w:p>
        </w:tc>
        <w:tc>
          <w:tcPr>
            <w:tcW w:w="1306" w:type="dxa"/>
            <w:gridSpan w:val="2"/>
            <w:tcBorders>
              <w:top w:val="single" w:sz="4" w:space="0" w:color="000000"/>
              <w:bottom w:val="single" w:sz="4" w:space="0" w:color="000000"/>
            </w:tcBorders>
            <w:shd w:val="clear" w:color="auto" w:fill="FFFFFF"/>
          </w:tcPr>
          <w:p w14:paraId="000000AA"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Poco</w:t>
            </w:r>
          </w:p>
        </w:tc>
        <w:tc>
          <w:tcPr>
            <w:tcW w:w="1306" w:type="dxa"/>
            <w:tcBorders>
              <w:top w:val="single" w:sz="4" w:space="0" w:color="000000"/>
              <w:bottom w:val="single" w:sz="4" w:space="0" w:color="000000"/>
            </w:tcBorders>
            <w:shd w:val="clear" w:color="auto" w:fill="FFFFFF"/>
          </w:tcPr>
          <w:p w14:paraId="000000AC"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Nada</w:t>
            </w:r>
          </w:p>
        </w:tc>
      </w:tr>
      <w:tr w:rsidR="00E51D2F" w:rsidRPr="00BA4A54" w14:paraId="6C2C3698" w14:textId="77777777">
        <w:trPr>
          <w:cantSplit/>
        </w:trPr>
        <w:tc>
          <w:tcPr>
            <w:tcW w:w="3969" w:type="dxa"/>
            <w:tcBorders>
              <w:top w:val="single" w:sz="4" w:space="0" w:color="000000"/>
            </w:tcBorders>
            <w:shd w:val="clear" w:color="auto" w:fill="FFFFFF"/>
            <w:vAlign w:val="bottom"/>
          </w:tcPr>
          <w:p w14:paraId="000000AD" w14:textId="77777777" w:rsidR="00E51D2F" w:rsidRPr="00BA4A54" w:rsidRDefault="00000000">
            <w:pPr>
              <w:ind w:left="60" w:right="60"/>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Evaluar el rubro de trabajo cotidiano</w:t>
            </w:r>
          </w:p>
        </w:tc>
        <w:tc>
          <w:tcPr>
            <w:tcW w:w="1203" w:type="dxa"/>
            <w:tcBorders>
              <w:top w:val="single" w:sz="4" w:space="0" w:color="000000"/>
            </w:tcBorders>
            <w:shd w:val="clear" w:color="auto" w:fill="FFFFFF"/>
            <w:vAlign w:val="center"/>
          </w:tcPr>
          <w:p w14:paraId="000000AE"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27,6</w:t>
            </w:r>
          </w:p>
        </w:tc>
        <w:tc>
          <w:tcPr>
            <w:tcW w:w="1059" w:type="dxa"/>
            <w:gridSpan w:val="2"/>
            <w:tcBorders>
              <w:top w:val="single" w:sz="4" w:space="0" w:color="000000"/>
            </w:tcBorders>
            <w:shd w:val="clear" w:color="auto" w:fill="FFFFFF"/>
            <w:vAlign w:val="center"/>
          </w:tcPr>
          <w:p w14:paraId="000000AF"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33,7</w:t>
            </w:r>
          </w:p>
        </w:tc>
        <w:tc>
          <w:tcPr>
            <w:tcW w:w="1440" w:type="dxa"/>
            <w:gridSpan w:val="2"/>
            <w:tcBorders>
              <w:top w:val="single" w:sz="4" w:space="0" w:color="000000"/>
            </w:tcBorders>
            <w:shd w:val="clear" w:color="auto" w:fill="FFFFFF"/>
            <w:vAlign w:val="center"/>
          </w:tcPr>
          <w:p w14:paraId="000000B1"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31,3</w:t>
            </w:r>
          </w:p>
        </w:tc>
        <w:tc>
          <w:tcPr>
            <w:tcW w:w="1522" w:type="dxa"/>
            <w:gridSpan w:val="2"/>
            <w:tcBorders>
              <w:top w:val="single" w:sz="4" w:space="0" w:color="000000"/>
            </w:tcBorders>
            <w:shd w:val="clear" w:color="auto" w:fill="FFFFFF"/>
            <w:vAlign w:val="center"/>
          </w:tcPr>
          <w:p w14:paraId="000000B3"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7,5</w:t>
            </w:r>
          </w:p>
        </w:tc>
      </w:tr>
      <w:tr w:rsidR="00E51D2F" w:rsidRPr="00BA4A54" w14:paraId="7737668B" w14:textId="77777777">
        <w:trPr>
          <w:cantSplit/>
        </w:trPr>
        <w:tc>
          <w:tcPr>
            <w:tcW w:w="3969" w:type="dxa"/>
            <w:shd w:val="clear" w:color="auto" w:fill="FFFFFF"/>
            <w:vAlign w:val="bottom"/>
          </w:tcPr>
          <w:p w14:paraId="000000B5" w14:textId="7EC52EA5" w:rsidR="00E51D2F" w:rsidRPr="00BA4A54" w:rsidRDefault="00000000">
            <w:pPr>
              <w:ind w:left="60" w:right="60"/>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Evaluar las tareas</w:t>
            </w:r>
          </w:p>
        </w:tc>
        <w:tc>
          <w:tcPr>
            <w:tcW w:w="1203" w:type="dxa"/>
            <w:shd w:val="clear" w:color="auto" w:fill="FFFFFF"/>
            <w:vAlign w:val="center"/>
          </w:tcPr>
          <w:p w14:paraId="000000B6"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39,5</w:t>
            </w:r>
          </w:p>
        </w:tc>
        <w:tc>
          <w:tcPr>
            <w:tcW w:w="1059" w:type="dxa"/>
            <w:gridSpan w:val="2"/>
            <w:shd w:val="clear" w:color="auto" w:fill="FFFFFF"/>
            <w:vAlign w:val="center"/>
          </w:tcPr>
          <w:p w14:paraId="000000B7"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31,3</w:t>
            </w:r>
          </w:p>
        </w:tc>
        <w:tc>
          <w:tcPr>
            <w:tcW w:w="1440" w:type="dxa"/>
            <w:gridSpan w:val="2"/>
            <w:shd w:val="clear" w:color="auto" w:fill="FFFFFF"/>
            <w:vAlign w:val="center"/>
          </w:tcPr>
          <w:p w14:paraId="000000B9"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24,5</w:t>
            </w:r>
          </w:p>
        </w:tc>
        <w:tc>
          <w:tcPr>
            <w:tcW w:w="1522" w:type="dxa"/>
            <w:gridSpan w:val="2"/>
            <w:shd w:val="clear" w:color="auto" w:fill="FFFFFF"/>
            <w:vAlign w:val="center"/>
          </w:tcPr>
          <w:p w14:paraId="000000BB"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4,8</w:t>
            </w:r>
          </w:p>
        </w:tc>
      </w:tr>
      <w:tr w:rsidR="00E51D2F" w:rsidRPr="00BA4A54" w14:paraId="2365D01E" w14:textId="77777777">
        <w:trPr>
          <w:cantSplit/>
        </w:trPr>
        <w:tc>
          <w:tcPr>
            <w:tcW w:w="3969" w:type="dxa"/>
            <w:shd w:val="clear" w:color="auto" w:fill="FFFFFF"/>
            <w:vAlign w:val="bottom"/>
          </w:tcPr>
          <w:p w14:paraId="000000BD" w14:textId="77777777" w:rsidR="00E51D2F" w:rsidRPr="00BA4A54" w:rsidRDefault="00000000">
            <w:pPr>
              <w:ind w:left="60" w:right="60"/>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Evaluar la asistencia</w:t>
            </w:r>
          </w:p>
        </w:tc>
        <w:tc>
          <w:tcPr>
            <w:tcW w:w="1203" w:type="dxa"/>
            <w:shd w:val="clear" w:color="auto" w:fill="FFFFFF"/>
            <w:vAlign w:val="center"/>
          </w:tcPr>
          <w:p w14:paraId="000000BE"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35,7</w:t>
            </w:r>
          </w:p>
        </w:tc>
        <w:tc>
          <w:tcPr>
            <w:tcW w:w="1059" w:type="dxa"/>
            <w:gridSpan w:val="2"/>
            <w:shd w:val="clear" w:color="auto" w:fill="FFFFFF"/>
            <w:vAlign w:val="center"/>
          </w:tcPr>
          <w:p w14:paraId="000000BF"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26,5</w:t>
            </w:r>
          </w:p>
        </w:tc>
        <w:tc>
          <w:tcPr>
            <w:tcW w:w="1440" w:type="dxa"/>
            <w:gridSpan w:val="2"/>
            <w:shd w:val="clear" w:color="auto" w:fill="FFFFFF"/>
            <w:vAlign w:val="center"/>
          </w:tcPr>
          <w:p w14:paraId="000000C1"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22,4</w:t>
            </w:r>
          </w:p>
        </w:tc>
        <w:tc>
          <w:tcPr>
            <w:tcW w:w="1522" w:type="dxa"/>
            <w:gridSpan w:val="2"/>
            <w:shd w:val="clear" w:color="auto" w:fill="FFFFFF"/>
            <w:vAlign w:val="center"/>
          </w:tcPr>
          <w:p w14:paraId="000000C3"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15,3</w:t>
            </w:r>
          </w:p>
        </w:tc>
      </w:tr>
      <w:tr w:rsidR="00E51D2F" w:rsidRPr="00BA4A54" w14:paraId="13EDDEDA" w14:textId="77777777">
        <w:trPr>
          <w:cantSplit/>
        </w:trPr>
        <w:tc>
          <w:tcPr>
            <w:tcW w:w="3969" w:type="dxa"/>
            <w:shd w:val="clear" w:color="auto" w:fill="FFFFFF"/>
            <w:vAlign w:val="bottom"/>
          </w:tcPr>
          <w:p w14:paraId="000000C5" w14:textId="77777777" w:rsidR="00E51D2F" w:rsidRPr="00BA4A54" w:rsidRDefault="00000000">
            <w:pPr>
              <w:ind w:left="60" w:right="60"/>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Construir las pruebas escritas según los indicadores de aprendizaje</w:t>
            </w:r>
          </w:p>
        </w:tc>
        <w:tc>
          <w:tcPr>
            <w:tcW w:w="1203" w:type="dxa"/>
            <w:shd w:val="clear" w:color="auto" w:fill="FFFFFF"/>
            <w:vAlign w:val="center"/>
          </w:tcPr>
          <w:p w14:paraId="000000C6"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48,0</w:t>
            </w:r>
          </w:p>
        </w:tc>
        <w:tc>
          <w:tcPr>
            <w:tcW w:w="1059" w:type="dxa"/>
            <w:gridSpan w:val="2"/>
            <w:shd w:val="clear" w:color="auto" w:fill="FFFFFF"/>
            <w:vAlign w:val="center"/>
          </w:tcPr>
          <w:p w14:paraId="000000C7"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30,3</w:t>
            </w:r>
          </w:p>
        </w:tc>
        <w:tc>
          <w:tcPr>
            <w:tcW w:w="1440" w:type="dxa"/>
            <w:gridSpan w:val="2"/>
            <w:shd w:val="clear" w:color="auto" w:fill="FFFFFF"/>
            <w:vAlign w:val="center"/>
          </w:tcPr>
          <w:p w14:paraId="000000C9" w14:textId="77777777" w:rsidR="00E51D2F" w:rsidRPr="00BA4A54" w:rsidRDefault="00000000">
            <w:pPr>
              <w:ind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16,7</w:t>
            </w:r>
          </w:p>
        </w:tc>
        <w:tc>
          <w:tcPr>
            <w:tcW w:w="1522" w:type="dxa"/>
            <w:gridSpan w:val="2"/>
            <w:shd w:val="clear" w:color="auto" w:fill="FFFFFF"/>
            <w:vAlign w:val="center"/>
          </w:tcPr>
          <w:p w14:paraId="000000CB" w14:textId="77777777" w:rsidR="00E51D2F" w:rsidRPr="00BA4A54" w:rsidRDefault="00000000">
            <w:pPr>
              <w:ind w:left="60" w:right="60"/>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5,1</w:t>
            </w:r>
          </w:p>
        </w:tc>
      </w:tr>
    </w:tbl>
    <w:p w14:paraId="000000CD" w14:textId="77777777" w:rsidR="00E51D2F" w:rsidRPr="00BA4A54" w:rsidRDefault="00E51D2F">
      <w:pPr>
        <w:spacing w:after="0" w:line="360" w:lineRule="auto"/>
        <w:jc w:val="both"/>
        <w:rPr>
          <w:rFonts w:ascii="Times New Roman" w:eastAsia="Times New Roman" w:hAnsi="Times New Roman" w:cs="Times New Roman"/>
          <w:sz w:val="24"/>
          <w:szCs w:val="24"/>
        </w:rPr>
      </w:pPr>
    </w:p>
    <w:p w14:paraId="000000CE" w14:textId="77777777" w:rsidR="00E51D2F" w:rsidRPr="00BA4A54" w:rsidRDefault="00000000">
      <w:pPr>
        <w:spacing w:after="0" w:line="360" w:lineRule="auto"/>
        <w:ind w:firstLine="709"/>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De una manera general, las personas docentes encuestadas no están muy seguras respecto a que se mantengan los porcentajes y rubros de evaluación actuales, ya que 53,1% contestó estar de acuerdo con que se mantengan y 46,9% que no se mantengan tal como están.</w:t>
      </w:r>
    </w:p>
    <w:p w14:paraId="000000CF" w14:textId="2202DABB" w:rsidR="00E51D2F" w:rsidRPr="00BA4A54" w:rsidRDefault="00000000">
      <w:pPr>
        <w:spacing w:after="0" w:line="360" w:lineRule="auto"/>
        <w:ind w:firstLine="709"/>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 xml:space="preserve">Sobre el modelo de evaluación de los aprendizajes, la mayoría de las personas docentes encuestadas no están muy seguras de que la evaluación actual identifique aquellos estudiantes que logran los aprendizajes, debido a que 80% de las respuestas se concentra en estar y no estar de acuerdo con tal afirmación, existiendo menos respuestas extremas </w:t>
      </w:r>
      <w:r w:rsidRPr="00BA4A54">
        <w:rPr>
          <w:rFonts w:ascii="Times New Roman" w:eastAsia="Times New Roman" w:hAnsi="Times New Roman" w:cs="Times New Roman"/>
          <w:sz w:val="24"/>
          <w:szCs w:val="24"/>
        </w:rPr>
        <w:lastRenderedPageBreak/>
        <w:t xml:space="preserve">(totalmente de acuerdo y totalmente en desacuerdo). Además, 69,7% contestaron que el modelo de evaluación está hecho para que el estudiantado pase sin esfuerzo, lo que refuerza esta percepción de las personas docentes. También se identifica que 68,1% no están de acuerdo con que los estudiantes pasen el grado con solo asistir a clases, sugiriendo que existen actividades realizadas por los docentes que no son contempladas por el modelo actual de evaluación de los aprendizajes. Las personas docentes que participaron del estudio están más en desacuerdo que de acuerdo con que el valor porcentual que tienen las pruebas escritas (I ciclo 20% y II ciclo 30%) motiva a los estudiantes a estudiar (60,9%), bien como más de la mitad de la muestra está en desacuerdo con que el modelo de evaluación actual responde a las necesidades de </w:t>
      </w:r>
      <w:r w:rsidR="006A578D" w:rsidRPr="00BA4A54">
        <w:rPr>
          <w:rFonts w:ascii="Times New Roman" w:eastAsia="Times New Roman" w:hAnsi="Times New Roman" w:cs="Times New Roman"/>
          <w:sz w:val="24"/>
          <w:szCs w:val="24"/>
        </w:rPr>
        <w:t>sus</w:t>
      </w:r>
      <w:r w:rsidRPr="00BA4A54">
        <w:rPr>
          <w:rFonts w:ascii="Times New Roman" w:eastAsia="Times New Roman" w:hAnsi="Times New Roman" w:cs="Times New Roman"/>
          <w:sz w:val="24"/>
          <w:szCs w:val="24"/>
        </w:rPr>
        <w:t xml:space="preserve"> estudiantes (55,5% que contestaron en desacuerdo o totalmente en desacuerdo)</w:t>
      </w:r>
      <w:r w:rsidR="006A578D" w:rsidRPr="00BA4A54">
        <w:rPr>
          <w:rFonts w:ascii="Times New Roman" w:eastAsia="Times New Roman" w:hAnsi="Times New Roman" w:cs="Times New Roman"/>
          <w:sz w:val="24"/>
          <w:szCs w:val="24"/>
        </w:rPr>
        <w:t>, tal como puede ser observado en la Tabla 3.</w:t>
      </w:r>
    </w:p>
    <w:p w14:paraId="000000D0" w14:textId="77777777" w:rsidR="00E51D2F" w:rsidRPr="00BA4A54" w:rsidRDefault="00E51D2F">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p>
    <w:p w14:paraId="000000D1" w14:textId="77777777" w:rsidR="00E51D2F" w:rsidRPr="00BA4A54" w:rsidRDefault="00000000">
      <w:pP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Tabla 3</w:t>
      </w:r>
    </w:p>
    <w:p w14:paraId="000000D2" w14:textId="77777777" w:rsidR="00E51D2F" w:rsidRPr="00BA4A54" w:rsidRDefault="00000000">
      <w:pPr>
        <w:spacing w:after="0" w:line="360" w:lineRule="auto"/>
        <w:jc w:val="both"/>
        <w:rPr>
          <w:rFonts w:ascii="Times New Roman" w:eastAsia="Times New Roman" w:hAnsi="Times New Roman" w:cs="Times New Roman"/>
          <w:i/>
          <w:sz w:val="24"/>
          <w:szCs w:val="24"/>
        </w:rPr>
      </w:pPr>
      <w:r w:rsidRPr="00BA4A54">
        <w:rPr>
          <w:rFonts w:ascii="Times New Roman" w:eastAsia="Times New Roman" w:hAnsi="Times New Roman" w:cs="Times New Roman"/>
          <w:i/>
          <w:sz w:val="24"/>
          <w:szCs w:val="24"/>
        </w:rPr>
        <w:t>Porcentaje de acuerdo de las personas docentes con respecto a afirmaciones sobre el modelo de evaluación de los aprendizajes</w:t>
      </w:r>
    </w:p>
    <w:tbl>
      <w:tblPr>
        <w:tblStyle w:val="6"/>
        <w:tblW w:w="9215" w:type="dxa"/>
        <w:tblInd w:w="0" w:type="dxa"/>
        <w:tblLayout w:type="fixed"/>
        <w:tblLook w:val="0400" w:firstRow="0" w:lastRow="0" w:firstColumn="0" w:lastColumn="0" w:noHBand="0" w:noVBand="1"/>
      </w:tblPr>
      <w:tblGrid>
        <w:gridCol w:w="2410"/>
        <w:gridCol w:w="1361"/>
        <w:gridCol w:w="1361"/>
        <w:gridCol w:w="1361"/>
        <w:gridCol w:w="1361"/>
        <w:gridCol w:w="1361"/>
      </w:tblGrid>
      <w:tr w:rsidR="00E51D2F" w:rsidRPr="00BA4A54" w14:paraId="278AFD68" w14:textId="77777777">
        <w:trPr>
          <w:trHeight w:val="608"/>
        </w:trPr>
        <w:tc>
          <w:tcPr>
            <w:tcW w:w="2410" w:type="dxa"/>
            <w:vMerge w:val="restart"/>
            <w:tcBorders>
              <w:top w:val="single" w:sz="4" w:space="0" w:color="000000"/>
            </w:tcBorders>
            <w:shd w:val="clear" w:color="auto" w:fill="FFFFFF"/>
            <w:vAlign w:val="center"/>
          </w:tcPr>
          <w:p w14:paraId="000000D3"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Afirmaciones sobre el modelo de evaluación de los aprendizajes</w:t>
            </w:r>
          </w:p>
          <w:p w14:paraId="000000D4" w14:textId="77777777" w:rsidR="00E51D2F" w:rsidRPr="00BA4A54" w:rsidRDefault="00E51D2F">
            <w:pPr>
              <w:rPr>
                <w:rFonts w:ascii="Times New Roman" w:eastAsia="Times New Roman" w:hAnsi="Times New Roman" w:cs="Times New Roman"/>
                <w:sz w:val="24"/>
                <w:szCs w:val="24"/>
              </w:rPr>
            </w:pPr>
          </w:p>
        </w:tc>
        <w:tc>
          <w:tcPr>
            <w:tcW w:w="6805" w:type="dxa"/>
            <w:gridSpan w:val="5"/>
            <w:tcBorders>
              <w:top w:val="single" w:sz="4" w:space="0" w:color="000000"/>
              <w:bottom w:val="single" w:sz="4" w:space="0" w:color="000000"/>
            </w:tcBorders>
            <w:shd w:val="clear" w:color="auto" w:fill="FFFFFF"/>
            <w:vAlign w:val="center"/>
          </w:tcPr>
          <w:p w14:paraId="000000D5"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Porcentaje de Acuerdo</w:t>
            </w:r>
          </w:p>
        </w:tc>
      </w:tr>
      <w:tr w:rsidR="00E51D2F" w:rsidRPr="00BA4A54" w14:paraId="1A2838B4" w14:textId="77777777">
        <w:trPr>
          <w:trHeight w:val="607"/>
        </w:trPr>
        <w:tc>
          <w:tcPr>
            <w:tcW w:w="2410" w:type="dxa"/>
            <w:vMerge/>
            <w:tcBorders>
              <w:top w:val="single" w:sz="4" w:space="0" w:color="000000"/>
            </w:tcBorders>
            <w:shd w:val="clear" w:color="auto" w:fill="FFFFFF"/>
            <w:vAlign w:val="center"/>
          </w:tcPr>
          <w:p w14:paraId="000000DA" w14:textId="77777777" w:rsidR="00E51D2F" w:rsidRPr="00BA4A54" w:rsidRDefault="00E51D2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361" w:type="dxa"/>
            <w:tcBorders>
              <w:top w:val="single" w:sz="4" w:space="0" w:color="000000"/>
              <w:bottom w:val="single" w:sz="4" w:space="0" w:color="000000"/>
            </w:tcBorders>
            <w:shd w:val="clear" w:color="auto" w:fill="FFFFFF"/>
            <w:vAlign w:val="center"/>
          </w:tcPr>
          <w:p w14:paraId="000000DB"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Totalmente de acuerdo</w:t>
            </w:r>
          </w:p>
        </w:tc>
        <w:tc>
          <w:tcPr>
            <w:tcW w:w="1361" w:type="dxa"/>
            <w:tcBorders>
              <w:top w:val="single" w:sz="4" w:space="0" w:color="000000"/>
              <w:bottom w:val="single" w:sz="4" w:space="0" w:color="000000"/>
            </w:tcBorders>
            <w:shd w:val="clear" w:color="auto" w:fill="FFFFFF"/>
            <w:vAlign w:val="center"/>
          </w:tcPr>
          <w:p w14:paraId="000000DC"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De acuerdo</w:t>
            </w:r>
          </w:p>
        </w:tc>
        <w:tc>
          <w:tcPr>
            <w:tcW w:w="1361" w:type="dxa"/>
            <w:tcBorders>
              <w:top w:val="single" w:sz="4" w:space="0" w:color="000000"/>
              <w:bottom w:val="single" w:sz="4" w:space="0" w:color="000000"/>
            </w:tcBorders>
            <w:shd w:val="clear" w:color="auto" w:fill="FFFFFF"/>
            <w:vAlign w:val="center"/>
          </w:tcPr>
          <w:p w14:paraId="000000DD"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Ni de acuerdo ni en desacuerdo</w:t>
            </w:r>
          </w:p>
        </w:tc>
        <w:tc>
          <w:tcPr>
            <w:tcW w:w="1361" w:type="dxa"/>
            <w:tcBorders>
              <w:top w:val="single" w:sz="4" w:space="0" w:color="000000"/>
              <w:bottom w:val="single" w:sz="4" w:space="0" w:color="000000"/>
            </w:tcBorders>
            <w:shd w:val="clear" w:color="auto" w:fill="FFFFFF"/>
            <w:vAlign w:val="center"/>
          </w:tcPr>
          <w:p w14:paraId="000000DE"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En desacuerdo</w:t>
            </w:r>
          </w:p>
        </w:tc>
        <w:tc>
          <w:tcPr>
            <w:tcW w:w="1361" w:type="dxa"/>
            <w:tcBorders>
              <w:top w:val="single" w:sz="4" w:space="0" w:color="000000"/>
              <w:bottom w:val="single" w:sz="4" w:space="0" w:color="000000"/>
            </w:tcBorders>
            <w:shd w:val="clear" w:color="auto" w:fill="FFFFFF"/>
            <w:vAlign w:val="center"/>
          </w:tcPr>
          <w:p w14:paraId="000000DF"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Totalmente en desacuerdo</w:t>
            </w:r>
          </w:p>
        </w:tc>
      </w:tr>
      <w:tr w:rsidR="00E51D2F" w:rsidRPr="00BA4A54" w14:paraId="14141488" w14:textId="77777777">
        <w:trPr>
          <w:trHeight w:val="1178"/>
        </w:trPr>
        <w:tc>
          <w:tcPr>
            <w:tcW w:w="2410" w:type="dxa"/>
            <w:tcBorders>
              <w:top w:val="single" w:sz="4" w:space="0" w:color="000000"/>
            </w:tcBorders>
            <w:shd w:val="clear" w:color="auto" w:fill="FFFFFF"/>
            <w:vAlign w:val="center"/>
          </w:tcPr>
          <w:p w14:paraId="000000E0"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Los estudiantes pasan el grado con solo asistir a clases</w:t>
            </w:r>
          </w:p>
        </w:tc>
        <w:tc>
          <w:tcPr>
            <w:tcW w:w="1361" w:type="dxa"/>
            <w:tcBorders>
              <w:top w:val="single" w:sz="4" w:space="0" w:color="000000"/>
            </w:tcBorders>
            <w:shd w:val="clear" w:color="auto" w:fill="FFFFFF"/>
            <w:vAlign w:val="center"/>
          </w:tcPr>
          <w:p w14:paraId="000000E1"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7,5</w:t>
            </w:r>
          </w:p>
        </w:tc>
        <w:tc>
          <w:tcPr>
            <w:tcW w:w="1361" w:type="dxa"/>
            <w:tcBorders>
              <w:top w:val="single" w:sz="4" w:space="0" w:color="000000"/>
            </w:tcBorders>
            <w:shd w:val="clear" w:color="auto" w:fill="FFFFFF"/>
            <w:vAlign w:val="center"/>
          </w:tcPr>
          <w:p w14:paraId="000000E2"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13,3</w:t>
            </w:r>
          </w:p>
        </w:tc>
        <w:tc>
          <w:tcPr>
            <w:tcW w:w="1361" w:type="dxa"/>
            <w:tcBorders>
              <w:top w:val="single" w:sz="4" w:space="0" w:color="000000"/>
            </w:tcBorders>
            <w:shd w:val="clear" w:color="auto" w:fill="FFFFFF"/>
            <w:vAlign w:val="center"/>
          </w:tcPr>
          <w:p w14:paraId="000000E3"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11,2</w:t>
            </w:r>
          </w:p>
        </w:tc>
        <w:tc>
          <w:tcPr>
            <w:tcW w:w="1361" w:type="dxa"/>
            <w:tcBorders>
              <w:top w:val="single" w:sz="4" w:space="0" w:color="000000"/>
            </w:tcBorders>
            <w:shd w:val="clear" w:color="auto" w:fill="FFFFFF"/>
            <w:vAlign w:val="center"/>
          </w:tcPr>
          <w:p w14:paraId="000000E4"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28,6</w:t>
            </w:r>
          </w:p>
        </w:tc>
        <w:tc>
          <w:tcPr>
            <w:tcW w:w="1361" w:type="dxa"/>
            <w:tcBorders>
              <w:top w:val="single" w:sz="4" w:space="0" w:color="000000"/>
            </w:tcBorders>
            <w:shd w:val="clear" w:color="auto" w:fill="FFFFFF"/>
            <w:vAlign w:val="center"/>
          </w:tcPr>
          <w:p w14:paraId="000000E5"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39,5</w:t>
            </w:r>
          </w:p>
        </w:tc>
      </w:tr>
      <w:tr w:rsidR="00E51D2F" w:rsidRPr="00BA4A54" w14:paraId="61644F4A" w14:textId="77777777">
        <w:trPr>
          <w:trHeight w:val="2108"/>
        </w:trPr>
        <w:tc>
          <w:tcPr>
            <w:tcW w:w="2410" w:type="dxa"/>
            <w:tcBorders>
              <w:top w:val="nil"/>
              <w:left w:val="nil"/>
            </w:tcBorders>
            <w:shd w:val="clear" w:color="auto" w:fill="FFFFFF"/>
            <w:vAlign w:val="center"/>
          </w:tcPr>
          <w:p w14:paraId="000000E6"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La evaluación actual identifica aquellos estudiantes que logran los aprendizajes</w:t>
            </w:r>
          </w:p>
        </w:tc>
        <w:tc>
          <w:tcPr>
            <w:tcW w:w="1361" w:type="dxa"/>
            <w:tcBorders>
              <w:top w:val="nil"/>
            </w:tcBorders>
            <w:shd w:val="clear" w:color="auto" w:fill="FFFFFF"/>
            <w:vAlign w:val="center"/>
          </w:tcPr>
          <w:p w14:paraId="000000E7"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8,5</w:t>
            </w:r>
          </w:p>
        </w:tc>
        <w:tc>
          <w:tcPr>
            <w:tcW w:w="1361" w:type="dxa"/>
            <w:tcBorders>
              <w:top w:val="nil"/>
            </w:tcBorders>
            <w:shd w:val="clear" w:color="auto" w:fill="FFFFFF"/>
            <w:vAlign w:val="center"/>
          </w:tcPr>
          <w:p w14:paraId="000000E8"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25,2</w:t>
            </w:r>
          </w:p>
        </w:tc>
        <w:tc>
          <w:tcPr>
            <w:tcW w:w="1361" w:type="dxa"/>
            <w:tcBorders>
              <w:top w:val="nil"/>
            </w:tcBorders>
            <w:shd w:val="clear" w:color="auto" w:fill="FFFFFF"/>
            <w:vAlign w:val="center"/>
          </w:tcPr>
          <w:p w14:paraId="000000E9"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26,2</w:t>
            </w:r>
          </w:p>
        </w:tc>
        <w:tc>
          <w:tcPr>
            <w:tcW w:w="1361" w:type="dxa"/>
            <w:tcBorders>
              <w:top w:val="nil"/>
            </w:tcBorders>
            <w:shd w:val="clear" w:color="auto" w:fill="FFFFFF"/>
            <w:vAlign w:val="center"/>
          </w:tcPr>
          <w:p w14:paraId="000000EA"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28,6</w:t>
            </w:r>
          </w:p>
        </w:tc>
        <w:tc>
          <w:tcPr>
            <w:tcW w:w="1361" w:type="dxa"/>
            <w:tcBorders>
              <w:top w:val="nil"/>
            </w:tcBorders>
            <w:shd w:val="clear" w:color="auto" w:fill="FFFFFF"/>
            <w:vAlign w:val="center"/>
          </w:tcPr>
          <w:p w14:paraId="000000EB"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11,6</w:t>
            </w:r>
          </w:p>
        </w:tc>
      </w:tr>
      <w:tr w:rsidR="00E51D2F" w:rsidRPr="00BA4A54" w14:paraId="6042B853" w14:textId="77777777">
        <w:trPr>
          <w:trHeight w:val="1406"/>
        </w:trPr>
        <w:tc>
          <w:tcPr>
            <w:tcW w:w="2410" w:type="dxa"/>
            <w:tcBorders>
              <w:top w:val="nil"/>
              <w:left w:val="nil"/>
            </w:tcBorders>
            <w:shd w:val="clear" w:color="auto" w:fill="FFFFFF"/>
            <w:vAlign w:val="center"/>
          </w:tcPr>
          <w:p w14:paraId="000000EC"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El valor porcentual que tienen las pruebas escritas (I ciclo 20% y II ciclo 30%) motiva a los estudiantes a estudiar</w:t>
            </w:r>
          </w:p>
        </w:tc>
        <w:tc>
          <w:tcPr>
            <w:tcW w:w="1361" w:type="dxa"/>
            <w:tcBorders>
              <w:top w:val="nil"/>
            </w:tcBorders>
            <w:shd w:val="clear" w:color="auto" w:fill="FFFFFF"/>
            <w:vAlign w:val="center"/>
          </w:tcPr>
          <w:p w14:paraId="000000ED"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4,4</w:t>
            </w:r>
          </w:p>
        </w:tc>
        <w:tc>
          <w:tcPr>
            <w:tcW w:w="1361" w:type="dxa"/>
            <w:tcBorders>
              <w:top w:val="nil"/>
            </w:tcBorders>
            <w:shd w:val="clear" w:color="auto" w:fill="FFFFFF"/>
            <w:vAlign w:val="center"/>
          </w:tcPr>
          <w:p w14:paraId="000000EE"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14,6</w:t>
            </w:r>
          </w:p>
        </w:tc>
        <w:tc>
          <w:tcPr>
            <w:tcW w:w="1361" w:type="dxa"/>
            <w:tcBorders>
              <w:top w:val="nil"/>
            </w:tcBorders>
            <w:shd w:val="clear" w:color="auto" w:fill="FFFFFF"/>
            <w:vAlign w:val="center"/>
          </w:tcPr>
          <w:p w14:paraId="000000EF"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20,1</w:t>
            </w:r>
          </w:p>
        </w:tc>
        <w:tc>
          <w:tcPr>
            <w:tcW w:w="1361" w:type="dxa"/>
            <w:tcBorders>
              <w:top w:val="nil"/>
            </w:tcBorders>
            <w:shd w:val="clear" w:color="auto" w:fill="FFFFFF"/>
            <w:vAlign w:val="center"/>
          </w:tcPr>
          <w:p w14:paraId="000000F0"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31,6</w:t>
            </w:r>
          </w:p>
        </w:tc>
        <w:tc>
          <w:tcPr>
            <w:tcW w:w="1361" w:type="dxa"/>
            <w:tcBorders>
              <w:top w:val="nil"/>
            </w:tcBorders>
            <w:shd w:val="clear" w:color="auto" w:fill="FFFFFF"/>
            <w:vAlign w:val="center"/>
          </w:tcPr>
          <w:p w14:paraId="000000F1"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29,3</w:t>
            </w:r>
          </w:p>
        </w:tc>
      </w:tr>
      <w:tr w:rsidR="00E51D2F" w:rsidRPr="00BA4A54" w14:paraId="7AA63E50" w14:textId="77777777">
        <w:trPr>
          <w:trHeight w:val="2108"/>
        </w:trPr>
        <w:tc>
          <w:tcPr>
            <w:tcW w:w="2410" w:type="dxa"/>
            <w:tcBorders>
              <w:top w:val="nil"/>
              <w:left w:val="nil"/>
            </w:tcBorders>
            <w:shd w:val="clear" w:color="auto" w:fill="FFFFFF"/>
            <w:vAlign w:val="center"/>
          </w:tcPr>
          <w:p w14:paraId="000000F2"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lastRenderedPageBreak/>
              <w:t>El modelo de evaluación actual responde a las necesidades de mis estudiantes</w:t>
            </w:r>
          </w:p>
        </w:tc>
        <w:tc>
          <w:tcPr>
            <w:tcW w:w="1361" w:type="dxa"/>
            <w:tcBorders>
              <w:top w:val="nil"/>
            </w:tcBorders>
            <w:shd w:val="clear" w:color="auto" w:fill="FFFFFF"/>
            <w:vAlign w:val="center"/>
          </w:tcPr>
          <w:p w14:paraId="000000F3"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4,8</w:t>
            </w:r>
          </w:p>
        </w:tc>
        <w:tc>
          <w:tcPr>
            <w:tcW w:w="1361" w:type="dxa"/>
            <w:tcBorders>
              <w:top w:val="nil"/>
            </w:tcBorders>
            <w:shd w:val="clear" w:color="auto" w:fill="FFFFFF"/>
            <w:vAlign w:val="center"/>
          </w:tcPr>
          <w:p w14:paraId="000000F4"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15,6</w:t>
            </w:r>
          </w:p>
        </w:tc>
        <w:tc>
          <w:tcPr>
            <w:tcW w:w="1361" w:type="dxa"/>
            <w:tcBorders>
              <w:top w:val="nil"/>
            </w:tcBorders>
            <w:shd w:val="clear" w:color="auto" w:fill="FFFFFF"/>
            <w:vAlign w:val="center"/>
          </w:tcPr>
          <w:p w14:paraId="000000F5"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24,1</w:t>
            </w:r>
          </w:p>
        </w:tc>
        <w:tc>
          <w:tcPr>
            <w:tcW w:w="1361" w:type="dxa"/>
            <w:tcBorders>
              <w:top w:val="nil"/>
            </w:tcBorders>
            <w:shd w:val="clear" w:color="auto" w:fill="FFFFFF"/>
            <w:vAlign w:val="center"/>
          </w:tcPr>
          <w:p w14:paraId="000000F6"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34,4</w:t>
            </w:r>
          </w:p>
        </w:tc>
        <w:tc>
          <w:tcPr>
            <w:tcW w:w="1361" w:type="dxa"/>
            <w:tcBorders>
              <w:top w:val="nil"/>
            </w:tcBorders>
            <w:shd w:val="clear" w:color="auto" w:fill="FFFFFF"/>
            <w:vAlign w:val="center"/>
          </w:tcPr>
          <w:p w14:paraId="000000F7"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21,1</w:t>
            </w:r>
          </w:p>
        </w:tc>
      </w:tr>
      <w:tr w:rsidR="00E51D2F" w:rsidRPr="00BA4A54" w14:paraId="56B16E0F" w14:textId="77777777">
        <w:trPr>
          <w:trHeight w:val="1410"/>
        </w:trPr>
        <w:tc>
          <w:tcPr>
            <w:tcW w:w="2410" w:type="dxa"/>
            <w:tcBorders>
              <w:top w:val="nil"/>
              <w:left w:val="nil"/>
              <w:bottom w:val="single" w:sz="4" w:space="0" w:color="000000"/>
            </w:tcBorders>
            <w:shd w:val="clear" w:color="auto" w:fill="FFFFFF"/>
            <w:vAlign w:val="center"/>
          </w:tcPr>
          <w:p w14:paraId="000000F8"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El modelo de evaluación está hecho para que el estudiantado pase sin esfuerzo</w:t>
            </w:r>
          </w:p>
        </w:tc>
        <w:tc>
          <w:tcPr>
            <w:tcW w:w="1361" w:type="dxa"/>
            <w:tcBorders>
              <w:top w:val="nil"/>
              <w:bottom w:val="single" w:sz="4" w:space="0" w:color="000000"/>
            </w:tcBorders>
            <w:shd w:val="clear" w:color="auto" w:fill="FFFFFF"/>
            <w:vAlign w:val="center"/>
          </w:tcPr>
          <w:p w14:paraId="000000F9"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35,7</w:t>
            </w:r>
          </w:p>
        </w:tc>
        <w:tc>
          <w:tcPr>
            <w:tcW w:w="1361" w:type="dxa"/>
            <w:tcBorders>
              <w:top w:val="nil"/>
              <w:bottom w:val="single" w:sz="4" w:space="0" w:color="000000"/>
            </w:tcBorders>
            <w:shd w:val="clear" w:color="auto" w:fill="FFFFFF"/>
            <w:vAlign w:val="center"/>
          </w:tcPr>
          <w:p w14:paraId="000000FA"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34,0</w:t>
            </w:r>
          </w:p>
        </w:tc>
        <w:tc>
          <w:tcPr>
            <w:tcW w:w="1361" w:type="dxa"/>
            <w:tcBorders>
              <w:top w:val="nil"/>
              <w:bottom w:val="single" w:sz="4" w:space="0" w:color="000000"/>
            </w:tcBorders>
            <w:shd w:val="clear" w:color="auto" w:fill="FFFFFF"/>
            <w:vAlign w:val="center"/>
          </w:tcPr>
          <w:p w14:paraId="000000FB"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11,9</w:t>
            </w:r>
          </w:p>
        </w:tc>
        <w:tc>
          <w:tcPr>
            <w:tcW w:w="1361" w:type="dxa"/>
            <w:tcBorders>
              <w:top w:val="nil"/>
              <w:bottom w:val="single" w:sz="4" w:space="0" w:color="000000"/>
            </w:tcBorders>
            <w:shd w:val="clear" w:color="auto" w:fill="FFFFFF"/>
            <w:vAlign w:val="center"/>
          </w:tcPr>
          <w:p w14:paraId="000000FC"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9,5</w:t>
            </w:r>
          </w:p>
        </w:tc>
        <w:tc>
          <w:tcPr>
            <w:tcW w:w="1361" w:type="dxa"/>
            <w:tcBorders>
              <w:top w:val="nil"/>
              <w:bottom w:val="single" w:sz="4" w:space="0" w:color="000000"/>
            </w:tcBorders>
            <w:shd w:val="clear" w:color="auto" w:fill="FFFFFF"/>
            <w:vAlign w:val="center"/>
          </w:tcPr>
          <w:p w14:paraId="000000FD"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8,8</w:t>
            </w:r>
          </w:p>
        </w:tc>
      </w:tr>
    </w:tbl>
    <w:p w14:paraId="000000FE" w14:textId="77777777" w:rsidR="00E51D2F" w:rsidRPr="00BA4A54" w:rsidRDefault="00E51D2F">
      <w:pPr>
        <w:rPr>
          <w:rFonts w:ascii="Times New Roman" w:eastAsia="Times New Roman" w:hAnsi="Times New Roman" w:cs="Times New Roman"/>
          <w:sz w:val="24"/>
          <w:szCs w:val="24"/>
        </w:rPr>
      </w:pPr>
    </w:p>
    <w:p w14:paraId="000000FF" w14:textId="59449BDE" w:rsidR="00E51D2F" w:rsidRPr="00BA4A54" w:rsidRDefault="00000000">
      <w:pPr>
        <w:pBdr>
          <w:top w:val="nil"/>
          <w:left w:val="nil"/>
          <w:bottom w:val="nil"/>
          <w:right w:val="nil"/>
          <w:between w:val="nil"/>
        </w:pBd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color w:val="000000"/>
          <w:sz w:val="24"/>
          <w:szCs w:val="24"/>
        </w:rPr>
        <w:t>Las opiniones de las personas docentes sobre el modelo de evaluación también fueron verificadas en r</w:t>
      </w:r>
      <w:r w:rsidRPr="00BA4A54">
        <w:rPr>
          <w:rFonts w:ascii="Times New Roman" w:eastAsia="Times New Roman" w:hAnsi="Times New Roman" w:cs="Times New Roman"/>
          <w:sz w:val="24"/>
          <w:szCs w:val="24"/>
        </w:rPr>
        <w:t>elación con la macroevaluación: las prueb</w:t>
      </w:r>
      <w:r w:rsidRPr="00BA4A54">
        <w:rPr>
          <w:rFonts w:ascii="Times New Roman" w:eastAsia="Times New Roman" w:hAnsi="Times New Roman" w:cs="Times New Roman"/>
          <w:color w:val="000000"/>
          <w:sz w:val="24"/>
          <w:szCs w:val="24"/>
        </w:rPr>
        <w:t>as comprensivas y las pruebas estandarizadas</w:t>
      </w:r>
      <w:r w:rsidR="006A578D" w:rsidRPr="00BA4A54">
        <w:rPr>
          <w:rFonts w:ascii="Times New Roman" w:eastAsia="Times New Roman" w:hAnsi="Times New Roman" w:cs="Times New Roman"/>
          <w:color w:val="000000"/>
          <w:sz w:val="24"/>
          <w:szCs w:val="24"/>
        </w:rPr>
        <w:t>, resultados que pueden ser verificados en las Tablas 4 y 5</w:t>
      </w:r>
      <w:r w:rsidRPr="00BA4A54">
        <w:rPr>
          <w:rFonts w:ascii="Times New Roman" w:eastAsia="Times New Roman" w:hAnsi="Times New Roman" w:cs="Times New Roman"/>
          <w:color w:val="000000"/>
          <w:sz w:val="24"/>
          <w:szCs w:val="24"/>
        </w:rPr>
        <w:t>. Nuevamente se verifica la insatisfacción con el MEP, ya que 63,6% mencionan la falta de claridad del MEP sobre el uso de los resultados de las pruebas comprensivas y 59,9% opinan que las pr</w:t>
      </w:r>
      <w:r w:rsidRPr="00BA4A54">
        <w:rPr>
          <w:rFonts w:ascii="Times New Roman" w:eastAsia="Times New Roman" w:hAnsi="Times New Roman" w:cs="Times New Roman"/>
          <w:sz w:val="24"/>
          <w:szCs w:val="24"/>
        </w:rPr>
        <w:t>uebas comprensivas fueron útiles solo para cumplir con un requisito administrativo, mientras que solamente 26,2% consideran que estas pruebas brindaron información útil para diagnosticar</w:t>
      </w:r>
      <w:r w:rsidRPr="00BA4A54">
        <w:rPr>
          <w:rFonts w:ascii="Times New Roman" w:eastAsia="Times New Roman" w:hAnsi="Times New Roman" w:cs="Times New Roman"/>
          <w:color w:val="000000"/>
          <w:sz w:val="24"/>
          <w:szCs w:val="24"/>
        </w:rPr>
        <w:t xml:space="preserve"> los aprendizajes de sus estudiantes. Por consiguiente, la mayoría (85,7%) están de acuerdo con que las pruebas comprensivas duplicaron el trabajo que realizaban los docentes. Asimismo, l</w:t>
      </w:r>
      <w:r w:rsidRPr="00BA4A54">
        <w:rPr>
          <w:rFonts w:ascii="Times New Roman" w:eastAsia="Times New Roman" w:hAnsi="Times New Roman" w:cs="Times New Roman"/>
          <w:sz w:val="24"/>
          <w:szCs w:val="24"/>
        </w:rPr>
        <w:t>as personas docentes están en desacuerdo con que los contenidos priorizados por el MEP para las pruebas comprensivas fueron los pertinentes (48% en la suma de en desacuerdo y totalmente en desacuerdo), igualmente en desacuerdo con que los planes remediales permiten nivelar los aprendizajes de los estudiantes y responder a sus necesidades (46,9% en la suma de en desacuerdo y totalmente en desacuerdo).</w:t>
      </w:r>
    </w:p>
    <w:p w14:paraId="00000100" w14:textId="77777777" w:rsidR="00E51D2F" w:rsidRPr="00BA4A54" w:rsidRDefault="00E51D2F">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00000101" w14:textId="77777777" w:rsidR="00E51D2F" w:rsidRPr="00BA4A54" w:rsidRDefault="00000000">
      <w:pP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Tabla 4</w:t>
      </w:r>
    </w:p>
    <w:p w14:paraId="00000102" w14:textId="77777777" w:rsidR="00E51D2F" w:rsidRPr="00BA4A54" w:rsidRDefault="00000000">
      <w:pPr>
        <w:jc w:val="both"/>
        <w:rPr>
          <w:rFonts w:ascii="Times New Roman" w:eastAsia="Times New Roman" w:hAnsi="Times New Roman" w:cs="Times New Roman"/>
          <w:i/>
          <w:sz w:val="24"/>
          <w:szCs w:val="24"/>
        </w:rPr>
      </w:pPr>
      <w:r w:rsidRPr="00BA4A54">
        <w:rPr>
          <w:rFonts w:ascii="Times New Roman" w:eastAsia="Times New Roman" w:hAnsi="Times New Roman" w:cs="Times New Roman"/>
          <w:i/>
          <w:sz w:val="24"/>
          <w:szCs w:val="24"/>
        </w:rPr>
        <w:t>Porcentaje de acuerdo de las personas docentes con respecto a afirmaciones sobre las pruebas comprensivas</w:t>
      </w:r>
    </w:p>
    <w:tbl>
      <w:tblPr>
        <w:tblStyle w:val="5"/>
        <w:tblW w:w="9240" w:type="dxa"/>
        <w:tblInd w:w="0" w:type="dxa"/>
        <w:tblLayout w:type="fixed"/>
        <w:tblLook w:val="0400" w:firstRow="0" w:lastRow="0" w:firstColumn="0" w:lastColumn="0" w:noHBand="0" w:noVBand="1"/>
      </w:tblPr>
      <w:tblGrid>
        <w:gridCol w:w="2400"/>
        <w:gridCol w:w="1380"/>
        <w:gridCol w:w="1365"/>
        <w:gridCol w:w="1365"/>
        <w:gridCol w:w="1365"/>
        <w:gridCol w:w="1365"/>
      </w:tblGrid>
      <w:tr w:rsidR="00E51D2F" w:rsidRPr="00BA4A54" w14:paraId="6FD81DF9" w14:textId="77777777">
        <w:trPr>
          <w:trHeight w:val="608"/>
        </w:trPr>
        <w:tc>
          <w:tcPr>
            <w:tcW w:w="2400" w:type="dxa"/>
            <w:vMerge w:val="restart"/>
            <w:tcBorders>
              <w:top w:val="single" w:sz="4" w:space="0" w:color="000000"/>
            </w:tcBorders>
            <w:shd w:val="clear" w:color="auto" w:fill="FFFFFF"/>
            <w:vAlign w:val="center"/>
          </w:tcPr>
          <w:p w14:paraId="00000103" w14:textId="77777777" w:rsidR="00E51D2F" w:rsidRPr="00BA4A54" w:rsidRDefault="00000000">
            <w:pP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Afirmaciones sobre las pruebas comprensivas</w:t>
            </w:r>
          </w:p>
          <w:p w14:paraId="00000104" w14:textId="77777777" w:rsidR="00E51D2F" w:rsidRPr="00BA4A54" w:rsidRDefault="00E51D2F">
            <w:pPr>
              <w:rPr>
                <w:rFonts w:ascii="Times New Roman" w:eastAsia="Times New Roman" w:hAnsi="Times New Roman" w:cs="Times New Roman"/>
                <w:sz w:val="24"/>
                <w:szCs w:val="24"/>
              </w:rPr>
            </w:pPr>
          </w:p>
        </w:tc>
        <w:tc>
          <w:tcPr>
            <w:tcW w:w="6840" w:type="dxa"/>
            <w:gridSpan w:val="5"/>
            <w:tcBorders>
              <w:top w:val="single" w:sz="4" w:space="0" w:color="000000"/>
              <w:bottom w:val="single" w:sz="4" w:space="0" w:color="000000"/>
            </w:tcBorders>
            <w:shd w:val="clear" w:color="auto" w:fill="FFFFFF"/>
            <w:vAlign w:val="center"/>
          </w:tcPr>
          <w:p w14:paraId="00000105"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Porcentaje de Acuerdo</w:t>
            </w:r>
          </w:p>
        </w:tc>
      </w:tr>
      <w:tr w:rsidR="00E51D2F" w:rsidRPr="00BA4A54" w14:paraId="5102C235" w14:textId="77777777">
        <w:trPr>
          <w:trHeight w:val="607"/>
        </w:trPr>
        <w:tc>
          <w:tcPr>
            <w:tcW w:w="2400" w:type="dxa"/>
            <w:vMerge/>
            <w:tcBorders>
              <w:top w:val="single" w:sz="4" w:space="0" w:color="000000"/>
            </w:tcBorders>
            <w:shd w:val="clear" w:color="auto" w:fill="FFFFFF"/>
            <w:vAlign w:val="center"/>
          </w:tcPr>
          <w:p w14:paraId="0000010A" w14:textId="77777777" w:rsidR="00E51D2F" w:rsidRPr="00BA4A54" w:rsidRDefault="00E51D2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380" w:type="dxa"/>
            <w:tcBorders>
              <w:top w:val="single" w:sz="4" w:space="0" w:color="000000"/>
              <w:bottom w:val="single" w:sz="4" w:space="0" w:color="000000"/>
            </w:tcBorders>
            <w:shd w:val="clear" w:color="auto" w:fill="FFFFFF"/>
            <w:vAlign w:val="center"/>
          </w:tcPr>
          <w:p w14:paraId="0000010B"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Totalmente de acuerdo</w:t>
            </w:r>
          </w:p>
        </w:tc>
        <w:tc>
          <w:tcPr>
            <w:tcW w:w="1365" w:type="dxa"/>
            <w:tcBorders>
              <w:top w:val="single" w:sz="4" w:space="0" w:color="000000"/>
              <w:bottom w:val="single" w:sz="4" w:space="0" w:color="000000"/>
            </w:tcBorders>
            <w:shd w:val="clear" w:color="auto" w:fill="FFFFFF"/>
            <w:vAlign w:val="center"/>
          </w:tcPr>
          <w:p w14:paraId="0000010C"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De acuerdo</w:t>
            </w:r>
          </w:p>
        </w:tc>
        <w:tc>
          <w:tcPr>
            <w:tcW w:w="1365" w:type="dxa"/>
            <w:tcBorders>
              <w:top w:val="single" w:sz="4" w:space="0" w:color="000000"/>
              <w:bottom w:val="single" w:sz="4" w:space="0" w:color="000000"/>
            </w:tcBorders>
            <w:shd w:val="clear" w:color="auto" w:fill="FFFFFF"/>
            <w:vAlign w:val="center"/>
          </w:tcPr>
          <w:p w14:paraId="0000010D"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Ni de acuerdo ni en desacuerdo</w:t>
            </w:r>
          </w:p>
        </w:tc>
        <w:tc>
          <w:tcPr>
            <w:tcW w:w="1365" w:type="dxa"/>
            <w:tcBorders>
              <w:top w:val="single" w:sz="4" w:space="0" w:color="000000"/>
              <w:bottom w:val="single" w:sz="4" w:space="0" w:color="000000"/>
            </w:tcBorders>
            <w:shd w:val="clear" w:color="auto" w:fill="FFFFFF"/>
            <w:vAlign w:val="center"/>
          </w:tcPr>
          <w:p w14:paraId="0000010E"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En desacuerdo</w:t>
            </w:r>
          </w:p>
        </w:tc>
        <w:tc>
          <w:tcPr>
            <w:tcW w:w="1365" w:type="dxa"/>
            <w:tcBorders>
              <w:top w:val="single" w:sz="4" w:space="0" w:color="000000"/>
              <w:bottom w:val="single" w:sz="4" w:space="0" w:color="000000"/>
            </w:tcBorders>
            <w:shd w:val="clear" w:color="auto" w:fill="FFFFFF"/>
            <w:vAlign w:val="center"/>
          </w:tcPr>
          <w:p w14:paraId="0000010F"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Totalmente en desacuerdo</w:t>
            </w:r>
          </w:p>
        </w:tc>
      </w:tr>
      <w:tr w:rsidR="00E51D2F" w:rsidRPr="00BA4A54" w14:paraId="71E142B1" w14:textId="77777777">
        <w:trPr>
          <w:trHeight w:val="1178"/>
        </w:trPr>
        <w:tc>
          <w:tcPr>
            <w:tcW w:w="2400" w:type="dxa"/>
            <w:tcBorders>
              <w:top w:val="single" w:sz="4" w:space="0" w:color="000000"/>
            </w:tcBorders>
            <w:shd w:val="clear" w:color="auto" w:fill="FFFFFF"/>
            <w:vAlign w:val="center"/>
          </w:tcPr>
          <w:p w14:paraId="00000110"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lastRenderedPageBreak/>
              <w:t>Las pruebas comprensivas me brindaron información útil para diagnosticar los aprendizajes de mis estudiantes</w:t>
            </w:r>
          </w:p>
        </w:tc>
        <w:tc>
          <w:tcPr>
            <w:tcW w:w="1380" w:type="dxa"/>
            <w:tcBorders>
              <w:top w:val="single" w:sz="4" w:space="0" w:color="000000"/>
            </w:tcBorders>
            <w:shd w:val="clear" w:color="auto" w:fill="FFFFFF"/>
            <w:vAlign w:val="center"/>
          </w:tcPr>
          <w:p w14:paraId="00000111"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6,1</w:t>
            </w:r>
          </w:p>
        </w:tc>
        <w:tc>
          <w:tcPr>
            <w:tcW w:w="1365" w:type="dxa"/>
            <w:tcBorders>
              <w:top w:val="single" w:sz="4" w:space="0" w:color="000000"/>
            </w:tcBorders>
            <w:shd w:val="clear" w:color="auto" w:fill="FFFFFF"/>
            <w:vAlign w:val="center"/>
          </w:tcPr>
          <w:p w14:paraId="00000112"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20,1</w:t>
            </w:r>
          </w:p>
        </w:tc>
        <w:tc>
          <w:tcPr>
            <w:tcW w:w="1365" w:type="dxa"/>
            <w:tcBorders>
              <w:top w:val="single" w:sz="4" w:space="0" w:color="000000"/>
            </w:tcBorders>
            <w:shd w:val="clear" w:color="auto" w:fill="FFFFFF"/>
            <w:vAlign w:val="center"/>
          </w:tcPr>
          <w:p w14:paraId="00000113"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17,7</w:t>
            </w:r>
          </w:p>
        </w:tc>
        <w:tc>
          <w:tcPr>
            <w:tcW w:w="1365" w:type="dxa"/>
            <w:tcBorders>
              <w:top w:val="single" w:sz="4" w:space="0" w:color="000000"/>
            </w:tcBorders>
            <w:shd w:val="clear" w:color="auto" w:fill="FFFFFF"/>
            <w:vAlign w:val="center"/>
          </w:tcPr>
          <w:p w14:paraId="00000114"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23,1</w:t>
            </w:r>
          </w:p>
        </w:tc>
        <w:tc>
          <w:tcPr>
            <w:tcW w:w="1365" w:type="dxa"/>
            <w:tcBorders>
              <w:top w:val="single" w:sz="4" w:space="0" w:color="000000"/>
            </w:tcBorders>
            <w:shd w:val="clear" w:color="auto" w:fill="FFFFFF"/>
            <w:vAlign w:val="center"/>
          </w:tcPr>
          <w:p w14:paraId="00000115"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33,0</w:t>
            </w:r>
          </w:p>
        </w:tc>
      </w:tr>
      <w:tr w:rsidR="00E51D2F" w:rsidRPr="00BA4A54" w14:paraId="69C87F87" w14:textId="77777777">
        <w:trPr>
          <w:trHeight w:val="2108"/>
        </w:trPr>
        <w:tc>
          <w:tcPr>
            <w:tcW w:w="2400" w:type="dxa"/>
            <w:tcBorders>
              <w:top w:val="nil"/>
              <w:left w:val="nil"/>
            </w:tcBorders>
            <w:shd w:val="clear" w:color="auto" w:fill="FFFFFF"/>
            <w:vAlign w:val="center"/>
          </w:tcPr>
          <w:p w14:paraId="00000116"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Los contenidos priorizados por el MEP para las pruebas comprensivas fueron los pertinentes</w:t>
            </w:r>
          </w:p>
        </w:tc>
        <w:tc>
          <w:tcPr>
            <w:tcW w:w="1380" w:type="dxa"/>
            <w:tcBorders>
              <w:top w:val="nil"/>
            </w:tcBorders>
            <w:shd w:val="clear" w:color="auto" w:fill="FFFFFF"/>
            <w:vAlign w:val="center"/>
          </w:tcPr>
          <w:p w14:paraId="00000117"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5,8</w:t>
            </w:r>
          </w:p>
        </w:tc>
        <w:tc>
          <w:tcPr>
            <w:tcW w:w="1365" w:type="dxa"/>
            <w:tcBorders>
              <w:top w:val="nil"/>
            </w:tcBorders>
            <w:shd w:val="clear" w:color="auto" w:fill="FFFFFF"/>
            <w:vAlign w:val="center"/>
          </w:tcPr>
          <w:p w14:paraId="00000118"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20,4</w:t>
            </w:r>
          </w:p>
        </w:tc>
        <w:tc>
          <w:tcPr>
            <w:tcW w:w="1365" w:type="dxa"/>
            <w:tcBorders>
              <w:top w:val="nil"/>
            </w:tcBorders>
            <w:shd w:val="clear" w:color="auto" w:fill="FFFFFF"/>
            <w:vAlign w:val="center"/>
          </w:tcPr>
          <w:p w14:paraId="00000119"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25,9</w:t>
            </w:r>
          </w:p>
        </w:tc>
        <w:tc>
          <w:tcPr>
            <w:tcW w:w="1365" w:type="dxa"/>
            <w:tcBorders>
              <w:top w:val="nil"/>
            </w:tcBorders>
            <w:shd w:val="clear" w:color="auto" w:fill="FFFFFF"/>
            <w:vAlign w:val="center"/>
          </w:tcPr>
          <w:p w14:paraId="0000011A"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24,5</w:t>
            </w:r>
          </w:p>
        </w:tc>
        <w:tc>
          <w:tcPr>
            <w:tcW w:w="1365" w:type="dxa"/>
            <w:tcBorders>
              <w:top w:val="nil"/>
            </w:tcBorders>
            <w:shd w:val="clear" w:color="auto" w:fill="FFFFFF"/>
            <w:vAlign w:val="center"/>
          </w:tcPr>
          <w:p w14:paraId="0000011B"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23,5</w:t>
            </w:r>
          </w:p>
        </w:tc>
      </w:tr>
      <w:tr w:rsidR="00E51D2F" w:rsidRPr="00BA4A54" w14:paraId="4BD1485E" w14:textId="77777777">
        <w:trPr>
          <w:trHeight w:val="945"/>
        </w:trPr>
        <w:tc>
          <w:tcPr>
            <w:tcW w:w="2400" w:type="dxa"/>
            <w:tcBorders>
              <w:top w:val="nil"/>
              <w:left w:val="nil"/>
            </w:tcBorders>
            <w:shd w:val="clear" w:color="auto" w:fill="FFFFFF"/>
            <w:vAlign w:val="center"/>
          </w:tcPr>
          <w:p w14:paraId="0000011C"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Las pruebas comprensivas fueron útiles solo para cumplir con un requisito administrativo</w:t>
            </w:r>
          </w:p>
        </w:tc>
        <w:tc>
          <w:tcPr>
            <w:tcW w:w="1380" w:type="dxa"/>
            <w:tcBorders>
              <w:top w:val="nil"/>
            </w:tcBorders>
            <w:shd w:val="clear" w:color="auto" w:fill="FFFFFF"/>
            <w:vAlign w:val="center"/>
          </w:tcPr>
          <w:p w14:paraId="0000011D"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28,6</w:t>
            </w:r>
          </w:p>
        </w:tc>
        <w:tc>
          <w:tcPr>
            <w:tcW w:w="1365" w:type="dxa"/>
            <w:tcBorders>
              <w:top w:val="nil"/>
            </w:tcBorders>
            <w:shd w:val="clear" w:color="auto" w:fill="FFFFFF"/>
            <w:vAlign w:val="center"/>
          </w:tcPr>
          <w:p w14:paraId="0000011E"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31,3</w:t>
            </w:r>
          </w:p>
        </w:tc>
        <w:tc>
          <w:tcPr>
            <w:tcW w:w="1365" w:type="dxa"/>
            <w:tcBorders>
              <w:top w:val="nil"/>
            </w:tcBorders>
            <w:shd w:val="clear" w:color="auto" w:fill="FFFFFF"/>
            <w:vAlign w:val="center"/>
          </w:tcPr>
          <w:p w14:paraId="0000011F"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16,7</w:t>
            </w:r>
          </w:p>
        </w:tc>
        <w:tc>
          <w:tcPr>
            <w:tcW w:w="1365" w:type="dxa"/>
            <w:tcBorders>
              <w:top w:val="nil"/>
            </w:tcBorders>
            <w:shd w:val="clear" w:color="auto" w:fill="FFFFFF"/>
            <w:vAlign w:val="center"/>
          </w:tcPr>
          <w:p w14:paraId="00000120"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11,2</w:t>
            </w:r>
          </w:p>
        </w:tc>
        <w:tc>
          <w:tcPr>
            <w:tcW w:w="1365" w:type="dxa"/>
            <w:tcBorders>
              <w:top w:val="nil"/>
            </w:tcBorders>
            <w:shd w:val="clear" w:color="auto" w:fill="FFFFFF"/>
            <w:vAlign w:val="center"/>
          </w:tcPr>
          <w:p w14:paraId="00000121"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12,2</w:t>
            </w:r>
          </w:p>
        </w:tc>
      </w:tr>
      <w:tr w:rsidR="00E51D2F" w:rsidRPr="00BA4A54" w14:paraId="36D20E53" w14:textId="77777777">
        <w:trPr>
          <w:trHeight w:val="2108"/>
        </w:trPr>
        <w:tc>
          <w:tcPr>
            <w:tcW w:w="2400" w:type="dxa"/>
            <w:tcBorders>
              <w:top w:val="nil"/>
              <w:left w:val="nil"/>
            </w:tcBorders>
            <w:shd w:val="clear" w:color="auto" w:fill="FFFFFF"/>
            <w:vAlign w:val="center"/>
          </w:tcPr>
          <w:p w14:paraId="00000122"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Los planes remediales permitieron nivelar los aprendizajes de mis estudiantes y responder a sus necesidades</w:t>
            </w:r>
          </w:p>
        </w:tc>
        <w:tc>
          <w:tcPr>
            <w:tcW w:w="1380" w:type="dxa"/>
            <w:tcBorders>
              <w:top w:val="nil"/>
            </w:tcBorders>
            <w:shd w:val="clear" w:color="auto" w:fill="FFFFFF"/>
            <w:vAlign w:val="center"/>
          </w:tcPr>
          <w:p w14:paraId="00000123"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4,8</w:t>
            </w:r>
          </w:p>
        </w:tc>
        <w:tc>
          <w:tcPr>
            <w:tcW w:w="1365" w:type="dxa"/>
            <w:tcBorders>
              <w:top w:val="nil"/>
            </w:tcBorders>
            <w:shd w:val="clear" w:color="auto" w:fill="FFFFFF"/>
            <w:vAlign w:val="center"/>
          </w:tcPr>
          <w:p w14:paraId="00000124"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24,5</w:t>
            </w:r>
          </w:p>
        </w:tc>
        <w:tc>
          <w:tcPr>
            <w:tcW w:w="1365" w:type="dxa"/>
            <w:tcBorders>
              <w:top w:val="nil"/>
            </w:tcBorders>
            <w:shd w:val="clear" w:color="auto" w:fill="FFFFFF"/>
            <w:vAlign w:val="center"/>
          </w:tcPr>
          <w:p w14:paraId="00000125"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23,8</w:t>
            </w:r>
          </w:p>
        </w:tc>
        <w:tc>
          <w:tcPr>
            <w:tcW w:w="1365" w:type="dxa"/>
            <w:tcBorders>
              <w:top w:val="nil"/>
            </w:tcBorders>
            <w:shd w:val="clear" w:color="auto" w:fill="FFFFFF"/>
            <w:vAlign w:val="center"/>
          </w:tcPr>
          <w:p w14:paraId="00000126"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23,8</w:t>
            </w:r>
          </w:p>
        </w:tc>
        <w:tc>
          <w:tcPr>
            <w:tcW w:w="1365" w:type="dxa"/>
            <w:tcBorders>
              <w:top w:val="nil"/>
            </w:tcBorders>
            <w:shd w:val="clear" w:color="auto" w:fill="FFFFFF"/>
            <w:vAlign w:val="center"/>
          </w:tcPr>
          <w:p w14:paraId="00000127"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23,1</w:t>
            </w:r>
          </w:p>
        </w:tc>
      </w:tr>
      <w:tr w:rsidR="00E51D2F" w:rsidRPr="00BA4A54" w14:paraId="337C4744" w14:textId="77777777">
        <w:trPr>
          <w:trHeight w:val="1410"/>
        </w:trPr>
        <w:tc>
          <w:tcPr>
            <w:tcW w:w="2400" w:type="dxa"/>
            <w:tcBorders>
              <w:top w:val="nil"/>
              <w:left w:val="nil"/>
            </w:tcBorders>
            <w:shd w:val="clear" w:color="auto" w:fill="FFFFFF"/>
            <w:vAlign w:val="center"/>
          </w:tcPr>
          <w:p w14:paraId="00000128"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Las pruebas comprensivas duplicaron el trabajo que ya realizaban los docentes</w:t>
            </w:r>
          </w:p>
        </w:tc>
        <w:tc>
          <w:tcPr>
            <w:tcW w:w="1380" w:type="dxa"/>
            <w:tcBorders>
              <w:top w:val="nil"/>
            </w:tcBorders>
            <w:shd w:val="clear" w:color="auto" w:fill="FFFFFF"/>
            <w:vAlign w:val="center"/>
          </w:tcPr>
          <w:p w14:paraId="00000129"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60,5</w:t>
            </w:r>
          </w:p>
        </w:tc>
        <w:tc>
          <w:tcPr>
            <w:tcW w:w="1365" w:type="dxa"/>
            <w:tcBorders>
              <w:top w:val="nil"/>
            </w:tcBorders>
            <w:shd w:val="clear" w:color="auto" w:fill="FFFFFF"/>
            <w:vAlign w:val="center"/>
          </w:tcPr>
          <w:p w14:paraId="0000012A"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25,2</w:t>
            </w:r>
          </w:p>
        </w:tc>
        <w:tc>
          <w:tcPr>
            <w:tcW w:w="1365" w:type="dxa"/>
            <w:tcBorders>
              <w:top w:val="nil"/>
            </w:tcBorders>
            <w:shd w:val="clear" w:color="auto" w:fill="FFFFFF"/>
            <w:vAlign w:val="center"/>
          </w:tcPr>
          <w:p w14:paraId="0000012B"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4,8</w:t>
            </w:r>
          </w:p>
        </w:tc>
        <w:tc>
          <w:tcPr>
            <w:tcW w:w="1365" w:type="dxa"/>
            <w:tcBorders>
              <w:top w:val="nil"/>
            </w:tcBorders>
            <w:shd w:val="clear" w:color="auto" w:fill="FFFFFF"/>
            <w:vAlign w:val="center"/>
          </w:tcPr>
          <w:p w14:paraId="0000012C"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2,7</w:t>
            </w:r>
          </w:p>
        </w:tc>
        <w:tc>
          <w:tcPr>
            <w:tcW w:w="1365" w:type="dxa"/>
            <w:tcBorders>
              <w:top w:val="nil"/>
            </w:tcBorders>
            <w:shd w:val="clear" w:color="auto" w:fill="FFFFFF"/>
            <w:vAlign w:val="center"/>
          </w:tcPr>
          <w:p w14:paraId="0000012D"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6,8</w:t>
            </w:r>
          </w:p>
        </w:tc>
      </w:tr>
      <w:tr w:rsidR="00E51D2F" w:rsidRPr="00BA4A54" w14:paraId="41C6CF9F" w14:textId="77777777">
        <w:trPr>
          <w:trHeight w:val="1875"/>
        </w:trPr>
        <w:tc>
          <w:tcPr>
            <w:tcW w:w="2400" w:type="dxa"/>
            <w:tcBorders>
              <w:top w:val="nil"/>
              <w:left w:val="nil"/>
              <w:bottom w:val="single" w:sz="4" w:space="0" w:color="000000"/>
            </w:tcBorders>
            <w:shd w:val="clear" w:color="auto" w:fill="FFFFFF"/>
            <w:vAlign w:val="center"/>
          </w:tcPr>
          <w:p w14:paraId="0000012E"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El MEP fue claro sobre el uso de los resultados de las pruebas comprensivas</w:t>
            </w:r>
          </w:p>
        </w:tc>
        <w:tc>
          <w:tcPr>
            <w:tcW w:w="1380" w:type="dxa"/>
            <w:tcBorders>
              <w:top w:val="nil"/>
              <w:bottom w:val="single" w:sz="4" w:space="0" w:color="000000"/>
            </w:tcBorders>
            <w:shd w:val="clear" w:color="auto" w:fill="FFFFFF"/>
            <w:vAlign w:val="center"/>
          </w:tcPr>
          <w:p w14:paraId="0000012F"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4,4</w:t>
            </w:r>
          </w:p>
        </w:tc>
        <w:tc>
          <w:tcPr>
            <w:tcW w:w="1365" w:type="dxa"/>
            <w:tcBorders>
              <w:top w:val="nil"/>
              <w:bottom w:val="single" w:sz="4" w:space="0" w:color="000000"/>
            </w:tcBorders>
            <w:shd w:val="clear" w:color="auto" w:fill="FFFFFF"/>
            <w:vAlign w:val="center"/>
          </w:tcPr>
          <w:p w14:paraId="00000130"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14,6</w:t>
            </w:r>
          </w:p>
        </w:tc>
        <w:tc>
          <w:tcPr>
            <w:tcW w:w="1365" w:type="dxa"/>
            <w:tcBorders>
              <w:top w:val="nil"/>
              <w:bottom w:val="single" w:sz="4" w:space="0" w:color="000000"/>
            </w:tcBorders>
            <w:shd w:val="clear" w:color="auto" w:fill="FFFFFF"/>
            <w:vAlign w:val="center"/>
          </w:tcPr>
          <w:p w14:paraId="00000131"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17,3</w:t>
            </w:r>
          </w:p>
        </w:tc>
        <w:tc>
          <w:tcPr>
            <w:tcW w:w="1365" w:type="dxa"/>
            <w:tcBorders>
              <w:top w:val="nil"/>
              <w:bottom w:val="single" w:sz="4" w:space="0" w:color="000000"/>
            </w:tcBorders>
            <w:shd w:val="clear" w:color="auto" w:fill="FFFFFF"/>
            <w:vAlign w:val="center"/>
          </w:tcPr>
          <w:p w14:paraId="00000132"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26,5</w:t>
            </w:r>
          </w:p>
        </w:tc>
        <w:tc>
          <w:tcPr>
            <w:tcW w:w="1365" w:type="dxa"/>
            <w:tcBorders>
              <w:top w:val="nil"/>
              <w:bottom w:val="single" w:sz="4" w:space="0" w:color="000000"/>
            </w:tcBorders>
            <w:shd w:val="clear" w:color="auto" w:fill="FFFFFF"/>
            <w:vAlign w:val="center"/>
          </w:tcPr>
          <w:p w14:paraId="00000133" w14:textId="77777777" w:rsidR="00E51D2F" w:rsidRPr="00BA4A54" w:rsidRDefault="00000000">
            <w:pPr>
              <w:jc w:val="center"/>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37,1</w:t>
            </w:r>
          </w:p>
        </w:tc>
      </w:tr>
    </w:tbl>
    <w:p w14:paraId="00000134" w14:textId="77777777" w:rsidR="00E51D2F" w:rsidRPr="00BA4A54" w:rsidRDefault="00E51D2F">
      <w:pPr>
        <w:rPr>
          <w:rFonts w:ascii="Times New Roman" w:eastAsia="Times New Roman" w:hAnsi="Times New Roman" w:cs="Times New Roman"/>
          <w:sz w:val="24"/>
          <w:szCs w:val="24"/>
        </w:rPr>
      </w:pPr>
    </w:p>
    <w:p w14:paraId="00000135" w14:textId="5FC067C6" w:rsidR="00E51D2F" w:rsidRPr="00BA4A54" w:rsidRDefault="00000000">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ab/>
        <w:t xml:space="preserve">Las opiniones de las personas docentes no fueron muy distintas respecto a las pruebas estandarizadas. Muy pocos docentes (27,8%) opinan que el MEP ha comunicado de forma adecuada la información sobre las pruebas estandarizadas y la mayoría considera que el MEP no evidencia capacidad técnica para tomar decisiones sobre estas pruebas, tampoco deja en claro el proceso de </w:t>
      </w:r>
      <w:r w:rsidR="006A578D" w:rsidRPr="00BA4A54">
        <w:rPr>
          <w:rFonts w:ascii="Times New Roman" w:eastAsia="Times New Roman" w:hAnsi="Times New Roman" w:cs="Times New Roman"/>
          <w:sz w:val="24"/>
          <w:szCs w:val="24"/>
        </w:rPr>
        <w:t xml:space="preserve">su </w:t>
      </w:r>
      <w:r w:rsidRPr="00BA4A54">
        <w:rPr>
          <w:rFonts w:ascii="Times New Roman" w:eastAsia="Times New Roman" w:hAnsi="Times New Roman" w:cs="Times New Roman"/>
          <w:sz w:val="24"/>
          <w:szCs w:val="24"/>
        </w:rPr>
        <w:t xml:space="preserve">aplicación para estudiantes con adecuación significativa, tal como </w:t>
      </w:r>
      <w:r w:rsidRPr="00BA4A54">
        <w:rPr>
          <w:rFonts w:ascii="Times New Roman" w:eastAsia="Times New Roman" w:hAnsi="Times New Roman" w:cs="Times New Roman"/>
          <w:sz w:val="24"/>
          <w:szCs w:val="24"/>
        </w:rPr>
        <w:lastRenderedPageBreak/>
        <w:t xml:space="preserve">puede ser observado en la Tabla </w:t>
      </w:r>
      <w:r w:rsidR="006A578D" w:rsidRPr="00BA4A54">
        <w:rPr>
          <w:rFonts w:ascii="Times New Roman" w:eastAsia="Times New Roman" w:hAnsi="Times New Roman" w:cs="Times New Roman"/>
          <w:sz w:val="24"/>
          <w:szCs w:val="24"/>
        </w:rPr>
        <w:t>5</w:t>
      </w:r>
      <w:r w:rsidRPr="00BA4A54">
        <w:rPr>
          <w:rFonts w:ascii="Times New Roman" w:eastAsia="Times New Roman" w:hAnsi="Times New Roman" w:cs="Times New Roman"/>
          <w:sz w:val="24"/>
          <w:szCs w:val="24"/>
        </w:rPr>
        <w:t xml:space="preserve">. Además, es posible verificar que la mayoría no está de acuerdo con que </w:t>
      </w:r>
      <w:r w:rsidR="006A578D" w:rsidRPr="00BA4A54">
        <w:rPr>
          <w:rFonts w:ascii="Times New Roman" w:eastAsia="Times New Roman" w:hAnsi="Times New Roman" w:cs="Times New Roman"/>
          <w:sz w:val="24"/>
          <w:szCs w:val="24"/>
        </w:rPr>
        <w:t xml:space="preserve">el estudiantado </w:t>
      </w:r>
      <w:r w:rsidRPr="00BA4A54">
        <w:rPr>
          <w:rFonts w:ascii="Times New Roman" w:eastAsia="Times New Roman" w:hAnsi="Times New Roman" w:cs="Times New Roman"/>
          <w:sz w:val="24"/>
          <w:szCs w:val="24"/>
        </w:rPr>
        <w:t>tenga motivación para realizar las pruebas estandarizadas, así como tiempo y las herramientas necesarias para prepararse antes de realizar las pruebas estandarizadas.</w:t>
      </w:r>
    </w:p>
    <w:p w14:paraId="00000136" w14:textId="77777777" w:rsidR="00E51D2F" w:rsidRPr="00BA4A54" w:rsidRDefault="00E51D2F">
      <w:pPr>
        <w:rPr>
          <w:rFonts w:ascii="Times New Roman" w:eastAsia="Arial" w:hAnsi="Times New Roman" w:cs="Times New Roman"/>
          <w:color w:val="000000"/>
          <w:sz w:val="24"/>
          <w:szCs w:val="24"/>
        </w:rPr>
      </w:pPr>
    </w:p>
    <w:p w14:paraId="00000137" w14:textId="77777777" w:rsidR="00E51D2F" w:rsidRPr="00BA4A54" w:rsidRDefault="00000000">
      <w:pPr>
        <w:rPr>
          <w:rFonts w:ascii="Times New Roman" w:eastAsia="Times New Roman" w:hAnsi="Times New Roman" w:cs="Times New Roman"/>
          <w:sz w:val="24"/>
          <w:szCs w:val="24"/>
        </w:rPr>
      </w:pPr>
      <w:r w:rsidRPr="00BA4A54">
        <w:rPr>
          <w:rFonts w:ascii="Times New Roman" w:eastAsia="Times New Roman" w:hAnsi="Times New Roman" w:cs="Times New Roman"/>
          <w:color w:val="000000"/>
          <w:sz w:val="24"/>
          <w:szCs w:val="24"/>
        </w:rPr>
        <w:t xml:space="preserve">Tabla </w:t>
      </w:r>
      <w:r w:rsidRPr="00BA4A54">
        <w:rPr>
          <w:rFonts w:ascii="Times New Roman" w:eastAsia="Times New Roman" w:hAnsi="Times New Roman" w:cs="Times New Roman"/>
          <w:sz w:val="24"/>
          <w:szCs w:val="24"/>
        </w:rPr>
        <w:t>5</w:t>
      </w:r>
    </w:p>
    <w:p w14:paraId="00000138" w14:textId="77777777" w:rsidR="00E51D2F" w:rsidRPr="00BA4A54" w:rsidRDefault="00000000">
      <w:pPr>
        <w:rPr>
          <w:rFonts w:ascii="Times New Roman" w:eastAsia="Times New Roman" w:hAnsi="Times New Roman" w:cs="Times New Roman"/>
          <w:i/>
          <w:color w:val="000000"/>
          <w:sz w:val="24"/>
          <w:szCs w:val="24"/>
        </w:rPr>
      </w:pPr>
      <w:r w:rsidRPr="00BA4A54">
        <w:rPr>
          <w:rFonts w:ascii="Times New Roman" w:eastAsia="Times New Roman" w:hAnsi="Times New Roman" w:cs="Times New Roman"/>
          <w:i/>
          <w:color w:val="000000"/>
          <w:sz w:val="24"/>
          <w:szCs w:val="24"/>
        </w:rPr>
        <w:t>Porcentaje de acuerdo de las personas docentes con respecto a afirmaciones sobre las pruebas estandarizadas</w:t>
      </w:r>
    </w:p>
    <w:tbl>
      <w:tblPr>
        <w:tblStyle w:val="4"/>
        <w:tblW w:w="9215" w:type="dxa"/>
        <w:tblInd w:w="0" w:type="dxa"/>
        <w:tblLayout w:type="fixed"/>
        <w:tblLook w:val="0400" w:firstRow="0" w:lastRow="0" w:firstColumn="0" w:lastColumn="0" w:noHBand="0" w:noVBand="1"/>
      </w:tblPr>
      <w:tblGrid>
        <w:gridCol w:w="2410"/>
        <w:gridCol w:w="1361"/>
        <w:gridCol w:w="1361"/>
        <w:gridCol w:w="1361"/>
        <w:gridCol w:w="1361"/>
        <w:gridCol w:w="1361"/>
      </w:tblGrid>
      <w:tr w:rsidR="00E51D2F" w:rsidRPr="00BA4A54" w14:paraId="0317F164" w14:textId="77777777">
        <w:trPr>
          <w:trHeight w:val="608"/>
        </w:trPr>
        <w:tc>
          <w:tcPr>
            <w:tcW w:w="2410" w:type="dxa"/>
            <w:vMerge w:val="restart"/>
            <w:tcBorders>
              <w:top w:val="single" w:sz="4" w:space="0" w:color="000000"/>
            </w:tcBorders>
            <w:shd w:val="clear" w:color="auto" w:fill="FFFFFF"/>
            <w:vAlign w:val="center"/>
          </w:tcPr>
          <w:p w14:paraId="00000139" w14:textId="77777777" w:rsidR="00E51D2F" w:rsidRPr="00BA4A54" w:rsidRDefault="00000000">
            <w:pP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Afirmaciones sobre las pruebas estandarizadas</w:t>
            </w:r>
          </w:p>
          <w:p w14:paraId="0000013A" w14:textId="77777777" w:rsidR="00E51D2F" w:rsidRPr="00BA4A54" w:rsidRDefault="00E51D2F">
            <w:pPr>
              <w:rPr>
                <w:rFonts w:ascii="Times New Roman" w:eastAsia="Times New Roman" w:hAnsi="Times New Roman" w:cs="Times New Roman"/>
                <w:color w:val="000000"/>
                <w:sz w:val="24"/>
                <w:szCs w:val="24"/>
              </w:rPr>
            </w:pPr>
          </w:p>
        </w:tc>
        <w:tc>
          <w:tcPr>
            <w:tcW w:w="6805" w:type="dxa"/>
            <w:gridSpan w:val="5"/>
            <w:tcBorders>
              <w:top w:val="single" w:sz="4" w:space="0" w:color="000000"/>
              <w:bottom w:val="single" w:sz="4" w:space="0" w:color="000000"/>
            </w:tcBorders>
            <w:shd w:val="clear" w:color="auto" w:fill="FFFFFF"/>
            <w:vAlign w:val="center"/>
          </w:tcPr>
          <w:p w14:paraId="0000013B"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Porcentaje de Acuerdo</w:t>
            </w:r>
          </w:p>
        </w:tc>
      </w:tr>
      <w:tr w:rsidR="00E51D2F" w:rsidRPr="00BA4A54" w14:paraId="489428A6" w14:textId="77777777">
        <w:trPr>
          <w:trHeight w:val="607"/>
        </w:trPr>
        <w:tc>
          <w:tcPr>
            <w:tcW w:w="2410" w:type="dxa"/>
            <w:vMerge/>
            <w:tcBorders>
              <w:top w:val="single" w:sz="4" w:space="0" w:color="000000"/>
            </w:tcBorders>
            <w:shd w:val="clear" w:color="auto" w:fill="FFFFFF"/>
            <w:vAlign w:val="center"/>
          </w:tcPr>
          <w:p w14:paraId="00000140" w14:textId="77777777" w:rsidR="00E51D2F" w:rsidRPr="00BA4A54" w:rsidRDefault="00E51D2F">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361" w:type="dxa"/>
            <w:tcBorders>
              <w:top w:val="single" w:sz="4" w:space="0" w:color="000000"/>
              <w:bottom w:val="single" w:sz="4" w:space="0" w:color="000000"/>
            </w:tcBorders>
            <w:shd w:val="clear" w:color="auto" w:fill="FFFFFF"/>
            <w:vAlign w:val="center"/>
          </w:tcPr>
          <w:p w14:paraId="00000141"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Totalmente de acuerdo</w:t>
            </w:r>
          </w:p>
        </w:tc>
        <w:tc>
          <w:tcPr>
            <w:tcW w:w="1361" w:type="dxa"/>
            <w:tcBorders>
              <w:top w:val="single" w:sz="4" w:space="0" w:color="000000"/>
              <w:bottom w:val="single" w:sz="4" w:space="0" w:color="000000"/>
            </w:tcBorders>
            <w:shd w:val="clear" w:color="auto" w:fill="FFFFFF"/>
            <w:vAlign w:val="center"/>
          </w:tcPr>
          <w:p w14:paraId="00000142"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De acuerdo</w:t>
            </w:r>
          </w:p>
        </w:tc>
        <w:tc>
          <w:tcPr>
            <w:tcW w:w="1361" w:type="dxa"/>
            <w:tcBorders>
              <w:top w:val="single" w:sz="4" w:space="0" w:color="000000"/>
              <w:bottom w:val="single" w:sz="4" w:space="0" w:color="000000"/>
            </w:tcBorders>
            <w:shd w:val="clear" w:color="auto" w:fill="FFFFFF"/>
            <w:vAlign w:val="center"/>
          </w:tcPr>
          <w:p w14:paraId="00000143"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Ni de acuerdo ni en desacuerdo</w:t>
            </w:r>
          </w:p>
        </w:tc>
        <w:tc>
          <w:tcPr>
            <w:tcW w:w="1361" w:type="dxa"/>
            <w:tcBorders>
              <w:top w:val="single" w:sz="4" w:space="0" w:color="000000"/>
              <w:bottom w:val="single" w:sz="4" w:space="0" w:color="000000"/>
            </w:tcBorders>
            <w:shd w:val="clear" w:color="auto" w:fill="FFFFFF"/>
            <w:vAlign w:val="center"/>
          </w:tcPr>
          <w:p w14:paraId="00000144"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En desacuerdo</w:t>
            </w:r>
          </w:p>
        </w:tc>
        <w:tc>
          <w:tcPr>
            <w:tcW w:w="1361" w:type="dxa"/>
            <w:tcBorders>
              <w:top w:val="single" w:sz="4" w:space="0" w:color="000000"/>
              <w:bottom w:val="single" w:sz="4" w:space="0" w:color="000000"/>
            </w:tcBorders>
            <w:shd w:val="clear" w:color="auto" w:fill="FFFFFF"/>
            <w:vAlign w:val="center"/>
          </w:tcPr>
          <w:p w14:paraId="00000145"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Totalmente en desacuerdo</w:t>
            </w:r>
          </w:p>
        </w:tc>
      </w:tr>
      <w:tr w:rsidR="00E51D2F" w:rsidRPr="00BA4A54" w14:paraId="76E83F4C" w14:textId="77777777">
        <w:trPr>
          <w:trHeight w:val="1178"/>
        </w:trPr>
        <w:tc>
          <w:tcPr>
            <w:tcW w:w="2410" w:type="dxa"/>
            <w:tcBorders>
              <w:top w:val="single" w:sz="4" w:space="0" w:color="000000"/>
            </w:tcBorders>
            <w:shd w:val="clear" w:color="auto" w:fill="FFFFFF"/>
            <w:vAlign w:val="center"/>
          </w:tcPr>
          <w:p w14:paraId="00000146"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La priorización de contenidos del MEP para las pruebas estandarizadas corresponde con lo visto en las aulas</w:t>
            </w:r>
          </w:p>
        </w:tc>
        <w:tc>
          <w:tcPr>
            <w:tcW w:w="1361" w:type="dxa"/>
            <w:tcBorders>
              <w:top w:val="single" w:sz="4" w:space="0" w:color="000000"/>
            </w:tcBorders>
            <w:shd w:val="clear" w:color="auto" w:fill="FFFFFF"/>
            <w:vAlign w:val="center"/>
          </w:tcPr>
          <w:p w14:paraId="00000147"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8,2</w:t>
            </w:r>
          </w:p>
        </w:tc>
        <w:tc>
          <w:tcPr>
            <w:tcW w:w="1361" w:type="dxa"/>
            <w:tcBorders>
              <w:top w:val="single" w:sz="4" w:space="0" w:color="000000"/>
            </w:tcBorders>
            <w:shd w:val="clear" w:color="auto" w:fill="FFFFFF"/>
            <w:vAlign w:val="center"/>
          </w:tcPr>
          <w:p w14:paraId="00000148"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28,6</w:t>
            </w:r>
          </w:p>
        </w:tc>
        <w:tc>
          <w:tcPr>
            <w:tcW w:w="1361" w:type="dxa"/>
            <w:tcBorders>
              <w:top w:val="single" w:sz="4" w:space="0" w:color="000000"/>
            </w:tcBorders>
            <w:shd w:val="clear" w:color="auto" w:fill="FFFFFF"/>
            <w:vAlign w:val="center"/>
          </w:tcPr>
          <w:p w14:paraId="00000149"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31,6</w:t>
            </w:r>
          </w:p>
        </w:tc>
        <w:tc>
          <w:tcPr>
            <w:tcW w:w="1361" w:type="dxa"/>
            <w:tcBorders>
              <w:top w:val="single" w:sz="4" w:space="0" w:color="000000"/>
            </w:tcBorders>
            <w:shd w:val="clear" w:color="auto" w:fill="FFFFFF"/>
            <w:vAlign w:val="center"/>
          </w:tcPr>
          <w:p w14:paraId="0000014A"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18,0</w:t>
            </w:r>
          </w:p>
        </w:tc>
        <w:tc>
          <w:tcPr>
            <w:tcW w:w="1361" w:type="dxa"/>
            <w:tcBorders>
              <w:top w:val="single" w:sz="4" w:space="0" w:color="000000"/>
            </w:tcBorders>
            <w:shd w:val="clear" w:color="auto" w:fill="FFFFFF"/>
            <w:vAlign w:val="center"/>
          </w:tcPr>
          <w:p w14:paraId="0000014B"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13,6</w:t>
            </w:r>
          </w:p>
        </w:tc>
      </w:tr>
      <w:tr w:rsidR="00E51D2F" w:rsidRPr="00BA4A54" w14:paraId="46D13308" w14:textId="77777777">
        <w:trPr>
          <w:trHeight w:val="2108"/>
        </w:trPr>
        <w:tc>
          <w:tcPr>
            <w:tcW w:w="2410" w:type="dxa"/>
            <w:tcBorders>
              <w:top w:val="nil"/>
              <w:left w:val="nil"/>
            </w:tcBorders>
            <w:shd w:val="clear" w:color="auto" w:fill="FFFFFF"/>
            <w:vAlign w:val="center"/>
          </w:tcPr>
          <w:p w14:paraId="0000014C"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Hay coherencia entre las fechas de aplicación de las pruebas estandarizadas y el calendario escolar</w:t>
            </w:r>
          </w:p>
        </w:tc>
        <w:tc>
          <w:tcPr>
            <w:tcW w:w="1361" w:type="dxa"/>
            <w:tcBorders>
              <w:top w:val="nil"/>
            </w:tcBorders>
            <w:shd w:val="clear" w:color="auto" w:fill="FFFFFF"/>
            <w:vAlign w:val="center"/>
          </w:tcPr>
          <w:p w14:paraId="0000014D"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6,5</w:t>
            </w:r>
          </w:p>
        </w:tc>
        <w:tc>
          <w:tcPr>
            <w:tcW w:w="1361" w:type="dxa"/>
            <w:tcBorders>
              <w:top w:val="nil"/>
            </w:tcBorders>
            <w:shd w:val="clear" w:color="auto" w:fill="FFFFFF"/>
            <w:vAlign w:val="center"/>
          </w:tcPr>
          <w:p w14:paraId="0000014E"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24,1</w:t>
            </w:r>
          </w:p>
        </w:tc>
        <w:tc>
          <w:tcPr>
            <w:tcW w:w="1361" w:type="dxa"/>
            <w:tcBorders>
              <w:top w:val="nil"/>
            </w:tcBorders>
            <w:shd w:val="clear" w:color="auto" w:fill="FFFFFF"/>
            <w:vAlign w:val="center"/>
          </w:tcPr>
          <w:p w14:paraId="0000014F"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26,2</w:t>
            </w:r>
          </w:p>
        </w:tc>
        <w:tc>
          <w:tcPr>
            <w:tcW w:w="1361" w:type="dxa"/>
            <w:tcBorders>
              <w:top w:val="nil"/>
            </w:tcBorders>
            <w:shd w:val="clear" w:color="auto" w:fill="FFFFFF"/>
            <w:vAlign w:val="center"/>
          </w:tcPr>
          <w:p w14:paraId="00000150"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23,1</w:t>
            </w:r>
          </w:p>
        </w:tc>
        <w:tc>
          <w:tcPr>
            <w:tcW w:w="1361" w:type="dxa"/>
            <w:tcBorders>
              <w:top w:val="nil"/>
            </w:tcBorders>
            <w:shd w:val="clear" w:color="auto" w:fill="FFFFFF"/>
            <w:vAlign w:val="center"/>
          </w:tcPr>
          <w:p w14:paraId="00000151"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20,1</w:t>
            </w:r>
          </w:p>
        </w:tc>
      </w:tr>
      <w:tr w:rsidR="00E51D2F" w:rsidRPr="00BA4A54" w14:paraId="629F8D73" w14:textId="77777777">
        <w:trPr>
          <w:trHeight w:val="945"/>
        </w:trPr>
        <w:tc>
          <w:tcPr>
            <w:tcW w:w="2410" w:type="dxa"/>
            <w:tcBorders>
              <w:top w:val="nil"/>
              <w:left w:val="nil"/>
            </w:tcBorders>
            <w:shd w:val="clear" w:color="auto" w:fill="FFFFFF"/>
            <w:vAlign w:val="center"/>
          </w:tcPr>
          <w:p w14:paraId="00000152"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Hay coherencia entre las pruebas estandarizadas y los lineamientos de las pruebas escritas</w:t>
            </w:r>
          </w:p>
        </w:tc>
        <w:tc>
          <w:tcPr>
            <w:tcW w:w="1361" w:type="dxa"/>
            <w:tcBorders>
              <w:top w:val="nil"/>
            </w:tcBorders>
            <w:shd w:val="clear" w:color="auto" w:fill="FFFFFF"/>
            <w:vAlign w:val="center"/>
          </w:tcPr>
          <w:p w14:paraId="00000153"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5,4</w:t>
            </w:r>
          </w:p>
        </w:tc>
        <w:tc>
          <w:tcPr>
            <w:tcW w:w="1361" w:type="dxa"/>
            <w:tcBorders>
              <w:top w:val="nil"/>
            </w:tcBorders>
            <w:shd w:val="clear" w:color="auto" w:fill="FFFFFF"/>
            <w:vAlign w:val="center"/>
          </w:tcPr>
          <w:p w14:paraId="00000154"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22,1</w:t>
            </w:r>
          </w:p>
        </w:tc>
        <w:tc>
          <w:tcPr>
            <w:tcW w:w="1361" w:type="dxa"/>
            <w:tcBorders>
              <w:top w:val="nil"/>
            </w:tcBorders>
            <w:shd w:val="clear" w:color="auto" w:fill="FFFFFF"/>
            <w:vAlign w:val="center"/>
          </w:tcPr>
          <w:p w14:paraId="00000155"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31,3</w:t>
            </w:r>
          </w:p>
        </w:tc>
        <w:tc>
          <w:tcPr>
            <w:tcW w:w="1361" w:type="dxa"/>
            <w:tcBorders>
              <w:top w:val="nil"/>
            </w:tcBorders>
            <w:shd w:val="clear" w:color="auto" w:fill="FFFFFF"/>
            <w:vAlign w:val="center"/>
          </w:tcPr>
          <w:p w14:paraId="00000156"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20,7</w:t>
            </w:r>
          </w:p>
        </w:tc>
        <w:tc>
          <w:tcPr>
            <w:tcW w:w="1361" w:type="dxa"/>
            <w:tcBorders>
              <w:top w:val="nil"/>
            </w:tcBorders>
            <w:shd w:val="clear" w:color="auto" w:fill="FFFFFF"/>
            <w:vAlign w:val="center"/>
          </w:tcPr>
          <w:p w14:paraId="00000157"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20,4</w:t>
            </w:r>
          </w:p>
        </w:tc>
      </w:tr>
      <w:tr w:rsidR="00E51D2F" w:rsidRPr="00BA4A54" w14:paraId="1E0262ED" w14:textId="77777777">
        <w:trPr>
          <w:trHeight w:val="2108"/>
        </w:trPr>
        <w:tc>
          <w:tcPr>
            <w:tcW w:w="2410" w:type="dxa"/>
            <w:tcBorders>
              <w:top w:val="nil"/>
              <w:left w:val="nil"/>
            </w:tcBorders>
            <w:shd w:val="clear" w:color="auto" w:fill="FFFFFF"/>
            <w:vAlign w:val="center"/>
          </w:tcPr>
          <w:p w14:paraId="00000158"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El MEP ha comunicado de forma adecuada la información sobre las pruebas estandarizadas</w:t>
            </w:r>
          </w:p>
        </w:tc>
        <w:tc>
          <w:tcPr>
            <w:tcW w:w="1361" w:type="dxa"/>
            <w:tcBorders>
              <w:top w:val="nil"/>
            </w:tcBorders>
            <w:shd w:val="clear" w:color="auto" w:fill="FFFFFF"/>
            <w:vAlign w:val="center"/>
          </w:tcPr>
          <w:p w14:paraId="00000159"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5,4</w:t>
            </w:r>
          </w:p>
        </w:tc>
        <w:tc>
          <w:tcPr>
            <w:tcW w:w="1361" w:type="dxa"/>
            <w:tcBorders>
              <w:top w:val="nil"/>
            </w:tcBorders>
            <w:shd w:val="clear" w:color="auto" w:fill="FFFFFF"/>
            <w:vAlign w:val="center"/>
          </w:tcPr>
          <w:p w14:paraId="0000015A"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22,4</w:t>
            </w:r>
          </w:p>
        </w:tc>
        <w:tc>
          <w:tcPr>
            <w:tcW w:w="1361" w:type="dxa"/>
            <w:tcBorders>
              <w:top w:val="nil"/>
            </w:tcBorders>
            <w:shd w:val="clear" w:color="auto" w:fill="FFFFFF"/>
            <w:vAlign w:val="center"/>
          </w:tcPr>
          <w:p w14:paraId="0000015B"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25,9</w:t>
            </w:r>
          </w:p>
        </w:tc>
        <w:tc>
          <w:tcPr>
            <w:tcW w:w="1361" w:type="dxa"/>
            <w:tcBorders>
              <w:top w:val="nil"/>
            </w:tcBorders>
            <w:shd w:val="clear" w:color="auto" w:fill="FFFFFF"/>
            <w:vAlign w:val="center"/>
          </w:tcPr>
          <w:p w14:paraId="0000015C"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21,8</w:t>
            </w:r>
          </w:p>
        </w:tc>
        <w:tc>
          <w:tcPr>
            <w:tcW w:w="1361" w:type="dxa"/>
            <w:tcBorders>
              <w:top w:val="nil"/>
            </w:tcBorders>
            <w:shd w:val="clear" w:color="auto" w:fill="FFFFFF"/>
            <w:vAlign w:val="center"/>
          </w:tcPr>
          <w:p w14:paraId="0000015D"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24,5</w:t>
            </w:r>
          </w:p>
        </w:tc>
      </w:tr>
      <w:tr w:rsidR="00E51D2F" w:rsidRPr="00BA4A54" w14:paraId="5C99D206" w14:textId="77777777">
        <w:trPr>
          <w:trHeight w:val="1410"/>
        </w:trPr>
        <w:tc>
          <w:tcPr>
            <w:tcW w:w="2410" w:type="dxa"/>
            <w:tcBorders>
              <w:top w:val="nil"/>
              <w:left w:val="nil"/>
            </w:tcBorders>
            <w:shd w:val="clear" w:color="auto" w:fill="FFFFFF"/>
            <w:vAlign w:val="center"/>
          </w:tcPr>
          <w:p w14:paraId="0000015E"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lastRenderedPageBreak/>
              <w:t>El MEP evidencia capacidad técnica para tomar decisiones sobre las pruebas estandarizadas</w:t>
            </w:r>
          </w:p>
        </w:tc>
        <w:tc>
          <w:tcPr>
            <w:tcW w:w="1361" w:type="dxa"/>
            <w:tcBorders>
              <w:top w:val="nil"/>
            </w:tcBorders>
            <w:shd w:val="clear" w:color="auto" w:fill="FFFFFF"/>
            <w:vAlign w:val="center"/>
          </w:tcPr>
          <w:p w14:paraId="0000015F"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3,7</w:t>
            </w:r>
          </w:p>
        </w:tc>
        <w:tc>
          <w:tcPr>
            <w:tcW w:w="1361" w:type="dxa"/>
            <w:tcBorders>
              <w:top w:val="nil"/>
            </w:tcBorders>
            <w:shd w:val="clear" w:color="auto" w:fill="FFFFFF"/>
            <w:vAlign w:val="center"/>
          </w:tcPr>
          <w:p w14:paraId="00000160"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14,6</w:t>
            </w:r>
          </w:p>
        </w:tc>
        <w:tc>
          <w:tcPr>
            <w:tcW w:w="1361" w:type="dxa"/>
            <w:tcBorders>
              <w:top w:val="nil"/>
            </w:tcBorders>
            <w:shd w:val="clear" w:color="auto" w:fill="FFFFFF"/>
            <w:vAlign w:val="center"/>
          </w:tcPr>
          <w:p w14:paraId="00000161"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27,2</w:t>
            </w:r>
          </w:p>
        </w:tc>
        <w:tc>
          <w:tcPr>
            <w:tcW w:w="1361" w:type="dxa"/>
            <w:tcBorders>
              <w:top w:val="nil"/>
            </w:tcBorders>
            <w:shd w:val="clear" w:color="auto" w:fill="FFFFFF"/>
            <w:vAlign w:val="center"/>
          </w:tcPr>
          <w:p w14:paraId="00000162"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25,9</w:t>
            </w:r>
          </w:p>
        </w:tc>
        <w:tc>
          <w:tcPr>
            <w:tcW w:w="1361" w:type="dxa"/>
            <w:tcBorders>
              <w:top w:val="nil"/>
            </w:tcBorders>
            <w:shd w:val="clear" w:color="auto" w:fill="FFFFFF"/>
            <w:vAlign w:val="center"/>
          </w:tcPr>
          <w:p w14:paraId="00000163"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28,6</w:t>
            </w:r>
          </w:p>
        </w:tc>
      </w:tr>
      <w:tr w:rsidR="00E51D2F" w:rsidRPr="00BA4A54" w14:paraId="141B054D" w14:textId="77777777">
        <w:trPr>
          <w:trHeight w:val="1890"/>
        </w:trPr>
        <w:tc>
          <w:tcPr>
            <w:tcW w:w="2410" w:type="dxa"/>
            <w:tcBorders>
              <w:top w:val="nil"/>
              <w:left w:val="nil"/>
              <w:bottom w:val="nil"/>
            </w:tcBorders>
            <w:shd w:val="clear" w:color="auto" w:fill="FFFFFF"/>
            <w:vAlign w:val="center"/>
          </w:tcPr>
          <w:p w14:paraId="00000164"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Los estudiantes tienen motivación para realizar las pruebas estandarizadas</w:t>
            </w:r>
          </w:p>
        </w:tc>
        <w:tc>
          <w:tcPr>
            <w:tcW w:w="1361" w:type="dxa"/>
            <w:tcBorders>
              <w:top w:val="nil"/>
              <w:bottom w:val="nil"/>
            </w:tcBorders>
            <w:shd w:val="clear" w:color="auto" w:fill="FFFFFF"/>
            <w:vAlign w:val="center"/>
          </w:tcPr>
          <w:p w14:paraId="00000165"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4,4</w:t>
            </w:r>
          </w:p>
        </w:tc>
        <w:tc>
          <w:tcPr>
            <w:tcW w:w="1361" w:type="dxa"/>
            <w:tcBorders>
              <w:top w:val="nil"/>
              <w:bottom w:val="nil"/>
            </w:tcBorders>
            <w:shd w:val="clear" w:color="auto" w:fill="FFFFFF"/>
            <w:vAlign w:val="center"/>
          </w:tcPr>
          <w:p w14:paraId="00000166"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9,2</w:t>
            </w:r>
          </w:p>
        </w:tc>
        <w:tc>
          <w:tcPr>
            <w:tcW w:w="1361" w:type="dxa"/>
            <w:tcBorders>
              <w:top w:val="nil"/>
              <w:bottom w:val="nil"/>
            </w:tcBorders>
            <w:shd w:val="clear" w:color="auto" w:fill="FFFFFF"/>
            <w:vAlign w:val="center"/>
          </w:tcPr>
          <w:p w14:paraId="00000167"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23,8</w:t>
            </w:r>
          </w:p>
        </w:tc>
        <w:tc>
          <w:tcPr>
            <w:tcW w:w="1361" w:type="dxa"/>
            <w:tcBorders>
              <w:top w:val="nil"/>
              <w:bottom w:val="nil"/>
            </w:tcBorders>
            <w:shd w:val="clear" w:color="auto" w:fill="FFFFFF"/>
            <w:vAlign w:val="center"/>
          </w:tcPr>
          <w:p w14:paraId="00000168"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32,0</w:t>
            </w:r>
          </w:p>
        </w:tc>
        <w:tc>
          <w:tcPr>
            <w:tcW w:w="1361" w:type="dxa"/>
            <w:tcBorders>
              <w:top w:val="nil"/>
              <w:bottom w:val="nil"/>
            </w:tcBorders>
            <w:shd w:val="clear" w:color="auto" w:fill="FFFFFF"/>
            <w:vAlign w:val="center"/>
          </w:tcPr>
          <w:p w14:paraId="00000169"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30,6</w:t>
            </w:r>
          </w:p>
        </w:tc>
      </w:tr>
      <w:tr w:rsidR="00E51D2F" w:rsidRPr="00BA4A54" w14:paraId="6BA71BA2" w14:textId="77777777">
        <w:trPr>
          <w:trHeight w:val="1875"/>
        </w:trPr>
        <w:tc>
          <w:tcPr>
            <w:tcW w:w="2410" w:type="dxa"/>
            <w:tcBorders>
              <w:top w:val="nil"/>
              <w:left w:val="nil"/>
              <w:bottom w:val="nil"/>
            </w:tcBorders>
            <w:shd w:val="clear" w:color="auto" w:fill="FFFFFF"/>
            <w:vAlign w:val="center"/>
          </w:tcPr>
          <w:p w14:paraId="0000016A"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El estudiantado ha tenido el tiempo y las herramientas necesarias para prepararse antes de realizar las pruebas estandarizadas</w:t>
            </w:r>
          </w:p>
        </w:tc>
        <w:tc>
          <w:tcPr>
            <w:tcW w:w="1361" w:type="dxa"/>
            <w:tcBorders>
              <w:top w:val="nil"/>
              <w:bottom w:val="nil"/>
            </w:tcBorders>
            <w:shd w:val="clear" w:color="auto" w:fill="FFFFFF"/>
            <w:vAlign w:val="center"/>
          </w:tcPr>
          <w:p w14:paraId="0000016B"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5,1</w:t>
            </w:r>
          </w:p>
        </w:tc>
        <w:tc>
          <w:tcPr>
            <w:tcW w:w="1361" w:type="dxa"/>
            <w:tcBorders>
              <w:top w:val="nil"/>
              <w:bottom w:val="nil"/>
            </w:tcBorders>
            <w:shd w:val="clear" w:color="auto" w:fill="FFFFFF"/>
            <w:vAlign w:val="center"/>
          </w:tcPr>
          <w:p w14:paraId="0000016C"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15,3</w:t>
            </w:r>
          </w:p>
        </w:tc>
        <w:tc>
          <w:tcPr>
            <w:tcW w:w="1361" w:type="dxa"/>
            <w:tcBorders>
              <w:top w:val="nil"/>
              <w:bottom w:val="nil"/>
            </w:tcBorders>
            <w:shd w:val="clear" w:color="auto" w:fill="FFFFFF"/>
            <w:vAlign w:val="center"/>
          </w:tcPr>
          <w:p w14:paraId="0000016D"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21,4</w:t>
            </w:r>
          </w:p>
        </w:tc>
        <w:tc>
          <w:tcPr>
            <w:tcW w:w="1361" w:type="dxa"/>
            <w:tcBorders>
              <w:top w:val="nil"/>
              <w:bottom w:val="nil"/>
            </w:tcBorders>
            <w:shd w:val="clear" w:color="auto" w:fill="FFFFFF"/>
            <w:vAlign w:val="center"/>
          </w:tcPr>
          <w:p w14:paraId="0000016E"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32,3</w:t>
            </w:r>
          </w:p>
        </w:tc>
        <w:tc>
          <w:tcPr>
            <w:tcW w:w="1361" w:type="dxa"/>
            <w:tcBorders>
              <w:top w:val="nil"/>
              <w:bottom w:val="nil"/>
            </w:tcBorders>
            <w:shd w:val="clear" w:color="auto" w:fill="FFFFFF"/>
            <w:vAlign w:val="center"/>
          </w:tcPr>
          <w:p w14:paraId="0000016F"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25,9</w:t>
            </w:r>
          </w:p>
        </w:tc>
      </w:tr>
      <w:tr w:rsidR="00E51D2F" w:rsidRPr="00BA4A54" w14:paraId="04DC0CB1" w14:textId="77777777">
        <w:trPr>
          <w:trHeight w:val="1875"/>
        </w:trPr>
        <w:tc>
          <w:tcPr>
            <w:tcW w:w="2410" w:type="dxa"/>
            <w:tcBorders>
              <w:top w:val="nil"/>
              <w:left w:val="nil"/>
              <w:bottom w:val="single" w:sz="4" w:space="0" w:color="000000"/>
            </w:tcBorders>
            <w:shd w:val="clear" w:color="auto" w:fill="FFFFFF"/>
            <w:vAlign w:val="center"/>
          </w:tcPr>
          <w:p w14:paraId="00000170"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Está claro el proceso de aplicación de las pruebas estandarizadas para estudiantes con adecuación significativa</w:t>
            </w:r>
          </w:p>
        </w:tc>
        <w:tc>
          <w:tcPr>
            <w:tcW w:w="1361" w:type="dxa"/>
            <w:tcBorders>
              <w:top w:val="nil"/>
              <w:bottom w:val="single" w:sz="4" w:space="0" w:color="000000"/>
            </w:tcBorders>
            <w:shd w:val="clear" w:color="auto" w:fill="FFFFFF"/>
            <w:vAlign w:val="center"/>
          </w:tcPr>
          <w:p w14:paraId="00000171"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5,4</w:t>
            </w:r>
          </w:p>
        </w:tc>
        <w:tc>
          <w:tcPr>
            <w:tcW w:w="1361" w:type="dxa"/>
            <w:tcBorders>
              <w:top w:val="nil"/>
              <w:bottom w:val="single" w:sz="4" w:space="0" w:color="000000"/>
            </w:tcBorders>
            <w:shd w:val="clear" w:color="auto" w:fill="FFFFFF"/>
            <w:vAlign w:val="center"/>
          </w:tcPr>
          <w:p w14:paraId="00000172"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17,7</w:t>
            </w:r>
          </w:p>
        </w:tc>
        <w:tc>
          <w:tcPr>
            <w:tcW w:w="1361" w:type="dxa"/>
            <w:tcBorders>
              <w:top w:val="nil"/>
              <w:bottom w:val="single" w:sz="4" w:space="0" w:color="000000"/>
            </w:tcBorders>
            <w:shd w:val="clear" w:color="auto" w:fill="FFFFFF"/>
            <w:vAlign w:val="center"/>
          </w:tcPr>
          <w:p w14:paraId="00000173"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22,4</w:t>
            </w:r>
          </w:p>
        </w:tc>
        <w:tc>
          <w:tcPr>
            <w:tcW w:w="1361" w:type="dxa"/>
            <w:tcBorders>
              <w:top w:val="nil"/>
              <w:bottom w:val="single" w:sz="4" w:space="0" w:color="000000"/>
            </w:tcBorders>
            <w:shd w:val="clear" w:color="auto" w:fill="FFFFFF"/>
            <w:vAlign w:val="center"/>
          </w:tcPr>
          <w:p w14:paraId="00000174"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26,5</w:t>
            </w:r>
          </w:p>
        </w:tc>
        <w:tc>
          <w:tcPr>
            <w:tcW w:w="1361" w:type="dxa"/>
            <w:tcBorders>
              <w:top w:val="nil"/>
              <w:bottom w:val="single" w:sz="4" w:space="0" w:color="000000"/>
            </w:tcBorders>
            <w:shd w:val="clear" w:color="auto" w:fill="FFFFFF"/>
            <w:vAlign w:val="center"/>
          </w:tcPr>
          <w:p w14:paraId="00000175"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27,9</w:t>
            </w:r>
          </w:p>
        </w:tc>
      </w:tr>
    </w:tbl>
    <w:p w14:paraId="00000176" w14:textId="77777777" w:rsidR="00E51D2F" w:rsidRPr="00BA4A54" w:rsidRDefault="00E51D2F">
      <w:pPr>
        <w:spacing w:after="0" w:line="360" w:lineRule="auto"/>
        <w:jc w:val="both"/>
        <w:rPr>
          <w:rFonts w:ascii="Times New Roman" w:eastAsia="Times New Roman" w:hAnsi="Times New Roman" w:cs="Times New Roman"/>
          <w:sz w:val="24"/>
          <w:szCs w:val="24"/>
        </w:rPr>
      </w:pPr>
    </w:p>
    <w:p w14:paraId="00000177" w14:textId="77777777" w:rsidR="00E51D2F" w:rsidRPr="00BA4A54" w:rsidRDefault="00000000">
      <w:pPr>
        <w:spacing w:after="0" w:line="360" w:lineRule="auto"/>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ab/>
        <w:t xml:space="preserve">Al ser cuestionados respecto a si consideraban que las brechas de aprendizaje entre estudiantes se podrían estar incrementando con las pruebas estandarizadas, más de la mitad de la muestra contesta afirmativamente (53,4%). Al explicar el porqué de su elección, mencionan que las brechas de aprendizaje entre estudiantes pueden estar relacionada a que las pruebas estandarizadas están diseñadas para ser resueltas de manera digital. Por lo tanto, la brecha puede ser, según el personal docente, a la falta de tecnología que enfrentan algunas modalidades de los centros educativos o en diversos sectores del país, y, por lo tanto, por la falta de contextualización a la realidad de los espacios pedagógicos. </w:t>
      </w:r>
    </w:p>
    <w:p w14:paraId="00000178" w14:textId="290D0F4B" w:rsidR="00E51D2F" w:rsidRPr="00BA4A54" w:rsidRDefault="00000000">
      <w:pPr>
        <w:spacing w:after="0" w:line="360" w:lineRule="auto"/>
        <w:ind w:firstLine="720"/>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 xml:space="preserve">Por otra parte, la muestra evaluada de docentes considera que existe una limitante entre los aprendizajes que se potencian en el sector público cuando son comparados con el sector privado, de manera que los estudiantes de centros privados estarían mejor preparados para enfrentar dichas pruebas. Además, manifiestan que estas pruebas carecen de un nivel óptimo debido a que no se realizó un mapeo de los contenidos reales que construyen los </w:t>
      </w:r>
      <w:r w:rsidRPr="00BA4A54">
        <w:rPr>
          <w:rFonts w:ascii="Times New Roman" w:eastAsia="Times New Roman" w:hAnsi="Times New Roman" w:cs="Times New Roman"/>
          <w:sz w:val="24"/>
          <w:szCs w:val="24"/>
        </w:rPr>
        <w:lastRenderedPageBreak/>
        <w:t>estudiantes en contraposición con los contenidos que se evalúan en las pruebas, así mismo, consideran que no arrojan una real evidencia del nivel del estudiantado. Consideran que dichas pruebas someten a los estudiantes a un nivel de estrés bastante elevado</w:t>
      </w:r>
      <w:r w:rsidR="006A578D"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 xml:space="preserve"> lo cual trae consigo desánimo, ansiedad</w:t>
      </w:r>
      <w:r w:rsidR="006A578D" w:rsidRPr="00BA4A54">
        <w:rPr>
          <w:rFonts w:ascii="Times New Roman" w:eastAsia="Times New Roman" w:hAnsi="Times New Roman" w:cs="Times New Roman"/>
          <w:sz w:val="24"/>
          <w:szCs w:val="24"/>
        </w:rPr>
        <w:t>, temor</w:t>
      </w:r>
      <w:r w:rsidRPr="00BA4A54">
        <w:rPr>
          <w:rFonts w:ascii="Times New Roman" w:eastAsia="Times New Roman" w:hAnsi="Times New Roman" w:cs="Times New Roman"/>
          <w:sz w:val="24"/>
          <w:szCs w:val="24"/>
        </w:rPr>
        <w:t xml:space="preserve"> y preocupación</w:t>
      </w:r>
      <w:r w:rsidR="006A578D" w:rsidRPr="00BA4A54">
        <w:rPr>
          <w:rFonts w:ascii="Times New Roman" w:eastAsia="Times New Roman" w:hAnsi="Times New Roman" w:cs="Times New Roman"/>
          <w:sz w:val="24"/>
          <w:szCs w:val="24"/>
        </w:rPr>
        <w:t xml:space="preserve">. La </w:t>
      </w:r>
      <w:r w:rsidRPr="00BA4A54">
        <w:rPr>
          <w:rFonts w:ascii="Times New Roman" w:eastAsia="Times New Roman" w:hAnsi="Times New Roman" w:cs="Times New Roman"/>
          <w:sz w:val="24"/>
          <w:szCs w:val="24"/>
        </w:rPr>
        <w:t>inseguridad</w:t>
      </w:r>
      <w:r w:rsidR="006A578D" w:rsidRPr="00BA4A54">
        <w:rPr>
          <w:rFonts w:ascii="Times New Roman" w:eastAsia="Times New Roman" w:hAnsi="Times New Roman" w:cs="Times New Roman"/>
          <w:sz w:val="24"/>
          <w:szCs w:val="24"/>
        </w:rPr>
        <w:t xml:space="preserve"> resultante </w:t>
      </w:r>
      <w:r w:rsidRPr="00BA4A54">
        <w:rPr>
          <w:rFonts w:ascii="Times New Roman" w:eastAsia="Times New Roman" w:hAnsi="Times New Roman" w:cs="Times New Roman"/>
          <w:sz w:val="24"/>
          <w:szCs w:val="24"/>
        </w:rPr>
        <w:t>impide que puedan demostrar un dominio real de la información que se les está evaluando</w:t>
      </w:r>
      <w:r w:rsidR="006A578D" w:rsidRPr="00BA4A54">
        <w:rPr>
          <w:rFonts w:ascii="Times New Roman" w:eastAsia="Times New Roman" w:hAnsi="Times New Roman" w:cs="Times New Roman"/>
          <w:sz w:val="24"/>
          <w:szCs w:val="24"/>
        </w:rPr>
        <w:t xml:space="preserve">, según puede ser evidenciado en esta respuesta de una </w:t>
      </w:r>
      <w:r w:rsidRPr="00BA4A54">
        <w:rPr>
          <w:rFonts w:ascii="Times New Roman" w:eastAsia="Times New Roman" w:hAnsi="Times New Roman" w:cs="Times New Roman"/>
          <w:sz w:val="24"/>
          <w:szCs w:val="24"/>
        </w:rPr>
        <w:t>persona docente</w:t>
      </w:r>
      <w:r w:rsidR="006A578D" w:rsidRPr="00BA4A54">
        <w:rPr>
          <w:rFonts w:ascii="Times New Roman" w:eastAsia="Times New Roman" w:hAnsi="Times New Roman" w:cs="Times New Roman"/>
          <w:sz w:val="24"/>
          <w:szCs w:val="24"/>
        </w:rPr>
        <w:t>:</w:t>
      </w:r>
    </w:p>
    <w:p w14:paraId="00000179" w14:textId="77777777" w:rsidR="00E51D2F" w:rsidRPr="00BA4A54" w:rsidRDefault="00E51D2F">
      <w:pPr>
        <w:spacing w:after="0" w:line="360" w:lineRule="auto"/>
        <w:ind w:firstLine="720"/>
        <w:jc w:val="both"/>
        <w:rPr>
          <w:rFonts w:ascii="Times New Roman" w:eastAsia="Times New Roman" w:hAnsi="Times New Roman" w:cs="Times New Roman"/>
          <w:sz w:val="24"/>
          <w:szCs w:val="24"/>
        </w:rPr>
      </w:pPr>
    </w:p>
    <w:p w14:paraId="0000017A" w14:textId="5DED2842" w:rsidR="00E51D2F" w:rsidRPr="00BA4A54" w:rsidRDefault="00000000">
      <w:pPr>
        <w:spacing w:after="0" w:line="360" w:lineRule="auto"/>
        <w:ind w:left="720"/>
        <w:jc w:val="both"/>
        <w:rPr>
          <w:rFonts w:ascii="Times New Roman" w:eastAsia="Times New Roman" w:hAnsi="Times New Roman" w:cs="Times New Roman"/>
          <w:color w:val="0000FF"/>
          <w:sz w:val="24"/>
          <w:szCs w:val="24"/>
        </w:rPr>
      </w:pPr>
      <w:r w:rsidRPr="00BA4A54">
        <w:rPr>
          <w:rFonts w:ascii="Times New Roman" w:eastAsia="Times New Roman" w:hAnsi="Times New Roman" w:cs="Times New Roman"/>
          <w:sz w:val="24"/>
          <w:szCs w:val="24"/>
        </w:rPr>
        <w:t>Las pruebas estandarizadas a menudo se centran en evaluar conocimientos y habilidades específicas, lo que puede no reflejar la diversidad y complejidad de los aprendizajes. Esto puede favorecer a aquellos estudiantes que poseen habilidades de memorización y que se ajustan bien al modelo de evaluación</w:t>
      </w:r>
      <w:r w:rsidR="006A578D" w:rsidRPr="00BA4A54">
        <w:rPr>
          <w:rFonts w:ascii="Times New Roman" w:eastAsia="Times New Roman" w:hAnsi="Times New Roman" w:cs="Times New Roman"/>
          <w:sz w:val="24"/>
          <w:szCs w:val="24"/>
        </w:rPr>
        <w:t xml:space="preserve"> (…)</w:t>
      </w:r>
      <w:r w:rsidRPr="00BA4A54">
        <w:rPr>
          <w:rFonts w:ascii="Times New Roman" w:eastAsia="Times New Roman" w:hAnsi="Times New Roman" w:cs="Times New Roman"/>
          <w:sz w:val="24"/>
          <w:szCs w:val="24"/>
        </w:rPr>
        <w:t xml:space="preserve"> Las pruebas estandarizadas pueden estar sesgadas culturalmente, lo que significa que los estudiantes de grupos minoritarios o con diferentes antecedentes culturales y socioeconómicos pueden estar en desventaja. Esto puede contribuir a la ampliación de las brechas de aprendizaje, ya que no se están midiendo de manera precisa sus conocimientos y habilidades reales.</w:t>
      </w:r>
    </w:p>
    <w:p w14:paraId="0000017B" w14:textId="77777777" w:rsidR="00E51D2F" w:rsidRPr="00BA4A54" w:rsidRDefault="00E51D2F">
      <w:pPr>
        <w:pBdr>
          <w:top w:val="nil"/>
          <w:left w:val="nil"/>
          <w:bottom w:val="nil"/>
          <w:right w:val="nil"/>
          <w:between w:val="nil"/>
        </w:pBdr>
        <w:spacing w:after="0" w:line="360" w:lineRule="auto"/>
        <w:jc w:val="both"/>
        <w:rPr>
          <w:rFonts w:ascii="Times New Roman" w:eastAsia="Times New Roman" w:hAnsi="Times New Roman" w:cs="Times New Roman"/>
          <w:color w:val="0000FF"/>
          <w:sz w:val="24"/>
          <w:szCs w:val="24"/>
        </w:rPr>
      </w:pPr>
    </w:p>
    <w:p w14:paraId="0000017C" w14:textId="0081115E" w:rsidR="00E51D2F" w:rsidRPr="00BA4A54" w:rsidRDefault="00000000">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BA4A54">
        <w:rPr>
          <w:rFonts w:ascii="Times New Roman" w:eastAsia="Times New Roman" w:hAnsi="Times New Roman" w:cs="Times New Roman"/>
          <w:color w:val="000000"/>
          <w:sz w:val="24"/>
          <w:szCs w:val="24"/>
        </w:rPr>
        <w:tab/>
        <w:t>A las personas docentes también se les preguntó su opinión relacionada con aspectos más específicos sobre las decisiones tomadas por el MEP para la evaluación de los aprendizajes en el año 2023. La mayoría de las personas de</w:t>
      </w:r>
      <w:r w:rsidRPr="00BA4A54">
        <w:rPr>
          <w:rFonts w:ascii="Times New Roman" w:eastAsia="Times New Roman" w:hAnsi="Times New Roman" w:cs="Times New Roman"/>
          <w:sz w:val="24"/>
          <w:szCs w:val="24"/>
        </w:rPr>
        <w:t xml:space="preserve"> esta</w:t>
      </w:r>
      <w:r w:rsidRPr="00BA4A54">
        <w:rPr>
          <w:rFonts w:ascii="Times New Roman" w:eastAsia="Times New Roman" w:hAnsi="Times New Roman" w:cs="Times New Roman"/>
          <w:color w:val="000000"/>
          <w:sz w:val="24"/>
          <w:szCs w:val="24"/>
        </w:rPr>
        <w:t xml:space="preserve"> muestra presentó concordancia con la división del periodo lectivo en dos semestres (65,3%)</w:t>
      </w:r>
      <w:r w:rsidRPr="00BA4A54">
        <w:rPr>
          <w:rFonts w:ascii="Times New Roman" w:eastAsia="Times New Roman" w:hAnsi="Times New Roman" w:cs="Times New Roman"/>
          <w:sz w:val="24"/>
          <w:szCs w:val="24"/>
        </w:rPr>
        <w:t>. De hecho, 72,8% de las personas participantes tiene preferencia de que la división del curso lectivo sea por semestre, y las demás por trimestre (26,9%), siendo solamente una persona la que expresó una preferencia por la división mensual (0,3%).</w:t>
      </w:r>
      <w:r w:rsidRPr="00BA4A54">
        <w:rPr>
          <w:rFonts w:ascii="Times New Roman" w:eastAsia="Times New Roman" w:hAnsi="Times New Roman" w:cs="Times New Roman"/>
          <w:color w:val="000000"/>
          <w:sz w:val="24"/>
          <w:szCs w:val="24"/>
        </w:rPr>
        <w:t xml:space="preserve"> </w:t>
      </w:r>
      <w:r w:rsidRPr="00BA4A54">
        <w:rPr>
          <w:rFonts w:ascii="Times New Roman" w:eastAsia="Times New Roman" w:hAnsi="Times New Roman" w:cs="Times New Roman"/>
          <w:sz w:val="24"/>
          <w:szCs w:val="24"/>
        </w:rPr>
        <w:t>Además, 7</w:t>
      </w:r>
      <w:r w:rsidRPr="00BA4A54">
        <w:rPr>
          <w:rFonts w:ascii="Times New Roman" w:eastAsia="Times New Roman" w:hAnsi="Times New Roman" w:cs="Times New Roman"/>
          <w:color w:val="000000"/>
          <w:sz w:val="24"/>
          <w:szCs w:val="24"/>
        </w:rPr>
        <w:t xml:space="preserve">2,4% están totalmente de acuerdo con que se retomara la evaluación sumativa en primer grado y 53,1% totalmente de acuerdo con la posibilidad de que los estudiantes se eximan cuando tienen notas superiores a 90. Las discordancias de las personas docentes se refieren a procedimientos respecto al uso de </w:t>
      </w:r>
      <w:r w:rsidRPr="00BA4A54">
        <w:rPr>
          <w:rFonts w:ascii="Times New Roman" w:eastAsia="Times New Roman" w:hAnsi="Times New Roman" w:cs="Times New Roman"/>
          <w:sz w:val="24"/>
          <w:szCs w:val="24"/>
        </w:rPr>
        <w:t>l</w:t>
      </w:r>
      <w:r w:rsidRPr="00BA4A54">
        <w:rPr>
          <w:rFonts w:ascii="Times New Roman" w:eastAsia="Times New Roman" w:hAnsi="Times New Roman" w:cs="Times New Roman"/>
          <w:color w:val="000000"/>
          <w:sz w:val="24"/>
          <w:szCs w:val="24"/>
        </w:rPr>
        <w:t xml:space="preserve">as pruebas comprensivas y estandarizadas, debido a que más de la mitad de la muestra no está de acuerdo con la decisión del MEP de realizar dos pruebas comprensivas (diagnósticas) al año, tampoco con aplicar las pruebas estandarizadas en el primer semestre como prueba diagnóstica, aunque también mitad de la muestra apoya la decisión de pedir las pruebas </w:t>
      </w:r>
      <w:r w:rsidRPr="00BA4A54">
        <w:rPr>
          <w:rFonts w:ascii="Times New Roman" w:eastAsia="Times New Roman" w:hAnsi="Times New Roman" w:cs="Times New Roman"/>
          <w:color w:val="000000"/>
          <w:sz w:val="24"/>
          <w:szCs w:val="24"/>
        </w:rPr>
        <w:lastRenderedPageBreak/>
        <w:t>estandarizadas como requisito para certificarse de primaria y secundaria. Respecto al valor porcentu</w:t>
      </w:r>
      <w:r w:rsidRPr="00BA4A54">
        <w:rPr>
          <w:rFonts w:ascii="Times New Roman" w:eastAsia="Times New Roman" w:hAnsi="Times New Roman" w:cs="Times New Roman"/>
          <w:sz w:val="24"/>
          <w:szCs w:val="24"/>
        </w:rPr>
        <w:t xml:space="preserve">al de los diferentes rubros evaluados, el personal docente encuestado presentó más concordancia con el valor de las tareas en 10%, tal como puede ser evidenciado en la Tabla </w:t>
      </w:r>
      <w:r w:rsidR="006A578D" w:rsidRPr="00BA4A54">
        <w:rPr>
          <w:rFonts w:ascii="Times New Roman" w:eastAsia="Times New Roman" w:hAnsi="Times New Roman" w:cs="Times New Roman"/>
          <w:sz w:val="24"/>
          <w:szCs w:val="24"/>
        </w:rPr>
        <w:t>6</w:t>
      </w:r>
      <w:r w:rsidRPr="00BA4A54">
        <w:rPr>
          <w:rFonts w:ascii="Times New Roman" w:eastAsia="Times New Roman" w:hAnsi="Times New Roman" w:cs="Times New Roman"/>
          <w:sz w:val="24"/>
          <w:szCs w:val="24"/>
        </w:rPr>
        <w:t>. Para las demás decisiones sobre estos valores, la muestra no indicó una elección tan evidente entre estar de acuerdo o desacuerdo, tal como señala esta misma Tabla.</w:t>
      </w:r>
    </w:p>
    <w:p w14:paraId="0000017D" w14:textId="77777777" w:rsidR="00E51D2F" w:rsidRPr="00BA4A54" w:rsidRDefault="00E51D2F">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0000017E" w14:textId="77777777" w:rsidR="00E51D2F" w:rsidRPr="00BA4A54" w:rsidRDefault="00000000">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 xml:space="preserve">Tabla </w:t>
      </w:r>
      <w:r w:rsidRPr="00BA4A54">
        <w:rPr>
          <w:rFonts w:ascii="Times New Roman" w:eastAsia="Times New Roman" w:hAnsi="Times New Roman" w:cs="Times New Roman"/>
          <w:sz w:val="24"/>
          <w:szCs w:val="24"/>
        </w:rPr>
        <w:t>6</w:t>
      </w:r>
    </w:p>
    <w:p w14:paraId="0000017F" w14:textId="77777777" w:rsidR="00E51D2F" w:rsidRPr="00BA4A54" w:rsidRDefault="00000000">
      <w:pPr>
        <w:jc w:val="both"/>
        <w:rPr>
          <w:rFonts w:ascii="Times New Roman" w:eastAsia="Times New Roman" w:hAnsi="Times New Roman" w:cs="Times New Roman"/>
          <w:i/>
          <w:color w:val="000000"/>
          <w:sz w:val="24"/>
          <w:szCs w:val="24"/>
        </w:rPr>
      </w:pPr>
      <w:r w:rsidRPr="00BA4A54">
        <w:rPr>
          <w:rFonts w:ascii="Times New Roman" w:eastAsia="Times New Roman" w:hAnsi="Times New Roman" w:cs="Times New Roman"/>
          <w:i/>
          <w:color w:val="000000"/>
          <w:sz w:val="24"/>
          <w:szCs w:val="24"/>
        </w:rPr>
        <w:t>Porcentaje de acuerdo de las personas docentes con respecto a las diferentes decisiones tomadas por el MEP para la evaluación de los aprendizajes en el año 2023</w:t>
      </w:r>
    </w:p>
    <w:tbl>
      <w:tblPr>
        <w:tblStyle w:val="3"/>
        <w:tblW w:w="9342" w:type="dxa"/>
        <w:jc w:val="center"/>
        <w:tblInd w:w="0" w:type="dxa"/>
        <w:tblLayout w:type="fixed"/>
        <w:tblLook w:val="0400" w:firstRow="0" w:lastRow="0" w:firstColumn="0" w:lastColumn="0" w:noHBand="0" w:noVBand="1"/>
      </w:tblPr>
      <w:tblGrid>
        <w:gridCol w:w="2537"/>
        <w:gridCol w:w="1361"/>
        <w:gridCol w:w="1361"/>
        <w:gridCol w:w="1361"/>
        <w:gridCol w:w="1361"/>
        <w:gridCol w:w="1361"/>
      </w:tblGrid>
      <w:tr w:rsidR="00E51D2F" w:rsidRPr="00BA4A54" w14:paraId="08DF9914" w14:textId="77777777">
        <w:trPr>
          <w:trHeight w:val="608"/>
          <w:jc w:val="center"/>
        </w:trPr>
        <w:tc>
          <w:tcPr>
            <w:tcW w:w="2537" w:type="dxa"/>
            <w:vMerge w:val="restart"/>
            <w:tcBorders>
              <w:top w:val="single" w:sz="4" w:space="0" w:color="000000"/>
            </w:tcBorders>
            <w:shd w:val="clear" w:color="auto" w:fill="FFFFFF"/>
            <w:vAlign w:val="center"/>
          </w:tcPr>
          <w:p w14:paraId="00000180" w14:textId="77777777" w:rsidR="00E51D2F" w:rsidRPr="00BA4A54" w:rsidRDefault="00000000">
            <w:pPr>
              <w:ind w:left="210"/>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Decisiones tomadas por el MEP para la evaluación de los aprendizajes</w:t>
            </w:r>
          </w:p>
        </w:tc>
        <w:tc>
          <w:tcPr>
            <w:tcW w:w="6805" w:type="dxa"/>
            <w:gridSpan w:val="5"/>
            <w:tcBorders>
              <w:top w:val="single" w:sz="4" w:space="0" w:color="000000"/>
              <w:bottom w:val="single" w:sz="4" w:space="0" w:color="000000"/>
            </w:tcBorders>
            <w:shd w:val="clear" w:color="auto" w:fill="FFFFFF"/>
            <w:vAlign w:val="center"/>
          </w:tcPr>
          <w:p w14:paraId="00000181"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Porcentaje de Acuerdo</w:t>
            </w:r>
          </w:p>
        </w:tc>
      </w:tr>
      <w:tr w:rsidR="00E51D2F" w:rsidRPr="00BA4A54" w14:paraId="05003F47" w14:textId="77777777">
        <w:trPr>
          <w:trHeight w:val="607"/>
          <w:jc w:val="center"/>
        </w:trPr>
        <w:tc>
          <w:tcPr>
            <w:tcW w:w="2537" w:type="dxa"/>
            <w:vMerge/>
            <w:tcBorders>
              <w:top w:val="single" w:sz="4" w:space="0" w:color="000000"/>
            </w:tcBorders>
            <w:shd w:val="clear" w:color="auto" w:fill="FFFFFF"/>
            <w:vAlign w:val="center"/>
          </w:tcPr>
          <w:p w14:paraId="00000186" w14:textId="77777777" w:rsidR="00E51D2F" w:rsidRPr="00BA4A54" w:rsidRDefault="00E51D2F">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361" w:type="dxa"/>
            <w:tcBorders>
              <w:top w:val="single" w:sz="4" w:space="0" w:color="000000"/>
              <w:bottom w:val="single" w:sz="4" w:space="0" w:color="000000"/>
            </w:tcBorders>
            <w:shd w:val="clear" w:color="auto" w:fill="FFFFFF"/>
            <w:vAlign w:val="center"/>
          </w:tcPr>
          <w:p w14:paraId="00000187"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Totalmente de acuerdo</w:t>
            </w:r>
          </w:p>
        </w:tc>
        <w:tc>
          <w:tcPr>
            <w:tcW w:w="1361" w:type="dxa"/>
            <w:tcBorders>
              <w:top w:val="single" w:sz="4" w:space="0" w:color="000000"/>
              <w:bottom w:val="single" w:sz="4" w:space="0" w:color="000000"/>
            </w:tcBorders>
            <w:shd w:val="clear" w:color="auto" w:fill="FFFFFF"/>
            <w:vAlign w:val="center"/>
          </w:tcPr>
          <w:p w14:paraId="00000188"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De acuerdo</w:t>
            </w:r>
          </w:p>
        </w:tc>
        <w:tc>
          <w:tcPr>
            <w:tcW w:w="1361" w:type="dxa"/>
            <w:tcBorders>
              <w:top w:val="single" w:sz="4" w:space="0" w:color="000000"/>
              <w:bottom w:val="single" w:sz="4" w:space="0" w:color="000000"/>
            </w:tcBorders>
            <w:shd w:val="clear" w:color="auto" w:fill="FFFFFF"/>
            <w:vAlign w:val="center"/>
          </w:tcPr>
          <w:p w14:paraId="00000189"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Ni de acuerdo ni en desacuerdo</w:t>
            </w:r>
          </w:p>
        </w:tc>
        <w:tc>
          <w:tcPr>
            <w:tcW w:w="1361" w:type="dxa"/>
            <w:tcBorders>
              <w:top w:val="single" w:sz="4" w:space="0" w:color="000000"/>
              <w:bottom w:val="single" w:sz="4" w:space="0" w:color="000000"/>
            </w:tcBorders>
            <w:shd w:val="clear" w:color="auto" w:fill="FFFFFF"/>
            <w:vAlign w:val="center"/>
          </w:tcPr>
          <w:p w14:paraId="0000018A"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En desacuerdo</w:t>
            </w:r>
          </w:p>
        </w:tc>
        <w:tc>
          <w:tcPr>
            <w:tcW w:w="1361" w:type="dxa"/>
            <w:tcBorders>
              <w:top w:val="single" w:sz="4" w:space="0" w:color="000000"/>
              <w:bottom w:val="single" w:sz="4" w:space="0" w:color="000000"/>
            </w:tcBorders>
            <w:shd w:val="clear" w:color="auto" w:fill="FFFFFF"/>
            <w:vAlign w:val="center"/>
          </w:tcPr>
          <w:p w14:paraId="0000018B"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Totalmente en desacuerdo</w:t>
            </w:r>
          </w:p>
        </w:tc>
      </w:tr>
      <w:tr w:rsidR="00E51D2F" w:rsidRPr="00BA4A54" w14:paraId="7588444E" w14:textId="77777777">
        <w:trPr>
          <w:trHeight w:val="1178"/>
          <w:jc w:val="center"/>
        </w:trPr>
        <w:tc>
          <w:tcPr>
            <w:tcW w:w="2537" w:type="dxa"/>
            <w:tcBorders>
              <w:top w:val="single" w:sz="4" w:space="0" w:color="000000"/>
            </w:tcBorders>
            <w:shd w:val="clear" w:color="auto" w:fill="FFFFFF"/>
            <w:vAlign w:val="center"/>
          </w:tcPr>
          <w:p w14:paraId="0000018C" w14:textId="77777777" w:rsidR="00E51D2F" w:rsidRPr="00BA4A54" w:rsidRDefault="00000000">
            <w:pPr>
              <w:ind w:left="210"/>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Dividir el periodo lectivo en dos semestres</w:t>
            </w:r>
          </w:p>
        </w:tc>
        <w:tc>
          <w:tcPr>
            <w:tcW w:w="1361" w:type="dxa"/>
            <w:tcBorders>
              <w:top w:val="single" w:sz="4" w:space="0" w:color="000000"/>
            </w:tcBorders>
            <w:shd w:val="clear" w:color="auto" w:fill="FFFFFF"/>
            <w:vAlign w:val="center"/>
          </w:tcPr>
          <w:p w14:paraId="0000018D"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34,7</w:t>
            </w:r>
          </w:p>
        </w:tc>
        <w:tc>
          <w:tcPr>
            <w:tcW w:w="1361" w:type="dxa"/>
            <w:tcBorders>
              <w:top w:val="single" w:sz="4" w:space="0" w:color="000000"/>
            </w:tcBorders>
            <w:shd w:val="clear" w:color="auto" w:fill="FFFFFF"/>
            <w:vAlign w:val="center"/>
          </w:tcPr>
          <w:p w14:paraId="0000018E"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30,6</w:t>
            </w:r>
          </w:p>
        </w:tc>
        <w:tc>
          <w:tcPr>
            <w:tcW w:w="1361" w:type="dxa"/>
            <w:tcBorders>
              <w:top w:val="single" w:sz="4" w:space="0" w:color="000000"/>
            </w:tcBorders>
            <w:shd w:val="clear" w:color="auto" w:fill="FFFFFF"/>
            <w:vAlign w:val="center"/>
          </w:tcPr>
          <w:p w14:paraId="0000018F"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13,3</w:t>
            </w:r>
          </w:p>
        </w:tc>
        <w:tc>
          <w:tcPr>
            <w:tcW w:w="1361" w:type="dxa"/>
            <w:tcBorders>
              <w:top w:val="single" w:sz="4" w:space="0" w:color="000000"/>
            </w:tcBorders>
            <w:shd w:val="clear" w:color="auto" w:fill="FFFFFF"/>
            <w:vAlign w:val="center"/>
          </w:tcPr>
          <w:p w14:paraId="00000190"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11,9</w:t>
            </w:r>
          </w:p>
        </w:tc>
        <w:tc>
          <w:tcPr>
            <w:tcW w:w="1361" w:type="dxa"/>
            <w:tcBorders>
              <w:top w:val="single" w:sz="4" w:space="0" w:color="000000"/>
            </w:tcBorders>
            <w:shd w:val="clear" w:color="auto" w:fill="FFFFFF"/>
            <w:vAlign w:val="center"/>
          </w:tcPr>
          <w:p w14:paraId="00000191"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9,5</w:t>
            </w:r>
          </w:p>
        </w:tc>
      </w:tr>
      <w:tr w:rsidR="00E51D2F" w:rsidRPr="00BA4A54" w14:paraId="07B1696A" w14:textId="77777777">
        <w:trPr>
          <w:trHeight w:val="2108"/>
          <w:jc w:val="center"/>
        </w:trPr>
        <w:tc>
          <w:tcPr>
            <w:tcW w:w="2537" w:type="dxa"/>
            <w:tcBorders>
              <w:top w:val="nil"/>
              <w:left w:val="nil"/>
            </w:tcBorders>
            <w:shd w:val="clear" w:color="auto" w:fill="FFFFFF"/>
            <w:vAlign w:val="center"/>
          </w:tcPr>
          <w:p w14:paraId="00000192" w14:textId="77777777" w:rsidR="00E51D2F" w:rsidRPr="00BA4A54" w:rsidRDefault="00000000">
            <w:pPr>
              <w:ind w:left="210"/>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Distribuir la ponderación anual en 40% para el primer periodo y 60% para el segundo periodo</w:t>
            </w:r>
          </w:p>
        </w:tc>
        <w:tc>
          <w:tcPr>
            <w:tcW w:w="1361" w:type="dxa"/>
            <w:tcBorders>
              <w:top w:val="nil"/>
            </w:tcBorders>
            <w:shd w:val="clear" w:color="auto" w:fill="FFFFFF"/>
            <w:vAlign w:val="center"/>
          </w:tcPr>
          <w:p w14:paraId="00000193"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14,6</w:t>
            </w:r>
          </w:p>
        </w:tc>
        <w:tc>
          <w:tcPr>
            <w:tcW w:w="1361" w:type="dxa"/>
            <w:tcBorders>
              <w:top w:val="nil"/>
            </w:tcBorders>
            <w:shd w:val="clear" w:color="auto" w:fill="FFFFFF"/>
            <w:vAlign w:val="center"/>
          </w:tcPr>
          <w:p w14:paraId="00000194"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25,9</w:t>
            </w:r>
          </w:p>
        </w:tc>
        <w:tc>
          <w:tcPr>
            <w:tcW w:w="1361" w:type="dxa"/>
            <w:tcBorders>
              <w:top w:val="nil"/>
            </w:tcBorders>
            <w:shd w:val="clear" w:color="auto" w:fill="FFFFFF"/>
            <w:vAlign w:val="center"/>
          </w:tcPr>
          <w:p w14:paraId="00000195"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16,7</w:t>
            </w:r>
          </w:p>
        </w:tc>
        <w:tc>
          <w:tcPr>
            <w:tcW w:w="1361" w:type="dxa"/>
            <w:tcBorders>
              <w:top w:val="nil"/>
            </w:tcBorders>
            <w:shd w:val="clear" w:color="auto" w:fill="FFFFFF"/>
            <w:vAlign w:val="center"/>
          </w:tcPr>
          <w:p w14:paraId="00000196"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32,3</w:t>
            </w:r>
          </w:p>
        </w:tc>
        <w:tc>
          <w:tcPr>
            <w:tcW w:w="1361" w:type="dxa"/>
            <w:tcBorders>
              <w:top w:val="nil"/>
            </w:tcBorders>
            <w:shd w:val="clear" w:color="auto" w:fill="FFFFFF"/>
            <w:vAlign w:val="center"/>
          </w:tcPr>
          <w:p w14:paraId="00000197"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10,5</w:t>
            </w:r>
          </w:p>
        </w:tc>
      </w:tr>
      <w:tr w:rsidR="00E51D2F" w:rsidRPr="00BA4A54" w14:paraId="3C25AB66" w14:textId="77777777">
        <w:trPr>
          <w:trHeight w:val="945"/>
          <w:jc w:val="center"/>
        </w:trPr>
        <w:tc>
          <w:tcPr>
            <w:tcW w:w="2537" w:type="dxa"/>
            <w:tcBorders>
              <w:top w:val="nil"/>
              <w:left w:val="nil"/>
            </w:tcBorders>
            <w:shd w:val="clear" w:color="auto" w:fill="FFFFFF"/>
            <w:vAlign w:val="center"/>
          </w:tcPr>
          <w:p w14:paraId="00000198" w14:textId="77777777" w:rsidR="00E51D2F" w:rsidRPr="00BA4A54" w:rsidRDefault="00000000">
            <w:pPr>
              <w:ind w:left="210"/>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 xml:space="preserve"> Retomar la evaluación sumativa en primer grado</w:t>
            </w:r>
          </w:p>
        </w:tc>
        <w:tc>
          <w:tcPr>
            <w:tcW w:w="1361" w:type="dxa"/>
            <w:tcBorders>
              <w:top w:val="nil"/>
            </w:tcBorders>
            <w:shd w:val="clear" w:color="auto" w:fill="FFFFFF"/>
            <w:vAlign w:val="center"/>
          </w:tcPr>
          <w:p w14:paraId="00000199"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72,4</w:t>
            </w:r>
          </w:p>
        </w:tc>
        <w:tc>
          <w:tcPr>
            <w:tcW w:w="1361" w:type="dxa"/>
            <w:tcBorders>
              <w:top w:val="nil"/>
            </w:tcBorders>
            <w:shd w:val="clear" w:color="auto" w:fill="FFFFFF"/>
            <w:vAlign w:val="center"/>
          </w:tcPr>
          <w:p w14:paraId="0000019A"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14,3</w:t>
            </w:r>
          </w:p>
        </w:tc>
        <w:tc>
          <w:tcPr>
            <w:tcW w:w="1361" w:type="dxa"/>
            <w:tcBorders>
              <w:top w:val="nil"/>
            </w:tcBorders>
            <w:shd w:val="clear" w:color="auto" w:fill="FFFFFF"/>
            <w:vAlign w:val="center"/>
          </w:tcPr>
          <w:p w14:paraId="0000019B"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1,0</w:t>
            </w:r>
          </w:p>
        </w:tc>
        <w:tc>
          <w:tcPr>
            <w:tcW w:w="1361" w:type="dxa"/>
            <w:tcBorders>
              <w:top w:val="nil"/>
            </w:tcBorders>
            <w:shd w:val="clear" w:color="auto" w:fill="FFFFFF"/>
            <w:vAlign w:val="center"/>
          </w:tcPr>
          <w:p w14:paraId="0000019C"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3,1</w:t>
            </w:r>
          </w:p>
        </w:tc>
        <w:tc>
          <w:tcPr>
            <w:tcW w:w="1361" w:type="dxa"/>
            <w:tcBorders>
              <w:top w:val="nil"/>
            </w:tcBorders>
            <w:shd w:val="clear" w:color="auto" w:fill="FFFFFF"/>
            <w:vAlign w:val="center"/>
          </w:tcPr>
          <w:p w14:paraId="0000019D"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9,2</w:t>
            </w:r>
          </w:p>
        </w:tc>
      </w:tr>
      <w:tr w:rsidR="00E51D2F" w:rsidRPr="00BA4A54" w14:paraId="0C2D421F" w14:textId="77777777">
        <w:trPr>
          <w:trHeight w:val="2108"/>
          <w:jc w:val="center"/>
        </w:trPr>
        <w:tc>
          <w:tcPr>
            <w:tcW w:w="2537" w:type="dxa"/>
            <w:tcBorders>
              <w:top w:val="nil"/>
              <w:left w:val="nil"/>
            </w:tcBorders>
            <w:shd w:val="clear" w:color="auto" w:fill="FFFFFF"/>
            <w:vAlign w:val="center"/>
          </w:tcPr>
          <w:p w14:paraId="0000019E" w14:textId="77777777" w:rsidR="00E51D2F" w:rsidRPr="00BA4A54" w:rsidRDefault="00000000">
            <w:pPr>
              <w:ind w:left="210"/>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 xml:space="preserve"> Retomar la posibilidad de que los estudiantes se eximan cuando tienen notas superiores a 90</w:t>
            </w:r>
          </w:p>
        </w:tc>
        <w:tc>
          <w:tcPr>
            <w:tcW w:w="1361" w:type="dxa"/>
            <w:tcBorders>
              <w:top w:val="nil"/>
            </w:tcBorders>
            <w:shd w:val="clear" w:color="auto" w:fill="FFFFFF"/>
            <w:vAlign w:val="center"/>
          </w:tcPr>
          <w:p w14:paraId="0000019F"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53,1</w:t>
            </w:r>
          </w:p>
        </w:tc>
        <w:tc>
          <w:tcPr>
            <w:tcW w:w="1361" w:type="dxa"/>
            <w:tcBorders>
              <w:top w:val="nil"/>
            </w:tcBorders>
            <w:shd w:val="clear" w:color="auto" w:fill="FFFFFF"/>
            <w:vAlign w:val="center"/>
          </w:tcPr>
          <w:p w14:paraId="000001A0"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23,5</w:t>
            </w:r>
          </w:p>
        </w:tc>
        <w:tc>
          <w:tcPr>
            <w:tcW w:w="1361" w:type="dxa"/>
            <w:tcBorders>
              <w:top w:val="nil"/>
            </w:tcBorders>
            <w:shd w:val="clear" w:color="auto" w:fill="FFFFFF"/>
            <w:vAlign w:val="center"/>
          </w:tcPr>
          <w:p w14:paraId="000001A1"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4,4</w:t>
            </w:r>
          </w:p>
        </w:tc>
        <w:tc>
          <w:tcPr>
            <w:tcW w:w="1361" w:type="dxa"/>
            <w:tcBorders>
              <w:top w:val="nil"/>
            </w:tcBorders>
            <w:shd w:val="clear" w:color="auto" w:fill="FFFFFF"/>
            <w:vAlign w:val="center"/>
          </w:tcPr>
          <w:p w14:paraId="000001A2"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6,8</w:t>
            </w:r>
          </w:p>
        </w:tc>
        <w:tc>
          <w:tcPr>
            <w:tcW w:w="1361" w:type="dxa"/>
            <w:tcBorders>
              <w:top w:val="nil"/>
            </w:tcBorders>
            <w:shd w:val="clear" w:color="auto" w:fill="FFFFFF"/>
            <w:vAlign w:val="center"/>
          </w:tcPr>
          <w:p w14:paraId="000001A3"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12,2</w:t>
            </w:r>
          </w:p>
        </w:tc>
      </w:tr>
      <w:tr w:rsidR="00E51D2F" w:rsidRPr="00BA4A54" w14:paraId="3F4E5F7A" w14:textId="77777777">
        <w:trPr>
          <w:trHeight w:val="1410"/>
          <w:jc w:val="center"/>
        </w:trPr>
        <w:tc>
          <w:tcPr>
            <w:tcW w:w="2537" w:type="dxa"/>
            <w:tcBorders>
              <w:top w:val="nil"/>
              <w:left w:val="nil"/>
            </w:tcBorders>
            <w:shd w:val="clear" w:color="auto" w:fill="FFFFFF"/>
            <w:vAlign w:val="center"/>
          </w:tcPr>
          <w:p w14:paraId="000001A4" w14:textId="77777777" w:rsidR="00E51D2F" w:rsidRPr="00BA4A54" w:rsidRDefault="00000000">
            <w:pPr>
              <w:ind w:left="210"/>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Realizar dos pruebas comprensivas (diagnósticas) al año</w:t>
            </w:r>
          </w:p>
        </w:tc>
        <w:tc>
          <w:tcPr>
            <w:tcW w:w="1361" w:type="dxa"/>
            <w:tcBorders>
              <w:top w:val="nil"/>
            </w:tcBorders>
            <w:shd w:val="clear" w:color="auto" w:fill="FFFFFF"/>
            <w:vAlign w:val="center"/>
          </w:tcPr>
          <w:p w14:paraId="000001A5"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7,8</w:t>
            </w:r>
          </w:p>
        </w:tc>
        <w:tc>
          <w:tcPr>
            <w:tcW w:w="1361" w:type="dxa"/>
            <w:tcBorders>
              <w:top w:val="nil"/>
            </w:tcBorders>
            <w:shd w:val="clear" w:color="auto" w:fill="FFFFFF"/>
            <w:vAlign w:val="center"/>
          </w:tcPr>
          <w:p w14:paraId="000001A6"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10,9</w:t>
            </w:r>
          </w:p>
        </w:tc>
        <w:tc>
          <w:tcPr>
            <w:tcW w:w="1361" w:type="dxa"/>
            <w:tcBorders>
              <w:top w:val="nil"/>
            </w:tcBorders>
            <w:shd w:val="clear" w:color="auto" w:fill="FFFFFF"/>
            <w:vAlign w:val="center"/>
          </w:tcPr>
          <w:p w14:paraId="000001A7"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11,9</w:t>
            </w:r>
          </w:p>
        </w:tc>
        <w:tc>
          <w:tcPr>
            <w:tcW w:w="1361" w:type="dxa"/>
            <w:tcBorders>
              <w:top w:val="nil"/>
            </w:tcBorders>
            <w:shd w:val="clear" w:color="auto" w:fill="FFFFFF"/>
            <w:vAlign w:val="center"/>
          </w:tcPr>
          <w:p w14:paraId="000001A8"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32,0</w:t>
            </w:r>
          </w:p>
        </w:tc>
        <w:tc>
          <w:tcPr>
            <w:tcW w:w="1361" w:type="dxa"/>
            <w:tcBorders>
              <w:top w:val="nil"/>
            </w:tcBorders>
            <w:shd w:val="clear" w:color="auto" w:fill="FFFFFF"/>
            <w:vAlign w:val="center"/>
          </w:tcPr>
          <w:p w14:paraId="000001A9"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37,4</w:t>
            </w:r>
          </w:p>
        </w:tc>
      </w:tr>
      <w:tr w:rsidR="00E51D2F" w:rsidRPr="00BA4A54" w14:paraId="3CB19859" w14:textId="77777777">
        <w:trPr>
          <w:trHeight w:val="1875"/>
          <w:jc w:val="center"/>
        </w:trPr>
        <w:tc>
          <w:tcPr>
            <w:tcW w:w="2537" w:type="dxa"/>
            <w:tcBorders>
              <w:top w:val="nil"/>
              <w:left w:val="nil"/>
            </w:tcBorders>
            <w:shd w:val="clear" w:color="auto" w:fill="FFFFFF"/>
            <w:vAlign w:val="center"/>
          </w:tcPr>
          <w:p w14:paraId="000001AA" w14:textId="77777777" w:rsidR="00E51D2F" w:rsidRPr="00BA4A54" w:rsidRDefault="00000000">
            <w:pPr>
              <w:ind w:left="210"/>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lastRenderedPageBreak/>
              <w:t xml:space="preserve"> Aplicar las pruebas estandarizadas en el primer semestre como prueba diagnóstica</w:t>
            </w:r>
          </w:p>
        </w:tc>
        <w:tc>
          <w:tcPr>
            <w:tcW w:w="1361" w:type="dxa"/>
            <w:tcBorders>
              <w:top w:val="nil"/>
            </w:tcBorders>
            <w:shd w:val="clear" w:color="auto" w:fill="FFFFFF"/>
            <w:vAlign w:val="center"/>
          </w:tcPr>
          <w:p w14:paraId="000001AB"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13,9</w:t>
            </w:r>
          </w:p>
        </w:tc>
        <w:tc>
          <w:tcPr>
            <w:tcW w:w="1361" w:type="dxa"/>
            <w:tcBorders>
              <w:top w:val="nil"/>
            </w:tcBorders>
            <w:shd w:val="clear" w:color="auto" w:fill="FFFFFF"/>
            <w:vAlign w:val="center"/>
          </w:tcPr>
          <w:p w14:paraId="000001AC"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22,4</w:t>
            </w:r>
          </w:p>
        </w:tc>
        <w:tc>
          <w:tcPr>
            <w:tcW w:w="1361" w:type="dxa"/>
            <w:tcBorders>
              <w:top w:val="nil"/>
            </w:tcBorders>
            <w:shd w:val="clear" w:color="auto" w:fill="FFFFFF"/>
            <w:vAlign w:val="center"/>
          </w:tcPr>
          <w:p w14:paraId="000001AD"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11,6</w:t>
            </w:r>
          </w:p>
        </w:tc>
        <w:tc>
          <w:tcPr>
            <w:tcW w:w="1361" w:type="dxa"/>
            <w:tcBorders>
              <w:top w:val="nil"/>
            </w:tcBorders>
            <w:shd w:val="clear" w:color="auto" w:fill="FFFFFF"/>
            <w:vAlign w:val="center"/>
          </w:tcPr>
          <w:p w14:paraId="000001AE"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27,9</w:t>
            </w:r>
          </w:p>
        </w:tc>
        <w:tc>
          <w:tcPr>
            <w:tcW w:w="1361" w:type="dxa"/>
            <w:tcBorders>
              <w:top w:val="nil"/>
            </w:tcBorders>
            <w:shd w:val="clear" w:color="auto" w:fill="FFFFFF"/>
            <w:vAlign w:val="center"/>
          </w:tcPr>
          <w:p w14:paraId="000001AF"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24,1</w:t>
            </w:r>
          </w:p>
        </w:tc>
      </w:tr>
      <w:tr w:rsidR="00E51D2F" w:rsidRPr="00BA4A54" w14:paraId="042E5DAF" w14:textId="77777777">
        <w:trPr>
          <w:trHeight w:val="2108"/>
          <w:jc w:val="center"/>
        </w:trPr>
        <w:tc>
          <w:tcPr>
            <w:tcW w:w="2537" w:type="dxa"/>
            <w:tcBorders>
              <w:top w:val="nil"/>
              <w:left w:val="nil"/>
            </w:tcBorders>
            <w:shd w:val="clear" w:color="auto" w:fill="FFFFFF"/>
            <w:vAlign w:val="center"/>
          </w:tcPr>
          <w:p w14:paraId="000001B0" w14:textId="77777777" w:rsidR="00E51D2F" w:rsidRPr="00BA4A54" w:rsidRDefault="00000000">
            <w:pPr>
              <w:ind w:left="210"/>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 xml:space="preserve"> Pedir las pruebas estandarizadas como requisito para certificarse de primaria y secundaria</w:t>
            </w:r>
          </w:p>
        </w:tc>
        <w:tc>
          <w:tcPr>
            <w:tcW w:w="1361" w:type="dxa"/>
            <w:tcBorders>
              <w:top w:val="nil"/>
            </w:tcBorders>
            <w:shd w:val="clear" w:color="auto" w:fill="FFFFFF"/>
            <w:vAlign w:val="center"/>
          </w:tcPr>
          <w:p w14:paraId="000001B1"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25,5</w:t>
            </w:r>
          </w:p>
        </w:tc>
        <w:tc>
          <w:tcPr>
            <w:tcW w:w="1361" w:type="dxa"/>
            <w:tcBorders>
              <w:top w:val="nil"/>
            </w:tcBorders>
            <w:shd w:val="clear" w:color="auto" w:fill="FFFFFF"/>
            <w:vAlign w:val="center"/>
          </w:tcPr>
          <w:p w14:paraId="000001B2"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26,9</w:t>
            </w:r>
          </w:p>
        </w:tc>
        <w:tc>
          <w:tcPr>
            <w:tcW w:w="1361" w:type="dxa"/>
            <w:tcBorders>
              <w:top w:val="nil"/>
            </w:tcBorders>
            <w:shd w:val="clear" w:color="auto" w:fill="FFFFFF"/>
            <w:vAlign w:val="center"/>
          </w:tcPr>
          <w:p w14:paraId="000001B3"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10,5</w:t>
            </w:r>
          </w:p>
        </w:tc>
        <w:tc>
          <w:tcPr>
            <w:tcW w:w="1361" w:type="dxa"/>
            <w:tcBorders>
              <w:top w:val="nil"/>
            </w:tcBorders>
            <w:shd w:val="clear" w:color="auto" w:fill="FFFFFF"/>
            <w:vAlign w:val="center"/>
          </w:tcPr>
          <w:p w14:paraId="000001B4"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17,3</w:t>
            </w:r>
          </w:p>
        </w:tc>
        <w:tc>
          <w:tcPr>
            <w:tcW w:w="1361" w:type="dxa"/>
            <w:tcBorders>
              <w:top w:val="nil"/>
            </w:tcBorders>
            <w:shd w:val="clear" w:color="auto" w:fill="FFFFFF"/>
            <w:vAlign w:val="center"/>
          </w:tcPr>
          <w:p w14:paraId="000001B5"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19,7</w:t>
            </w:r>
          </w:p>
        </w:tc>
      </w:tr>
      <w:tr w:rsidR="00E51D2F" w:rsidRPr="00BA4A54" w14:paraId="01CCC3C4" w14:textId="77777777">
        <w:trPr>
          <w:trHeight w:val="1643"/>
          <w:jc w:val="center"/>
        </w:trPr>
        <w:tc>
          <w:tcPr>
            <w:tcW w:w="2537" w:type="dxa"/>
            <w:tcBorders>
              <w:top w:val="nil"/>
              <w:left w:val="nil"/>
            </w:tcBorders>
            <w:shd w:val="clear" w:color="auto" w:fill="FFFFFF"/>
            <w:vAlign w:val="center"/>
          </w:tcPr>
          <w:p w14:paraId="000001B6" w14:textId="77777777" w:rsidR="00E51D2F" w:rsidRPr="00BA4A54" w:rsidRDefault="00000000">
            <w:pPr>
              <w:ind w:left="210"/>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Valor porcentual del trabajo cotidiano entre el 50% y 60%</w:t>
            </w:r>
          </w:p>
        </w:tc>
        <w:tc>
          <w:tcPr>
            <w:tcW w:w="1361" w:type="dxa"/>
            <w:tcBorders>
              <w:top w:val="nil"/>
            </w:tcBorders>
            <w:shd w:val="clear" w:color="auto" w:fill="FFFFFF"/>
            <w:vAlign w:val="center"/>
          </w:tcPr>
          <w:p w14:paraId="000001B7"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17,7</w:t>
            </w:r>
          </w:p>
        </w:tc>
        <w:tc>
          <w:tcPr>
            <w:tcW w:w="1361" w:type="dxa"/>
            <w:tcBorders>
              <w:top w:val="nil"/>
            </w:tcBorders>
            <w:shd w:val="clear" w:color="auto" w:fill="FFFFFF"/>
            <w:vAlign w:val="center"/>
          </w:tcPr>
          <w:p w14:paraId="000001B8"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31,6</w:t>
            </w:r>
          </w:p>
        </w:tc>
        <w:tc>
          <w:tcPr>
            <w:tcW w:w="1361" w:type="dxa"/>
            <w:tcBorders>
              <w:top w:val="nil"/>
            </w:tcBorders>
            <w:shd w:val="clear" w:color="auto" w:fill="FFFFFF"/>
            <w:vAlign w:val="center"/>
          </w:tcPr>
          <w:p w14:paraId="000001B9"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6,8</w:t>
            </w:r>
          </w:p>
        </w:tc>
        <w:tc>
          <w:tcPr>
            <w:tcW w:w="1361" w:type="dxa"/>
            <w:tcBorders>
              <w:top w:val="nil"/>
            </w:tcBorders>
            <w:shd w:val="clear" w:color="auto" w:fill="FFFFFF"/>
            <w:vAlign w:val="center"/>
          </w:tcPr>
          <w:p w14:paraId="000001BA"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27,9</w:t>
            </w:r>
          </w:p>
        </w:tc>
        <w:tc>
          <w:tcPr>
            <w:tcW w:w="1361" w:type="dxa"/>
            <w:tcBorders>
              <w:top w:val="nil"/>
            </w:tcBorders>
            <w:shd w:val="clear" w:color="auto" w:fill="FFFFFF"/>
            <w:vAlign w:val="center"/>
          </w:tcPr>
          <w:p w14:paraId="000001BB"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17,0</w:t>
            </w:r>
          </w:p>
        </w:tc>
      </w:tr>
      <w:tr w:rsidR="00E51D2F" w:rsidRPr="00BA4A54" w14:paraId="277EEABB" w14:textId="77777777">
        <w:trPr>
          <w:trHeight w:val="1875"/>
          <w:jc w:val="center"/>
        </w:trPr>
        <w:tc>
          <w:tcPr>
            <w:tcW w:w="2537" w:type="dxa"/>
            <w:tcBorders>
              <w:top w:val="nil"/>
              <w:left w:val="nil"/>
            </w:tcBorders>
            <w:shd w:val="clear" w:color="auto" w:fill="FFFFFF"/>
            <w:vAlign w:val="center"/>
          </w:tcPr>
          <w:p w14:paraId="000001BC" w14:textId="77777777" w:rsidR="00E51D2F" w:rsidRPr="00BA4A54" w:rsidRDefault="00000000">
            <w:pPr>
              <w:ind w:left="210"/>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Valor porcentual de las pruebas escritas entre el 20% y 30%</w:t>
            </w:r>
          </w:p>
        </w:tc>
        <w:tc>
          <w:tcPr>
            <w:tcW w:w="1361" w:type="dxa"/>
            <w:tcBorders>
              <w:top w:val="nil"/>
            </w:tcBorders>
            <w:shd w:val="clear" w:color="auto" w:fill="FFFFFF"/>
            <w:vAlign w:val="center"/>
          </w:tcPr>
          <w:p w14:paraId="000001BD"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18,4</w:t>
            </w:r>
          </w:p>
        </w:tc>
        <w:tc>
          <w:tcPr>
            <w:tcW w:w="1361" w:type="dxa"/>
            <w:tcBorders>
              <w:top w:val="nil"/>
            </w:tcBorders>
            <w:shd w:val="clear" w:color="auto" w:fill="FFFFFF"/>
            <w:vAlign w:val="center"/>
          </w:tcPr>
          <w:p w14:paraId="000001BE"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35,4</w:t>
            </w:r>
          </w:p>
        </w:tc>
        <w:tc>
          <w:tcPr>
            <w:tcW w:w="1361" w:type="dxa"/>
            <w:tcBorders>
              <w:top w:val="nil"/>
            </w:tcBorders>
            <w:shd w:val="clear" w:color="auto" w:fill="FFFFFF"/>
            <w:vAlign w:val="center"/>
          </w:tcPr>
          <w:p w14:paraId="000001BF"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5,8</w:t>
            </w:r>
          </w:p>
        </w:tc>
        <w:tc>
          <w:tcPr>
            <w:tcW w:w="1361" w:type="dxa"/>
            <w:tcBorders>
              <w:top w:val="nil"/>
            </w:tcBorders>
            <w:shd w:val="clear" w:color="auto" w:fill="FFFFFF"/>
            <w:vAlign w:val="center"/>
          </w:tcPr>
          <w:p w14:paraId="000001C0"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26,5</w:t>
            </w:r>
          </w:p>
        </w:tc>
        <w:tc>
          <w:tcPr>
            <w:tcW w:w="1361" w:type="dxa"/>
            <w:tcBorders>
              <w:top w:val="nil"/>
            </w:tcBorders>
            <w:shd w:val="clear" w:color="auto" w:fill="FFFFFF"/>
            <w:vAlign w:val="center"/>
          </w:tcPr>
          <w:p w14:paraId="000001C1"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13,9</w:t>
            </w:r>
          </w:p>
        </w:tc>
      </w:tr>
      <w:tr w:rsidR="00E51D2F" w:rsidRPr="00BA4A54" w14:paraId="4AFFC813" w14:textId="77777777">
        <w:trPr>
          <w:trHeight w:val="1178"/>
          <w:jc w:val="center"/>
        </w:trPr>
        <w:tc>
          <w:tcPr>
            <w:tcW w:w="2537" w:type="dxa"/>
            <w:tcBorders>
              <w:top w:val="nil"/>
              <w:left w:val="nil"/>
            </w:tcBorders>
            <w:shd w:val="clear" w:color="auto" w:fill="FFFFFF"/>
            <w:vAlign w:val="center"/>
          </w:tcPr>
          <w:p w14:paraId="000001C2" w14:textId="77777777" w:rsidR="00E51D2F" w:rsidRPr="00BA4A54" w:rsidRDefault="00000000">
            <w:pPr>
              <w:ind w:left="210"/>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Valor porcentual de las tareas en 10%</w:t>
            </w:r>
          </w:p>
        </w:tc>
        <w:tc>
          <w:tcPr>
            <w:tcW w:w="1361" w:type="dxa"/>
            <w:tcBorders>
              <w:top w:val="nil"/>
            </w:tcBorders>
            <w:shd w:val="clear" w:color="auto" w:fill="FFFFFF"/>
            <w:vAlign w:val="center"/>
          </w:tcPr>
          <w:p w14:paraId="000001C3"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27,9</w:t>
            </w:r>
          </w:p>
        </w:tc>
        <w:tc>
          <w:tcPr>
            <w:tcW w:w="1361" w:type="dxa"/>
            <w:tcBorders>
              <w:top w:val="nil"/>
            </w:tcBorders>
            <w:shd w:val="clear" w:color="auto" w:fill="FFFFFF"/>
            <w:vAlign w:val="center"/>
          </w:tcPr>
          <w:p w14:paraId="000001C4"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48,0</w:t>
            </w:r>
          </w:p>
        </w:tc>
        <w:tc>
          <w:tcPr>
            <w:tcW w:w="1361" w:type="dxa"/>
            <w:tcBorders>
              <w:top w:val="nil"/>
            </w:tcBorders>
            <w:shd w:val="clear" w:color="auto" w:fill="FFFFFF"/>
            <w:vAlign w:val="center"/>
          </w:tcPr>
          <w:p w14:paraId="000001C5"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5,4</w:t>
            </w:r>
          </w:p>
        </w:tc>
        <w:tc>
          <w:tcPr>
            <w:tcW w:w="1361" w:type="dxa"/>
            <w:tcBorders>
              <w:top w:val="nil"/>
            </w:tcBorders>
            <w:shd w:val="clear" w:color="auto" w:fill="FFFFFF"/>
            <w:vAlign w:val="center"/>
          </w:tcPr>
          <w:p w14:paraId="000001C6"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9,2</w:t>
            </w:r>
          </w:p>
        </w:tc>
        <w:tc>
          <w:tcPr>
            <w:tcW w:w="1361" w:type="dxa"/>
            <w:tcBorders>
              <w:top w:val="nil"/>
            </w:tcBorders>
            <w:shd w:val="clear" w:color="auto" w:fill="FFFFFF"/>
            <w:vAlign w:val="center"/>
          </w:tcPr>
          <w:p w14:paraId="000001C7"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9,5</w:t>
            </w:r>
          </w:p>
        </w:tc>
      </w:tr>
      <w:tr w:rsidR="00E51D2F" w:rsidRPr="00BA4A54" w14:paraId="51AB5DF6" w14:textId="77777777">
        <w:trPr>
          <w:trHeight w:val="1643"/>
          <w:jc w:val="center"/>
        </w:trPr>
        <w:tc>
          <w:tcPr>
            <w:tcW w:w="2537" w:type="dxa"/>
            <w:tcBorders>
              <w:top w:val="nil"/>
              <w:left w:val="nil"/>
              <w:bottom w:val="single" w:sz="4" w:space="0" w:color="000000"/>
            </w:tcBorders>
            <w:shd w:val="clear" w:color="auto" w:fill="FFFFFF"/>
            <w:vAlign w:val="center"/>
          </w:tcPr>
          <w:p w14:paraId="000001C8" w14:textId="77777777" w:rsidR="00E51D2F" w:rsidRPr="00BA4A54" w:rsidRDefault="00000000">
            <w:pPr>
              <w:ind w:left="210"/>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Haber quitado los trabajos extra-clase como rubro de evaluación</w:t>
            </w:r>
          </w:p>
        </w:tc>
        <w:tc>
          <w:tcPr>
            <w:tcW w:w="1361" w:type="dxa"/>
            <w:tcBorders>
              <w:top w:val="nil"/>
              <w:bottom w:val="single" w:sz="4" w:space="0" w:color="000000"/>
            </w:tcBorders>
            <w:shd w:val="clear" w:color="auto" w:fill="FFFFFF"/>
            <w:vAlign w:val="center"/>
          </w:tcPr>
          <w:p w14:paraId="000001C9"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19,7</w:t>
            </w:r>
          </w:p>
        </w:tc>
        <w:tc>
          <w:tcPr>
            <w:tcW w:w="1361" w:type="dxa"/>
            <w:tcBorders>
              <w:top w:val="nil"/>
              <w:bottom w:val="single" w:sz="4" w:space="0" w:color="000000"/>
            </w:tcBorders>
            <w:shd w:val="clear" w:color="auto" w:fill="FFFFFF"/>
            <w:vAlign w:val="center"/>
          </w:tcPr>
          <w:p w14:paraId="000001CA"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20,7</w:t>
            </w:r>
          </w:p>
        </w:tc>
        <w:tc>
          <w:tcPr>
            <w:tcW w:w="1361" w:type="dxa"/>
            <w:tcBorders>
              <w:top w:val="nil"/>
              <w:bottom w:val="single" w:sz="4" w:space="0" w:color="000000"/>
            </w:tcBorders>
            <w:shd w:val="clear" w:color="auto" w:fill="FFFFFF"/>
            <w:vAlign w:val="center"/>
          </w:tcPr>
          <w:p w14:paraId="000001CB"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18,4</w:t>
            </w:r>
          </w:p>
        </w:tc>
        <w:tc>
          <w:tcPr>
            <w:tcW w:w="1361" w:type="dxa"/>
            <w:tcBorders>
              <w:top w:val="nil"/>
              <w:bottom w:val="single" w:sz="4" w:space="0" w:color="000000"/>
            </w:tcBorders>
            <w:shd w:val="clear" w:color="auto" w:fill="FFFFFF"/>
            <w:vAlign w:val="center"/>
          </w:tcPr>
          <w:p w14:paraId="000001CC"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23,5</w:t>
            </w:r>
          </w:p>
        </w:tc>
        <w:tc>
          <w:tcPr>
            <w:tcW w:w="1361" w:type="dxa"/>
            <w:tcBorders>
              <w:top w:val="nil"/>
              <w:bottom w:val="single" w:sz="4" w:space="0" w:color="000000"/>
            </w:tcBorders>
            <w:shd w:val="clear" w:color="auto" w:fill="FFFFFF"/>
            <w:vAlign w:val="center"/>
          </w:tcPr>
          <w:p w14:paraId="000001CD" w14:textId="77777777" w:rsidR="00E51D2F" w:rsidRPr="00BA4A54" w:rsidRDefault="00000000">
            <w:pPr>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17,7</w:t>
            </w:r>
          </w:p>
        </w:tc>
      </w:tr>
    </w:tbl>
    <w:p w14:paraId="000001CE" w14:textId="77777777" w:rsidR="00E51D2F" w:rsidRPr="00BA4A54" w:rsidRDefault="00E51D2F">
      <w:pPr>
        <w:rPr>
          <w:rFonts w:ascii="Times New Roman" w:eastAsia="Times New Roman" w:hAnsi="Times New Roman" w:cs="Times New Roman"/>
          <w:color w:val="000000"/>
          <w:sz w:val="24"/>
          <w:szCs w:val="24"/>
        </w:rPr>
      </w:pPr>
    </w:p>
    <w:p w14:paraId="000001CF" w14:textId="77777777" w:rsidR="00E51D2F" w:rsidRPr="00BA4A54" w:rsidRDefault="00E51D2F">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000001D0" w14:textId="4D59959F" w:rsidR="00E51D2F" w:rsidRPr="00BA4A54" w:rsidRDefault="00000000">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ab/>
        <w:t>Las personas docentes que participaron en la encuesta también opinaron sobre aspectos de la evaluación de los aprendizajes que les han facilitado su labor. Para aquellos aspectos relacionados con decisiones del MEP, l</w:t>
      </w:r>
      <w:r w:rsidRPr="00BA4A54">
        <w:rPr>
          <w:rFonts w:ascii="Times New Roman" w:eastAsia="Times New Roman" w:hAnsi="Times New Roman" w:cs="Times New Roman"/>
          <w:sz w:val="24"/>
          <w:szCs w:val="24"/>
        </w:rPr>
        <w:t>a</w:t>
      </w:r>
      <w:r w:rsidRPr="00BA4A54">
        <w:rPr>
          <w:rFonts w:ascii="Times New Roman" w:eastAsia="Times New Roman" w:hAnsi="Times New Roman" w:cs="Times New Roman"/>
          <w:color w:val="000000"/>
          <w:sz w:val="24"/>
          <w:szCs w:val="24"/>
        </w:rPr>
        <w:t xml:space="preserve">s participantes se </w:t>
      </w:r>
      <w:r w:rsidRPr="00BA4A54">
        <w:rPr>
          <w:rFonts w:ascii="Times New Roman" w:eastAsia="Times New Roman" w:hAnsi="Times New Roman" w:cs="Times New Roman"/>
          <w:sz w:val="24"/>
          <w:szCs w:val="24"/>
        </w:rPr>
        <w:t>mostraron indiferentes</w:t>
      </w:r>
      <w:r w:rsidRPr="00BA4A54">
        <w:rPr>
          <w:rFonts w:ascii="Times New Roman" w:eastAsia="Times New Roman" w:hAnsi="Times New Roman" w:cs="Times New Roman"/>
          <w:color w:val="000000"/>
          <w:sz w:val="24"/>
          <w:szCs w:val="24"/>
        </w:rPr>
        <w:t xml:space="preserve">, tal como se observa en la Tabla </w:t>
      </w:r>
      <w:r w:rsidR="006A578D" w:rsidRPr="00BA4A54">
        <w:rPr>
          <w:rFonts w:ascii="Times New Roman" w:eastAsia="Times New Roman" w:hAnsi="Times New Roman" w:cs="Times New Roman"/>
          <w:color w:val="000000"/>
          <w:sz w:val="24"/>
          <w:szCs w:val="24"/>
        </w:rPr>
        <w:t>7</w:t>
      </w:r>
      <w:r w:rsidRPr="00BA4A54">
        <w:rPr>
          <w:rFonts w:ascii="Times New Roman" w:eastAsia="Times New Roman" w:hAnsi="Times New Roman" w:cs="Times New Roman"/>
          <w:color w:val="000000"/>
          <w:sz w:val="24"/>
          <w:szCs w:val="24"/>
        </w:rPr>
        <w:t xml:space="preserve">. Esto se verifica para los ítems sobre orientaciones y </w:t>
      </w:r>
      <w:r w:rsidRPr="00BA4A54">
        <w:rPr>
          <w:rFonts w:ascii="Times New Roman" w:eastAsia="Times New Roman" w:hAnsi="Times New Roman" w:cs="Times New Roman"/>
          <w:color w:val="000000"/>
          <w:sz w:val="24"/>
          <w:szCs w:val="24"/>
        </w:rPr>
        <w:lastRenderedPageBreak/>
        <w:t xml:space="preserve">lineamientos del MEP para la implementación de la evaluación y que las pruebas escritas y las tareas tengan el menor valor porcentual de la evaluación, los cuales ni les ha favorecido </w:t>
      </w:r>
      <w:r w:rsidRPr="00BA4A54">
        <w:rPr>
          <w:rFonts w:ascii="Times New Roman" w:eastAsia="Times New Roman" w:hAnsi="Times New Roman" w:cs="Times New Roman"/>
          <w:sz w:val="24"/>
          <w:szCs w:val="24"/>
        </w:rPr>
        <w:t>ni dificultado</w:t>
      </w:r>
      <w:r w:rsidRPr="00BA4A54">
        <w:rPr>
          <w:rFonts w:ascii="Times New Roman" w:eastAsia="Times New Roman" w:hAnsi="Times New Roman" w:cs="Times New Roman"/>
          <w:color w:val="000000"/>
          <w:sz w:val="24"/>
          <w:szCs w:val="24"/>
        </w:rPr>
        <w:t>. Las personas de la muestra tampoco están muy seguras respecto a que el trabajo cotidiano tenga el mayor valor porcentual de la evaluación, debido a que las respuestas se distribuyeron de manera muy semejante respecto a facilidad o dificultad que este aspecto ha generado en la evaluación de los aprendizajes. El aspecto que más ha resalta</w:t>
      </w:r>
      <w:r w:rsidRPr="00BA4A54">
        <w:rPr>
          <w:rFonts w:ascii="Times New Roman" w:eastAsia="Times New Roman" w:hAnsi="Times New Roman" w:cs="Times New Roman"/>
          <w:sz w:val="24"/>
          <w:szCs w:val="24"/>
        </w:rPr>
        <w:t>do</w:t>
      </w:r>
      <w:r w:rsidRPr="00BA4A54">
        <w:rPr>
          <w:rFonts w:ascii="Times New Roman" w:eastAsia="Times New Roman" w:hAnsi="Times New Roman" w:cs="Times New Roman"/>
          <w:color w:val="000000"/>
          <w:sz w:val="24"/>
          <w:szCs w:val="24"/>
        </w:rPr>
        <w:t xml:space="preserve"> como una dificultad (58,5%) se relaciona al compromiso de los padres y las madres de familia o encargados legales con el proceso educativo, mientras 56,8% hace referencia a que el apoyo recibido de otros compañeros(as) docentes de su institución le ha facilitado en el proceso de la evaluación de los aprendizajes</w:t>
      </w:r>
    </w:p>
    <w:p w14:paraId="000001D1" w14:textId="77777777" w:rsidR="00E51D2F" w:rsidRPr="00BA4A54" w:rsidRDefault="00E51D2F">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000001D2" w14:textId="77777777" w:rsidR="00E51D2F" w:rsidRPr="00BA4A54" w:rsidRDefault="00000000">
      <w:pPr>
        <w:ind w:left="60" w:right="60"/>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 xml:space="preserve">Tabla </w:t>
      </w:r>
      <w:r w:rsidRPr="00BA4A54">
        <w:rPr>
          <w:rFonts w:ascii="Times New Roman" w:eastAsia="Times New Roman" w:hAnsi="Times New Roman" w:cs="Times New Roman"/>
          <w:sz w:val="24"/>
          <w:szCs w:val="24"/>
        </w:rPr>
        <w:t>7</w:t>
      </w:r>
      <w:r w:rsidRPr="00BA4A54">
        <w:rPr>
          <w:rFonts w:ascii="Times New Roman" w:eastAsia="Times New Roman" w:hAnsi="Times New Roman" w:cs="Times New Roman"/>
          <w:color w:val="000000"/>
          <w:sz w:val="24"/>
          <w:szCs w:val="24"/>
        </w:rPr>
        <w:t xml:space="preserve"> </w:t>
      </w:r>
    </w:p>
    <w:p w14:paraId="000001D3" w14:textId="77777777" w:rsidR="00E51D2F" w:rsidRPr="00BA4A54" w:rsidRDefault="00000000">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BA4A54">
        <w:rPr>
          <w:rFonts w:ascii="Times New Roman" w:eastAsia="Times New Roman" w:hAnsi="Times New Roman" w:cs="Times New Roman"/>
          <w:i/>
          <w:color w:val="000000"/>
          <w:sz w:val="24"/>
          <w:szCs w:val="24"/>
        </w:rPr>
        <w:t>Porcentaje de facilidad o dificultad que expresan las personas docentes respecto a algunos aspectos específicos de la evaluación de los aprendizajes</w:t>
      </w:r>
    </w:p>
    <w:tbl>
      <w:tblPr>
        <w:tblStyle w:val="2"/>
        <w:tblpPr w:leftFromText="141" w:rightFromText="141" w:vertAnchor="text" w:tblpXSpec="center" w:tblpY="1"/>
        <w:tblW w:w="878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402"/>
        <w:gridCol w:w="1559"/>
        <w:gridCol w:w="1984"/>
        <w:gridCol w:w="1843"/>
      </w:tblGrid>
      <w:tr w:rsidR="00E51D2F" w:rsidRPr="00BA4A54" w14:paraId="36409723" w14:textId="77777777" w:rsidTr="006B1C6B">
        <w:trPr>
          <w:jc w:val="center"/>
        </w:trPr>
        <w:tc>
          <w:tcPr>
            <w:tcW w:w="3402" w:type="dxa"/>
            <w:tcBorders>
              <w:top w:val="single" w:sz="4" w:space="0" w:color="000000"/>
              <w:left w:val="nil"/>
              <w:bottom w:val="single" w:sz="4" w:space="0" w:color="000000"/>
              <w:right w:val="nil"/>
            </w:tcBorders>
          </w:tcPr>
          <w:p w14:paraId="000001D4" w14:textId="77777777" w:rsidR="00E51D2F" w:rsidRPr="00BA4A54" w:rsidRDefault="00000000">
            <w:pPr>
              <w:ind w:right="60"/>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Aspectos de la evaluación de los aprendizajes</w:t>
            </w:r>
          </w:p>
        </w:tc>
        <w:tc>
          <w:tcPr>
            <w:tcW w:w="1559" w:type="dxa"/>
            <w:tcBorders>
              <w:top w:val="single" w:sz="4" w:space="0" w:color="000000"/>
              <w:left w:val="nil"/>
              <w:bottom w:val="single" w:sz="4" w:space="0" w:color="000000"/>
              <w:right w:val="nil"/>
            </w:tcBorders>
          </w:tcPr>
          <w:p w14:paraId="000001D5" w14:textId="77777777" w:rsidR="00E51D2F" w:rsidRPr="00BA4A54" w:rsidRDefault="00000000">
            <w:pPr>
              <w:ind w:right="60"/>
              <w:jc w:val="center"/>
              <w:rPr>
                <w:rFonts w:ascii="Times New Roman" w:eastAsia="Times New Roman" w:hAnsi="Times New Roman" w:cs="Times New Roman"/>
                <w:b/>
                <w:color w:val="000000"/>
                <w:sz w:val="24"/>
                <w:szCs w:val="24"/>
              </w:rPr>
            </w:pPr>
            <w:r w:rsidRPr="00BA4A54">
              <w:rPr>
                <w:rFonts w:ascii="Times New Roman" w:eastAsia="Times New Roman" w:hAnsi="Times New Roman" w:cs="Times New Roman"/>
                <w:color w:val="000000"/>
                <w:sz w:val="24"/>
                <w:szCs w:val="24"/>
              </w:rPr>
              <w:t>Me ha facilitado</w:t>
            </w:r>
          </w:p>
        </w:tc>
        <w:tc>
          <w:tcPr>
            <w:tcW w:w="1984" w:type="dxa"/>
            <w:tcBorders>
              <w:top w:val="single" w:sz="4" w:space="0" w:color="000000"/>
              <w:left w:val="nil"/>
              <w:bottom w:val="single" w:sz="4" w:space="0" w:color="000000"/>
              <w:right w:val="nil"/>
            </w:tcBorders>
          </w:tcPr>
          <w:p w14:paraId="000001D6" w14:textId="77777777" w:rsidR="00E51D2F" w:rsidRPr="00BA4A54" w:rsidRDefault="00000000">
            <w:pPr>
              <w:ind w:right="60"/>
              <w:jc w:val="center"/>
              <w:rPr>
                <w:rFonts w:ascii="Times New Roman" w:eastAsia="Times New Roman" w:hAnsi="Times New Roman" w:cs="Times New Roman"/>
                <w:b/>
                <w:color w:val="000000"/>
                <w:sz w:val="24"/>
                <w:szCs w:val="24"/>
              </w:rPr>
            </w:pPr>
            <w:r w:rsidRPr="00BA4A54">
              <w:rPr>
                <w:rFonts w:ascii="Times New Roman" w:eastAsia="Times New Roman" w:hAnsi="Times New Roman" w:cs="Times New Roman"/>
                <w:color w:val="000000"/>
                <w:sz w:val="24"/>
                <w:szCs w:val="24"/>
              </w:rPr>
              <w:t>Ni me ha favorecido ni dificultado</w:t>
            </w:r>
          </w:p>
        </w:tc>
        <w:tc>
          <w:tcPr>
            <w:tcW w:w="1843" w:type="dxa"/>
            <w:tcBorders>
              <w:top w:val="single" w:sz="4" w:space="0" w:color="000000"/>
              <w:left w:val="nil"/>
              <w:bottom w:val="single" w:sz="4" w:space="0" w:color="000000"/>
              <w:right w:val="nil"/>
            </w:tcBorders>
          </w:tcPr>
          <w:p w14:paraId="000001D7" w14:textId="77777777" w:rsidR="00E51D2F" w:rsidRPr="00BA4A54" w:rsidRDefault="00000000">
            <w:pPr>
              <w:ind w:right="60"/>
              <w:jc w:val="center"/>
              <w:rPr>
                <w:rFonts w:ascii="Times New Roman" w:eastAsia="Times New Roman" w:hAnsi="Times New Roman" w:cs="Times New Roman"/>
                <w:b/>
                <w:color w:val="000000"/>
                <w:sz w:val="24"/>
                <w:szCs w:val="24"/>
              </w:rPr>
            </w:pPr>
            <w:r w:rsidRPr="00BA4A54">
              <w:rPr>
                <w:rFonts w:ascii="Times New Roman" w:eastAsia="Times New Roman" w:hAnsi="Times New Roman" w:cs="Times New Roman"/>
                <w:color w:val="000000"/>
                <w:sz w:val="24"/>
                <w:szCs w:val="24"/>
              </w:rPr>
              <w:t>Me ha dificultado</w:t>
            </w:r>
          </w:p>
        </w:tc>
      </w:tr>
      <w:tr w:rsidR="00E51D2F" w:rsidRPr="00BA4A54" w14:paraId="66F2DB5A" w14:textId="77777777" w:rsidTr="006B1C6B">
        <w:trPr>
          <w:jc w:val="center"/>
        </w:trPr>
        <w:tc>
          <w:tcPr>
            <w:tcW w:w="3402" w:type="dxa"/>
            <w:tcBorders>
              <w:top w:val="single" w:sz="4" w:space="0" w:color="000000"/>
              <w:left w:val="nil"/>
              <w:bottom w:val="nil"/>
              <w:right w:val="nil"/>
            </w:tcBorders>
            <w:vAlign w:val="center"/>
          </w:tcPr>
          <w:p w14:paraId="000001D8" w14:textId="77777777" w:rsidR="00E51D2F" w:rsidRPr="00BA4A54" w:rsidRDefault="00000000">
            <w:pPr>
              <w:spacing w:after="120"/>
              <w:ind w:right="60"/>
              <w:rPr>
                <w:rFonts w:ascii="Times New Roman" w:eastAsia="Times New Roman" w:hAnsi="Times New Roman" w:cs="Times New Roman"/>
                <w:b/>
                <w:color w:val="000000"/>
                <w:sz w:val="24"/>
                <w:szCs w:val="24"/>
              </w:rPr>
            </w:pPr>
            <w:r w:rsidRPr="00BA4A54">
              <w:rPr>
                <w:rFonts w:ascii="Times New Roman" w:eastAsia="Times New Roman" w:hAnsi="Times New Roman" w:cs="Times New Roman"/>
                <w:color w:val="000000"/>
                <w:sz w:val="24"/>
                <w:szCs w:val="24"/>
              </w:rPr>
              <w:t>Que el trabajo cotidiano tenga el mayor valor porcentual de la evaluación</w:t>
            </w:r>
          </w:p>
        </w:tc>
        <w:tc>
          <w:tcPr>
            <w:tcW w:w="1559" w:type="dxa"/>
            <w:tcBorders>
              <w:top w:val="single" w:sz="4" w:space="0" w:color="000000"/>
              <w:left w:val="nil"/>
              <w:bottom w:val="nil"/>
              <w:right w:val="nil"/>
            </w:tcBorders>
            <w:vAlign w:val="center"/>
          </w:tcPr>
          <w:p w14:paraId="000001D9"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36,4</w:t>
            </w:r>
          </w:p>
        </w:tc>
        <w:tc>
          <w:tcPr>
            <w:tcW w:w="1984" w:type="dxa"/>
            <w:tcBorders>
              <w:top w:val="single" w:sz="4" w:space="0" w:color="000000"/>
              <w:left w:val="nil"/>
              <w:bottom w:val="nil"/>
              <w:right w:val="nil"/>
            </w:tcBorders>
            <w:vAlign w:val="center"/>
          </w:tcPr>
          <w:p w14:paraId="000001DA"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31,6</w:t>
            </w:r>
          </w:p>
        </w:tc>
        <w:tc>
          <w:tcPr>
            <w:tcW w:w="1843" w:type="dxa"/>
            <w:tcBorders>
              <w:top w:val="single" w:sz="4" w:space="0" w:color="000000"/>
              <w:left w:val="nil"/>
              <w:bottom w:val="nil"/>
              <w:right w:val="nil"/>
            </w:tcBorders>
            <w:vAlign w:val="center"/>
          </w:tcPr>
          <w:p w14:paraId="000001DB"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32,0</w:t>
            </w:r>
          </w:p>
        </w:tc>
      </w:tr>
      <w:tr w:rsidR="00E51D2F" w:rsidRPr="00BA4A54" w14:paraId="0DD5EA09" w14:textId="77777777" w:rsidTr="006B1C6B">
        <w:trPr>
          <w:jc w:val="center"/>
        </w:trPr>
        <w:tc>
          <w:tcPr>
            <w:tcW w:w="3402" w:type="dxa"/>
            <w:tcBorders>
              <w:top w:val="nil"/>
              <w:left w:val="nil"/>
              <w:bottom w:val="nil"/>
              <w:right w:val="nil"/>
            </w:tcBorders>
            <w:vAlign w:val="center"/>
          </w:tcPr>
          <w:p w14:paraId="000001DC" w14:textId="77777777" w:rsidR="00E51D2F" w:rsidRPr="00BA4A54" w:rsidRDefault="00000000">
            <w:pPr>
              <w:spacing w:after="120"/>
              <w:ind w:right="60"/>
              <w:rPr>
                <w:rFonts w:ascii="Times New Roman" w:eastAsia="Times New Roman" w:hAnsi="Times New Roman" w:cs="Times New Roman"/>
                <w:b/>
                <w:color w:val="000000"/>
                <w:sz w:val="24"/>
                <w:szCs w:val="24"/>
              </w:rPr>
            </w:pPr>
            <w:r w:rsidRPr="00BA4A54">
              <w:rPr>
                <w:rFonts w:ascii="Times New Roman" w:eastAsia="Times New Roman" w:hAnsi="Times New Roman" w:cs="Times New Roman"/>
                <w:color w:val="000000"/>
                <w:sz w:val="24"/>
                <w:szCs w:val="24"/>
              </w:rPr>
              <w:t>Que las pruebas escritas y las tareas tengan el menor valor porcentual de la evaluación</w:t>
            </w:r>
          </w:p>
        </w:tc>
        <w:tc>
          <w:tcPr>
            <w:tcW w:w="1559" w:type="dxa"/>
            <w:tcBorders>
              <w:top w:val="nil"/>
              <w:left w:val="nil"/>
              <w:bottom w:val="nil"/>
              <w:right w:val="nil"/>
            </w:tcBorders>
            <w:vAlign w:val="center"/>
          </w:tcPr>
          <w:p w14:paraId="000001DD"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25,9</w:t>
            </w:r>
          </w:p>
        </w:tc>
        <w:tc>
          <w:tcPr>
            <w:tcW w:w="1984" w:type="dxa"/>
            <w:tcBorders>
              <w:top w:val="nil"/>
              <w:left w:val="nil"/>
              <w:bottom w:val="nil"/>
              <w:right w:val="nil"/>
            </w:tcBorders>
            <w:vAlign w:val="center"/>
          </w:tcPr>
          <w:p w14:paraId="000001DE"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40,5</w:t>
            </w:r>
          </w:p>
        </w:tc>
        <w:tc>
          <w:tcPr>
            <w:tcW w:w="1843" w:type="dxa"/>
            <w:tcBorders>
              <w:top w:val="nil"/>
              <w:left w:val="nil"/>
              <w:bottom w:val="nil"/>
              <w:right w:val="nil"/>
            </w:tcBorders>
            <w:vAlign w:val="center"/>
          </w:tcPr>
          <w:p w14:paraId="000001DF"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33,7</w:t>
            </w:r>
          </w:p>
        </w:tc>
      </w:tr>
      <w:tr w:rsidR="00E51D2F" w:rsidRPr="00BA4A54" w14:paraId="628002AE" w14:textId="77777777" w:rsidTr="006B1C6B">
        <w:trPr>
          <w:jc w:val="center"/>
        </w:trPr>
        <w:tc>
          <w:tcPr>
            <w:tcW w:w="3402" w:type="dxa"/>
            <w:tcBorders>
              <w:top w:val="nil"/>
              <w:left w:val="nil"/>
              <w:bottom w:val="nil"/>
              <w:right w:val="nil"/>
            </w:tcBorders>
            <w:vAlign w:val="center"/>
          </w:tcPr>
          <w:p w14:paraId="000001E0" w14:textId="77777777" w:rsidR="00E51D2F" w:rsidRPr="00BA4A54" w:rsidRDefault="00000000">
            <w:pPr>
              <w:spacing w:after="120"/>
              <w:ind w:right="60"/>
              <w:rPr>
                <w:rFonts w:ascii="Times New Roman" w:eastAsia="Times New Roman" w:hAnsi="Times New Roman" w:cs="Times New Roman"/>
                <w:b/>
                <w:color w:val="000000"/>
                <w:sz w:val="24"/>
                <w:szCs w:val="24"/>
              </w:rPr>
            </w:pPr>
            <w:r w:rsidRPr="00BA4A54">
              <w:rPr>
                <w:rFonts w:ascii="Times New Roman" w:eastAsia="Times New Roman" w:hAnsi="Times New Roman" w:cs="Times New Roman"/>
                <w:color w:val="000000"/>
                <w:sz w:val="24"/>
                <w:szCs w:val="24"/>
              </w:rPr>
              <w:t>Las orientaciones y lineamientos del MEP para la implementación de la evaluación</w:t>
            </w:r>
          </w:p>
        </w:tc>
        <w:tc>
          <w:tcPr>
            <w:tcW w:w="1559" w:type="dxa"/>
            <w:tcBorders>
              <w:top w:val="nil"/>
              <w:left w:val="nil"/>
              <w:bottom w:val="nil"/>
              <w:right w:val="nil"/>
            </w:tcBorders>
            <w:vAlign w:val="center"/>
          </w:tcPr>
          <w:p w14:paraId="000001E1"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29,6</w:t>
            </w:r>
          </w:p>
        </w:tc>
        <w:tc>
          <w:tcPr>
            <w:tcW w:w="1984" w:type="dxa"/>
            <w:tcBorders>
              <w:top w:val="nil"/>
              <w:left w:val="nil"/>
              <w:bottom w:val="nil"/>
              <w:right w:val="nil"/>
            </w:tcBorders>
            <w:vAlign w:val="center"/>
          </w:tcPr>
          <w:p w14:paraId="000001E2"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42,2</w:t>
            </w:r>
          </w:p>
        </w:tc>
        <w:tc>
          <w:tcPr>
            <w:tcW w:w="1843" w:type="dxa"/>
            <w:tcBorders>
              <w:top w:val="nil"/>
              <w:left w:val="nil"/>
              <w:bottom w:val="nil"/>
              <w:right w:val="nil"/>
            </w:tcBorders>
            <w:vAlign w:val="center"/>
          </w:tcPr>
          <w:p w14:paraId="000001E3"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28,2</w:t>
            </w:r>
          </w:p>
        </w:tc>
      </w:tr>
      <w:tr w:rsidR="00E51D2F" w:rsidRPr="00BA4A54" w14:paraId="63F3BBE1" w14:textId="77777777" w:rsidTr="006B1C6B">
        <w:trPr>
          <w:jc w:val="center"/>
        </w:trPr>
        <w:tc>
          <w:tcPr>
            <w:tcW w:w="3402" w:type="dxa"/>
            <w:tcBorders>
              <w:top w:val="nil"/>
              <w:left w:val="nil"/>
              <w:bottom w:val="nil"/>
              <w:right w:val="nil"/>
            </w:tcBorders>
            <w:vAlign w:val="center"/>
          </w:tcPr>
          <w:p w14:paraId="000001E4" w14:textId="77777777" w:rsidR="00E51D2F" w:rsidRPr="00BA4A54" w:rsidRDefault="00000000">
            <w:pPr>
              <w:spacing w:after="120"/>
              <w:ind w:right="60"/>
              <w:rPr>
                <w:rFonts w:ascii="Times New Roman" w:eastAsia="Times New Roman" w:hAnsi="Times New Roman" w:cs="Times New Roman"/>
                <w:b/>
                <w:color w:val="000000"/>
                <w:sz w:val="24"/>
                <w:szCs w:val="24"/>
              </w:rPr>
            </w:pPr>
            <w:r w:rsidRPr="00BA4A54">
              <w:rPr>
                <w:rFonts w:ascii="Times New Roman" w:eastAsia="Times New Roman" w:hAnsi="Times New Roman" w:cs="Times New Roman"/>
                <w:color w:val="000000"/>
                <w:sz w:val="24"/>
                <w:szCs w:val="24"/>
              </w:rPr>
              <w:t>La gestión del comité de evaluación</w:t>
            </w:r>
          </w:p>
        </w:tc>
        <w:tc>
          <w:tcPr>
            <w:tcW w:w="1559" w:type="dxa"/>
            <w:tcBorders>
              <w:top w:val="nil"/>
              <w:left w:val="nil"/>
              <w:bottom w:val="nil"/>
              <w:right w:val="nil"/>
            </w:tcBorders>
            <w:vAlign w:val="center"/>
          </w:tcPr>
          <w:p w14:paraId="000001E5"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41,2</w:t>
            </w:r>
          </w:p>
        </w:tc>
        <w:tc>
          <w:tcPr>
            <w:tcW w:w="1984" w:type="dxa"/>
            <w:tcBorders>
              <w:top w:val="nil"/>
              <w:left w:val="nil"/>
              <w:bottom w:val="nil"/>
              <w:right w:val="nil"/>
            </w:tcBorders>
            <w:vAlign w:val="center"/>
          </w:tcPr>
          <w:p w14:paraId="000001E6"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48,0</w:t>
            </w:r>
          </w:p>
        </w:tc>
        <w:tc>
          <w:tcPr>
            <w:tcW w:w="1843" w:type="dxa"/>
            <w:tcBorders>
              <w:top w:val="nil"/>
              <w:left w:val="nil"/>
              <w:bottom w:val="nil"/>
              <w:right w:val="nil"/>
            </w:tcBorders>
            <w:vAlign w:val="center"/>
          </w:tcPr>
          <w:p w14:paraId="000001E7"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10,9</w:t>
            </w:r>
          </w:p>
        </w:tc>
      </w:tr>
      <w:tr w:rsidR="00E51D2F" w:rsidRPr="00BA4A54" w14:paraId="187B8B72" w14:textId="77777777" w:rsidTr="006B1C6B">
        <w:trPr>
          <w:jc w:val="center"/>
        </w:trPr>
        <w:tc>
          <w:tcPr>
            <w:tcW w:w="3402" w:type="dxa"/>
            <w:tcBorders>
              <w:top w:val="nil"/>
              <w:left w:val="nil"/>
              <w:bottom w:val="nil"/>
              <w:right w:val="nil"/>
            </w:tcBorders>
            <w:vAlign w:val="center"/>
          </w:tcPr>
          <w:p w14:paraId="000001E8" w14:textId="77777777" w:rsidR="00E51D2F" w:rsidRPr="00BA4A54" w:rsidRDefault="00000000">
            <w:pPr>
              <w:spacing w:after="120"/>
              <w:ind w:right="60"/>
              <w:rPr>
                <w:rFonts w:ascii="Times New Roman" w:eastAsia="Times New Roman" w:hAnsi="Times New Roman" w:cs="Times New Roman"/>
                <w:b/>
                <w:color w:val="000000"/>
                <w:sz w:val="24"/>
                <w:szCs w:val="24"/>
              </w:rPr>
            </w:pPr>
            <w:r w:rsidRPr="00BA4A54">
              <w:rPr>
                <w:rFonts w:ascii="Times New Roman" w:eastAsia="Times New Roman" w:hAnsi="Times New Roman" w:cs="Times New Roman"/>
                <w:color w:val="000000"/>
                <w:sz w:val="24"/>
                <w:szCs w:val="24"/>
              </w:rPr>
              <w:t>La gestión de la persona directora de mi escuela</w:t>
            </w:r>
          </w:p>
        </w:tc>
        <w:tc>
          <w:tcPr>
            <w:tcW w:w="1559" w:type="dxa"/>
            <w:tcBorders>
              <w:top w:val="nil"/>
              <w:left w:val="nil"/>
              <w:bottom w:val="nil"/>
              <w:right w:val="nil"/>
            </w:tcBorders>
            <w:vAlign w:val="center"/>
          </w:tcPr>
          <w:p w14:paraId="000001E9"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45,2</w:t>
            </w:r>
          </w:p>
        </w:tc>
        <w:tc>
          <w:tcPr>
            <w:tcW w:w="1984" w:type="dxa"/>
            <w:tcBorders>
              <w:top w:val="nil"/>
              <w:left w:val="nil"/>
              <w:bottom w:val="nil"/>
              <w:right w:val="nil"/>
            </w:tcBorders>
            <w:vAlign w:val="center"/>
          </w:tcPr>
          <w:p w14:paraId="000001EA"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39,8</w:t>
            </w:r>
          </w:p>
        </w:tc>
        <w:tc>
          <w:tcPr>
            <w:tcW w:w="1843" w:type="dxa"/>
            <w:tcBorders>
              <w:top w:val="nil"/>
              <w:left w:val="nil"/>
              <w:bottom w:val="nil"/>
              <w:right w:val="nil"/>
            </w:tcBorders>
            <w:vAlign w:val="center"/>
          </w:tcPr>
          <w:p w14:paraId="000001EB"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15,0</w:t>
            </w:r>
          </w:p>
        </w:tc>
      </w:tr>
      <w:tr w:rsidR="00E51D2F" w:rsidRPr="00BA4A54" w14:paraId="56A14CAF" w14:textId="77777777" w:rsidTr="006B1C6B">
        <w:trPr>
          <w:jc w:val="center"/>
        </w:trPr>
        <w:tc>
          <w:tcPr>
            <w:tcW w:w="3402" w:type="dxa"/>
            <w:tcBorders>
              <w:top w:val="nil"/>
              <w:left w:val="nil"/>
              <w:bottom w:val="nil"/>
              <w:right w:val="nil"/>
            </w:tcBorders>
            <w:vAlign w:val="center"/>
          </w:tcPr>
          <w:p w14:paraId="000001EC" w14:textId="77777777" w:rsidR="00E51D2F" w:rsidRPr="00BA4A54" w:rsidRDefault="00000000">
            <w:pPr>
              <w:spacing w:after="120"/>
              <w:ind w:right="60"/>
              <w:rPr>
                <w:rFonts w:ascii="Times New Roman" w:eastAsia="Times New Roman" w:hAnsi="Times New Roman" w:cs="Times New Roman"/>
                <w:b/>
                <w:color w:val="000000"/>
                <w:sz w:val="24"/>
                <w:szCs w:val="24"/>
              </w:rPr>
            </w:pPr>
            <w:r w:rsidRPr="00BA4A54">
              <w:rPr>
                <w:rFonts w:ascii="Times New Roman" w:eastAsia="Times New Roman" w:hAnsi="Times New Roman" w:cs="Times New Roman"/>
                <w:color w:val="000000"/>
                <w:sz w:val="24"/>
                <w:szCs w:val="24"/>
              </w:rPr>
              <w:t>El compromiso de los padres y las madres de familia o encargados legales con el proceso educativo</w:t>
            </w:r>
          </w:p>
        </w:tc>
        <w:tc>
          <w:tcPr>
            <w:tcW w:w="1559" w:type="dxa"/>
            <w:tcBorders>
              <w:top w:val="nil"/>
              <w:left w:val="nil"/>
              <w:bottom w:val="nil"/>
              <w:right w:val="nil"/>
            </w:tcBorders>
            <w:vAlign w:val="center"/>
          </w:tcPr>
          <w:p w14:paraId="000001ED"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21,4</w:t>
            </w:r>
          </w:p>
        </w:tc>
        <w:tc>
          <w:tcPr>
            <w:tcW w:w="1984" w:type="dxa"/>
            <w:tcBorders>
              <w:top w:val="nil"/>
              <w:left w:val="nil"/>
              <w:bottom w:val="nil"/>
              <w:right w:val="nil"/>
            </w:tcBorders>
            <w:vAlign w:val="center"/>
          </w:tcPr>
          <w:p w14:paraId="000001EE"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20,1</w:t>
            </w:r>
          </w:p>
        </w:tc>
        <w:tc>
          <w:tcPr>
            <w:tcW w:w="1843" w:type="dxa"/>
            <w:tcBorders>
              <w:top w:val="nil"/>
              <w:left w:val="nil"/>
              <w:bottom w:val="nil"/>
              <w:right w:val="nil"/>
            </w:tcBorders>
            <w:vAlign w:val="center"/>
          </w:tcPr>
          <w:p w14:paraId="000001EF"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58,5</w:t>
            </w:r>
          </w:p>
        </w:tc>
      </w:tr>
      <w:tr w:rsidR="00E51D2F" w:rsidRPr="00BA4A54" w14:paraId="0507BF3A" w14:textId="77777777" w:rsidTr="006B1C6B">
        <w:trPr>
          <w:jc w:val="center"/>
        </w:trPr>
        <w:tc>
          <w:tcPr>
            <w:tcW w:w="3402" w:type="dxa"/>
            <w:tcBorders>
              <w:top w:val="nil"/>
              <w:left w:val="nil"/>
              <w:bottom w:val="single" w:sz="4" w:space="0" w:color="000000"/>
              <w:right w:val="nil"/>
            </w:tcBorders>
            <w:vAlign w:val="center"/>
          </w:tcPr>
          <w:p w14:paraId="000001F0" w14:textId="77777777" w:rsidR="00E51D2F" w:rsidRPr="00BA4A54" w:rsidRDefault="00000000">
            <w:pPr>
              <w:spacing w:after="120"/>
              <w:ind w:right="60"/>
              <w:rPr>
                <w:rFonts w:ascii="Times New Roman" w:eastAsia="Times New Roman" w:hAnsi="Times New Roman" w:cs="Times New Roman"/>
                <w:b/>
                <w:color w:val="000000"/>
                <w:sz w:val="24"/>
                <w:szCs w:val="24"/>
              </w:rPr>
            </w:pPr>
            <w:r w:rsidRPr="00BA4A54">
              <w:rPr>
                <w:rFonts w:ascii="Times New Roman" w:eastAsia="Times New Roman" w:hAnsi="Times New Roman" w:cs="Times New Roman"/>
                <w:color w:val="000000"/>
                <w:sz w:val="24"/>
                <w:szCs w:val="24"/>
              </w:rPr>
              <w:t>El apoyo recibido de otros compañeros(as) docentes de mi institución</w:t>
            </w:r>
          </w:p>
        </w:tc>
        <w:tc>
          <w:tcPr>
            <w:tcW w:w="1559" w:type="dxa"/>
            <w:tcBorders>
              <w:top w:val="nil"/>
              <w:left w:val="nil"/>
              <w:bottom w:val="single" w:sz="4" w:space="0" w:color="000000"/>
              <w:right w:val="nil"/>
            </w:tcBorders>
            <w:vAlign w:val="center"/>
          </w:tcPr>
          <w:p w14:paraId="000001F1"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56,8</w:t>
            </w:r>
          </w:p>
        </w:tc>
        <w:tc>
          <w:tcPr>
            <w:tcW w:w="1984" w:type="dxa"/>
            <w:tcBorders>
              <w:top w:val="nil"/>
              <w:left w:val="nil"/>
              <w:bottom w:val="single" w:sz="4" w:space="0" w:color="000000"/>
              <w:right w:val="nil"/>
            </w:tcBorders>
            <w:vAlign w:val="center"/>
          </w:tcPr>
          <w:p w14:paraId="000001F2"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30,6</w:t>
            </w:r>
          </w:p>
        </w:tc>
        <w:tc>
          <w:tcPr>
            <w:tcW w:w="1843" w:type="dxa"/>
            <w:tcBorders>
              <w:top w:val="nil"/>
              <w:left w:val="nil"/>
              <w:bottom w:val="single" w:sz="4" w:space="0" w:color="000000"/>
              <w:right w:val="nil"/>
            </w:tcBorders>
            <w:vAlign w:val="center"/>
          </w:tcPr>
          <w:p w14:paraId="000001F3" w14:textId="77777777" w:rsidR="00E51D2F" w:rsidRPr="00BA4A54" w:rsidRDefault="00000000">
            <w:pPr>
              <w:spacing w:before="120" w:after="120"/>
              <w:ind w:right="62"/>
              <w:jc w:val="center"/>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12,6</w:t>
            </w:r>
          </w:p>
        </w:tc>
      </w:tr>
    </w:tbl>
    <w:p w14:paraId="000001F4" w14:textId="77777777" w:rsidR="00E51D2F" w:rsidRPr="00BA4A54" w:rsidRDefault="00E51D2F">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3273E055" w14:textId="77777777" w:rsidR="006A578D" w:rsidRPr="00BA4A54" w:rsidRDefault="00000000" w:rsidP="006A578D">
      <w:pPr>
        <w:pBdr>
          <w:top w:val="nil"/>
          <w:left w:val="nil"/>
          <w:bottom w:val="nil"/>
          <w:right w:val="nil"/>
          <w:between w:val="nil"/>
        </w:pBdr>
        <w:spacing w:after="0" w:line="360" w:lineRule="auto"/>
        <w:ind w:firstLine="708"/>
        <w:jc w:val="both"/>
        <w:rPr>
          <w:rFonts w:ascii="Times New Roman" w:eastAsia="Times New Roman" w:hAnsi="Times New Roman" w:cs="Times New Roman"/>
          <w:color w:val="000000"/>
          <w:sz w:val="24"/>
          <w:szCs w:val="24"/>
        </w:rPr>
      </w:pPr>
      <w:r w:rsidRPr="00BA4A54">
        <w:rPr>
          <w:rFonts w:ascii="Times New Roman" w:eastAsia="Times New Roman" w:hAnsi="Times New Roman" w:cs="Times New Roman"/>
          <w:color w:val="000000"/>
          <w:sz w:val="24"/>
          <w:szCs w:val="24"/>
        </w:rPr>
        <w:t xml:space="preserve">Según los docentes participantes en la encuesta, </w:t>
      </w:r>
      <w:r w:rsidR="00606D40" w:rsidRPr="00BA4A54">
        <w:rPr>
          <w:rFonts w:ascii="Times New Roman" w:eastAsia="Times New Roman" w:hAnsi="Times New Roman" w:cs="Times New Roman"/>
          <w:color w:val="000000"/>
          <w:sz w:val="24"/>
          <w:szCs w:val="24"/>
        </w:rPr>
        <w:t xml:space="preserve">de las </w:t>
      </w:r>
      <w:r w:rsidRPr="00BA4A54">
        <w:rPr>
          <w:rFonts w:ascii="Times New Roman" w:eastAsia="Times New Roman" w:hAnsi="Times New Roman" w:cs="Times New Roman"/>
          <w:color w:val="000000"/>
          <w:sz w:val="24"/>
          <w:szCs w:val="24"/>
        </w:rPr>
        <w:t>acciones</w:t>
      </w:r>
      <w:r w:rsidR="00606D40" w:rsidRPr="00BA4A54">
        <w:rPr>
          <w:rFonts w:ascii="Times New Roman" w:eastAsia="Times New Roman" w:hAnsi="Times New Roman" w:cs="Times New Roman"/>
          <w:color w:val="000000"/>
          <w:sz w:val="24"/>
          <w:szCs w:val="24"/>
        </w:rPr>
        <w:t xml:space="preserve"> que </w:t>
      </w:r>
      <w:r w:rsidRPr="00BA4A54">
        <w:rPr>
          <w:rFonts w:ascii="Times New Roman" w:eastAsia="Times New Roman" w:hAnsi="Times New Roman" w:cs="Times New Roman"/>
          <w:color w:val="000000"/>
          <w:sz w:val="24"/>
          <w:szCs w:val="24"/>
        </w:rPr>
        <w:t>podrían realizarse</w:t>
      </w:r>
      <w:r w:rsidR="006A578D" w:rsidRPr="00BA4A54">
        <w:rPr>
          <w:rFonts w:ascii="Times New Roman" w:eastAsia="Times New Roman" w:hAnsi="Times New Roman" w:cs="Times New Roman"/>
          <w:color w:val="000000"/>
          <w:sz w:val="24"/>
          <w:szCs w:val="24"/>
        </w:rPr>
        <w:t>, 57,8% menciona creer que el aumento del porcentaje de las pruebas escritas contribuiría para mejorar la evaluación de los aprendizajes, mientras 51% opina que la disminución del porcentaje del trabajo cotidiano resultaría mejor. No</w:t>
      </w:r>
      <w:r w:rsidRPr="00BA4A54">
        <w:rPr>
          <w:rFonts w:ascii="Times New Roman" w:eastAsia="Times New Roman" w:hAnsi="Times New Roman" w:cs="Times New Roman"/>
          <w:color w:val="000000"/>
          <w:sz w:val="24"/>
          <w:szCs w:val="24"/>
        </w:rPr>
        <w:t xml:space="preserve"> obstante, </w:t>
      </w:r>
      <w:r w:rsidR="006A578D" w:rsidRPr="00BA4A54">
        <w:rPr>
          <w:rFonts w:ascii="Times New Roman" w:eastAsia="Times New Roman" w:hAnsi="Times New Roman" w:cs="Times New Roman"/>
          <w:color w:val="000000"/>
          <w:sz w:val="24"/>
          <w:szCs w:val="24"/>
        </w:rPr>
        <w:t xml:space="preserve">73,1% no creen que el aumento del porcentaje de las tareas ayudaría, tampoco </w:t>
      </w:r>
      <w:r w:rsidRPr="00BA4A54">
        <w:rPr>
          <w:rFonts w:ascii="Times New Roman" w:eastAsia="Times New Roman" w:hAnsi="Times New Roman" w:cs="Times New Roman"/>
          <w:color w:val="000000"/>
          <w:sz w:val="24"/>
          <w:szCs w:val="24"/>
        </w:rPr>
        <w:t>creen que la inclusión de los trabajos extra-clase sea la solución</w:t>
      </w:r>
      <w:r w:rsidR="006A578D" w:rsidRPr="00BA4A54">
        <w:rPr>
          <w:rFonts w:ascii="Times New Roman" w:eastAsia="Times New Roman" w:hAnsi="Times New Roman" w:cs="Times New Roman"/>
          <w:color w:val="000000"/>
          <w:sz w:val="24"/>
          <w:szCs w:val="24"/>
        </w:rPr>
        <w:t>, debido a que 71,1% no creen que esto mejoraría la evaluación de los aprendizajes</w:t>
      </w:r>
      <w:r w:rsidRPr="00BA4A54">
        <w:rPr>
          <w:rFonts w:ascii="Times New Roman" w:eastAsia="Times New Roman" w:hAnsi="Times New Roman" w:cs="Times New Roman"/>
          <w:color w:val="000000"/>
          <w:sz w:val="24"/>
          <w:szCs w:val="24"/>
        </w:rPr>
        <w:t xml:space="preserve">. </w:t>
      </w:r>
    </w:p>
    <w:p w14:paraId="0000021D" w14:textId="02AAB19F" w:rsidR="00E51D2F" w:rsidRPr="00BA4A54" w:rsidRDefault="006A578D" w:rsidP="006A578D">
      <w:pPr>
        <w:pBdr>
          <w:top w:val="nil"/>
          <w:left w:val="nil"/>
          <w:bottom w:val="nil"/>
          <w:right w:val="nil"/>
          <w:between w:val="nil"/>
        </w:pBd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color w:val="000000"/>
          <w:sz w:val="24"/>
          <w:szCs w:val="24"/>
        </w:rPr>
        <w:t>S</w:t>
      </w:r>
      <w:r w:rsidRPr="00BA4A54">
        <w:rPr>
          <w:rFonts w:ascii="Times New Roman" w:eastAsia="Times New Roman" w:hAnsi="Times New Roman" w:cs="Times New Roman"/>
          <w:sz w:val="24"/>
          <w:szCs w:val="24"/>
        </w:rPr>
        <w:t xml:space="preserve">i las personas docentes pudieran definir el valor porcentual del trabajo cotidiano, la mayoría de las docentes encuestadas (60,2%) sugirieron valores desde 40% a 50%, 21,1% de las personas docentes mencionaron que el valor podría ser de 30%, y 7,8% que el valor se mantuviera en los 60%, tal como se encontraba en el momento de la realización de la encuesta. Otros valores sugeridos con menos frecuencia fueron: entre 15 y 25% (4,4% de la muestra), 35% (1,7% de la muestra), 55% (0,3%), de 65 a 80% (3,3%), y 1% no ofreció su sugerencia. </w:t>
      </w:r>
    </w:p>
    <w:p w14:paraId="0000021E" w14:textId="77777777" w:rsidR="00E51D2F" w:rsidRPr="00BA4A54" w:rsidRDefault="00000000">
      <w:pPr>
        <w:spacing w:after="0" w:line="360" w:lineRule="auto"/>
        <w:ind w:firstLine="709"/>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sz w:val="24"/>
          <w:szCs w:val="24"/>
        </w:rPr>
        <w:t>Respecto a su opinión, desde el trabajo en el aula, de los cambios que le propondría al MEP, el personal docente mencionó acciones que podrían ser consideradas para mejorar el modelo actual de evaluación de los aprendizajes, según su criterio y experiencia. Las diferentes respuestas ofrecidas pudieron ser categorizadas en: 1) revisar los rubros y porcentajes de evaluación, 2) detallar mejor la estructura de cómo desarrollar el trabajo cotidiano, 3) potenciar l</w:t>
      </w:r>
      <w:r w:rsidRPr="00BA4A54">
        <w:rPr>
          <w:rFonts w:ascii="Times New Roman" w:eastAsia="Times New Roman" w:hAnsi="Times New Roman" w:cs="Times New Roman"/>
          <w:color w:val="0D0D0D"/>
          <w:sz w:val="24"/>
          <w:szCs w:val="24"/>
        </w:rPr>
        <w:t xml:space="preserve">os aprendizajes de formas más comprensivas. </w:t>
      </w:r>
    </w:p>
    <w:p w14:paraId="0000021F" w14:textId="726CE30F" w:rsidR="00E51D2F" w:rsidRPr="00BA4A54" w:rsidRDefault="00000000">
      <w:pPr>
        <w:spacing w:after="0" w:line="360" w:lineRule="auto"/>
        <w:ind w:firstLine="709"/>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 xml:space="preserve">Respecto a la revisión de rubros y porcentajes que actualmente están dispuestos, consideran que los porcentajes del trabajo cotidiano podrían bajarse, ya que entienden que hay mucha flexibilización y poco control por parte del docente, </w:t>
      </w:r>
      <w:r w:rsidR="001B17CE" w:rsidRPr="00BA4A54">
        <w:rPr>
          <w:rFonts w:ascii="Times New Roman" w:eastAsia="Times New Roman" w:hAnsi="Times New Roman" w:cs="Times New Roman"/>
          <w:color w:val="0D0D0D"/>
          <w:sz w:val="24"/>
          <w:szCs w:val="24"/>
        </w:rPr>
        <w:t xml:space="preserve">sin </w:t>
      </w:r>
      <w:r w:rsidRPr="00BA4A54">
        <w:rPr>
          <w:rFonts w:ascii="Times New Roman" w:eastAsia="Times New Roman" w:hAnsi="Times New Roman" w:cs="Times New Roman"/>
          <w:color w:val="0D0D0D"/>
          <w:sz w:val="24"/>
          <w:szCs w:val="24"/>
        </w:rPr>
        <w:t xml:space="preserve">una unificación de la forma de evaluarlo. De esta manera, la evaluación del trabajo cotidiano puede ser poco estricta y se presta para brindar porcentajes altos a estudiantes que se esfuerzan poco o cumplen el mínimo. </w:t>
      </w:r>
    </w:p>
    <w:p w14:paraId="00000221" w14:textId="77777777" w:rsidR="00E51D2F" w:rsidRPr="00BA4A54" w:rsidRDefault="00000000">
      <w:pP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 xml:space="preserve">En la encuesta realizada, las personas docentes especificaron diferentes acciones que pueden facilitar sus labores relativas a la evaluación de los aprendizajes. Generalmente, los participantes (95,6%) realizan dos pruebas escritas por ciclo lectivo a sus estudiantes (al semestre). Dos personas contestaron realizar tres pruebas escritas, 1 persona contestó que </w:t>
      </w:r>
      <w:r w:rsidRPr="00BA4A54">
        <w:rPr>
          <w:rFonts w:ascii="Times New Roman" w:eastAsia="Times New Roman" w:hAnsi="Times New Roman" w:cs="Times New Roman"/>
          <w:sz w:val="24"/>
          <w:szCs w:val="24"/>
        </w:rPr>
        <w:lastRenderedPageBreak/>
        <w:t>ninguna, pues evalúa mediante otras estrategias (SAPEC), y 3,4% realiza una prueba escrita por semestre.</w:t>
      </w:r>
    </w:p>
    <w:p w14:paraId="00000222" w14:textId="77777777" w:rsidR="00E51D2F" w:rsidRPr="00BA4A54" w:rsidRDefault="00000000">
      <w:pP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Relacionado con la frecuencia en que evalúan el trabajo cotidiano de sus estudiantes, casi la totalidad de la muestra los evalúa semanalmente (44,9%) o diariamente (40,5%), siendo que 13,9% refirió evaluarlos mensualmente y 0,7% (2 docentes) especificaron realizar evaluación semestralmente. Los principales criterios que utilizaron para evaluar el trabajo cotidiano fueron la participación activa del estudiante (82%), completar las asignaciones del día (80,6%) y aportes en los trabajos grupales (52,7%). También aplican dentro de este criterio, pero con menor frecuencia, la evaluación de la disciplina en el aula (35%). Además, muchos mencionaron que los criterios deben estar basados en indicadores ofrecidos por el MEP. El trabajo cotidiano también suele ser evaluado verificando la realización de los trabajos en clase, si se completaron las tareas solicitadas, si se logró el aprendizaje, la motivación del estudiante y las conductas responsables relacionada a materiales, tiempo, aseo, etc.</w:t>
      </w:r>
    </w:p>
    <w:p w14:paraId="00000223" w14:textId="77777777" w:rsidR="00E51D2F" w:rsidRPr="00BA4A54" w:rsidRDefault="00000000">
      <w:pPr>
        <w:spacing w:after="0" w:line="360" w:lineRule="auto"/>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ab/>
        <w:t xml:space="preserve">Para registrar el trabajo cotidiano de sus estudiantes, 90,1% de las personas docentes contestaron utilizar instrumentos para calificar el trabajo en clase (rúbricas, escalas, etc.) y 82% revisar el </w:t>
      </w:r>
      <w:r w:rsidRPr="00BA4A54">
        <w:rPr>
          <w:rFonts w:ascii="Times New Roman" w:eastAsia="Times New Roman" w:hAnsi="Times New Roman" w:cs="Times New Roman"/>
          <w:color w:val="000000"/>
          <w:sz w:val="24"/>
          <w:szCs w:val="24"/>
        </w:rPr>
        <w:t>cuaderno p</w:t>
      </w:r>
      <w:r w:rsidRPr="00BA4A54">
        <w:rPr>
          <w:rFonts w:ascii="Times New Roman" w:eastAsia="Times New Roman" w:hAnsi="Times New Roman" w:cs="Times New Roman"/>
          <w:sz w:val="24"/>
          <w:szCs w:val="24"/>
        </w:rPr>
        <w:t>ara verificar si se completó el trabajo. Un poco más de la mitad de la muestra lleva bitácora del trabajo en la clase (53,1%) y casi un cuarto también realiza la valoración subjetiva del trabajo de cada estudiante (24,1%). Algunos también mencionan el uso de plantillas Excel, revisión de libros, prácticas y asistencia. El uso de estas estrategias especialmente se da por la facilidad para manejar la información (78,9%), porque es más práctico y rápido (57,1%), por la cantidad de estudiantes que tiene (40,1%) y no tanto por familiaridad o costumbre con la estrategia (28,6%).</w:t>
      </w:r>
    </w:p>
    <w:p w14:paraId="00000224" w14:textId="77777777" w:rsidR="00E51D2F" w:rsidRPr="00BA4A54" w:rsidRDefault="00000000">
      <w:pPr>
        <w:spacing w:after="0" w:line="360" w:lineRule="auto"/>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ab/>
        <w:t>Las dificultades enfrentadas por las personas docentes también se reflejan en sentimientos adversos, debido a que 56,1% contestó poder calificar a sus estudiantes para que su nota refleje su desempeño sin miedo a que se critique su labor docente. Por lo tanto, existe una gran cantidad de docentes (43,9%) que manifiestan algún sentimiento de temor relacionado a esto.</w:t>
      </w:r>
    </w:p>
    <w:p w14:paraId="00000225" w14:textId="77777777" w:rsidR="00E51D2F" w:rsidRPr="00BA4A54" w:rsidRDefault="00E51D2F">
      <w:pPr>
        <w:spacing w:line="360" w:lineRule="auto"/>
        <w:rPr>
          <w:rFonts w:ascii="Times New Roman" w:eastAsia="Times New Roman" w:hAnsi="Times New Roman" w:cs="Times New Roman"/>
          <w:sz w:val="24"/>
          <w:szCs w:val="24"/>
        </w:rPr>
      </w:pPr>
    </w:p>
    <w:p w14:paraId="00000226" w14:textId="77777777" w:rsidR="00E51D2F" w:rsidRPr="00BA4A54" w:rsidRDefault="00000000">
      <w:pPr>
        <w:spacing w:line="360" w:lineRule="auto"/>
        <w:rPr>
          <w:rFonts w:ascii="Times New Roman" w:eastAsia="Times New Roman" w:hAnsi="Times New Roman" w:cs="Times New Roman"/>
          <w:b/>
          <w:sz w:val="24"/>
          <w:szCs w:val="24"/>
        </w:rPr>
      </w:pPr>
      <w:r w:rsidRPr="00BA4A54">
        <w:rPr>
          <w:rFonts w:ascii="Times New Roman" w:eastAsia="Times New Roman" w:hAnsi="Times New Roman" w:cs="Times New Roman"/>
          <w:b/>
          <w:sz w:val="24"/>
          <w:szCs w:val="24"/>
        </w:rPr>
        <w:t>Discusión</w:t>
      </w:r>
    </w:p>
    <w:p w14:paraId="00000227" w14:textId="77777777" w:rsidR="00E51D2F" w:rsidRPr="00BA4A54" w:rsidRDefault="00000000">
      <w:pPr>
        <w:spacing w:after="0" w:line="360" w:lineRule="auto"/>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lastRenderedPageBreak/>
        <w:tab/>
        <w:t xml:space="preserve">El proceso evaluativo está orientado a la comprensión, mejora y aprehensión de los aprendizajes (MEP, 2023), en este sentido involucra la participación de docentes y estudiantes contemplando una realidad y contexto con el objetivo de potenciar la construcción del aprendizaje acorde con los retos de la sociedad actual. La presente investigación consultó la opinión de personas docentes que laboran en I y II Ciclo de Educación General Básica referente al proceso de evaluación de aprendizajes, quienes mencionan cambios que le propondría al MEP para mejorar el modelo actual de evaluación y comparten acciones que podrían ser consideradas según su criterio y experiencia. </w:t>
      </w:r>
    </w:p>
    <w:p w14:paraId="6C509953" w14:textId="77777777" w:rsidR="006A578D" w:rsidRPr="00BA4A54" w:rsidRDefault="00000000">
      <w:pP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 xml:space="preserve">De manera general, los resultados evidenciaron la percepción de mayor insatisfacción del personal docente que de apoyo a los actuales lineamientos propuestos por el MEP. </w:t>
      </w:r>
      <w:r w:rsidR="006A578D" w:rsidRPr="00BA4A54">
        <w:rPr>
          <w:rFonts w:ascii="Times New Roman" w:eastAsia="Times New Roman" w:hAnsi="Times New Roman" w:cs="Times New Roman"/>
          <w:sz w:val="24"/>
          <w:szCs w:val="24"/>
        </w:rPr>
        <w:t xml:space="preserve">De parte de las </w:t>
      </w:r>
      <w:r w:rsidRPr="00BA4A54">
        <w:rPr>
          <w:rFonts w:ascii="Times New Roman" w:eastAsia="Times New Roman" w:hAnsi="Times New Roman" w:cs="Times New Roman"/>
          <w:sz w:val="24"/>
          <w:szCs w:val="24"/>
        </w:rPr>
        <w:t>percepciones positivas</w:t>
      </w:r>
      <w:r w:rsidR="006A578D" w:rsidRPr="00BA4A54">
        <w:rPr>
          <w:rFonts w:ascii="Times New Roman" w:eastAsia="Times New Roman" w:hAnsi="Times New Roman" w:cs="Times New Roman"/>
          <w:sz w:val="24"/>
          <w:szCs w:val="24"/>
        </w:rPr>
        <w:t>, los resultados permitieron evidenciar que estas</w:t>
      </w:r>
      <w:r w:rsidRPr="00BA4A54">
        <w:rPr>
          <w:rFonts w:ascii="Times New Roman" w:eastAsia="Times New Roman" w:hAnsi="Times New Roman" w:cs="Times New Roman"/>
          <w:sz w:val="24"/>
          <w:szCs w:val="24"/>
        </w:rPr>
        <w:t xml:space="preserve"> están relacionadas a lineamientos que concuerdan con las actividades que realizan con sus estudiantes y que les beneficia en su quehacer, tales como la</w:t>
      </w:r>
      <w:r w:rsidR="006A578D" w:rsidRPr="00BA4A54">
        <w:rPr>
          <w:rFonts w:ascii="Times New Roman" w:eastAsia="Times New Roman" w:hAnsi="Times New Roman" w:cs="Times New Roman"/>
          <w:sz w:val="24"/>
          <w:szCs w:val="24"/>
        </w:rPr>
        <w:t>s decisiones de</w:t>
      </w:r>
      <w:r w:rsidRPr="00BA4A54">
        <w:rPr>
          <w:rFonts w:ascii="Times New Roman" w:eastAsia="Times New Roman" w:hAnsi="Times New Roman" w:cs="Times New Roman"/>
          <w:sz w:val="24"/>
          <w:szCs w:val="24"/>
        </w:rPr>
        <w:t xml:space="preserve"> división del periodo lectivo en dos semestres,</w:t>
      </w:r>
      <w:r w:rsidR="006A578D" w:rsidRPr="00BA4A54">
        <w:rPr>
          <w:rFonts w:ascii="Times New Roman" w:eastAsia="Times New Roman" w:hAnsi="Times New Roman" w:cs="Times New Roman"/>
          <w:sz w:val="24"/>
          <w:szCs w:val="24"/>
        </w:rPr>
        <w:t xml:space="preserve"> de</w:t>
      </w:r>
      <w:r w:rsidRPr="00BA4A54">
        <w:rPr>
          <w:rFonts w:ascii="Times New Roman" w:eastAsia="Times New Roman" w:hAnsi="Times New Roman" w:cs="Times New Roman"/>
          <w:sz w:val="24"/>
          <w:szCs w:val="24"/>
        </w:rPr>
        <w:t xml:space="preserve"> que se retomara la evaluación sumativa en primer grado y</w:t>
      </w:r>
      <w:r w:rsidR="006A578D" w:rsidRPr="00BA4A54">
        <w:rPr>
          <w:rFonts w:ascii="Times New Roman" w:eastAsia="Times New Roman" w:hAnsi="Times New Roman" w:cs="Times New Roman"/>
          <w:sz w:val="24"/>
          <w:szCs w:val="24"/>
        </w:rPr>
        <w:t xml:space="preserve"> relacionado a </w:t>
      </w:r>
      <w:r w:rsidRPr="00BA4A54">
        <w:rPr>
          <w:rFonts w:ascii="Times New Roman" w:eastAsia="Times New Roman" w:hAnsi="Times New Roman" w:cs="Times New Roman"/>
          <w:sz w:val="24"/>
          <w:szCs w:val="24"/>
        </w:rPr>
        <w:t xml:space="preserve">los lineamientos para la construcción de las pruebas escritas. </w:t>
      </w:r>
    </w:p>
    <w:p w14:paraId="00000229" w14:textId="48CB7FDE" w:rsidR="00E51D2F" w:rsidRPr="00BA4A54" w:rsidRDefault="006A578D">
      <w:pP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Relacionado a la retomada de la evaluación sumativa, esta se refiere a la evaluación que se realiza al final de un período de aprendizaje para determinar el grado de conocimiento y habilidades adquiridas por los estudiantes, resumir el aprendizaje alcanzado y proporcionar una calificación o medida de rendimiento que se utiliza para tomar decisiones sobre su calificación final o la continuidad del proceso de un estudiante al siguiente nivel de educación</w:t>
      </w:r>
      <w:r w:rsidR="007D3DCE">
        <w:rPr>
          <w:rFonts w:ascii="Times New Roman" w:eastAsia="Times New Roman" w:hAnsi="Times New Roman" w:cs="Times New Roman"/>
          <w:sz w:val="24"/>
          <w:szCs w:val="24"/>
        </w:rPr>
        <w:t xml:space="preserve"> (</w:t>
      </w:r>
      <w:r w:rsidR="007D3DCE" w:rsidRPr="007D3DCE">
        <w:rPr>
          <w:rFonts w:ascii="Times New Roman" w:hAnsi="Times New Roman" w:cs="Times New Roman"/>
          <w:color w:val="222222"/>
          <w:sz w:val="24"/>
          <w:szCs w:val="24"/>
          <w:shd w:val="clear" w:color="auto" w:fill="FFFFFF"/>
          <w:lang w:val="es-ES"/>
        </w:rPr>
        <w:t>Bhat</w:t>
      </w:r>
      <w:r w:rsidR="007D3DCE">
        <w:rPr>
          <w:rFonts w:ascii="Times New Roman" w:hAnsi="Times New Roman" w:cs="Times New Roman"/>
          <w:color w:val="222222"/>
          <w:sz w:val="24"/>
          <w:szCs w:val="24"/>
          <w:shd w:val="clear" w:color="auto" w:fill="FFFFFF"/>
          <w:lang w:val="es-ES"/>
        </w:rPr>
        <w:t xml:space="preserve"> &amp; </w:t>
      </w:r>
      <w:r w:rsidR="007D3DCE" w:rsidRPr="007D3DCE">
        <w:rPr>
          <w:rFonts w:ascii="Times New Roman" w:hAnsi="Times New Roman" w:cs="Times New Roman"/>
          <w:color w:val="222222"/>
          <w:sz w:val="24"/>
          <w:szCs w:val="24"/>
          <w:shd w:val="clear" w:color="auto" w:fill="FFFFFF"/>
          <w:lang w:val="es-ES"/>
        </w:rPr>
        <w:t>Bhat,</w:t>
      </w:r>
      <w:r w:rsidR="007D3DCE">
        <w:rPr>
          <w:rFonts w:ascii="Times New Roman" w:hAnsi="Times New Roman" w:cs="Times New Roman"/>
          <w:color w:val="222222"/>
          <w:sz w:val="24"/>
          <w:szCs w:val="24"/>
          <w:shd w:val="clear" w:color="auto" w:fill="FFFFFF"/>
          <w:lang w:val="es-ES"/>
        </w:rPr>
        <w:t xml:space="preserve"> 2019)</w:t>
      </w:r>
      <w:r w:rsidRPr="00BA4A54">
        <w:rPr>
          <w:rFonts w:ascii="Times New Roman" w:eastAsia="Times New Roman" w:hAnsi="Times New Roman" w:cs="Times New Roman"/>
          <w:sz w:val="24"/>
          <w:szCs w:val="24"/>
        </w:rPr>
        <w:t>. Desde una perspectiva cognitiva, para Castañeda (2021), no es mejor una propuesta educativa sin evaluación sumativa. El sistema ideal de evaluación sería uno en que las evaluaciones sumativa y formativa estuvieran mutuamente alineadas con objetivos de aprendizaje orientados conceptualmente. La posibilidad de recibir una calificación final puede motivar a los estudiantes a esforzarse y dedicar tiempo al estudio y la práctica</w:t>
      </w:r>
      <w:r w:rsidR="00D91B90" w:rsidRPr="00BA4A54">
        <w:rPr>
          <w:rFonts w:ascii="Times New Roman" w:eastAsia="Times New Roman" w:hAnsi="Times New Roman" w:cs="Times New Roman"/>
          <w:sz w:val="24"/>
          <w:szCs w:val="24"/>
        </w:rPr>
        <w:t xml:space="preserve"> (</w:t>
      </w:r>
      <w:r w:rsidR="00D91B90" w:rsidRPr="00BA4A54">
        <w:rPr>
          <w:rFonts w:ascii="Times New Roman" w:hAnsi="Times New Roman" w:cs="Times New Roman"/>
          <w:sz w:val="24"/>
          <w:szCs w:val="24"/>
          <w:lang w:val="es-ES"/>
        </w:rPr>
        <w:t>Ismail et al., 2022).</w:t>
      </w:r>
      <w:r w:rsidRPr="00BA4A54">
        <w:rPr>
          <w:rFonts w:ascii="Times New Roman" w:eastAsia="Times New Roman" w:hAnsi="Times New Roman" w:cs="Times New Roman"/>
          <w:sz w:val="24"/>
          <w:szCs w:val="24"/>
        </w:rPr>
        <w:t xml:space="preserve"> Aunque la evaluación sumativa se enfoca principalmente en el estudiante, también brinda información al personal docente, debido a que ayuda a evaluar la efectividad de su mediación pedagógica (</w:t>
      </w:r>
      <w:r w:rsidR="00A044D1" w:rsidRPr="00BA4A54">
        <w:rPr>
          <w:rFonts w:ascii="Times New Roman" w:hAnsi="Times New Roman" w:cs="Times New Roman"/>
          <w:color w:val="000000"/>
          <w:sz w:val="24"/>
          <w:szCs w:val="24"/>
        </w:rPr>
        <w:t>Alzate-Ortiz &amp; Castañeda-Patiño, 2020</w:t>
      </w:r>
      <w:r w:rsidR="00893A84" w:rsidRPr="00BA4A54">
        <w:rPr>
          <w:rFonts w:ascii="Times New Roman" w:eastAsia="Times New Roman" w:hAnsi="Times New Roman" w:cs="Times New Roman"/>
          <w:sz w:val="24"/>
          <w:szCs w:val="24"/>
        </w:rPr>
        <w:t xml:space="preserve">; </w:t>
      </w:r>
      <w:r w:rsidRPr="00BA4A54">
        <w:rPr>
          <w:rFonts w:ascii="Times New Roman" w:eastAsia="Times New Roman" w:hAnsi="Times New Roman" w:cs="Times New Roman"/>
          <w:sz w:val="24"/>
          <w:szCs w:val="24"/>
        </w:rPr>
        <w:t xml:space="preserve">Castillo </w:t>
      </w:r>
      <w:r w:rsidR="00A044D1" w:rsidRPr="00BA4A54">
        <w:rPr>
          <w:rFonts w:ascii="Times New Roman" w:eastAsia="Times New Roman" w:hAnsi="Times New Roman" w:cs="Times New Roman"/>
          <w:sz w:val="24"/>
          <w:szCs w:val="24"/>
        </w:rPr>
        <w:t>&amp;</w:t>
      </w:r>
      <w:r w:rsidRPr="00BA4A54">
        <w:rPr>
          <w:rFonts w:ascii="Times New Roman" w:eastAsia="Times New Roman" w:hAnsi="Times New Roman" w:cs="Times New Roman"/>
          <w:sz w:val="24"/>
          <w:szCs w:val="24"/>
        </w:rPr>
        <w:t xml:space="preserve"> Castillo, 20</w:t>
      </w:r>
      <w:r w:rsidR="00A044D1" w:rsidRPr="00BA4A54">
        <w:rPr>
          <w:rFonts w:ascii="Times New Roman" w:eastAsia="Times New Roman" w:hAnsi="Times New Roman" w:cs="Times New Roman"/>
          <w:sz w:val="24"/>
          <w:szCs w:val="24"/>
        </w:rPr>
        <w:t>1</w:t>
      </w:r>
      <w:r w:rsidRPr="00BA4A54">
        <w:rPr>
          <w:rFonts w:ascii="Times New Roman" w:eastAsia="Times New Roman" w:hAnsi="Times New Roman" w:cs="Times New Roman"/>
          <w:sz w:val="24"/>
          <w:szCs w:val="24"/>
        </w:rPr>
        <w:t>6</w:t>
      </w:r>
      <w:r w:rsidR="00893A84"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 xml:space="preserve"> y a ajustar su accionar, si es necesario. </w:t>
      </w:r>
    </w:p>
    <w:p w14:paraId="0000022A" w14:textId="7FCC26CD" w:rsidR="00E51D2F" w:rsidRPr="00BA4A54" w:rsidRDefault="00000000">
      <w:pP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Aunque esto haya sido un beneficio al trabajo docente</w:t>
      </w:r>
      <w:r w:rsidR="006A578D"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 xml:space="preserve"> no obstante, las personas participantes en esta investigación evidencian una serie de problemas y expresan su </w:t>
      </w:r>
      <w:r w:rsidRPr="00BA4A54">
        <w:rPr>
          <w:rFonts w:ascii="Times New Roman" w:eastAsia="Times New Roman" w:hAnsi="Times New Roman" w:cs="Times New Roman"/>
          <w:sz w:val="24"/>
          <w:szCs w:val="24"/>
        </w:rPr>
        <w:lastRenderedPageBreak/>
        <w:t xml:space="preserve">insatisfacción, </w:t>
      </w:r>
      <w:r w:rsidR="006A578D" w:rsidRPr="00BA4A54">
        <w:rPr>
          <w:rFonts w:ascii="Times New Roman" w:eastAsia="Times New Roman" w:hAnsi="Times New Roman" w:cs="Times New Roman"/>
          <w:sz w:val="24"/>
          <w:szCs w:val="24"/>
        </w:rPr>
        <w:t xml:space="preserve">en especial, </w:t>
      </w:r>
      <w:r w:rsidRPr="00BA4A54">
        <w:rPr>
          <w:rFonts w:ascii="Times New Roman" w:eastAsia="Times New Roman" w:hAnsi="Times New Roman" w:cs="Times New Roman"/>
          <w:sz w:val="24"/>
          <w:szCs w:val="24"/>
        </w:rPr>
        <w:t>relacionada a los porcentajes establecidos para los diferentes rubros de evaluación. La muestra manifiesta entre los principales cambios que se podrían valorar: 1) revisar los porcentajes que están estipulados por lineamiento para cada uno de los rubros, 2) detallar mejor la estructura de cómo desarrollar el trabajo cotidiano y 3) potenciar los aprendizajes de formas más comprensivas, logrando diversas alternativas más innovadoras para ser desarrolladas desde la mediación pedagógica.</w:t>
      </w:r>
    </w:p>
    <w:p w14:paraId="0000022B" w14:textId="654E0136" w:rsidR="00E51D2F" w:rsidRPr="00BA4A54" w:rsidRDefault="00000000">
      <w:pP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Desde el criterio de l</w:t>
      </w:r>
      <w:r w:rsidR="00454430" w:rsidRPr="00BA4A54">
        <w:rPr>
          <w:rFonts w:ascii="Times New Roman" w:eastAsia="Times New Roman" w:hAnsi="Times New Roman" w:cs="Times New Roman"/>
          <w:sz w:val="24"/>
          <w:szCs w:val="24"/>
        </w:rPr>
        <w:t xml:space="preserve">as personas </w:t>
      </w:r>
      <w:r w:rsidRPr="00BA4A54">
        <w:rPr>
          <w:rFonts w:ascii="Times New Roman" w:eastAsia="Times New Roman" w:hAnsi="Times New Roman" w:cs="Times New Roman"/>
          <w:sz w:val="24"/>
          <w:szCs w:val="24"/>
        </w:rPr>
        <w:t>participantes, el revisar los rubros y porcentajes de evaluación es una necesidad prioritaria. Desde el REA</w:t>
      </w:r>
      <w:r w:rsidR="006A578D"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 xml:space="preserve"> se menciona que todos los componentes de evaluación no deben verse segregados, ya que cada uno “debe aportar información para la toma de decisiones orientada a la mejora progresiva del proceso de construcción de los aprendizajes” (MEP, 2024, p</w:t>
      </w:r>
      <w:r w:rsidR="006A578D"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 xml:space="preserve"> 11). No obstante, la muestra considera que como están actualmente distribuidos, se presta para que las personas estudiantes tengan poco compromiso, esfuerzo y apropiación de los aprendizajes. </w:t>
      </w:r>
      <w:r w:rsidR="004A5B2A" w:rsidRPr="00BA4A54">
        <w:rPr>
          <w:rFonts w:ascii="Times New Roman" w:hAnsi="Times New Roman" w:cs="Times New Roman"/>
          <w:color w:val="0D0D0D"/>
          <w:sz w:val="24"/>
          <w:szCs w:val="24"/>
        </w:rPr>
        <w:t xml:space="preserve">Respecto a la revisión de rubros y porcentajes que actualmente están dispuestos, las personas participantes del estudio consideran que se debería dar mayor peso evaluativo a las pruebas escritas de manera que sean más determinantes para que los estudiantes se esfuercen más. </w:t>
      </w:r>
      <w:r w:rsidR="006A578D" w:rsidRPr="00BA4A54">
        <w:rPr>
          <w:rFonts w:ascii="Times New Roman" w:hAnsi="Times New Roman" w:cs="Times New Roman"/>
          <w:color w:val="0D0D0D"/>
          <w:sz w:val="24"/>
          <w:szCs w:val="24"/>
        </w:rPr>
        <w:t>C</w:t>
      </w:r>
      <w:r w:rsidR="004A5B2A" w:rsidRPr="00BA4A54">
        <w:rPr>
          <w:rFonts w:ascii="Times New Roman" w:hAnsi="Times New Roman" w:cs="Times New Roman"/>
          <w:color w:val="0D0D0D"/>
          <w:sz w:val="24"/>
          <w:szCs w:val="24"/>
        </w:rPr>
        <w:t>onsideran que un 10% en el I ciclo o un 15% en el II ciclo es muy poco para realmente garantizar que los estudiantes mejoren su desempeño.</w:t>
      </w:r>
    </w:p>
    <w:p w14:paraId="0000022C" w14:textId="43BD1EB6" w:rsidR="00E51D2F" w:rsidRPr="00BA4A54" w:rsidRDefault="00000000">
      <w:pP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Actualmente, por lineamiento, el mayor peso evaluativo lo tiene el trabajo cotidiano. Según el REA, el trabajo cotidiano “permite identificar las fortalezas y debilidades con respecto a los aprendizajes en estudio, esto con el propósito de implementar acciones de mejora durante el desarrollo de las estrategias de mediación pedagógica” (MEP, 2024, p 11-12). A pesar de ser considerado como una herramienta de identificación y mejora, opinan que, con solo cumplir las acciones, asignaciones, estrategias o actividades propuestas en el aula por el docente, el estudiantado logra ir puntuando y sumando el porcentaje. Esta insatisfacción es evidente</w:t>
      </w:r>
      <w:r w:rsidR="006A578D" w:rsidRPr="00BA4A54">
        <w:rPr>
          <w:rFonts w:ascii="Times New Roman" w:eastAsia="Times New Roman" w:hAnsi="Times New Roman" w:cs="Times New Roman"/>
          <w:sz w:val="24"/>
          <w:szCs w:val="24"/>
        </w:rPr>
        <w:t xml:space="preserve"> en los resultados,</w:t>
      </w:r>
      <w:r w:rsidRPr="00BA4A54">
        <w:rPr>
          <w:rFonts w:ascii="Times New Roman" w:eastAsia="Times New Roman" w:hAnsi="Times New Roman" w:cs="Times New Roman"/>
          <w:sz w:val="24"/>
          <w:szCs w:val="24"/>
        </w:rPr>
        <w:t xml:space="preserve"> </w:t>
      </w:r>
      <w:r w:rsidR="006A578D" w:rsidRPr="00BA4A54">
        <w:rPr>
          <w:rFonts w:ascii="Times New Roman" w:eastAsia="Times New Roman" w:hAnsi="Times New Roman" w:cs="Times New Roman"/>
          <w:sz w:val="24"/>
          <w:szCs w:val="24"/>
        </w:rPr>
        <w:t xml:space="preserve">debido a que </w:t>
      </w:r>
      <w:r w:rsidRPr="00BA4A54">
        <w:rPr>
          <w:rFonts w:ascii="Times New Roman" w:eastAsia="Times New Roman" w:hAnsi="Times New Roman" w:cs="Times New Roman"/>
          <w:sz w:val="24"/>
          <w:szCs w:val="24"/>
        </w:rPr>
        <w:t>el 60,2% de la muestra</w:t>
      </w:r>
      <w:r w:rsidR="006A578D" w:rsidRPr="00BA4A54">
        <w:rPr>
          <w:rFonts w:ascii="Times New Roman" w:eastAsia="Times New Roman" w:hAnsi="Times New Roman" w:cs="Times New Roman"/>
          <w:sz w:val="24"/>
          <w:szCs w:val="24"/>
        </w:rPr>
        <w:t xml:space="preserve"> </w:t>
      </w:r>
      <w:r w:rsidRPr="00BA4A54">
        <w:rPr>
          <w:rFonts w:ascii="Times New Roman" w:eastAsia="Times New Roman" w:hAnsi="Times New Roman" w:cs="Times New Roman"/>
          <w:sz w:val="24"/>
          <w:szCs w:val="24"/>
        </w:rPr>
        <w:t>consideran que este valor se debería mantener entre el 40% y 50%</w:t>
      </w:r>
      <w:r w:rsidR="006A578D" w:rsidRPr="00BA4A54">
        <w:rPr>
          <w:rFonts w:ascii="Times New Roman" w:eastAsia="Times New Roman" w:hAnsi="Times New Roman" w:cs="Times New Roman"/>
          <w:sz w:val="24"/>
          <w:szCs w:val="24"/>
        </w:rPr>
        <w:t xml:space="preserve">, </w:t>
      </w:r>
      <w:r w:rsidRPr="00BA4A54">
        <w:rPr>
          <w:rFonts w:ascii="Times New Roman" w:eastAsia="Times New Roman" w:hAnsi="Times New Roman" w:cs="Times New Roman"/>
          <w:sz w:val="24"/>
          <w:szCs w:val="24"/>
        </w:rPr>
        <w:t>mientras que un 21.1% de las personas docentes mencionaron que el valor podría ser de 30%, y la minoría</w:t>
      </w:r>
      <w:r w:rsidR="006A578D" w:rsidRPr="00BA4A54">
        <w:rPr>
          <w:rFonts w:ascii="Times New Roman" w:eastAsia="Times New Roman" w:hAnsi="Times New Roman" w:cs="Times New Roman"/>
          <w:sz w:val="24"/>
          <w:szCs w:val="24"/>
        </w:rPr>
        <w:t xml:space="preserve"> (</w:t>
      </w:r>
      <w:r w:rsidRPr="00BA4A54">
        <w:rPr>
          <w:rFonts w:ascii="Times New Roman" w:eastAsia="Times New Roman" w:hAnsi="Times New Roman" w:cs="Times New Roman"/>
          <w:sz w:val="24"/>
          <w:szCs w:val="24"/>
        </w:rPr>
        <w:t>7,8%</w:t>
      </w:r>
      <w:r w:rsidR="006A578D"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 xml:space="preserve"> que el valor se mantenga en los 60%</w:t>
      </w:r>
      <w:r w:rsidR="006A578D" w:rsidRPr="00BA4A54">
        <w:rPr>
          <w:rFonts w:ascii="Times New Roman" w:eastAsia="Times New Roman" w:hAnsi="Times New Roman" w:cs="Times New Roman"/>
          <w:sz w:val="24"/>
          <w:szCs w:val="24"/>
        </w:rPr>
        <w:t xml:space="preserve">, </w:t>
      </w:r>
      <w:r w:rsidRPr="00BA4A54">
        <w:rPr>
          <w:rFonts w:ascii="Times New Roman" w:eastAsia="Times New Roman" w:hAnsi="Times New Roman" w:cs="Times New Roman"/>
          <w:sz w:val="24"/>
          <w:szCs w:val="24"/>
        </w:rPr>
        <w:t xml:space="preserve">porcentaje que actualmente está establecido.  </w:t>
      </w:r>
    </w:p>
    <w:p w14:paraId="667C156E" w14:textId="5D847D8A" w:rsidR="00454430" w:rsidRPr="00BA4A54" w:rsidRDefault="00000000" w:rsidP="00454430">
      <w:pP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 xml:space="preserve">Además de considerar que el rubro de trabajo cotidiano causa insatisfacción desde el porcentaje asignado, las personas docentes también expresan </w:t>
      </w:r>
      <w:r w:rsidR="006A578D" w:rsidRPr="00BA4A54">
        <w:rPr>
          <w:rFonts w:ascii="Times New Roman" w:eastAsia="Times New Roman" w:hAnsi="Times New Roman" w:cs="Times New Roman"/>
          <w:sz w:val="24"/>
          <w:szCs w:val="24"/>
        </w:rPr>
        <w:t xml:space="preserve">la poca </w:t>
      </w:r>
      <w:r w:rsidR="00454430" w:rsidRPr="00BA4A54">
        <w:rPr>
          <w:rFonts w:ascii="Times New Roman" w:eastAsia="Times New Roman" w:hAnsi="Times New Roman" w:cs="Times New Roman"/>
          <w:sz w:val="24"/>
          <w:szCs w:val="24"/>
        </w:rPr>
        <w:t xml:space="preserve">claridad sobre la forma </w:t>
      </w:r>
      <w:r w:rsidR="00454430" w:rsidRPr="00BA4A54">
        <w:rPr>
          <w:rFonts w:ascii="Times New Roman" w:eastAsia="Times New Roman" w:hAnsi="Times New Roman" w:cs="Times New Roman"/>
          <w:sz w:val="24"/>
          <w:szCs w:val="24"/>
        </w:rPr>
        <w:lastRenderedPageBreak/>
        <w:t xml:space="preserve">en que se califica el componente de trabajo cotidiano, </w:t>
      </w:r>
      <w:r w:rsidR="006A578D" w:rsidRPr="00BA4A54">
        <w:rPr>
          <w:rFonts w:ascii="Times New Roman" w:eastAsia="Times New Roman" w:hAnsi="Times New Roman" w:cs="Times New Roman"/>
          <w:sz w:val="24"/>
          <w:szCs w:val="24"/>
        </w:rPr>
        <w:t xml:space="preserve">resultado semejante al encontrado </w:t>
      </w:r>
      <w:r w:rsidR="00454430" w:rsidRPr="00BA4A54">
        <w:rPr>
          <w:rFonts w:ascii="Times New Roman" w:eastAsia="Times New Roman" w:hAnsi="Times New Roman" w:cs="Times New Roman"/>
          <w:sz w:val="24"/>
          <w:szCs w:val="24"/>
        </w:rPr>
        <w:t xml:space="preserve">por Segura Castillo (2017). </w:t>
      </w:r>
      <w:r w:rsidRPr="00BA4A54">
        <w:rPr>
          <w:rFonts w:ascii="Times New Roman" w:eastAsia="Times New Roman" w:hAnsi="Times New Roman" w:cs="Times New Roman"/>
          <w:sz w:val="24"/>
          <w:szCs w:val="24"/>
        </w:rPr>
        <w:t xml:space="preserve">Al no existir una estructura unificada por lineamiento MEP de cómo evaluarlo, así como una rúbrica de criterios evaluativos unificada por nivel, cada docente tiene la potestad de subdividir el 60% o 50% de este rubro según la mediación, las necesidades y la realidad del contexto. Sin una guía u orientación de las experiencias planteadas, algunas personas docentes opinan que existe la posibilidad de implementar estrategias diferentes en un mismo centro educativo y que algunas de ellas pueden ser poco efectivas para el proceso de aprendizaje. De igual forma, las rúbricas de sistematización de dicho porcentaje pueden ser diversas. </w:t>
      </w:r>
    </w:p>
    <w:p w14:paraId="0000022E" w14:textId="34169653" w:rsidR="00E51D2F" w:rsidRPr="00BA4A54" w:rsidRDefault="00000000">
      <w:pP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En lo que concierne a esta cuestión, es interesante pensar en la posibilidad que el MEP abrió a las personas docentes de que puedan organizarse con los porcentajes de trabajo cotidiano y esto lo vean como un problema, más que una solución que podrían administrar ellos mismos en su quehacer. La evaluación del trabajo cotidiano debe ser competencia del docente de aula, pues le permite determinar el proceso de avance y logro que tiene cada estudiante con respecto a los objetivos y contenidos que se desarrollaron dentro del plan de estudios que propone el M</w:t>
      </w:r>
      <w:r w:rsidR="00454430" w:rsidRPr="00BA4A54">
        <w:rPr>
          <w:rFonts w:ascii="Times New Roman" w:eastAsia="Times New Roman" w:hAnsi="Times New Roman" w:cs="Times New Roman"/>
          <w:sz w:val="24"/>
          <w:szCs w:val="24"/>
        </w:rPr>
        <w:t>EP</w:t>
      </w:r>
      <w:r w:rsidRPr="00BA4A54">
        <w:rPr>
          <w:rFonts w:ascii="Times New Roman" w:eastAsia="Times New Roman" w:hAnsi="Times New Roman" w:cs="Times New Roman"/>
          <w:sz w:val="24"/>
          <w:szCs w:val="24"/>
        </w:rPr>
        <w:t xml:space="preserve"> en los diferentes niveles. Sin embargo, esta evaluación no debe convertirse en una tarea ardua del docente, sino que debe verse dinamizada por las acciones o instrumentos que utilice para llevar a cabo esta función del quehacer del profesional en educación </w:t>
      </w:r>
      <w:sdt>
        <w:sdtPr>
          <w:rPr>
            <w:rFonts w:ascii="Times New Roman" w:hAnsi="Times New Roman" w:cs="Times New Roman"/>
            <w:sz w:val="24"/>
            <w:szCs w:val="24"/>
          </w:rPr>
          <w:tag w:val="goog_rdk_9"/>
          <w:id w:val="1726257734"/>
        </w:sdtPr>
        <w:sdtContent/>
      </w:sdt>
      <w:r w:rsidRPr="00BA4A54">
        <w:rPr>
          <w:rFonts w:ascii="Times New Roman" w:eastAsia="Times New Roman" w:hAnsi="Times New Roman" w:cs="Times New Roman"/>
          <w:sz w:val="24"/>
          <w:szCs w:val="24"/>
        </w:rPr>
        <w:t>(Soto Calderón, 2001). Por lo tanto, se requiere un trabajo conjunto entre docentes y las escuelas, que podrían organizarse para elaborar enunciados o criterios más específicos y adaptados a las necesidades e intereses de cómo evaluar el trabajo cotidiano en cada contexto educativo, permitiendo también la expresión de la autonomía y la creatividad del cuerpo docente.</w:t>
      </w:r>
    </w:p>
    <w:p w14:paraId="3342E244" w14:textId="775B5FF8" w:rsidR="006E7A4D" w:rsidRPr="00BA4A54" w:rsidRDefault="00000000">
      <w:pPr>
        <w:spacing w:after="0" w:line="360" w:lineRule="auto"/>
        <w:ind w:firstLine="708"/>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sz w:val="24"/>
          <w:szCs w:val="24"/>
        </w:rPr>
        <w:t xml:space="preserve">Desde los ajustes al sistema, </w:t>
      </w:r>
      <w:r w:rsidR="006E7A4D" w:rsidRPr="00BA4A54">
        <w:rPr>
          <w:rFonts w:ascii="Times New Roman" w:eastAsia="Times New Roman" w:hAnsi="Times New Roman" w:cs="Times New Roman"/>
          <w:color w:val="0D0D0D"/>
          <w:sz w:val="24"/>
          <w:szCs w:val="24"/>
        </w:rPr>
        <w:t>los docentes opinaron que se debe potenciar los aprendizajes de formas más comprensivas, dando al estudiante otras oportunidades de construir que los lleve al análisis, criticidad y reflexión. Por lo tanto, proponen fomentar la aplicación de conocimientos de manera formativa, promoviendo la evaluación continua y progresiva desde estrategias como talleres, proyectos de investigación, trabajos extraclase, la construcción conjunta, exposiciones, conversatorios, entre otros que ayuden a mantener un aprendizaje real y perdurable que les devuelva el sentido y la emoción a los estudiantes.</w:t>
      </w:r>
    </w:p>
    <w:p w14:paraId="176D96FC" w14:textId="77777777" w:rsidR="006E7A4D" w:rsidRPr="00BA4A54" w:rsidRDefault="006E7A4D" w:rsidP="006E7A4D">
      <w:pP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lastRenderedPageBreak/>
        <w:t>El aprendizaje comprensivo incluye diferentes dimensiones: 1) la dimensión cognitiva del conocimiento y las habilidades, 2) la dimensión emocional de los sentimientos y la motivación, y 3) la dimensión social de la comunicación y la cooperación, todas las cuales están insertas en un contexto socialmente situado (Illeris, 2003). El aprendizaje incluye un proceso de interacción externa entre el estudiante y su entorno social, cultural y material, y un proceso psicológico interno de adquisición y elaboración en el que nuevos impulsos se conectan con los resultados del aprendizaje previo</w:t>
      </w:r>
      <w:sdt>
        <w:sdtPr>
          <w:rPr>
            <w:rFonts w:ascii="Times New Roman" w:hAnsi="Times New Roman" w:cs="Times New Roman"/>
            <w:sz w:val="24"/>
            <w:szCs w:val="24"/>
          </w:rPr>
          <w:tag w:val="goog_rdk_10"/>
          <w:id w:val="-1904673933"/>
        </w:sdtPr>
        <w:sdtContent/>
      </w:sdt>
      <w:r w:rsidRPr="00BA4A54">
        <w:rPr>
          <w:rFonts w:ascii="Times New Roman" w:eastAsia="Times New Roman" w:hAnsi="Times New Roman" w:cs="Times New Roman"/>
          <w:sz w:val="24"/>
          <w:szCs w:val="24"/>
        </w:rPr>
        <w:t xml:space="preserve"> (Illeris, 2003).  </w:t>
      </w:r>
    </w:p>
    <w:p w14:paraId="2F2AC8FE" w14:textId="77777777" w:rsidR="006E7A4D" w:rsidRPr="00BA4A54" w:rsidRDefault="006E7A4D">
      <w:pPr>
        <w:spacing w:after="0" w:line="360" w:lineRule="auto"/>
        <w:ind w:firstLine="708"/>
        <w:jc w:val="both"/>
        <w:rPr>
          <w:rFonts w:ascii="Times New Roman" w:eastAsia="Times New Roman" w:hAnsi="Times New Roman" w:cs="Times New Roman"/>
          <w:sz w:val="24"/>
          <w:szCs w:val="24"/>
        </w:rPr>
      </w:pPr>
    </w:p>
    <w:p w14:paraId="00000230" w14:textId="77777777" w:rsidR="00E51D2F" w:rsidRPr="00BA4A54" w:rsidRDefault="00000000">
      <w:pPr>
        <w:spacing w:after="0" w:line="360" w:lineRule="auto"/>
        <w:ind w:firstLine="708"/>
        <w:jc w:val="both"/>
        <w:rPr>
          <w:rFonts w:ascii="Times New Roman" w:eastAsia="Times New Roman" w:hAnsi="Times New Roman" w:cs="Times New Roman"/>
          <w:color w:val="0D0D0D"/>
          <w:sz w:val="24"/>
          <w:szCs w:val="24"/>
        </w:rPr>
      </w:pPr>
      <w:r w:rsidRPr="00BA4A54">
        <w:rPr>
          <w:rFonts w:ascii="Times New Roman" w:eastAsia="Times New Roman" w:hAnsi="Times New Roman" w:cs="Times New Roman"/>
          <w:color w:val="0D0D0D"/>
          <w:sz w:val="24"/>
          <w:szCs w:val="24"/>
        </w:rPr>
        <w:t>La práctica evaluativa que se debe desarrollar con el estudiante implica evidenciar la coherencia entre el conocer, el hacer y el ser de cada aprendizaje en estudio, conducido en un ambiente participativo que brinde el derecho a indagar, al error, al gusto, al riesgo y a la alegría de aprehender o hacer propio el mundo para transformarlo, desde sus características y potencialidades (MEP 2024, p. 9). La valoración de los componentes de la calificación en el proceso de mediación pedagógica implica repensar la práctica evaluativa a partir de sus propósitos. De esta manera, el trabajo cotidiano, las tareas, las pruebas, la asistencia, los proyectos, la demostración de lo aprendido y los portafolios de evidencias, todos ellos juntos brindan insumos para que, a partir de sus análisis, tanto la persona docente como el estudiantado, reflexionen en torno a los aprendizajes construidos y en aquellos que requieren mejora progresiva. La persona docente, de acuerdo con el análisis de información, debe lograr fundamentar la toma de decisiones para implementar estrategias de realimentación y reorientación de los procedimientos de mediación pedagógica para el desarrollo y la comprensión de los aprendizajes en estudio o continuar con nuevos aprendizajes.</w:t>
      </w:r>
    </w:p>
    <w:p w14:paraId="00000233" w14:textId="5719FC6E" w:rsidR="00E51D2F" w:rsidRPr="00BA4A54" w:rsidRDefault="00000000">
      <w:pPr>
        <w:spacing w:after="0" w:line="360" w:lineRule="auto"/>
        <w:ind w:firstLine="708"/>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 xml:space="preserve">Desde este estudio se logró reconocer las opiniones del personal docente sobre los cambios recientes en el </w:t>
      </w:r>
      <w:r w:rsidR="00454430" w:rsidRPr="00BA4A54">
        <w:rPr>
          <w:rFonts w:ascii="Times New Roman" w:eastAsia="Times New Roman" w:hAnsi="Times New Roman" w:cs="Times New Roman"/>
          <w:sz w:val="24"/>
          <w:szCs w:val="24"/>
        </w:rPr>
        <w:t>modelo d</w:t>
      </w:r>
      <w:r w:rsidRPr="00BA4A54">
        <w:rPr>
          <w:rFonts w:ascii="Times New Roman" w:eastAsia="Times New Roman" w:hAnsi="Times New Roman" w:cs="Times New Roman"/>
          <w:sz w:val="24"/>
          <w:szCs w:val="24"/>
        </w:rPr>
        <w:t>e evaluación de los aprendizajes, tanto desde la micro como la macroevaluación. El sistema educativo establece normas a nivel nacional que se deben acatar en cada centro educativo del país</w:t>
      </w:r>
      <w:r w:rsidR="00454430"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 xml:space="preserve"> sin embargo, l</w:t>
      </w:r>
      <w:r w:rsidR="00454430" w:rsidRPr="00BA4A54">
        <w:rPr>
          <w:rFonts w:ascii="Times New Roman" w:eastAsia="Times New Roman" w:hAnsi="Times New Roman" w:cs="Times New Roman"/>
          <w:sz w:val="24"/>
          <w:szCs w:val="24"/>
        </w:rPr>
        <w:t>as personas</w:t>
      </w:r>
      <w:r w:rsidRPr="00BA4A54">
        <w:rPr>
          <w:rFonts w:ascii="Times New Roman" w:eastAsia="Times New Roman" w:hAnsi="Times New Roman" w:cs="Times New Roman"/>
          <w:sz w:val="24"/>
          <w:szCs w:val="24"/>
        </w:rPr>
        <w:t xml:space="preserve"> docentes manifiestan poca contextualización según la realidad de las regiones. Los lineamientos impuestos deben regir el accionar pedagógico, pero se deja de lado las necesidades que se viven en los centros educativos desde la diversidad de las modalidades. </w:t>
      </w:r>
      <w:r w:rsidR="00454430" w:rsidRPr="00BA4A54">
        <w:rPr>
          <w:rFonts w:ascii="Times New Roman" w:eastAsia="Times New Roman" w:hAnsi="Times New Roman" w:cs="Times New Roman"/>
          <w:sz w:val="24"/>
          <w:szCs w:val="24"/>
        </w:rPr>
        <w:t xml:space="preserve">Como se puede evidenciar, no todos </w:t>
      </w:r>
      <w:r w:rsidRPr="00BA4A54">
        <w:rPr>
          <w:rFonts w:ascii="Times New Roman" w:eastAsia="Times New Roman" w:hAnsi="Times New Roman" w:cs="Times New Roman"/>
          <w:sz w:val="24"/>
          <w:szCs w:val="24"/>
        </w:rPr>
        <w:t>cuentan con las condiciones idóneas para el cumplimento de la norma como tal</w:t>
      </w:r>
      <w:r w:rsidR="00454430" w:rsidRPr="00BA4A54">
        <w:rPr>
          <w:rFonts w:ascii="Times New Roman" w:eastAsia="Times New Roman" w:hAnsi="Times New Roman" w:cs="Times New Roman"/>
          <w:sz w:val="24"/>
          <w:szCs w:val="24"/>
        </w:rPr>
        <w:t xml:space="preserve">. En este sentido, son también evidentes las brechas en el aprendizaje que se han incrementado a lo </w:t>
      </w:r>
      <w:r w:rsidR="00454430" w:rsidRPr="00BA4A54">
        <w:rPr>
          <w:rFonts w:ascii="Times New Roman" w:eastAsia="Times New Roman" w:hAnsi="Times New Roman" w:cs="Times New Roman"/>
          <w:sz w:val="24"/>
          <w:szCs w:val="24"/>
        </w:rPr>
        <w:lastRenderedPageBreak/>
        <w:t>largo de los años, siendo que, actualmente, la macroevaluación hace aún más marcada la diferencia. A partir de los resultados encontrados, e</w:t>
      </w:r>
      <w:r w:rsidRPr="00BA4A54">
        <w:rPr>
          <w:rFonts w:ascii="Times New Roman" w:eastAsia="Times New Roman" w:hAnsi="Times New Roman" w:cs="Times New Roman"/>
          <w:sz w:val="24"/>
          <w:szCs w:val="24"/>
        </w:rPr>
        <w:t>l presente estudio</w:t>
      </w:r>
      <w:r w:rsidRPr="00BA4A54">
        <w:rPr>
          <w:rFonts w:ascii="Times New Roman" w:eastAsia="Times New Roman" w:hAnsi="Times New Roman" w:cs="Times New Roman"/>
          <w:color w:val="0070C0"/>
          <w:sz w:val="24"/>
          <w:szCs w:val="24"/>
        </w:rPr>
        <w:t xml:space="preserve"> </w:t>
      </w:r>
      <w:r w:rsidRPr="00BA4A54">
        <w:rPr>
          <w:rFonts w:ascii="Times New Roman" w:eastAsia="Times New Roman" w:hAnsi="Times New Roman" w:cs="Times New Roman"/>
          <w:sz w:val="24"/>
          <w:szCs w:val="24"/>
        </w:rPr>
        <w:t>permitió identificar la implementación del modelo de evaluación en la práctica pedagógica del personal docente</w:t>
      </w:r>
      <w:r w:rsidR="00454430" w:rsidRPr="00BA4A54">
        <w:rPr>
          <w:rFonts w:ascii="Times New Roman" w:eastAsia="Times New Roman" w:hAnsi="Times New Roman" w:cs="Times New Roman"/>
          <w:sz w:val="24"/>
          <w:szCs w:val="24"/>
        </w:rPr>
        <w:t xml:space="preserve"> de I y II ciclo de le Educación Básica General</w:t>
      </w:r>
      <w:r w:rsidRPr="00BA4A54">
        <w:rPr>
          <w:rFonts w:ascii="Times New Roman" w:eastAsia="Times New Roman" w:hAnsi="Times New Roman" w:cs="Times New Roman"/>
          <w:sz w:val="24"/>
          <w:szCs w:val="24"/>
        </w:rPr>
        <w:t>, según las orientaciones y lineamientos dispuestos por el MEP</w:t>
      </w:r>
      <w:r w:rsidR="00454430" w:rsidRPr="00BA4A54">
        <w:rPr>
          <w:rFonts w:ascii="Times New Roman" w:eastAsia="Times New Roman" w:hAnsi="Times New Roman" w:cs="Times New Roman"/>
          <w:sz w:val="24"/>
          <w:szCs w:val="24"/>
        </w:rPr>
        <w:t xml:space="preserve">. Además, se logró </w:t>
      </w:r>
      <w:r w:rsidRPr="00BA4A54">
        <w:rPr>
          <w:rFonts w:ascii="Times New Roman" w:eastAsia="Times New Roman" w:hAnsi="Times New Roman" w:cs="Times New Roman"/>
          <w:sz w:val="24"/>
          <w:szCs w:val="24"/>
        </w:rPr>
        <w:t>determinar las bondades y problemáticas del modelo de evaluación vigente en función de buenas prácticas de evaluación de los aprendizajes para construir recomendaciones que orienten a una mejora de los procesos de evaluación en el sistema educativo.</w:t>
      </w:r>
    </w:p>
    <w:p w14:paraId="00000234" w14:textId="77777777" w:rsidR="00E51D2F" w:rsidRPr="00BA4A54" w:rsidRDefault="00E51D2F">
      <w:pPr>
        <w:ind w:firstLine="720"/>
        <w:rPr>
          <w:rFonts w:ascii="Times New Roman" w:eastAsia="Times New Roman" w:hAnsi="Times New Roman" w:cs="Times New Roman"/>
          <w:sz w:val="24"/>
          <w:szCs w:val="24"/>
        </w:rPr>
      </w:pPr>
    </w:p>
    <w:p w14:paraId="00000235" w14:textId="77777777" w:rsidR="00E51D2F" w:rsidRPr="00BA4A54" w:rsidRDefault="00000000" w:rsidP="00000141">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sidRPr="00BA4A54">
        <w:rPr>
          <w:rFonts w:ascii="Times New Roman" w:eastAsia="Times New Roman" w:hAnsi="Times New Roman" w:cs="Times New Roman"/>
          <w:b/>
          <w:color w:val="000000"/>
          <w:sz w:val="24"/>
          <w:szCs w:val="24"/>
        </w:rPr>
        <w:t xml:space="preserve">Referencias Bibliográficas </w:t>
      </w:r>
    </w:p>
    <w:p w14:paraId="12402716" w14:textId="77777777" w:rsidR="00D91B90" w:rsidRPr="00BA4A54" w:rsidRDefault="00000000" w:rsidP="00D91B90">
      <w:pPr>
        <w:pBdr>
          <w:top w:val="nil"/>
          <w:left w:val="nil"/>
          <w:bottom w:val="nil"/>
          <w:right w:val="nil"/>
          <w:between w:val="nil"/>
        </w:pBdr>
        <w:spacing w:after="0" w:line="360" w:lineRule="auto"/>
        <w:ind w:left="284" w:hanging="284"/>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 xml:space="preserve">Ahumada, A. P. (2001). </w:t>
      </w:r>
      <w:r w:rsidRPr="00BA4A54">
        <w:rPr>
          <w:rFonts w:ascii="Times New Roman" w:eastAsia="Times New Roman" w:hAnsi="Times New Roman" w:cs="Times New Roman"/>
          <w:i/>
          <w:sz w:val="24"/>
          <w:szCs w:val="24"/>
        </w:rPr>
        <w:t>La evaluación en una concepción de aprendizaje significativ</w:t>
      </w:r>
      <w:r w:rsidRPr="00BA4A54">
        <w:rPr>
          <w:rFonts w:ascii="Times New Roman" w:eastAsia="Times New Roman" w:hAnsi="Times New Roman" w:cs="Times New Roman"/>
          <w:sz w:val="24"/>
          <w:szCs w:val="24"/>
        </w:rPr>
        <w:t xml:space="preserve">o. Ediciones Universitarias de Valparaíso. </w:t>
      </w:r>
    </w:p>
    <w:p w14:paraId="1335C66B" w14:textId="4BA19E3B" w:rsidR="00A044D1" w:rsidRPr="00BA4A54" w:rsidRDefault="00A044D1" w:rsidP="00D91B90">
      <w:pPr>
        <w:pBdr>
          <w:top w:val="nil"/>
          <w:left w:val="nil"/>
          <w:bottom w:val="nil"/>
          <w:right w:val="nil"/>
          <w:between w:val="nil"/>
        </w:pBdr>
        <w:spacing w:after="0" w:line="360" w:lineRule="auto"/>
        <w:ind w:left="284" w:hanging="284"/>
        <w:jc w:val="both"/>
        <w:rPr>
          <w:rFonts w:ascii="Times New Roman" w:hAnsi="Times New Roman" w:cs="Times New Roman"/>
          <w:sz w:val="24"/>
          <w:szCs w:val="24"/>
        </w:rPr>
      </w:pPr>
      <w:r w:rsidRPr="00BA4A54">
        <w:rPr>
          <w:rFonts w:ascii="Times New Roman" w:hAnsi="Times New Roman" w:cs="Times New Roman"/>
          <w:color w:val="000000"/>
          <w:sz w:val="24"/>
          <w:szCs w:val="24"/>
        </w:rPr>
        <w:t>Alzate-Ortiz, F. A., &amp; Castañeda-Patiño, J. C. (2020). Mediación pedagógica: Clave de una educación humanizante y transformadora. Una mirada desde la estética y la comunicación. </w:t>
      </w:r>
      <w:r w:rsidRPr="00BA4A54">
        <w:rPr>
          <w:rFonts w:ascii="Times New Roman" w:hAnsi="Times New Roman" w:cs="Times New Roman"/>
          <w:i/>
          <w:iCs/>
          <w:color w:val="000000"/>
          <w:sz w:val="24"/>
          <w:szCs w:val="24"/>
        </w:rPr>
        <w:t>Revista Electrónica Educare</w:t>
      </w:r>
      <w:r w:rsidRPr="00BA4A54">
        <w:rPr>
          <w:rFonts w:ascii="Times New Roman" w:hAnsi="Times New Roman" w:cs="Times New Roman"/>
          <w:color w:val="000000"/>
          <w:sz w:val="24"/>
          <w:szCs w:val="24"/>
        </w:rPr>
        <w:t>, </w:t>
      </w:r>
      <w:r w:rsidRPr="00BA4A54">
        <w:rPr>
          <w:rFonts w:ascii="Times New Roman" w:hAnsi="Times New Roman" w:cs="Times New Roman"/>
          <w:i/>
          <w:iCs/>
          <w:color w:val="000000"/>
          <w:sz w:val="24"/>
          <w:szCs w:val="24"/>
        </w:rPr>
        <w:t>24</w:t>
      </w:r>
      <w:r w:rsidRPr="00BA4A54">
        <w:rPr>
          <w:rFonts w:ascii="Times New Roman" w:hAnsi="Times New Roman" w:cs="Times New Roman"/>
          <w:color w:val="000000"/>
          <w:sz w:val="24"/>
          <w:szCs w:val="24"/>
        </w:rPr>
        <w:t xml:space="preserve">(1), 411-424. </w:t>
      </w:r>
      <w:hyperlink r:id="rId10" w:history="1">
        <w:r w:rsidRPr="00BA4A54">
          <w:rPr>
            <w:rStyle w:val="Hyperlink"/>
            <w:rFonts w:ascii="Times New Roman" w:hAnsi="Times New Roman" w:cs="Times New Roman"/>
            <w:color w:val="555555"/>
            <w:sz w:val="24"/>
            <w:szCs w:val="24"/>
          </w:rPr>
          <w:t>https://dx.doi.org/10.15359/ree.24-1.21</w:t>
        </w:r>
      </w:hyperlink>
    </w:p>
    <w:p w14:paraId="151A7308" w14:textId="17D107DE" w:rsidR="00017564" w:rsidRPr="00BA4A54" w:rsidRDefault="00017564" w:rsidP="004D0F54">
      <w:pPr>
        <w:spacing w:after="0" w:line="360" w:lineRule="auto"/>
        <w:ind w:left="284" w:hanging="284"/>
        <w:jc w:val="both"/>
        <w:rPr>
          <w:rFonts w:ascii="Times New Roman" w:hAnsi="Times New Roman" w:cs="Times New Roman"/>
          <w:color w:val="222222"/>
          <w:sz w:val="24"/>
          <w:szCs w:val="24"/>
          <w:shd w:val="clear" w:color="auto" w:fill="FFFFFF"/>
          <w:lang w:val="en-US"/>
        </w:rPr>
      </w:pPr>
      <w:r w:rsidRPr="00BA4A54">
        <w:rPr>
          <w:rFonts w:ascii="Times New Roman" w:hAnsi="Times New Roman" w:cs="Times New Roman"/>
          <w:color w:val="222222"/>
          <w:sz w:val="24"/>
          <w:szCs w:val="24"/>
          <w:shd w:val="clear" w:color="auto" w:fill="FFFFFF"/>
          <w:lang w:val="en-US"/>
        </w:rPr>
        <w:t>Bhat, B. A., &amp; Bhat, G. J. (2019). Formative and summative evaluation techniques for improvement of learning process. </w:t>
      </w:r>
      <w:r w:rsidRPr="00BA4A54">
        <w:rPr>
          <w:rFonts w:ascii="Times New Roman" w:hAnsi="Times New Roman" w:cs="Times New Roman"/>
          <w:i/>
          <w:iCs/>
          <w:color w:val="222222"/>
          <w:sz w:val="24"/>
          <w:szCs w:val="24"/>
          <w:shd w:val="clear" w:color="auto" w:fill="FFFFFF"/>
          <w:lang w:val="en-US"/>
        </w:rPr>
        <w:t>European Journal of Business &amp; Social Sciences</w:t>
      </w:r>
      <w:r w:rsidRPr="00BA4A54">
        <w:rPr>
          <w:rFonts w:ascii="Times New Roman" w:hAnsi="Times New Roman" w:cs="Times New Roman"/>
          <w:color w:val="222222"/>
          <w:sz w:val="24"/>
          <w:szCs w:val="24"/>
          <w:shd w:val="clear" w:color="auto" w:fill="FFFFFF"/>
          <w:lang w:val="en-US"/>
        </w:rPr>
        <w:t>, </w:t>
      </w:r>
      <w:r w:rsidRPr="00BA4A54">
        <w:rPr>
          <w:rFonts w:ascii="Times New Roman" w:hAnsi="Times New Roman" w:cs="Times New Roman"/>
          <w:i/>
          <w:iCs/>
          <w:color w:val="222222"/>
          <w:sz w:val="24"/>
          <w:szCs w:val="24"/>
          <w:shd w:val="clear" w:color="auto" w:fill="FFFFFF"/>
          <w:lang w:val="en-US"/>
        </w:rPr>
        <w:t>7</w:t>
      </w:r>
      <w:r w:rsidRPr="00BA4A54">
        <w:rPr>
          <w:rFonts w:ascii="Times New Roman" w:hAnsi="Times New Roman" w:cs="Times New Roman"/>
          <w:color w:val="222222"/>
          <w:sz w:val="24"/>
          <w:szCs w:val="24"/>
          <w:shd w:val="clear" w:color="auto" w:fill="FFFFFF"/>
          <w:lang w:val="en-US"/>
        </w:rPr>
        <w:t>(5), 776-785.</w:t>
      </w:r>
    </w:p>
    <w:p w14:paraId="29BF0FEB" w14:textId="0FA8EFCD" w:rsidR="00A044D1" w:rsidRPr="00BA4A54" w:rsidRDefault="00A044D1" w:rsidP="004D0F54">
      <w:pPr>
        <w:spacing w:after="0" w:line="360" w:lineRule="auto"/>
        <w:ind w:left="284" w:hanging="284"/>
        <w:jc w:val="both"/>
        <w:rPr>
          <w:rFonts w:ascii="Times New Roman" w:eastAsia="Times New Roman" w:hAnsi="Times New Roman" w:cs="Times New Roman"/>
          <w:sz w:val="24"/>
          <w:szCs w:val="24"/>
        </w:rPr>
      </w:pPr>
      <w:r w:rsidRPr="00BA4A54">
        <w:rPr>
          <w:rFonts w:ascii="Times New Roman" w:hAnsi="Times New Roman" w:cs="Times New Roman"/>
          <w:color w:val="111111"/>
          <w:sz w:val="24"/>
          <w:szCs w:val="24"/>
          <w:shd w:val="clear" w:color="auto" w:fill="FBFBF3"/>
        </w:rPr>
        <w:t>Baque-Reyes, G., &amp; Portilla-Faican, G. (2021). El aprendizaje significativo como estrategia didáctica para la enseñanza – aprendizaje. </w:t>
      </w:r>
      <w:r w:rsidRPr="00BA4A54">
        <w:rPr>
          <w:rStyle w:val="nfase"/>
          <w:rFonts w:ascii="Times New Roman" w:hAnsi="Times New Roman" w:cs="Times New Roman"/>
          <w:color w:val="111111"/>
          <w:sz w:val="24"/>
          <w:szCs w:val="24"/>
          <w:shd w:val="clear" w:color="auto" w:fill="FBFBF3"/>
        </w:rPr>
        <w:t>Polo del Conocimiento, 6</w:t>
      </w:r>
      <w:r w:rsidRPr="00BA4A54">
        <w:rPr>
          <w:rFonts w:ascii="Times New Roman" w:hAnsi="Times New Roman" w:cs="Times New Roman"/>
          <w:color w:val="111111"/>
          <w:sz w:val="24"/>
          <w:szCs w:val="24"/>
          <w:shd w:val="clear" w:color="auto" w:fill="FBFBF3"/>
        </w:rPr>
        <w:t xml:space="preserve">(5), 75-86. </w:t>
      </w:r>
      <w:hyperlink r:id="rId11" w:history="1">
        <w:r w:rsidRPr="00BA4A54">
          <w:rPr>
            <w:rStyle w:val="Hyperlink"/>
            <w:rFonts w:ascii="Times New Roman" w:hAnsi="Times New Roman" w:cs="Times New Roman"/>
            <w:sz w:val="24"/>
            <w:szCs w:val="24"/>
            <w:shd w:val="clear" w:color="auto" w:fill="FBFBF3"/>
          </w:rPr>
          <w:t>https://doi.org/10.23857/pc.v6i5.2632</w:t>
        </w:r>
      </w:hyperlink>
    </w:p>
    <w:p w14:paraId="3FB9D8FD" w14:textId="2D0103E0" w:rsidR="00893A84" w:rsidRPr="00BA4A54" w:rsidRDefault="00000000" w:rsidP="004D0F54">
      <w:pPr>
        <w:spacing w:after="0" w:line="360" w:lineRule="auto"/>
        <w:ind w:left="284" w:hanging="284"/>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 xml:space="preserve">Cáceres Mesa, M. L., Gómez Meléndez, L. E., y Zúñiga Rodríguez, M. (2018). </w:t>
      </w:r>
      <w:r w:rsidRPr="00BA4A54">
        <w:rPr>
          <w:rFonts w:ascii="Times New Roman" w:eastAsia="Times New Roman" w:hAnsi="Times New Roman" w:cs="Times New Roman"/>
          <w:iCs/>
          <w:sz w:val="24"/>
          <w:szCs w:val="24"/>
        </w:rPr>
        <w:t xml:space="preserve">El papel del docente en la evaluación del aprendizaje. </w:t>
      </w:r>
      <w:r w:rsidRPr="00BA4A54">
        <w:rPr>
          <w:rFonts w:ascii="Times New Roman" w:eastAsia="Times New Roman" w:hAnsi="Times New Roman" w:cs="Times New Roman"/>
          <w:i/>
          <w:iCs/>
          <w:sz w:val="24"/>
          <w:szCs w:val="24"/>
          <w:lang w:val="pt-BR"/>
        </w:rPr>
        <w:t>Revista Conrado, 14</w:t>
      </w:r>
      <w:r w:rsidRPr="00BA4A54">
        <w:rPr>
          <w:rFonts w:ascii="Times New Roman" w:eastAsia="Times New Roman" w:hAnsi="Times New Roman" w:cs="Times New Roman"/>
          <w:sz w:val="24"/>
          <w:szCs w:val="24"/>
          <w:lang w:val="pt-BR"/>
        </w:rPr>
        <w:t xml:space="preserve">(63),196-207. </w:t>
      </w:r>
      <w:r w:rsidR="00893A84" w:rsidRPr="00BA4A54">
        <w:rPr>
          <w:rFonts w:ascii="Times New Roman" w:eastAsia="Times New Roman" w:hAnsi="Times New Roman" w:cs="Times New Roman"/>
          <w:sz w:val="24"/>
          <w:szCs w:val="24"/>
          <w:lang w:val="pt-BR"/>
        </w:rPr>
        <w:t>https://conrado.ucf.edu.cu/index.php/conrado/article/view/740/783</w:t>
      </w:r>
    </w:p>
    <w:p w14:paraId="0000023D" w14:textId="63B50F6A" w:rsidR="00E51D2F" w:rsidRPr="00BA4A54" w:rsidRDefault="00000000" w:rsidP="004D0F54">
      <w:pPr>
        <w:spacing w:after="0" w:line="360" w:lineRule="auto"/>
        <w:ind w:left="284" w:hanging="284"/>
        <w:jc w:val="both"/>
        <w:rPr>
          <w:rFonts w:ascii="Times New Roman" w:eastAsia="Times New Roman" w:hAnsi="Times New Roman" w:cs="Times New Roman"/>
          <w:color w:val="1155CC"/>
          <w:sz w:val="24"/>
          <w:szCs w:val="24"/>
          <w:u w:val="single"/>
        </w:rPr>
      </w:pPr>
      <w:r w:rsidRPr="00BA4A54">
        <w:rPr>
          <w:rFonts w:ascii="Times New Roman" w:eastAsia="Times New Roman" w:hAnsi="Times New Roman" w:cs="Times New Roman"/>
          <w:sz w:val="24"/>
          <w:szCs w:val="24"/>
        </w:rPr>
        <w:t>Canabal, C</w:t>
      </w:r>
      <w:r w:rsidR="00A044D1" w:rsidRPr="00BA4A54">
        <w:rPr>
          <w:rFonts w:ascii="Times New Roman" w:eastAsia="Times New Roman" w:hAnsi="Times New Roman" w:cs="Times New Roman"/>
          <w:sz w:val="24"/>
          <w:szCs w:val="24"/>
        </w:rPr>
        <w:t xml:space="preserve">., &amp; </w:t>
      </w:r>
      <w:r w:rsidRPr="00BA4A54">
        <w:rPr>
          <w:rFonts w:ascii="Times New Roman" w:eastAsia="Times New Roman" w:hAnsi="Times New Roman" w:cs="Times New Roman"/>
          <w:sz w:val="24"/>
          <w:szCs w:val="24"/>
        </w:rPr>
        <w:t xml:space="preserve">Margalef, L. (2017). </w:t>
      </w:r>
      <w:r w:rsidRPr="00BA4A54">
        <w:rPr>
          <w:rFonts w:ascii="Times New Roman" w:eastAsia="Times New Roman" w:hAnsi="Times New Roman" w:cs="Times New Roman"/>
          <w:iCs/>
          <w:sz w:val="24"/>
          <w:szCs w:val="24"/>
        </w:rPr>
        <w:t xml:space="preserve">La retroalimentación: </w:t>
      </w:r>
      <w:r w:rsidR="000D1EA9" w:rsidRPr="00BA4A54">
        <w:rPr>
          <w:rFonts w:ascii="Times New Roman" w:eastAsia="Times New Roman" w:hAnsi="Times New Roman" w:cs="Times New Roman"/>
          <w:iCs/>
          <w:sz w:val="24"/>
          <w:szCs w:val="24"/>
        </w:rPr>
        <w:t>L</w:t>
      </w:r>
      <w:r w:rsidRPr="00BA4A54">
        <w:rPr>
          <w:rFonts w:ascii="Times New Roman" w:eastAsia="Times New Roman" w:hAnsi="Times New Roman" w:cs="Times New Roman"/>
          <w:iCs/>
          <w:sz w:val="24"/>
          <w:szCs w:val="24"/>
        </w:rPr>
        <w:t>a clave para una evaluación orientada al aprendizaje.</w:t>
      </w:r>
      <w:r w:rsidRPr="00BA4A54">
        <w:rPr>
          <w:rFonts w:ascii="Times New Roman" w:eastAsia="Times New Roman" w:hAnsi="Times New Roman" w:cs="Times New Roman"/>
          <w:sz w:val="24"/>
          <w:szCs w:val="24"/>
        </w:rPr>
        <w:t xml:space="preserve"> </w:t>
      </w:r>
      <w:r w:rsidR="000D1EA9" w:rsidRPr="00BA4A54">
        <w:rPr>
          <w:rFonts w:ascii="Times New Roman" w:hAnsi="Times New Roman" w:cs="Times New Roman"/>
          <w:i/>
          <w:iCs/>
          <w:sz w:val="24"/>
          <w:szCs w:val="24"/>
        </w:rPr>
        <w:t>Profesorado</w:t>
      </w:r>
      <w:r w:rsidR="000D1EA9" w:rsidRPr="00BA4A54">
        <w:rPr>
          <w:rFonts w:ascii="Times New Roman" w:eastAsia="Times New Roman" w:hAnsi="Times New Roman" w:cs="Times New Roman"/>
          <w:i/>
          <w:iCs/>
          <w:sz w:val="24"/>
          <w:szCs w:val="24"/>
        </w:rPr>
        <w:t xml:space="preserve">. </w:t>
      </w:r>
      <w:r w:rsidRPr="00BA4A54">
        <w:rPr>
          <w:rFonts w:ascii="Times New Roman" w:eastAsia="Times New Roman" w:hAnsi="Times New Roman" w:cs="Times New Roman"/>
          <w:i/>
          <w:iCs/>
          <w:sz w:val="24"/>
          <w:szCs w:val="24"/>
        </w:rPr>
        <w:t>Revista de Currículum y Formación de Profesorado</w:t>
      </w:r>
      <w:r w:rsidRPr="00BA4A54">
        <w:rPr>
          <w:rFonts w:ascii="Times New Roman" w:eastAsia="Times New Roman" w:hAnsi="Times New Roman" w:cs="Times New Roman"/>
          <w:sz w:val="24"/>
          <w:szCs w:val="24"/>
        </w:rPr>
        <w:t>, 21</w:t>
      </w:r>
      <w:r w:rsidR="00893A84"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2</w:t>
      </w:r>
      <w:r w:rsidR="00893A84"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 xml:space="preserve"> 149-170</w:t>
      </w:r>
      <w:r w:rsidR="00454430" w:rsidRPr="00BA4A54">
        <w:rPr>
          <w:rFonts w:ascii="Times New Roman" w:eastAsia="Times New Roman" w:hAnsi="Times New Roman" w:cs="Times New Roman"/>
          <w:sz w:val="24"/>
          <w:szCs w:val="24"/>
        </w:rPr>
        <w:t xml:space="preserve">. </w:t>
      </w:r>
      <w:hyperlink r:id="rId12" w:history="1">
        <w:r w:rsidR="000D1EA9" w:rsidRPr="00BA4A54">
          <w:rPr>
            <w:rStyle w:val="Hyperlink"/>
            <w:rFonts w:ascii="Times New Roman" w:eastAsia="Times New Roman" w:hAnsi="Times New Roman" w:cs="Times New Roman"/>
            <w:sz w:val="24"/>
            <w:szCs w:val="24"/>
          </w:rPr>
          <w:t>https://www.redalyc.org/pdf/567/56752038009.pdf</w:t>
        </w:r>
      </w:hyperlink>
      <w:r w:rsidR="00454430" w:rsidRPr="00BA4A54">
        <w:rPr>
          <w:rFonts w:ascii="Times New Roman" w:eastAsia="Times New Roman" w:hAnsi="Times New Roman" w:cs="Times New Roman"/>
          <w:color w:val="1155CC"/>
          <w:sz w:val="24"/>
          <w:szCs w:val="24"/>
          <w:u w:val="single"/>
        </w:rPr>
        <w:t xml:space="preserve"> </w:t>
      </w:r>
    </w:p>
    <w:p w14:paraId="0000023F" w14:textId="2A9BD96D" w:rsidR="00E51D2F" w:rsidRPr="00BA4A54" w:rsidRDefault="00000000" w:rsidP="004D0F54">
      <w:pPr>
        <w:spacing w:after="0" w:line="360" w:lineRule="auto"/>
        <w:ind w:left="284" w:hanging="284"/>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 xml:space="preserve">Castillo Cedeño, R. y Castillo Cedeño, I. (2016). </w:t>
      </w:r>
      <w:r w:rsidRPr="00BA4A54">
        <w:rPr>
          <w:rFonts w:ascii="Times New Roman" w:eastAsia="Times New Roman" w:hAnsi="Times New Roman" w:cs="Times New Roman"/>
          <w:i/>
          <w:sz w:val="24"/>
          <w:szCs w:val="24"/>
        </w:rPr>
        <w:t xml:space="preserve">Mediación pedagógica para la primera infancia: </w:t>
      </w:r>
      <w:r w:rsidR="000D1EA9" w:rsidRPr="00BA4A54">
        <w:rPr>
          <w:rFonts w:ascii="Times New Roman" w:eastAsia="Times New Roman" w:hAnsi="Times New Roman" w:cs="Times New Roman"/>
          <w:i/>
          <w:sz w:val="24"/>
          <w:szCs w:val="24"/>
        </w:rPr>
        <w:t>R</w:t>
      </w:r>
      <w:r w:rsidRPr="00BA4A54">
        <w:rPr>
          <w:rFonts w:ascii="Times New Roman" w:eastAsia="Times New Roman" w:hAnsi="Times New Roman" w:cs="Times New Roman"/>
          <w:i/>
          <w:sz w:val="24"/>
          <w:szCs w:val="24"/>
        </w:rPr>
        <w:t>eflexiones desde el sentir y el pensar.</w:t>
      </w:r>
      <w:r w:rsidRPr="00BA4A54">
        <w:rPr>
          <w:rFonts w:ascii="Times New Roman" w:eastAsia="Times New Roman" w:hAnsi="Times New Roman" w:cs="Times New Roman"/>
          <w:sz w:val="24"/>
          <w:szCs w:val="24"/>
        </w:rPr>
        <w:t xml:space="preserve"> Editorial de la Universidad Estatal a Distancia</w:t>
      </w:r>
      <w:r w:rsidR="000D1EA9" w:rsidRPr="00BA4A54">
        <w:rPr>
          <w:rFonts w:ascii="Times New Roman" w:eastAsia="Times New Roman" w:hAnsi="Times New Roman" w:cs="Times New Roman"/>
          <w:sz w:val="24"/>
          <w:szCs w:val="24"/>
        </w:rPr>
        <w:t>.</w:t>
      </w:r>
    </w:p>
    <w:p w14:paraId="00000243" w14:textId="026C1746" w:rsidR="00E51D2F" w:rsidRPr="00BA4A54" w:rsidRDefault="00000000" w:rsidP="004D0F54">
      <w:pPr>
        <w:spacing w:after="0" w:line="360" w:lineRule="auto"/>
        <w:ind w:left="284" w:hanging="284"/>
        <w:jc w:val="both"/>
        <w:rPr>
          <w:rFonts w:ascii="Times New Roman" w:eastAsia="Times New Roman" w:hAnsi="Times New Roman" w:cs="Times New Roman"/>
          <w:sz w:val="24"/>
          <w:szCs w:val="24"/>
          <w:lang w:val="pt-BR"/>
        </w:rPr>
      </w:pPr>
      <w:r w:rsidRPr="00BA4A54">
        <w:rPr>
          <w:rFonts w:ascii="Times New Roman" w:eastAsia="Times New Roman" w:hAnsi="Times New Roman" w:cs="Times New Roman"/>
          <w:sz w:val="24"/>
          <w:szCs w:val="24"/>
        </w:rPr>
        <w:lastRenderedPageBreak/>
        <w:t>Castro</w:t>
      </w:r>
      <w:r w:rsidR="000D1EA9" w:rsidRPr="00BA4A54">
        <w:rPr>
          <w:rFonts w:ascii="Times New Roman" w:eastAsia="Times New Roman" w:hAnsi="Times New Roman" w:cs="Times New Roman"/>
          <w:sz w:val="24"/>
          <w:szCs w:val="24"/>
        </w:rPr>
        <w:t xml:space="preserve"> </w:t>
      </w:r>
      <w:r w:rsidRPr="00BA4A54">
        <w:rPr>
          <w:rFonts w:ascii="Times New Roman" w:eastAsia="Times New Roman" w:hAnsi="Times New Roman" w:cs="Times New Roman"/>
          <w:sz w:val="24"/>
          <w:szCs w:val="24"/>
        </w:rPr>
        <w:t>Larroulet</w:t>
      </w:r>
      <w:r w:rsidR="00450C4B"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 xml:space="preserve"> C</w:t>
      </w:r>
      <w:r w:rsidR="00450C4B" w:rsidRPr="00BA4A54">
        <w:rPr>
          <w:rFonts w:ascii="Times New Roman" w:eastAsia="Times New Roman" w:hAnsi="Times New Roman" w:cs="Times New Roman"/>
          <w:sz w:val="24"/>
          <w:szCs w:val="24"/>
        </w:rPr>
        <w:t>., &amp;</w:t>
      </w:r>
      <w:r w:rsidRPr="00BA4A54">
        <w:rPr>
          <w:rFonts w:ascii="Times New Roman" w:eastAsia="Times New Roman" w:hAnsi="Times New Roman" w:cs="Times New Roman"/>
          <w:sz w:val="24"/>
          <w:szCs w:val="24"/>
        </w:rPr>
        <w:t xml:space="preserve"> Moraga</w:t>
      </w:r>
      <w:r w:rsidR="00450C4B" w:rsidRPr="00BA4A54">
        <w:rPr>
          <w:rFonts w:ascii="Times New Roman" w:eastAsia="Times New Roman" w:hAnsi="Times New Roman" w:cs="Times New Roman"/>
          <w:sz w:val="24"/>
          <w:szCs w:val="24"/>
        </w:rPr>
        <w:t xml:space="preserve"> </w:t>
      </w:r>
      <w:r w:rsidRPr="00BA4A54">
        <w:rPr>
          <w:rFonts w:ascii="Times New Roman" w:eastAsia="Times New Roman" w:hAnsi="Times New Roman" w:cs="Times New Roman"/>
          <w:sz w:val="24"/>
          <w:szCs w:val="24"/>
        </w:rPr>
        <w:t>Tononi, A</w:t>
      </w:r>
      <w:r w:rsidR="00450C4B"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 xml:space="preserve"> (20</w:t>
      </w:r>
      <w:r w:rsidR="00450C4B" w:rsidRPr="00BA4A54">
        <w:rPr>
          <w:rFonts w:ascii="Times New Roman" w:eastAsia="Times New Roman" w:hAnsi="Times New Roman" w:cs="Times New Roman"/>
          <w:sz w:val="24"/>
          <w:szCs w:val="24"/>
        </w:rPr>
        <w:t>20</w:t>
      </w:r>
      <w:r w:rsidRPr="00BA4A54">
        <w:rPr>
          <w:rFonts w:ascii="Times New Roman" w:eastAsia="Times New Roman" w:hAnsi="Times New Roman" w:cs="Times New Roman"/>
          <w:sz w:val="24"/>
          <w:szCs w:val="24"/>
        </w:rPr>
        <w:t xml:space="preserve">). </w:t>
      </w:r>
      <w:r w:rsidRPr="00BA4A54">
        <w:rPr>
          <w:rFonts w:ascii="Times New Roman" w:eastAsia="Times New Roman" w:hAnsi="Times New Roman" w:cs="Times New Roman"/>
          <w:i/>
          <w:sz w:val="24"/>
          <w:szCs w:val="24"/>
        </w:rPr>
        <w:t>Evaluación y retroalimentación para los aprendizajes</w:t>
      </w:r>
      <w:r w:rsidRPr="00BA4A54">
        <w:rPr>
          <w:rFonts w:ascii="Times New Roman" w:eastAsia="Times New Roman" w:hAnsi="Times New Roman" w:cs="Times New Roman"/>
          <w:sz w:val="24"/>
          <w:szCs w:val="24"/>
        </w:rPr>
        <w:t>.</w:t>
      </w:r>
      <w:r w:rsidR="000D1EA9" w:rsidRPr="00BA4A54">
        <w:rPr>
          <w:rFonts w:ascii="Times New Roman" w:eastAsia="Times New Roman" w:hAnsi="Times New Roman" w:cs="Times New Roman"/>
          <w:sz w:val="24"/>
          <w:szCs w:val="24"/>
        </w:rPr>
        <w:t xml:space="preserve"> </w:t>
      </w:r>
      <w:r w:rsidR="000D1EA9" w:rsidRPr="00BA4A54">
        <w:rPr>
          <w:rFonts w:ascii="Times New Roman" w:eastAsia="Times New Roman" w:hAnsi="Times New Roman" w:cs="Times New Roman"/>
          <w:sz w:val="24"/>
          <w:szCs w:val="24"/>
          <w:lang w:val="pt-BR"/>
        </w:rPr>
        <w:t xml:space="preserve">Instituto Profesional IACC. https://educacionsuperior.mineduc.cl/wp-content/uploads/sites/49/2020/04/6-Modelo-Evaluacion-y-retroalimentacion-aprendizajes.pdf </w:t>
      </w:r>
    </w:p>
    <w:p w14:paraId="00000245" w14:textId="1670EF1C" w:rsidR="00E51D2F" w:rsidRPr="00BA4A54" w:rsidRDefault="00000000" w:rsidP="004D0F54">
      <w:pPr>
        <w:spacing w:after="0" w:line="360" w:lineRule="auto"/>
        <w:ind w:left="284" w:hanging="284"/>
        <w:jc w:val="both"/>
        <w:rPr>
          <w:rFonts w:ascii="Times New Roman" w:eastAsia="Times New Roman" w:hAnsi="Times New Roman" w:cs="Times New Roman"/>
          <w:color w:val="1155CC"/>
          <w:sz w:val="24"/>
          <w:szCs w:val="24"/>
          <w:u w:val="single"/>
          <w:lang w:val="es-ES"/>
        </w:rPr>
      </w:pPr>
      <w:r w:rsidRPr="00BA4A54">
        <w:rPr>
          <w:rFonts w:ascii="Times New Roman" w:eastAsia="Times New Roman" w:hAnsi="Times New Roman" w:cs="Times New Roman"/>
          <w:sz w:val="24"/>
          <w:szCs w:val="24"/>
          <w:lang w:val="pt-BR"/>
        </w:rPr>
        <w:t>Fernández, S</w:t>
      </w:r>
      <w:r w:rsidR="00450C4B" w:rsidRPr="00BA4A54">
        <w:rPr>
          <w:rFonts w:ascii="Times New Roman" w:eastAsia="Times New Roman" w:hAnsi="Times New Roman" w:cs="Times New Roman"/>
          <w:sz w:val="24"/>
          <w:szCs w:val="24"/>
          <w:lang w:val="pt-BR"/>
        </w:rPr>
        <w:t>.</w:t>
      </w:r>
      <w:r w:rsidRPr="00BA4A54">
        <w:rPr>
          <w:rFonts w:ascii="Times New Roman" w:eastAsia="Times New Roman" w:hAnsi="Times New Roman" w:cs="Times New Roman"/>
          <w:sz w:val="24"/>
          <w:szCs w:val="24"/>
          <w:lang w:val="pt-BR"/>
        </w:rPr>
        <w:t xml:space="preserve"> (2017). </w:t>
      </w:r>
      <w:r w:rsidRPr="00BA4A54">
        <w:rPr>
          <w:rFonts w:ascii="Times New Roman" w:eastAsia="Times New Roman" w:hAnsi="Times New Roman" w:cs="Times New Roman"/>
          <w:iCs/>
          <w:sz w:val="24"/>
          <w:szCs w:val="24"/>
        </w:rPr>
        <w:t>Evaluación y aprendizaje.</w:t>
      </w:r>
      <w:r w:rsidRPr="00BA4A54">
        <w:rPr>
          <w:rFonts w:ascii="Times New Roman" w:eastAsia="Times New Roman" w:hAnsi="Times New Roman" w:cs="Times New Roman"/>
          <w:b/>
          <w:sz w:val="24"/>
          <w:szCs w:val="24"/>
        </w:rPr>
        <w:t xml:space="preserve"> </w:t>
      </w:r>
      <w:r w:rsidRPr="00BA4A54">
        <w:rPr>
          <w:rFonts w:ascii="Times New Roman" w:eastAsia="Times New Roman" w:hAnsi="Times New Roman" w:cs="Times New Roman"/>
          <w:i/>
          <w:iCs/>
          <w:sz w:val="24"/>
          <w:szCs w:val="24"/>
        </w:rPr>
        <w:t>Revista de Didáctica Español Lengua Extranjera</w:t>
      </w:r>
      <w:r w:rsidRPr="00BA4A54">
        <w:rPr>
          <w:rFonts w:ascii="Times New Roman" w:eastAsia="Times New Roman" w:hAnsi="Times New Roman" w:cs="Times New Roman"/>
          <w:sz w:val="24"/>
          <w:szCs w:val="24"/>
        </w:rPr>
        <w:t xml:space="preserve">, </w:t>
      </w:r>
      <w:r w:rsidR="00450C4B"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24</w:t>
      </w:r>
      <w:r w:rsidR="00450C4B"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 xml:space="preserve">. </w:t>
      </w:r>
      <w:hyperlink r:id="rId13" w:history="1">
        <w:r w:rsidR="00450C4B" w:rsidRPr="00BA4A54">
          <w:rPr>
            <w:rStyle w:val="Hyperlink"/>
            <w:rFonts w:ascii="Times New Roman" w:eastAsia="Times New Roman" w:hAnsi="Times New Roman" w:cs="Times New Roman"/>
            <w:sz w:val="24"/>
            <w:szCs w:val="24"/>
            <w:lang w:val="es-ES"/>
          </w:rPr>
          <w:t>https://www.redalyc.org/journal/921/92153187003/html/</w:t>
        </w:r>
      </w:hyperlink>
    </w:p>
    <w:p w14:paraId="00000247" w14:textId="77777777" w:rsidR="00E51D2F" w:rsidRPr="00BA4A54" w:rsidRDefault="00000000" w:rsidP="004D0F54">
      <w:pPr>
        <w:spacing w:after="0" w:line="360" w:lineRule="auto"/>
        <w:ind w:left="284" w:hanging="284"/>
        <w:jc w:val="both"/>
        <w:rPr>
          <w:rFonts w:ascii="Times New Roman" w:eastAsia="Times New Roman" w:hAnsi="Times New Roman" w:cs="Times New Roman"/>
          <w:color w:val="1155CC"/>
          <w:sz w:val="24"/>
          <w:szCs w:val="24"/>
          <w:u w:val="single"/>
        </w:rPr>
      </w:pPr>
      <w:r w:rsidRPr="00BA4A54">
        <w:rPr>
          <w:rFonts w:ascii="Times New Roman" w:eastAsia="Times New Roman" w:hAnsi="Times New Roman" w:cs="Times New Roman"/>
          <w:sz w:val="24"/>
          <w:szCs w:val="24"/>
          <w:lang w:val="en-US"/>
        </w:rPr>
        <w:t xml:space="preserve">Illeris, K. (2003). Towards a contemporary and comprehensive theory of learning. </w:t>
      </w:r>
      <w:r w:rsidRPr="00BA4A54">
        <w:rPr>
          <w:rFonts w:ascii="Times New Roman" w:eastAsia="Times New Roman" w:hAnsi="Times New Roman" w:cs="Times New Roman"/>
          <w:i/>
          <w:sz w:val="24"/>
          <w:szCs w:val="24"/>
        </w:rPr>
        <w:t>International Journal of Lifelong Education</w:t>
      </w:r>
      <w:r w:rsidRPr="00BA4A54">
        <w:rPr>
          <w:rFonts w:ascii="Times New Roman" w:eastAsia="Times New Roman" w:hAnsi="Times New Roman" w:cs="Times New Roman"/>
          <w:sz w:val="24"/>
          <w:szCs w:val="24"/>
        </w:rPr>
        <w:t xml:space="preserve">, </w:t>
      </w:r>
      <w:r w:rsidRPr="00BA4A54">
        <w:rPr>
          <w:rFonts w:ascii="Times New Roman" w:eastAsia="Times New Roman" w:hAnsi="Times New Roman" w:cs="Times New Roman"/>
          <w:i/>
          <w:sz w:val="24"/>
          <w:szCs w:val="24"/>
        </w:rPr>
        <w:t>22</w:t>
      </w:r>
      <w:r w:rsidRPr="00BA4A54">
        <w:rPr>
          <w:rFonts w:ascii="Times New Roman" w:eastAsia="Times New Roman" w:hAnsi="Times New Roman" w:cs="Times New Roman"/>
          <w:sz w:val="24"/>
          <w:szCs w:val="24"/>
        </w:rPr>
        <w:t xml:space="preserve">(4), 396–406. </w:t>
      </w:r>
      <w:hyperlink r:id="rId14">
        <w:r w:rsidRPr="00BA4A54">
          <w:rPr>
            <w:rFonts w:ascii="Times New Roman" w:eastAsia="Times New Roman" w:hAnsi="Times New Roman" w:cs="Times New Roman"/>
            <w:color w:val="1155CC"/>
            <w:sz w:val="24"/>
            <w:szCs w:val="24"/>
            <w:u w:val="single"/>
          </w:rPr>
          <w:t>https://doi.org/10.1080/02601370304837</w:t>
        </w:r>
      </w:hyperlink>
    </w:p>
    <w:p w14:paraId="3A346217" w14:textId="77777777" w:rsidR="00D91B90" w:rsidRPr="00BA4A54" w:rsidRDefault="00D91B90" w:rsidP="00D91B90">
      <w:pPr>
        <w:spacing w:after="0" w:line="360" w:lineRule="auto"/>
        <w:ind w:left="284" w:hanging="284"/>
        <w:jc w:val="both"/>
        <w:rPr>
          <w:rFonts w:ascii="Times New Roman" w:eastAsia="Times New Roman" w:hAnsi="Times New Roman" w:cs="Times New Roman"/>
          <w:sz w:val="24"/>
          <w:szCs w:val="24"/>
        </w:rPr>
      </w:pPr>
      <w:r w:rsidRPr="00BA4A54">
        <w:rPr>
          <w:rFonts w:ascii="Times New Roman" w:hAnsi="Times New Roman" w:cs="Times New Roman"/>
          <w:sz w:val="24"/>
          <w:szCs w:val="24"/>
          <w:lang w:val="en-US"/>
        </w:rPr>
        <w:t xml:space="preserve">Ismail, S. M., Rahul, D. R., Patra, I., &amp; Rezvani, E. (2022). Formative vs. summative assessment: impacts on academic motivation, attitude toward learning, test anxiety, and self-regulation skill. </w:t>
      </w:r>
      <w:r w:rsidRPr="00BA4A54">
        <w:rPr>
          <w:rFonts w:ascii="Times New Roman" w:hAnsi="Times New Roman" w:cs="Times New Roman"/>
          <w:i/>
          <w:iCs/>
          <w:sz w:val="24"/>
          <w:szCs w:val="24"/>
        </w:rPr>
        <w:t>Language Testing in Asia</w:t>
      </w:r>
      <w:r w:rsidRPr="00BA4A54">
        <w:rPr>
          <w:rFonts w:ascii="Times New Roman" w:hAnsi="Times New Roman" w:cs="Times New Roman"/>
          <w:sz w:val="24"/>
          <w:szCs w:val="24"/>
        </w:rPr>
        <w:t xml:space="preserve">, </w:t>
      </w:r>
      <w:r w:rsidRPr="00BA4A54">
        <w:rPr>
          <w:rFonts w:ascii="Times New Roman" w:hAnsi="Times New Roman" w:cs="Times New Roman"/>
          <w:i/>
          <w:iCs/>
          <w:sz w:val="24"/>
          <w:szCs w:val="24"/>
        </w:rPr>
        <w:t>12</w:t>
      </w:r>
      <w:r w:rsidRPr="00BA4A54">
        <w:rPr>
          <w:rFonts w:ascii="Times New Roman" w:hAnsi="Times New Roman" w:cs="Times New Roman"/>
          <w:sz w:val="24"/>
          <w:szCs w:val="24"/>
        </w:rPr>
        <w:t>(1), 40. https://doi.org/10.1186/s40468-022-00191-4</w:t>
      </w:r>
    </w:p>
    <w:p w14:paraId="00000249" w14:textId="77777777" w:rsidR="00E51D2F" w:rsidRPr="00BA4A54" w:rsidRDefault="00000000" w:rsidP="004D0F54">
      <w:pPr>
        <w:spacing w:after="0" w:line="360" w:lineRule="auto"/>
        <w:ind w:left="284" w:hanging="284"/>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 xml:space="preserve">Ministerio de Educación Pública (2009). </w:t>
      </w:r>
      <w:r w:rsidRPr="00BA4A54">
        <w:rPr>
          <w:rFonts w:ascii="Times New Roman" w:eastAsia="Times New Roman" w:hAnsi="Times New Roman" w:cs="Times New Roman"/>
          <w:i/>
          <w:sz w:val="24"/>
          <w:szCs w:val="24"/>
        </w:rPr>
        <w:t>Reglamento de Evaluación de los aprendizajes</w:t>
      </w:r>
      <w:r w:rsidRPr="00BA4A54">
        <w:rPr>
          <w:rFonts w:ascii="Times New Roman" w:eastAsia="Times New Roman" w:hAnsi="Times New Roman" w:cs="Times New Roman"/>
          <w:sz w:val="24"/>
          <w:szCs w:val="24"/>
        </w:rPr>
        <w:t xml:space="preserve">. </w:t>
      </w:r>
      <w:hyperlink r:id="rId15">
        <w:r w:rsidRPr="00BA4A54">
          <w:rPr>
            <w:rFonts w:ascii="Times New Roman" w:eastAsia="Times New Roman" w:hAnsi="Times New Roman" w:cs="Times New Roman"/>
            <w:color w:val="0563C1"/>
            <w:sz w:val="24"/>
            <w:szCs w:val="24"/>
            <w:u w:val="single"/>
          </w:rPr>
          <w:t>https://dgth.mep.go.cr/wp-content/uploads/2020/11/Decreto-Ejecutivo-40862-MEP-Reglamento-evaluaci%C3%B3n-de-los-aprendizajes.pdf</w:t>
        </w:r>
      </w:hyperlink>
    </w:p>
    <w:p w14:paraId="0000024B" w14:textId="77777777" w:rsidR="00E51D2F" w:rsidRPr="00BA4A54" w:rsidRDefault="00000000" w:rsidP="004D0F54">
      <w:pPr>
        <w:spacing w:after="0" w:line="360" w:lineRule="auto"/>
        <w:ind w:left="284" w:hanging="284"/>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 xml:space="preserve">Ministerio de Educación Pública (2016). </w:t>
      </w:r>
      <w:r w:rsidRPr="00BA4A54">
        <w:rPr>
          <w:rFonts w:ascii="Times New Roman" w:eastAsia="Times New Roman" w:hAnsi="Times New Roman" w:cs="Times New Roman"/>
          <w:i/>
          <w:sz w:val="24"/>
          <w:szCs w:val="24"/>
        </w:rPr>
        <w:t>Política de Transformación Curricular.</w:t>
      </w:r>
      <w:r w:rsidRPr="00BA4A54">
        <w:rPr>
          <w:rFonts w:ascii="Times New Roman" w:eastAsia="Times New Roman" w:hAnsi="Times New Roman" w:cs="Times New Roman"/>
          <w:sz w:val="24"/>
          <w:szCs w:val="24"/>
        </w:rPr>
        <w:t xml:space="preserve"> </w:t>
      </w:r>
      <w:hyperlink r:id="rId16">
        <w:r w:rsidRPr="00BA4A54">
          <w:rPr>
            <w:rFonts w:ascii="Times New Roman" w:eastAsia="Times New Roman" w:hAnsi="Times New Roman" w:cs="Times New Roman"/>
            <w:color w:val="0563C1"/>
            <w:sz w:val="24"/>
            <w:szCs w:val="24"/>
            <w:u w:val="single"/>
          </w:rPr>
          <w:t>https://www.mep.go.cr/transparencia-institucional/planes-institucionales/politica-curricular</w:t>
        </w:r>
      </w:hyperlink>
    </w:p>
    <w:p w14:paraId="0000024D" w14:textId="3E58F254" w:rsidR="00E51D2F" w:rsidRPr="00BA4A54" w:rsidRDefault="00000000" w:rsidP="004D0F54">
      <w:pPr>
        <w:spacing w:after="0" w:line="360" w:lineRule="auto"/>
        <w:ind w:left="284" w:hanging="284"/>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 xml:space="preserve"> Ministerio de Educación Pública (2023). </w:t>
      </w:r>
      <w:r w:rsidRPr="00BA4A54">
        <w:rPr>
          <w:rFonts w:ascii="Times New Roman" w:eastAsia="Times New Roman" w:hAnsi="Times New Roman" w:cs="Times New Roman"/>
          <w:i/>
          <w:sz w:val="24"/>
          <w:szCs w:val="24"/>
        </w:rPr>
        <w:t>Orientaciones pedagógicas. Curso lectivo 2023</w:t>
      </w:r>
      <w:r w:rsidRPr="00BA4A54">
        <w:rPr>
          <w:rFonts w:ascii="Times New Roman" w:eastAsia="Times New Roman" w:hAnsi="Times New Roman" w:cs="Times New Roman"/>
          <w:sz w:val="24"/>
          <w:szCs w:val="24"/>
        </w:rPr>
        <w:t xml:space="preserve">. </w:t>
      </w:r>
      <w:hyperlink r:id="rId17">
        <w:r w:rsidRPr="00BA4A54">
          <w:rPr>
            <w:rFonts w:ascii="Times New Roman" w:eastAsia="Times New Roman" w:hAnsi="Times New Roman" w:cs="Times New Roman"/>
            <w:color w:val="0563C1"/>
            <w:sz w:val="24"/>
            <w:szCs w:val="24"/>
            <w:u w:val="single"/>
          </w:rPr>
          <w:t>https://ddc.mep.go.cr/sites/all/files/ddc_mep_go_cr/archivos/orientaciones_pedagogicas_2023_v7_1.pdf</w:t>
        </w:r>
      </w:hyperlink>
    </w:p>
    <w:p w14:paraId="00000250" w14:textId="7555661E" w:rsidR="00E51D2F" w:rsidRPr="00BA4A54" w:rsidRDefault="00000000" w:rsidP="004D0F54">
      <w:pPr>
        <w:spacing w:after="0" w:line="360" w:lineRule="auto"/>
        <w:ind w:left="284" w:hanging="284"/>
        <w:jc w:val="both"/>
        <w:rPr>
          <w:rFonts w:ascii="Times New Roman" w:eastAsia="Times New Roman" w:hAnsi="Times New Roman" w:cs="Times New Roman"/>
          <w:color w:val="1155CC"/>
          <w:sz w:val="24"/>
          <w:szCs w:val="24"/>
          <w:u w:val="single"/>
        </w:rPr>
      </w:pPr>
      <w:r w:rsidRPr="00BA4A54">
        <w:rPr>
          <w:rFonts w:ascii="Times New Roman" w:eastAsia="Times New Roman" w:hAnsi="Times New Roman" w:cs="Times New Roman"/>
          <w:sz w:val="24"/>
          <w:szCs w:val="24"/>
        </w:rPr>
        <w:t xml:space="preserve">Ministerio de Educación Pública (2024). </w:t>
      </w:r>
      <w:r w:rsidRPr="00BA4A54">
        <w:rPr>
          <w:rFonts w:ascii="Times New Roman" w:eastAsia="Times New Roman" w:hAnsi="Times New Roman" w:cs="Times New Roman"/>
          <w:i/>
          <w:sz w:val="24"/>
          <w:szCs w:val="24"/>
        </w:rPr>
        <w:t xml:space="preserve">Lineamientos técnicos de evaluación para el aprendizaje, 2024. </w:t>
      </w:r>
      <w:hyperlink r:id="rId18">
        <w:r w:rsidRPr="00BA4A54">
          <w:rPr>
            <w:rFonts w:ascii="Times New Roman" w:eastAsia="Times New Roman" w:hAnsi="Times New Roman" w:cs="Times New Roman"/>
            <w:color w:val="1155CC"/>
            <w:sz w:val="24"/>
            <w:szCs w:val="24"/>
            <w:u w:val="single"/>
          </w:rPr>
          <w:t>https://ddc.mep.go.cr/sites/all/files/ddc_mep_go_cr/adjuntos/lineamientos_tecnicos_evaluacion_para_el_aprendizaje_21-2-2024.pdf</w:t>
        </w:r>
      </w:hyperlink>
    </w:p>
    <w:p w14:paraId="7701EFF7" w14:textId="2A7F695F" w:rsidR="00893A84" w:rsidRPr="00BA4A54" w:rsidRDefault="00893A84" w:rsidP="004D0F54">
      <w:pPr>
        <w:spacing w:after="0" w:line="360" w:lineRule="auto"/>
        <w:ind w:left="284" w:hanging="284"/>
        <w:jc w:val="both"/>
        <w:rPr>
          <w:rFonts w:ascii="Times New Roman" w:eastAsia="Times New Roman" w:hAnsi="Times New Roman" w:cs="Times New Roman"/>
          <w:color w:val="000000"/>
          <w:sz w:val="24"/>
          <w:szCs w:val="24"/>
        </w:rPr>
      </w:pPr>
      <w:r w:rsidRPr="00BA4A54">
        <w:rPr>
          <w:rFonts w:ascii="Times New Roman" w:hAnsi="Times New Roman" w:cs="Times New Roman"/>
          <w:color w:val="000000"/>
          <w:sz w:val="24"/>
          <w:szCs w:val="24"/>
        </w:rPr>
        <w:t>Mollo Flores, M</w:t>
      </w:r>
      <w:r w:rsidR="00D955E7" w:rsidRPr="00BA4A54">
        <w:rPr>
          <w:rFonts w:ascii="Times New Roman" w:hAnsi="Times New Roman" w:cs="Times New Roman"/>
          <w:color w:val="000000"/>
          <w:sz w:val="24"/>
          <w:szCs w:val="24"/>
        </w:rPr>
        <w:t>.</w:t>
      </w:r>
      <w:r w:rsidRPr="00BA4A54">
        <w:rPr>
          <w:rFonts w:ascii="Times New Roman" w:hAnsi="Times New Roman" w:cs="Times New Roman"/>
          <w:color w:val="000000"/>
          <w:sz w:val="24"/>
          <w:szCs w:val="24"/>
        </w:rPr>
        <w:t xml:space="preserve"> E</w:t>
      </w:r>
      <w:r w:rsidR="00D955E7" w:rsidRPr="00BA4A54">
        <w:rPr>
          <w:rFonts w:ascii="Times New Roman" w:hAnsi="Times New Roman" w:cs="Times New Roman"/>
          <w:color w:val="000000"/>
          <w:sz w:val="24"/>
          <w:szCs w:val="24"/>
        </w:rPr>
        <w:t>.</w:t>
      </w:r>
      <w:r w:rsidRPr="00BA4A54">
        <w:rPr>
          <w:rFonts w:ascii="Times New Roman" w:hAnsi="Times New Roman" w:cs="Times New Roman"/>
          <w:color w:val="000000"/>
          <w:sz w:val="24"/>
          <w:szCs w:val="24"/>
        </w:rPr>
        <w:t>, &amp; Deroncele Acosta, A</w:t>
      </w:r>
      <w:r w:rsidR="00D955E7" w:rsidRPr="00BA4A54">
        <w:rPr>
          <w:rFonts w:ascii="Times New Roman" w:hAnsi="Times New Roman" w:cs="Times New Roman"/>
          <w:color w:val="000000"/>
          <w:sz w:val="24"/>
          <w:szCs w:val="24"/>
        </w:rPr>
        <w:t>.</w:t>
      </w:r>
      <w:r w:rsidRPr="00BA4A54">
        <w:rPr>
          <w:rFonts w:ascii="Times New Roman" w:hAnsi="Times New Roman" w:cs="Times New Roman"/>
          <w:color w:val="000000"/>
          <w:sz w:val="24"/>
          <w:szCs w:val="24"/>
        </w:rPr>
        <w:t xml:space="preserve"> (2022). Integrate formative feedback model. </w:t>
      </w:r>
      <w:r w:rsidRPr="00BA4A54">
        <w:rPr>
          <w:rFonts w:ascii="Times New Roman" w:hAnsi="Times New Roman" w:cs="Times New Roman"/>
          <w:i/>
          <w:iCs/>
          <w:color w:val="000000"/>
          <w:sz w:val="24"/>
          <w:szCs w:val="24"/>
        </w:rPr>
        <w:t>Revista Universidad y Sociedad</w:t>
      </w:r>
      <w:r w:rsidRPr="00BA4A54">
        <w:rPr>
          <w:rFonts w:ascii="Times New Roman" w:hAnsi="Times New Roman" w:cs="Times New Roman"/>
          <w:color w:val="000000"/>
          <w:sz w:val="24"/>
          <w:szCs w:val="24"/>
        </w:rPr>
        <w:t>, </w:t>
      </w:r>
      <w:r w:rsidRPr="00BA4A54">
        <w:rPr>
          <w:rFonts w:ascii="Times New Roman" w:hAnsi="Times New Roman" w:cs="Times New Roman"/>
          <w:i/>
          <w:iCs/>
          <w:color w:val="000000"/>
          <w:sz w:val="24"/>
          <w:szCs w:val="24"/>
        </w:rPr>
        <w:t>14</w:t>
      </w:r>
      <w:r w:rsidRPr="00BA4A54">
        <w:rPr>
          <w:rFonts w:ascii="Times New Roman" w:hAnsi="Times New Roman" w:cs="Times New Roman"/>
          <w:color w:val="000000"/>
          <w:sz w:val="24"/>
          <w:szCs w:val="24"/>
        </w:rPr>
        <w:t>(1), 391-401. http://scielo.sld.cu/scielo.php?script=sci_arttext&amp;pid=S2218-36202022000100391&amp;lng=es&amp;tlng=en.</w:t>
      </w:r>
    </w:p>
    <w:p w14:paraId="00000252" w14:textId="77777777" w:rsidR="00E51D2F" w:rsidRPr="00BA4A54" w:rsidRDefault="00000000" w:rsidP="004D0F54">
      <w:pPr>
        <w:pBdr>
          <w:top w:val="nil"/>
          <w:left w:val="nil"/>
          <w:bottom w:val="nil"/>
          <w:right w:val="nil"/>
          <w:between w:val="nil"/>
        </w:pBdr>
        <w:spacing w:after="0" w:line="360" w:lineRule="auto"/>
        <w:ind w:left="284" w:hanging="284"/>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lastRenderedPageBreak/>
        <w:t xml:space="preserve">Moreno Olivos, T. (2016). </w:t>
      </w:r>
      <w:r w:rsidRPr="00BA4A54">
        <w:rPr>
          <w:rFonts w:ascii="Times New Roman" w:eastAsia="Times New Roman" w:hAnsi="Times New Roman" w:cs="Times New Roman"/>
          <w:i/>
          <w:sz w:val="24"/>
          <w:szCs w:val="24"/>
        </w:rPr>
        <w:t>Evaluación del aprendizaje y para el aprendizaje: reinventar la evaluación en el aula</w:t>
      </w:r>
      <w:r w:rsidRPr="00BA4A54">
        <w:rPr>
          <w:rFonts w:ascii="Times New Roman" w:eastAsia="Times New Roman" w:hAnsi="Times New Roman" w:cs="Times New Roman"/>
          <w:sz w:val="24"/>
          <w:szCs w:val="24"/>
        </w:rPr>
        <w:t xml:space="preserve">. Universidad Autónoma Metropolitana. </w:t>
      </w:r>
      <w:hyperlink r:id="rId19">
        <w:r w:rsidRPr="00BA4A54">
          <w:rPr>
            <w:rFonts w:ascii="Times New Roman" w:eastAsia="Times New Roman" w:hAnsi="Times New Roman" w:cs="Times New Roman"/>
            <w:color w:val="1155CC"/>
            <w:sz w:val="24"/>
            <w:szCs w:val="24"/>
            <w:u w:val="single"/>
          </w:rPr>
          <w:t>https://www.casadelibrosabiertos.uam.mx/contenido/contenido/Libroelectronico/Evaluacion_del_aprendizaje_.pdf</w:t>
        </w:r>
      </w:hyperlink>
    </w:p>
    <w:p w14:paraId="00000256" w14:textId="77777777" w:rsidR="00E51D2F" w:rsidRPr="00BA4A54" w:rsidRDefault="00000000" w:rsidP="004D0F54">
      <w:pPr>
        <w:pBdr>
          <w:top w:val="nil"/>
          <w:left w:val="nil"/>
          <w:bottom w:val="nil"/>
          <w:right w:val="nil"/>
          <w:between w:val="nil"/>
        </w:pBdr>
        <w:spacing w:after="0" w:line="360" w:lineRule="auto"/>
        <w:ind w:left="284" w:hanging="284"/>
        <w:jc w:val="both"/>
        <w:rPr>
          <w:rFonts w:ascii="Times New Roman" w:eastAsia="Times New Roman" w:hAnsi="Times New Roman" w:cs="Times New Roman"/>
          <w:sz w:val="24"/>
          <w:szCs w:val="24"/>
        </w:rPr>
      </w:pPr>
      <w:r w:rsidRPr="00BA4A54">
        <w:rPr>
          <w:rFonts w:ascii="Times New Roman" w:eastAsia="Times New Roman" w:hAnsi="Times New Roman" w:cs="Times New Roman"/>
          <w:sz w:val="24"/>
          <w:szCs w:val="24"/>
        </w:rPr>
        <w:t xml:space="preserve">Ramírez Castellanos, Á. (2009). </w:t>
      </w:r>
      <w:r w:rsidRPr="00BA4A54">
        <w:rPr>
          <w:rFonts w:ascii="Times New Roman" w:eastAsia="Times New Roman" w:hAnsi="Times New Roman" w:cs="Times New Roman"/>
          <w:i/>
          <w:sz w:val="24"/>
          <w:szCs w:val="24"/>
        </w:rPr>
        <w:t>Evaluación de los aprendizajes y desarrollo institucional</w:t>
      </w:r>
      <w:r w:rsidRPr="00BA4A54">
        <w:rPr>
          <w:rFonts w:ascii="Times New Roman" w:eastAsia="Times New Roman" w:hAnsi="Times New Roman" w:cs="Times New Roman"/>
          <w:sz w:val="24"/>
          <w:szCs w:val="24"/>
        </w:rPr>
        <w:t xml:space="preserve">. Ecoe Ediciones. </w:t>
      </w:r>
      <w:hyperlink r:id="rId20">
        <w:r w:rsidRPr="00BA4A54">
          <w:rPr>
            <w:rFonts w:ascii="Times New Roman" w:eastAsia="Times New Roman" w:hAnsi="Times New Roman" w:cs="Times New Roman"/>
            <w:color w:val="1155CC"/>
            <w:sz w:val="24"/>
            <w:szCs w:val="24"/>
            <w:u w:val="single"/>
          </w:rPr>
          <w:t>https://www.ecoeediciones.com/wp-content/uploads/2015/08/Evaluacion-de-los-aprendizajes-y-desarrollo.pdf</w:t>
        </w:r>
      </w:hyperlink>
    </w:p>
    <w:p w14:paraId="00000258" w14:textId="5D1E33FA" w:rsidR="00E51D2F" w:rsidRDefault="00000000" w:rsidP="004D0F54">
      <w:pPr>
        <w:spacing w:after="0" w:line="360" w:lineRule="auto"/>
        <w:ind w:left="284" w:hanging="284"/>
        <w:jc w:val="both"/>
        <w:rPr>
          <w:rFonts w:ascii="Times New Roman" w:eastAsia="Times New Roman" w:hAnsi="Times New Roman" w:cs="Times New Roman"/>
          <w:color w:val="1155CC"/>
          <w:sz w:val="24"/>
          <w:szCs w:val="24"/>
          <w:u w:val="single"/>
        </w:rPr>
      </w:pPr>
      <w:r w:rsidRPr="00BA4A54">
        <w:rPr>
          <w:rFonts w:ascii="Times New Roman" w:eastAsia="Times New Roman" w:hAnsi="Times New Roman" w:cs="Times New Roman"/>
          <w:sz w:val="24"/>
          <w:szCs w:val="24"/>
        </w:rPr>
        <w:t>Sánchez Mendiola, M</w:t>
      </w:r>
      <w:r w:rsidR="005F094C"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 xml:space="preserve"> (2018)</w:t>
      </w:r>
      <w:r w:rsidR="00D955E7"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 xml:space="preserve"> </w:t>
      </w:r>
      <w:r w:rsidRPr="00BA4A54">
        <w:rPr>
          <w:rFonts w:ascii="Times New Roman" w:eastAsia="Times New Roman" w:hAnsi="Times New Roman" w:cs="Times New Roman"/>
          <w:i/>
          <w:sz w:val="24"/>
          <w:szCs w:val="24"/>
        </w:rPr>
        <w:t>La evaluación del aprendizaje de los estudiantes: ¿</w:t>
      </w:r>
      <w:r w:rsidR="00D955E7" w:rsidRPr="00BA4A54">
        <w:rPr>
          <w:rFonts w:ascii="Times New Roman" w:eastAsia="Times New Roman" w:hAnsi="Times New Roman" w:cs="Times New Roman"/>
          <w:i/>
          <w:sz w:val="24"/>
          <w:szCs w:val="24"/>
        </w:rPr>
        <w:t>E</w:t>
      </w:r>
      <w:r w:rsidRPr="00BA4A54">
        <w:rPr>
          <w:rFonts w:ascii="Times New Roman" w:eastAsia="Times New Roman" w:hAnsi="Times New Roman" w:cs="Times New Roman"/>
          <w:i/>
          <w:sz w:val="24"/>
          <w:szCs w:val="24"/>
        </w:rPr>
        <w:t>s realmente tan complicada?</w:t>
      </w:r>
      <w:r w:rsidRPr="00BA4A54">
        <w:rPr>
          <w:rFonts w:ascii="Times New Roman" w:eastAsia="Times New Roman" w:hAnsi="Times New Roman" w:cs="Times New Roman"/>
          <w:b/>
          <w:sz w:val="24"/>
          <w:szCs w:val="24"/>
        </w:rPr>
        <w:t xml:space="preserve"> </w:t>
      </w:r>
      <w:r w:rsidRPr="00BA4A54">
        <w:rPr>
          <w:rFonts w:ascii="Times New Roman" w:eastAsia="Times New Roman" w:hAnsi="Times New Roman" w:cs="Times New Roman"/>
          <w:i/>
          <w:iCs/>
          <w:sz w:val="24"/>
          <w:szCs w:val="24"/>
        </w:rPr>
        <w:t>Revista Digital Universitaria</w:t>
      </w:r>
      <w:r w:rsidR="005F094C" w:rsidRPr="00BA4A54">
        <w:rPr>
          <w:rFonts w:ascii="Times New Roman" w:eastAsia="Times New Roman" w:hAnsi="Times New Roman" w:cs="Times New Roman"/>
          <w:i/>
          <w:iCs/>
          <w:sz w:val="24"/>
          <w:szCs w:val="24"/>
        </w:rPr>
        <w:t xml:space="preserve">, </w:t>
      </w:r>
      <w:r w:rsidRPr="00BA4A54">
        <w:rPr>
          <w:rFonts w:ascii="Times New Roman" w:eastAsia="Times New Roman" w:hAnsi="Times New Roman" w:cs="Times New Roman"/>
          <w:i/>
          <w:iCs/>
          <w:sz w:val="24"/>
          <w:szCs w:val="24"/>
        </w:rPr>
        <w:t>19</w:t>
      </w:r>
      <w:r w:rsidR="005F094C" w:rsidRPr="00BA4A54">
        <w:rPr>
          <w:rFonts w:ascii="Times New Roman" w:eastAsia="Times New Roman" w:hAnsi="Times New Roman" w:cs="Times New Roman"/>
          <w:sz w:val="24"/>
          <w:szCs w:val="24"/>
        </w:rPr>
        <w:t>(</w:t>
      </w:r>
      <w:r w:rsidRPr="00BA4A54">
        <w:rPr>
          <w:rFonts w:ascii="Times New Roman" w:eastAsia="Times New Roman" w:hAnsi="Times New Roman" w:cs="Times New Roman"/>
          <w:sz w:val="24"/>
          <w:szCs w:val="24"/>
        </w:rPr>
        <w:t>6</w:t>
      </w:r>
      <w:r w:rsidR="005F094C" w:rsidRPr="00BA4A54">
        <w:rPr>
          <w:rFonts w:ascii="Times New Roman" w:eastAsia="Times New Roman" w:hAnsi="Times New Roman" w:cs="Times New Roman"/>
          <w:sz w:val="24"/>
          <w:szCs w:val="24"/>
        </w:rPr>
        <w:t>)</w:t>
      </w:r>
      <w:hyperlink r:id="rId21">
        <w:r w:rsidRPr="00BA4A54">
          <w:rPr>
            <w:rFonts w:ascii="Times New Roman" w:eastAsia="Times New Roman" w:hAnsi="Times New Roman" w:cs="Times New Roman"/>
            <w:sz w:val="24"/>
            <w:szCs w:val="24"/>
          </w:rPr>
          <w:t xml:space="preserve"> </w:t>
        </w:r>
      </w:hyperlink>
      <w:hyperlink r:id="rId22">
        <w:r w:rsidRPr="00BA4A54">
          <w:rPr>
            <w:rFonts w:ascii="Times New Roman" w:eastAsia="Times New Roman" w:hAnsi="Times New Roman" w:cs="Times New Roman"/>
            <w:color w:val="1155CC"/>
            <w:sz w:val="24"/>
            <w:szCs w:val="24"/>
            <w:u w:val="single"/>
          </w:rPr>
          <w:t>https://www.revista.unam.mx/2018v19n6/evaluacion-del-aprendizaje-de-los-estudiantes/</w:t>
        </w:r>
      </w:hyperlink>
    </w:p>
    <w:p w14:paraId="59B6B706" w14:textId="77777777" w:rsidR="00BA4A54" w:rsidRPr="00BA4A54" w:rsidRDefault="00BA4A54" w:rsidP="00BA4A54">
      <w:pPr>
        <w:spacing w:after="0" w:line="360" w:lineRule="auto"/>
        <w:ind w:left="284" w:hanging="284"/>
        <w:jc w:val="both"/>
        <w:rPr>
          <w:rFonts w:ascii="Times New Roman" w:eastAsia="Times New Roman" w:hAnsi="Times New Roman" w:cs="Times New Roman"/>
          <w:sz w:val="24"/>
          <w:szCs w:val="24"/>
        </w:rPr>
      </w:pPr>
      <w:r w:rsidRPr="00BA4A54">
        <w:rPr>
          <w:rFonts w:ascii="Times New Roman" w:hAnsi="Times New Roman" w:cs="Times New Roman"/>
          <w:sz w:val="24"/>
          <w:szCs w:val="24"/>
        </w:rPr>
        <w:t xml:space="preserve">Segura Castillo, M. A. (2017). La función formativa de la evaluación en el trabajo escolar cotidiano. </w:t>
      </w:r>
      <w:r w:rsidRPr="00BA4A54">
        <w:rPr>
          <w:rFonts w:ascii="Times New Roman" w:hAnsi="Times New Roman" w:cs="Times New Roman"/>
          <w:i/>
          <w:iCs/>
          <w:sz w:val="24"/>
          <w:szCs w:val="24"/>
        </w:rPr>
        <w:t>Revista Educación</w:t>
      </w:r>
      <w:r w:rsidRPr="00BA4A54">
        <w:rPr>
          <w:rFonts w:ascii="Times New Roman" w:hAnsi="Times New Roman" w:cs="Times New Roman"/>
          <w:sz w:val="24"/>
          <w:szCs w:val="24"/>
        </w:rPr>
        <w:t xml:space="preserve">, </w:t>
      </w:r>
      <w:r w:rsidRPr="00BA4A54">
        <w:rPr>
          <w:rFonts w:ascii="Times New Roman" w:hAnsi="Times New Roman" w:cs="Times New Roman"/>
          <w:i/>
          <w:iCs/>
          <w:sz w:val="24"/>
          <w:szCs w:val="24"/>
        </w:rPr>
        <w:t>42</w:t>
      </w:r>
      <w:r w:rsidRPr="00BA4A54">
        <w:rPr>
          <w:rFonts w:ascii="Times New Roman" w:hAnsi="Times New Roman" w:cs="Times New Roman"/>
          <w:sz w:val="24"/>
          <w:szCs w:val="24"/>
        </w:rPr>
        <w:t>(1), 118–137. https://doi.org/10.15517/revedu.v42i1.22743</w:t>
      </w:r>
    </w:p>
    <w:p w14:paraId="0000025B" w14:textId="6D783A7B" w:rsidR="00E51D2F" w:rsidRPr="00BA4A54" w:rsidRDefault="004419BF" w:rsidP="004D0F54">
      <w:pPr>
        <w:spacing w:after="0" w:line="360" w:lineRule="auto"/>
        <w:ind w:left="284" w:hanging="284"/>
        <w:jc w:val="both"/>
        <w:rPr>
          <w:rFonts w:ascii="Times New Roman" w:eastAsia="Times New Roman" w:hAnsi="Times New Roman" w:cs="Times New Roman"/>
          <w:sz w:val="24"/>
          <w:szCs w:val="24"/>
        </w:rPr>
      </w:pPr>
      <w:r w:rsidRPr="00BA4A54">
        <w:rPr>
          <w:rFonts w:ascii="Times New Roman" w:hAnsi="Times New Roman" w:cs="Times New Roman"/>
          <w:color w:val="333333"/>
          <w:sz w:val="24"/>
          <w:szCs w:val="24"/>
          <w:shd w:val="clear" w:color="auto" w:fill="FFFFFF"/>
        </w:rPr>
        <w:t>Soto Calderón, R. (2001). Evaluación del trabajo cotidiano: una competencia del docente en el aula. </w:t>
      </w:r>
      <w:r w:rsidRPr="00BA4A54">
        <w:rPr>
          <w:rFonts w:ascii="Times New Roman" w:hAnsi="Times New Roman" w:cs="Times New Roman"/>
          <w:i/>
          <w:iCs/>
          <w:color w:val="333333"/>
          <w:sz w:val="24"/>
          <w:szCs w:val="24"/>
          <w:shd w:val="clear" w:color="auto" w:fill="FFFFFF"/>
        </w:rPr>
        <w:t>Actualidades Investigativas En Educación</w:t>
      </w:r>
      <w:r w:rsidRPr="00BA4A54">
        <w:rPr>
          <w:rFonts w:ascii="Times New Roman" w:hAnsi="Times New Roman" w:cs="Times New Roman"/>
          <w:color w:val="333333"/>
          <w:sz w:val="24"/>
          <w:szCs w:val="24"/>
          <w:shd w:val="clear" w:color="auto" w:fill="FFFFFF"/>
        </w:rPr>
        <w:t>, </w:t>
      </w:r>
      <w:r w:rsidRPr="00BA4A54">
        <w:rPr>
          <w:rFonts w:ascii="Times New Roman" w:hAnsi="Times New Roman" w:cs="Times New Roman"/>
          <w:i/>
          <w:iCs/>
          <w:color w:val="333333"/>
          <w:sz w:val="24"/>
          <w:szCs w:val="24"/>
          <w:shd w:val="clear" w:color="auto" w:fill="FFFFFF"/>
        </w:rPr>
        <w:t>1</w:t>
      </w:r>
      <w:r w:rsidRPr="00BA4A54">
        <w:rPr>
          <w:rFonts w:ascii="Times New Roman" w:hAnsi="Times New Roman" w:cs="Times New Roman"/>
          <w:color w:val="333333"/>
          <w:sz w:val="24"/>
          <w:szCs w:val="24"/>
          <w:shd w:val="clear" w:color="auto" w:fill="FFFFFF"/>
        </w:rPr>
        <w:t>(2). https://doi.org/10.15517/aie.v1i2.8463</w:t>
      </w:r>
    </w:p>
    <w:sectPr w:rsidR="00E51D2F" w:rsidRPr="00BA4A54">
      <w:footerReference w:type="default" r:id="rId23"/>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09D142" w14:textId="77777777" w:rsidR="0035073F" w:rsidRDefault="0035073F">
      <w:pPr>
        <w:spacing w:after="0" w:line="240" w:lineRule="auto"/>
      </w:pPr>
      <w:r>
        <w:separator/>
      </w:r>
    </w:p>
  </w:endnote>
  <w:endnote w:type="continuationSeparator" w:id="0">
    <w:p w14:paraId="45EFDA1B" w14:textId="77777777" w:rsidR="0035073F" w:rsidRDefault="003507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25F" w14:textId="77777777" w:rsidR="00E51D2F" w:rsidRDefault="00E51D2F">
    <w:pPr>
      <w:spacing w:after="0" w:line="360" w:lineRule="auto"/>
      <w:jc w:val="both"/>
      <w:rPr>
        <w:rFonts w:ascii="Times New Roman" w:eastAsia="Times New Roman" w:hAnsi="Times New Roman" w:cs="Times New Roman"/>
        <w:sz w:val="24"/>
        <w:szCs w:val="24"/>
        <w:highlight w:val="yellow"/>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DCA4DD3" w14:textId="77777777" w:rsidR="0035073F" w:rsidRDefault="0035073F">
      <w:pPr>
        <w:spacing w:after="0" w:line="240" w:lineRule="auto"/>
      </w:pPr>
      <w:r>
        <w:separator/>
      </w:r>
    </w:p>
  </w:footnote>
  <w:footnote w:type="continuationSeparator" w:id="0">
    <w:p w14:paraId="668FF764" w14:textId="77777777" w:rsidR="0035073F" w:rsidRDefault="003507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F7C2D53"/>
    <w:multiLevelType w:val="multilevel"/>
    <w:tmpl w:val="17104A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0968977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1D2F"/>
    <w:rsid w:val="00000141"/>
    <w:rsid w:val="00017564"/>
    <w:rsid w:val="00046BF6"/>
    <w:rsid w:val="000A64FC"/>
    <w:rsid w:val="000D1EA9"/>
    <w:rsid w:val="001B17CE"/>
    <w:rsid w:val="0035073F"/>
    <w:rsid w:val="003B668D"/>
    <w:rsid w:val="00436005"/>
    <w:rsid w:val="004419BF"/>
    <w:rsid w:val="00450C4B"/>
    <w:rsid w:val="00454430"/>
    <w:rsid w:val="004A5B2A"/>
    <w:rsid w:val="004D0F54"/>
    <w:rsid w:val="005D341E"/>
    <w:rsid w:val="005F094C"/>
    <w:rsid w:val="00600806"/>
    <w:rsid w:val="00606D40"/>
    <w:rsid w:val="006179D9"/>
    <w:rsid w:val="00696570"/>
    <w:rsid w:val="006A578D"/>
    <w:rsid w:val="006B1C6B"/>
    <w:rsid w:val="006E7A4D"/>
    <w:rsid w:val="007D3DCE"/>
    <w:rsid w:val="00843505"/>
    <w:rsid w:val="00860629"/>
    <w:rsid w:val="00893A84"/>
    <w:rsid w:val="008D2183"/>
    <w:rsid w:val="008D6E34"/>
    <w:rsid w:val="00980CD8"/>
    <w:rsid w:val="009814DD"/>
    <w:rsid w:val="00992735"/>
    <w:rsid w:val="00A044D1"/>
    <w:rsid w:val="00B667AB"/>
    <w:rsid w:val="00BA4A54"/>
    <w:rsid w:val="00CD41AC"/>
    <w:rsid w:val="00D8742C"/>
    <w:rsid w:val="00D91B90"/>
    <w:rsid w:val="00D955E7"/>
    <w:rsid w:val="00E51D2F"/>
    <w:rsid w:val="00F00DE1"/>
    <w:rsid w:val="00F84C9C"/>
    <w:rsid w:val="00FC2E44"/>
    <w:rsid w:val="00FC446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0DDC55"/>
  <w15:docId w15:val="{5C0B1CF9-0763-476B-AB46-D2622D0315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s-CR"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578D"/>
  </w:style>
  <w:style w:type="paragraph" w:styleId="Ttulo1">
    <w:name w:val="heading 1"/>
    <w:basedOn w:val="Normal"/>
    <w:next w:val="Normal"/>
    <w:link w:val="Ttulo1Char"/>
    <w:uiPriority w:val="9"/>
    <w:qFormat/>
    <w:rsid w:val="00F6680D"/>
    <w:pPr>
      <w:keepNext/>
      <w:keepLines/>
      <w:spacing w:before="360" w:after="80" w:line="240" w:lineRule="auto"/>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har"/>
    <w:uiPriority w:val="9"/>
    <w:semiHidden/>
    <w:unhideWhenUsed/>
    <w:qFormat/>
    <w:rsid w:val="00F6680D"/>
    <w:pPr>
      <w:keepNext/>
      <w:keepLines/>
      <w:spacing w:before="160" w:after="80" w:line="240" w:lineRule="auto"/>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har"/>
    <w:uiPriority w:val="9"/>
    <w:semiHidden/>
    <w:unhideWhenUsed/>
    <w:qFormat/>
    <w:rsid w:val="00F6680D"/>
    <w:pPr>
      <w:keepNext/>
      <w:keepLines/>
      <w:spacing w:before="160" w:after="80" w:line="240" w:lineRule="auto"/>
      <w:outlineLvl w:val="2"/>
    </w:pPr>
    <w:rPr>
      <w:rFonts w:ascii="Times New Roman" w:eastAsiaTheme="majorEastAsia" w:hAnsi="Times New Roman" w:cstheme="majorBidi"/>
      <w:color w:val="2F5496" w:themeColor="accent1" w:themeShade="BF"/>
      <w:sz w:val="28"/>
      <w:szCs w:val="28"/>
    </w:rPr>
  </w:style>
  <w:style w:type="paragraph" w:styleId="Ttulo4">
    <w:name w:val="heading 4"/>
    <w:basedOn w:val="Normal"/>
    <w:next w:val="Normal"/>
    <w:link w:val="Ttulo4Char"/>
    <w:uiPriority w:val="9"/>
    <w:semiHidden/>
    <w:unhideWhenUsed/>
    <w:qFormat/>
    <w:rsid w:val="00F6680D"/>
    <w:pPr>
      <w:keepNext/>
      <w:keepLines/>
      <w:spacing w:before="80" w:after="40" w:line="240" w:lineRule="auto"/>
      <w:outlineLvl w:val="3"/>
    </w:pPr>
    <w:rPr>
      <w:rFonts w:ascii="Times New Roman" w:eastAsiaTheme="majorEastAsia" w:hAnsi="Times New Roman" w:cstheme="majorBidi"/>
      <w:i/>
      <w:iCs/>
      <w:color w:val="2F5496" w:themeColor="accent1" w:themeShade="BF"/>
      <w:sz w:val="24"/>
      <w:szCs w:val="24"/>
    </w:rPr>
  </w:style>
  <w:style w:type="paragraph" w:styleId="Ttulo5">
    <w:name w:val="heading 5"/>
    <w:basedOn w:val="Normal"/>
    <w:next w:val="Normal"/>
    <w:link w:val="Ttulo5Char"/>
    <w:uiPriority w:val="9"/>
    <w:semiHidden/>
    <w:unhideWhenUsed/>
    <w:qFormat/>
    <w:rsid w:val="00F6680D"/>
    <w:pPr>
      <w:keepNext/>
      <w:keepLines/>
      <w:spacing w:before="80" w:after="40" w:line="240" w:lineRule="auto"/>
      <w:outlineLvl w:val="4"/>
    </w:pPr>
    <w:rPr>
      <w:rFonts w:ascii="Times New Roman" w:eastAsiaTheme="majorEastAsia" w:hAnsi="Times New Roman" w:cstheme="majorBidi"/>
      <w:color w:val="2F5496" w:themeColor="accent1" w:themeShade="BF"/>
      <w:sz w:val="24"/>
      <w:szCs w:val="24"/>
    </w:rPr>
  </w:style>
  <w:style w:type="paragraph" w:styleId="Ttulo6">
    <w:name w:val="heading 6"/>
    <w:basedOn w:val="Normal"/>
    <w:next w:val="Normal"/>
    <w:link w:val="Ttulo6Char"/>
    <w:uiPriority w:val="9"/>
    <w:semiHidden/>
    <w:unhideWhenUsed/>
    <w:qFormat/>
    <w:rsid w:val="00F6680D"/>
    <w:pPr>
      <w:keepNext/>
      <w:keepLines/>
      <w:spacing w:before="40" w:after="0" w:line="240" w:lineRule="auto"/>
      <w:outlineLvl w:val="5"/>
    </w:pPr>
    <w:rPr>
      <w:rFonts w:ascii="Times New Roman" w:eastAsiaTheme="majorEastAsia" w:hAnsi="Times New Roman" w:cstheme="majorBidi"/>
      <w:i/>
      <w:iCs/>
      <w:color w:val="595959" w:themeColor="text1" w:themeTint="A6"/>
      <w:sz w:val="24"/>
      <w:szCs w:val="24"/>
    </w:rPr>
  </w:style>
  <w:style w:type="paragraph" w:styleId="Ttulo7">
    <w:name w:val="heading 7"/>
    <w:basedOn w:val="Normal"/>
    <w:next w:val="Normal"/>
    <w:link w:val="Ttulo7Char"/>
    <w:uiPriority w:val="9"/>
    <w:semiHidden/>
    <w:unhideWhenUsed/>
    <w:qFormat/>
    <w:rsid w:val="00F6680D"/>
    <w:pPr>
      <w:keepNext/>
      <w:keepLines/>
      <w:spacing w:before="40" w:after="0" w:line="240" w:lineRule="auto"/>
      <w:outlineLvl w:val="6"/>
    </w:pPr>
    <w:rPr>
      <w:rFonts w:ascii="Times New Roman" w:eastAsiaTheme="majorEastAsia" w:hAnsi="Times New Roman" w:cstheme="majorBidi"/>
      <w:color w:val="595959" w:themeColor="text1" w:themeTint="A6"/>
      <w:sz w:val="24"/>
      <w:szCs w:val="24"/>
    </w:rPr>
  </w:style>
  <w:style w:type="paragraph" w:styleId="Ttulo8">
    <w:name w:val="heading 8"/>
    <w:basedOn w:val="Normal"/>
    <w:next w:val="Normal"/>
    <w:link w:val="Ttulo8Char"/>
    <w:uiPriority w:val="9"/>
    <w:semiHidden/>
    <w:unhideWhenUsed/>
    <w:qFormat/>
    <w:rsid w:val="00F6680D"/>
    <w:pPr>
      <w:keepNext/>
      <w:keepLines/>
      <w:spacing w:after="0" w:line="240" w:lineRule="auto"/>
      <w:outlineLvl w:val="7"/>
    </w:pPr>
    <w:rPr>
      <w:rFonts w:ascii="Times New Roman" w:eastAsiaTheme="majorEastAsia" w:hAnsi="Times New Roman" w:cstheme="majorBidi"/>
      <w:i/>
      <w:iCs/>
      <w:color w:val="272727" w:themeColor="text1" w:themeTint="D8"/>
      <w:sz w:val="24"/>
      <w:szCs w:val="24"/>
    </w:rPr>
  </w:style>
  <w:style w:type="paragraph" w:styleId="Ttulo9">
    <w:name w:val="heading 9"/>
    <w:basedOn w:val="Normal"/>
    <w:next w:val="Normal"/>
    <w:link w:val="Ttulo9Char"/>
    <w:uiPriority w:val="9"/>
    <w:semiHidden/>
    <w:unhideWhenUsed/>
    <w:qFormat/>
    <w:rsid w:val="00F6680D"/>
    <w:pPr>
      <w:keepNext/>
      <w:keepLines/>
      <w:spacing w:after="0" w:line="240" w:lineRule="auto"/>
      <w:outlineLvl w:val="8"/>
    </w:pPr>
    <w:rPr>
      <w:rFonts w:ascii="Times New Roman" w:eastAsiaTheme="majorEastAsia" w:hAnsi="Times New Roman" w:cstheme="majorBidi"/>
      <w:color w:val="272727" w:themeColor="text1" w:themeTint="D8"/>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har"/>
    <w:uiPriority w:val="10"/>
    <w:qFormat/>
    <w:rsid w:val="00F6680D"/>
    <w:pPr>
      <w:spacing w:after="80" w:line="240" w:lineRule="auto"/>
      <w:contextualSpacing/>
    </w:pPr>
    <w:rPr>
      <w:rFonts w:asciiTheme="majorHAnsi" w:eastAsiaTheme="majorEastAsia" w:hAnsiTheme="majorHAnsi" w:cstheme="majorBidi"/>
      <w:spacing w:val="-10"/>
      <w:kern w:val="28"/>
      <w:sz w:val="56"/>
      <w:szCs w:val="56"/>
    </w:rPr>
  </w:style>
  <w:style w:type="table" w:customStyle="1" w:styleId="TableNormal1">
    <w:name w:val="Table Normal1"/>
    <w:tblPr>
      <w:tblCellMar>
        <w:top w:w="0" w:type="dxa"/>
        <w:left w:w="0" w:type="dxa"/>
        <w:bottom w:w="0" w:type="dxa"/>
        <w:right w:w="0" w:type="dxa"/>
      </w:tblCellMar>
    </w:tblPr>
  </w:style>
  <w:style w:type="paragraph" w:styleId="NormalWeb">
    <w:name w:val="Normal (Web)"/>
    <w:basedOn w:val="Normal"/>
    <w:uiPriority w:val="99"/>
    <w:unhideWhenUsed/>
    <w:rsid w:val="00FA6AE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93458D"/>
    <w:pPr>
      <w:autoSpaceDE w:val="0"/>
      <w:autoSpaceDN w:val="0"/>
      <w:adjustRightInd w:val="0"/>
      <w:spacing w:after="0" w:line="240" w:lineRule="auto"/>
    </w:pPr>
    <w:rPr>
      <w:rFonts w:ascii="Arial" w:hAnsi="Arial" w:cs="Arial"/>
      <w:color w:val="000000"/>
      <w:sz w:val="24"/>
      <w:szCs w:val="24"/>
    </w:rPr>
  </w:style>
  <w:style w:type="paragraph" w:customStyle="1" w:styleId="Pa5">
    <w:name w:val="Pa5"/>
    <w:basedOn w:val="Default"/>
    <w:next w:val="Default"/>
    <w:uiPriority w:val="99"/>
    <w:rsid w:val="0093458D"/>
    <w:pPr>
      <w:spacing w:line="241" w:lineRule="atLeast"/>
    </w:pPr>
    <w:rPr>
      <w:color w:val="auto"/>
    </w:rPr>
  </w:style>
  <w:style w:type="character" w:customStyle="1" w:styleId="A1">
    <w:name w:val="A1"/>
    <w:uiPriority w:val="99"/>
    <w:rsid w:val="0093458D"/>
    <w:rPr>
      <w:b/>
      <w:bCs/>
      <w:color w:val="009FE2"/>
      <w:sz w:val="28"/>
      <w:szCs w:val="28"/>
    </w:rPr>
  </w:style>
  <w:style w:type="character" w:styleId="Hyperlink">
    <w:name w:val="Hyperlink"/>
    <w:basedOn w:val="Fontepargpadro"/>
    <w:uiPriority w:val="99"/>
    <w:unhideWhenUsed/>
    <w:rsid w:val="003C1842"/>
    <w:rPr>
      <w:color w:val="0563C1" w:themeColor="hyperlink"/>
      <w:u w:val="single"/>
    </w:rPr>
  </w:style>
  <w:style w:type="character" w:styleId="MenoPendente">
    <w:name w:val="Unresolved Mention"/>
    <w:basedOn w:val="Fontepargpadro"/>
    <w:uiPriority w:val="99"/>
    <w:semiHidden/>
    <w:unhideWhenUsed/>
    <w:rsid w:val="003C1842"/>
    <w:rPr>
      <w:color w:val="605E5C"/>
      <w:shd w:val="clear" w:color="auto" w:fill="E1DFDD"/>
    </w:rPr>
  </w:style>
  <w:style w:type="table" w:styleId="Tabelacomgrade">
    <w:name w:val="Table Grid"/>
    <w:basedOn w:val="Tabelanormal"/>
    <w:uiPriority w:val="39"/>
    <w:rsid w:val="001F4A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o">
    <w:name w:val="Revision"/>
    <w:hidden/>
    <w:uiPriority w:val="99"/>
    <w:semiHidden/>
    <w:rsid w:val="001F4A65"/>
    <w:pPr>
      <w:spacing w:after="0" w:line="240" w:lineRule="auto"/>
    </w:pPr>
  </w:style>
  <w:style w:type="character" w:styleId="Refdecomentrio">
    <w:name w:val="annotation reference"/>
    <w:basedOn w:val="Fontepargpadro"/>
    <w:uiPriority w:val="99"/>
    <w:semiHidden/>
    <w:unhideWhenUsed/>
    <w:rsid w:val="00EF40C2"/>
    <w:rPr>
      <w:sz w:val="16"/>
      <w:szCs w:val="16"/>
    </w:rPr>
  </w:style>
  <w:style w:type="paragraph" w:styleId="Textodecomentrio">
    <w:name w:val="annotation text"/>
    <w:basedOn w:val="Normal"/>
    <w:link w:val="TextodecomentrioChar"/>
    <w:uiPriority w:val="99"/>
    <w:unhideWhenUsed/>
    <w:rsid w:val="00EF40C2"/>
    <w:pPr>
      <w:spacing w:line="240" w:lineRule="auto"/>
    </w:pPr>
    <w:rPr>
      <w:sz w:val="20"/>
      <w:szCs w:val="20"/>
    </w:rPr>
  </w:style>
  <w:style w:type="character" w:customStyle="1" w:styleId="TextodecomentrioChar">
    <w:name w:val="Texto de comentário Char"/>
    <w:basedOn w:val="Fontepargpadro"/>
    <w:link w:val="Textodecomentrio"/>
    <w:uiPriority w:val="99"/>
    <w:rsid w:val="00EF40C2"/>
    <w:rPr>
      <w:sz w:val="20"/>
      <w:szCs w:val="20"/>
    </w:rPr>
  </w:style>
  <w:style w:type="paragraph" w:styleId="Assuntodocomentrio">
    <w:name w:val="annotation subject"/>
    <w:basedOn w:val="Textodecomentrio"/>
    <w:next w:val="Textodecomentrio"/>
    <w:link w:val="AssuntodocomentrioChar"/>
    <w:uiPriority w:val="99"/>
    <w:semiHidden/>
    <w:unhideWhenUsed/>
    <w:rsid w:val="00EF40C2"/>
    <w:rPr>
      <w:b/>
      <w:bCs/>
    </w:rPr>
  </w:style>
  <w:style w:type="character" w:customStyle="1" w:styleId="AssuntodocomentrioChar">
    <w:name w:val="Assunto do comentário Char"/>
    <w:basedOn w:val="TextodecomentrioChar"/>
    <w:link w:val="Assuntodocomentrio"/>
    <w:uiPriority w:val="99"/>
    <w:semiHidden/>
    <w:rsid w:val="00EF40C2"/>
    <w:rPr>
      <w:b/>
      <w:bCs/>
      <w:sz w:val="20"/>
      <w:szCs w:val="20"/>
    </w:rPr>
  </w:style>
  <w:style w:type="character" w:customStyle="1" w:styleId="Ttulo1Char">
    <w:name w:val="Título 1 Char"/>
    <w:basedOn w:val="Fontepargpadro"/>
    <w:link w:val="Ttulo1"/>
    <w:uiPriority w:val="9"/>
    <w:rsid w:val="00F6680D"/>
    <w:rPr>
      <w:rFonts w:asciiTheme="majorHAnsi" w:eastAsiaTheme="majorEastAsia" w:hAnsiTheme="majorHAnsi" w:cstheme="majorBidi"/>
      <w:color w:val="2F5496" w:themeColor="accent1" w:themeShade="BF"/>
      <w:sz w:val="40"/>
      <w:szCs w:val="40"/>
      <w:lang w:eastAsia="es-CR"/>
    </w:rPr>
  </w:style>
  <w:style w:type="character" w:customStyle="1" w:styleId="Ttulo2Char">
    <w:name w:val="Título 2 Char"/>
    <w:basedOn w:val="Fontepargpadro"/>
    <w:link w:val="Ttulo2"/>
    <w:uiPriority w:val="9"/>
    <w:semiHidden/>
    <w:rsid w:val="00F6680D"/>
    <w:rPr>
      <w:rFonts w:asciiTheme="majorHAnsi" w:eastAsiaTheme="majorEastAsia" w:hAnsiTheme="majorHAnsi" w:cstheme="majorBidi"/>
      <w:color w:val="2F5496" w:themeColor="accent1" w:themeShade="BF"/>
      <w:sz w:val="32"/>
      <w:szCs w:val="32"/>
      <w:lang w:eastAsia="es-CR"/>
    </w:rPr>
  </w:style>
  <w:style w:type="character" w:customStyle="1" w:styleId="Ttulo3Char">
    <w:name w:val="Título 3 Char"/>
    <w:basedOn w:val="Fontepargpadro"/>
    <w:link w:val="Ttulo3"/>
    <w:uiPriority w:val="9"/>
    <w:semiHidden/>
    <w:rsid w:val="00F6680D"/>
    <w:rPr>
      <w:rFonts w:ascii="Times New Roman" w:eastAsiaTheme="majorEastAsia" w:hAnsi="Times New Roman" w:cstheme="majorBidi"/>
      <w:color w:val="2F5496" w:themeColor="accent1" w:themeShade="BF"/>
      <w:sz w:val="28"/>
      <w:szCs w:val="28"/>
      <w:lang w:eastAsia="es-CR"/>
    </w:rPr>
  </w:style>
  <w:style w:type="character" w:customStyle="1" w:styleId="Ttulo4Char">
    <w:name w:val="Título 4 Char"/>
    <w:basedOn w:val="Fontepargpadro"/>
    <w:link w:val="Ttulo4"/>
    <w:uiPriority w:val="9"/>
    <w:semiHidden/>
    <w:rsid w:val="00F6680D"/>
    <w:rPr>
      <w:rFonts w:ascii="Times New Roman" w:eastAsiaTheme="majorEastAsia" w:hAnsi="Times New Roman" w:cstheme="majorBidi"/>
      <w:i/>
      <w:iCs/>
      <w:color w:val="2F5496" w:themeColor="accent1" w:themeShade="BF"/>
      <w:sz w:val="24"/>
      <w:szCs w:val="24"/>
      <w:lang w:eastAsia="es-CR"/>
    </w:rPr>
  </w:style>
  <w:style w:type="character" w:customStyle="1" w:styleId="Ttulo5Char">
    <w:name w:val="Título 5 Char"/>
    <w:basedOn w:val="Fontepargpadro"/>
    <w:link w:val="Ttulo5"/>
    <w:uiPriority w:val="9"/>
    <w:semiHidden/>
    <w:rsid w:val="00F6680D"/>
    <w:rPr>
      <w:rFonts w:ascii="Times New Roman" w:eastAsiaTheme="majorEastAsia" w:hAnsi="Times New Roman" w:cstheme="majorBidi"/>
      <w:color w:val="2F5496" w:themeColor="accent1" w:themeShade="BF"/>
      <w:sz w:val="24"/>
      <w:szCs w:val="24"/>
      <w:lang w:eastAsia="es-CR"/>
    </w:rPr>
  </w:style>
  <w:style w:type="character" w:customStyle="1" w:styleId="Ttulo6Char">
    <w:name w:val="Título 6 Char"/>
    <w:basedOn w:val="Fontepargpadro"/>
    <w:link w:val="Ttulo6"/>
    <w:uiPriority w:val="9"/>
    <w:semiHidden/>
    <w:rsid w:val="00F6680D"/>
    <w:rPr>
      <w:rFonts w:ascii="Times New Roman" w:eastAsiaTheme="majorEastAsia" w:hAnsi="Times New Roman" w:cstheme="majorBidi"/>
      <w:i/>
      <w:iCs/>
      <w:color w:val="595959" w:themeColor="text1" w:themeTint="A6"/>
      <w:sz w:val="24"/>
      <w:szCs w:val="24"/>
      <w:lang w:eastAsia="es-CR"/>
    </w:rPr>
  </w:style>
  <w:style w:type="character" w:customStyle="1" w:styleId="Ttulo7Char">
    <w:name w:val="Título 7 Char"/>
    <w:basedOn w:val="Fontepargpadro"/>
    <w:link w:val="Ttulo7"/>
    <w:uiPriority w:val="9"/>
    <w:semiHidden/>
    <w:rsid w:val="00F6680D"/>
    <w:rPr>
      <w:rFonts w:ascii="Times New Roman" w:eastAsiaTheme="majorEastAsia" w:hAnsi="Times New Roman" w:cstheme="majorBidi"/>
      <w:color w:val="595959" w:themeColor="text1" w:themeTint="A6"/>
      <w:sz w:val="24"/>
      <w:szCs w:val="24"/>
      <w:lang w:eastAsia="es-CR"/>
    </w:rPr>
  </w:style>
  <w:style w:type="character" w:customStyle="1" w:styleId="Ttulo8Char">
    <w:name w:val="Título 8 Char"/>
    <w:basedOn w:val="Fontepargpadro"/>
    <w:link w:val="Ttulo8"/>
    <w:uiPriority w:val="9"/>
    <w:semiHidden/>
    <w:rsid w:val="00F6680D"/>
    <w:rPr>
      <w:rFonts w:ascii="Times New Roman" w:eastAsiaTheme="majorEastAsia" w:hAnsi="Times New Roman" w:cstheme="majorBidi"/>
      <w:i/>
      <w:iCs/>
      <w:color w:val="272727" w:themeColor="text1" w:themeTint="D8"/>
      <w:sz w:val="24"/>
      <w:szCs w:val="24"/>
      <w:lang w:eastAsia="es-CR"/>
    </w:rPr>
  </w:style>
  <w:style w:type="character" w:customStyle="1" w:styleId="Ttulo9Char">
    <w:name w:val="Título 9 Char"/>
    <w:basedOn w:val="Fontepargpadro"/>
    <w:link w:val="Ttulo9"/>
    <w:uiPriority w:val="9"/>
    <w:semiHidden/>
    <w:rsid w:val="00F6680D"/>
    <w:rPr>
      <w:rFonts w:ascii="Times New Roman" w:eastAsiaTheme="majorEastAsia" w:hAnsi="Times New Roman" w:cstheme="majorBidi"/>
      <w:color w:val="272727" w:themeColor="text1" w:themeTint="D8"/>
      <w:sz w:val="24"/>
      <w:szCs w:val="24"/>
      <w:lang w:eastAsia="es-CR"/>
    </w:rPr>
  </w:style>
  <w:style w:type="character" w:customStyle="1" w:styleId="TtuloChar">
    <w:name w:val="Título Char"/>
    <w:basedOn w:val="Fontepargpadro"/>
    <w:link w:val="Ttulo"/>
    <w:uiPriority w:val="10"/>
    <w:rsid w:val="00F6680D"/>
    <w:rPr>
      <w:rFonts w:asciiTheme="majorHAnsi" w:eastAsiaTheme="majorEastAsia" w:hAnsiTheme="majorHAnsi" w:cstheme="majorBidi"/>
      <w:spacing w:val="-10"/>
      <w:kern w:val="28"/>
      <w:sz w:val="56"/>
      <w:szCs w:val="56"/>
      <w:lang w:eastAsia="es-CR"/>
    </w:rPr>
  </w:style>
  <w:style w:type="paragraph" w:styleId="Subttulo">
    <w:name w:val="Subtitle"/>
    <w:basedOn w:val="Normal"/>
    <w:next w:val="Normal"/>
    <w:link w:val="SubttuloChar"/>
    <w:uiPriority w:val="11"/>
    <w:qFormat/>
    <w:pPr>
      <w:spacing w:after="0" w:line="240" w:lineRule="auto"/>
    </w:pPr>
    <w:rPr>
      <w:rFonts w:ascii="Times New Roman" w:eastAsia="Times New Roman" w:hAnsi="Times New Roman" w:cs="Times New Roman"/>
      <w:color w:val="595959"/>
      <w:sz w:val="28"/>
      <w:szCs w:val="28"/>
    </w:rPr>
  </w:style>
  <w:style w:type="character" w:customStyle="1" w:styleId="SubttuloChar">
    <w:name w:val="Subtítulo Char"/>
    <w:basedOn w:val="Fontepargpadro"/>
    <w:link w:val="Subttulo"/>
    <w:uiPriority w:val="11"/>
    <w:rsid w:val="00F6680D"/>
    <w:rPr>
      <w:rFonts w:ascii="Times New Roman" w:eastAsiaTheme="majorEastAsia" w:hAnsi="Times New Roman" w:cstheme="majorBidi"/>
      <w:color w:val="595959" w:themeColor="text1" w:themeTint="A6"/>
      <w:spacing w:val="15"/>
      <w:sz w:val="28"/>
      <w:szCs w:val="28"/>
      <w:lang w:eastAsia="es-CR"/>
    </w:rPr>
  </w:style>
  <w:style w:type="paragraph" w:styleId="Citao">
    <w:name w:val="Quote"/>
    <w:basedOn w:val="Normal"/>
    <w:next w:val="Normal"/>
    <w:link w:val="CitaoChar"/>
    <w:uiPriority w:val="29"/>
    <w:qFormat/>
    <w:rsid w:val="00F6680D"/>
    <w:pPr>
      <w:spacing w:before="160" w:after="0" w:line="240" w:lineRule="auto"/>
      <w:jc w:val="center"/>
    </w:pPr>
    <w:rPr>
      <w:rFonts w:ascii="Times New Roman" w:eastAsia="Times New Roman" w:hAnsi="Times New Roman" w:cs="Times New Roman"/>
      <w:i/>
      <w:iCs/>
      <w:color w:val="404040" w:themeColor="text1" w:themeTint="BF"/>
      <w:sz w:val="24"/>
      <w:szCs w:val="24"/>
    </w:rPr>
  </w:style>
  <w:style w:type="character" w:customStyle="1" w:styleId="CitaoChar">
    <w:name w:val="Citação Char"/>
    <w:basedOn w:val="Fontepargpadro"/>
    <w:link w:val="Citao"/>
    <w:uiPriority w:val="29"/>
    <w:rsid w:val="00F6680D"/>
    <w:rPr>
      <w:rFonts w:ascii="Times New Roman" w:eastAsia="Times New Roman" w:hAnsi="Times New Roman" w:cs="Times New Roman"/>
      <w:i/>
      <w:iCs/>
      <w:color w:val="404040" w:themeColor="text1" w:themeTint="BF"/>
      <w:sz w:val="24"/>
      <w:szCs w:val="24"/>
      <w:lang w:eastAsia="es-CR"/>
    </w:rPr>
  </w:style>
  <w:style w:type="paragraph" w:styleId="PargrafodaLista">
    <w:name w:val="List Paragraph"/>
    <w:basedOn w:val="Normal"/>
    <w:uiPriority w:val="34"/>
    <w:qFormat/>
    <w:rsid w:val="00F6680D"/>
    <w:pPr>
      <w:spacing w:after="0" w:line="240" w:lineRule="auto"/>
      <w:ind w:left="720"/>
      <w:contextualSpacing/>
    </w:pPr>
    <w:rPr>
      <w:rFonts w:ascii="Times New Roman" w:eastAsia="Times New Roman" w:hAnsi="Times New Roman" w:cs="Times New Roman"/>
      <w:sz w:val="24"/>
      <w:szCs w:val="24"/>
    </w:rPr>
  </w:style>
  <w:style w:type="character" w:styleId="nfaseIntensa">
    <w:name w:val="Intense Emphasis"/>
    <w:basedOn w:val="Fontepargpadro"/>
    <w:uiPriority w:val="21"/>
    <w:qFormat/>
    <w:rsid w:val="00F6680D"/>
    <w:rPr>
      <w:i/>
      <w:iCs/>
      <w:color w:val="2F5496" w:themeColor="accent1" w:themeShade="BF"/>
    </w:rPr>
  </w:style>
  <w:style w:type="paragraph" w:styleId="CitaoIntensa">
    <w:name w:val="Intense Quote"/>
    <w:basedOn w:val="Normal"/>
    <w:next w:val="Normal"/>
    <w:link w:val="CitaoIntensaChar"/>
    <w:uiPriority w:val="30"/>
    <w:qFormat/>
    <w:rsid w:val="00F6680D"/>
    <w:pPr>
      <w:pBdr>
        <w:top w:val="single" w:sz="4" w:space="10" w:color="2F5496" w:themeColor="accent1" w:themeShade="BF"/>
        <w:bottom w:val="single" w:sz="4" w:space="10" w:color="2F5496" w:themeColor="accent1" w:themeShade="BF"/>
      </w:pBdr>
      <w:spacing w:before="360" w:after="360" w:line="240" w:lineRule="auto"/>
      <w:ind w:left="864" w:right="864"/>
      <w:jc w:val="center"/>
    </w:pPr>
    <w:rPr>
      <w:rFonts w:ascii="Times New Roman" w:eastAsia="Times New Roman" w:hAnsi="Times New Roman" w:cs="Times New Roman"/>
      <w:i/>
      <w:iCs/>
      <w:color w:val="2F5496" w:themeColor="accent1" w:themeShade="BF"/>
      <w:sz w:val="24"/>
      <w:szCs w:val="24"/>
    </w:rPr>
  </w:style>
  <w:style w:type="character" w:customStyle="1" w:styleId="CitaoIntensaChar">
    <w:name w:val="Citação Intensa Char"/>
    <w:basedOn w:val="Fontepargpadro"/>
    <w:link w:val="CitaoIntensa"/>
    <w:uiPriority w:val="30"/>
    <w:rsid w:val="00F6680D"/>
    <w:rPr>
      <w:rFonts w:ascii="Times New Roman" w:eastAsia="Times New Roman" w:hAnsi="Times New Roman" w:cs="Times New Roman"/>
      <w:i/>
      <w:iCs/>
      <w:color w:val="2F5496" w:themeColor="accent1" w:themeShade="BF"/>
      <w:sz w:val="24"/>
      <w:szCs w:val="24"/>
      <w:lang w:eastAsia="es-CR"/>
    </w:rPr>
  </w:style>
  <w:style w:type="character" w:styleId="RefernciaIntensa">
    <w:name w:val="Intense Reference"/>
    <w:basedOn w:val="Fontepargpadro"/>
    <w:uiPriority w:val="32"/>
    <w:qFormat/>
    <w:rsid w:val="00F6680D"/>
    <w:rPr>
      <w:b/>
      <w:bCs/>
      <w:smallCaps/>
      <w:color w:val="2F5496" w:themeColor="accent1" w:themeShade="BF"/>
      <w:spacing w:val="5"/>
    </w:rPr>
  </w:style>
  <w:style w:type="character" w:customStyle="1" w:styleId="apple-tab-span">
    <w:name w:val="apple-tab-span"/>
    <w:basedOn w:val="Fontepargpadro"/>
    <w:rsid w:val="00855DE1"/>
  </w:style>
  <w:style w:type="table" w:customStyle="1" w:styleId="17">
    <w:name w:val="17"/>
    <w:basedOn w:val="TableNormal1"/>
    <w:pPr>
      <w:spacing w:after="0" w:line="240" w:lineRule="auto"/>
    </w:pPr>
    <w:tblPr>
      <w:tblStyleRowBandSize w:val="1"/>
      <w:tblStyleColBandSize w:val="1"/>
      <w:tblCellMar>
        <w:left w:w="108" w:type="dxa"/>
        <w:right w:w="108" w:type="dxa"/>
      </w:tblCellMar>
    </w:tblPr>
  </w:style>
  <w:style w:type="table" w:customStyle="1" w:styleId="16">
    <w:name w:val="16"/>
    <w:basedOn w:val="TableNormal1"/>
    <w:pPr>
      <w:spacing w:after="0" w:line="240" w:lineRule="auto"/>
    </w:pPr>
    <w:tblPr>
      <w:tblStyleRowBandSize w:val="1"/>
      <w:tblStyleColBandSize w:val="1"/>
      <w:tblCellMar>
        <w:left w:w="108" w:type="dxa"/>
        <w:right w:w="108" w:type="dxa"/>
      </w:tblCellMar>
    </w:tblPr>
  </w:style>
  <w:style w:type="table" w:customStyle="1" w:styleId="15">
    <w:name w:val="15"/>
    <w:basedOn w:val="TableNormal1"/>
    <w:tblPr>
      <w:tblStyleRowBandSize w:val="1"/>
      <w:tblStyleColBandSize w:val="1"/>
    </w:tblPr>
  </w:style>
  <w:style w:type="table" w:customStyle="1" w:styleId="14">
    <w:name w:val="14"/>
    <w:basedOn w:val="TableNormal1"/>
    <w:tblPr>
      <w:tblStyleRowBandSize w:val="1"/>
      <w:tblStyleColBandSize w:val="1"/>
      <w:tblCellMar>
        <w:left w:w="70" w:type="dxa"/>
        <w:right w:w="70" w:type="dxa"/>
      </w:tblCellMar>
    </w:tblPr>
  </w:style>
  <w:style w:type="table" w:customStyle="1" w:styleId="13">
    <w:name w:val="13"/>
    <w:basedOn w:val="TableNormal1"/>
    <w:tblPr>
      <w:tblStyleRowBandSize w:val="1"/>
      <w:tblStyleColBandSize w:val="1"/>
      <w:tblCellMar>
        <w:left w:w="70" w:type="dxa"/>
        <w:right w:w="70" w:type="dxa"/>
      </w:tblCellMar>
    </w:tblPr>
  </w:style>
  <w:style w:type="table" w:customStyle="1" w:styleId="12">
    <w:name w:val="12"/>
    <w:basedOn w:val="TableNormal1"/>
    <w:tblPr>
      <w:tblStyleRowBandSize w:val="1"/>
      <w:tblStyleColBandSize w:val="1"/>
      <w:tblCellMar>
        <w:left w:w="70" w:type="dxa"/>
        <w:right w:w="70" w:type="dxa"/>
      </w:tblCellMar>
    </w:tblPr>
  </w:style>
  <w:style w:type="table" w:customStyle="1" w:styleId="11">
    <w:name w:val="11"/>
    <w:basedOn w:val="TableNormal1"/>
    <w:tblPr>
      <w:tblStyleRowBandSize w:val="1"/>
      <w:tblStyleColBandSize w:val="1"/>
      <w:tblCellMar>
        <w:left w:w="70" w:type="dxa"/>
        <w:right w:w="70" w:type="dxa"/>
      </w:tblCellMar>
    </w:tblPr>
  </w:style>
  <w:style w:type="table" w:customStyle="1" w:styleId="10">
    <w:name w:val="10"/>
    <w:basedOn w:val="TableNormal1"/>
    <w:pPr>
      <w:spacing w:after="0" w:line="240" w:lineRule="auto"/>
    </w:pPr>
    <w:tblPr>
      <w:tblStyleRowBandSize w:val="1"/>
      <w:tblStyleColBandSize w:val="1"/>
      <w:tblCellMar>
        <w:left w:w="108" w:type="dxa"/>
        <w:right w:w="108" w:type="dxa"/>
      </w:tblCellMar>
    </w:tblPr>
  </w:style>
  <w:style w:type="table" w:customStyle="1" w:styleId="9">
    <w:name w:val="9"/>
    <w:basedOn w:val="TableNormal1"/>
    <w:tblPr>
      <w:tblStyleRowBandSize w:val="1"/>
      <w:tblStyleColBandSize w:val="1"/>
    </w:tblPr>
  </w:style>
  <w:style w:type="paragraph" w:styleId="Textodebalo">
    <w:name w:val="Balloon Text"/>
    <w:basedOn w:val="Normal"/>
    <w:link w:val="TextodebaloChar"/>
    <w:uiPriority w:val="99"/>
    <w:semiHidden/>
    <w:unhideWhenUsed/>
    <w:rsid w:val="00A955A5"/>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A955A5"/>
    <w:rPr>
      <w:rFonts w:ascii="Segoe UI" w:hAnsi="Segoe UI" w:cs="Segoe UI"/>
      <w:sz w:val="18"/>
      <w:szCs w:val="18"/>
    </w:rPr>
  </w:style>
  <w:style w:type="table" w:customStyle="1" w:styleId="8">
    <w:name w:val="8"/>
    <w:basedOn w:val="TableNormal1"/>
    <w:pPr>
      <w:spacing w:after="0" w:line="240" w:lineRule="auto"/>
    </w:pPr>
    <w:tblPr>
      <w:tblStyleRowBandSize w:val="1"/>
      <w:tblStyleColBandSize w:val="1"/>
    </w:tblPr>
  </w:style>
  <w:style w:type="table" w:customStyle="1" w:styleId="7">
    <w:name w:val="7"/>
    <w:basedOn w:val="TableNormal1"/>
    <w:pPr>
      <w:spacing w:after="0" w:line="240" w:lineRule="auto"/>
    </w:pPr>
    <w:tblPr>
      <w:tblStyleRowBandSize w:val="1"/>
      <w:tblStyleColBandSize w:val="1"/>
    </w:tblPr>
  </w:style>
  <w:style w:type="table" w:customStyle="1" w:styleId="6">
    <w:name w:val="6"/>
    <w:basedOn w:val="TableNormal1"/>
    <w:pPr>
      <w:spacing w:after="0" w:line="240" w:lineRule="auto"/>
    </w:pPr>
    <w:tblPr>
      <w:tblStyleRowBandSize w:val="1"/>
      <w:tblStyleColBandSize w:val="1"/>
    </w:tblPr>
  </w:style>
  <w:style w:type="table" w:customStyle="1" w:styleId="5">
    <w:name w:val="5"/>
    <w:basedOn w:val="TableNormal1"/>
    <w:pPr>
      <w:spacing w:after="0" w:line="240" w:lineRule="auto"/>
    </w:pPr>
    <w:tblPr>
      <w:tblStyleRowBandSize w:val="1"/>
      <w:tblStyleColBandSize w:val="1"/>
    </w:tblPr>
  </w:style>
  <w:style w:type="table" w:customStyle="1" w:styleId="4">
    <w:name w:val="4"/>
    <w:basedOn w:val="TableNormal1"/>
    <w:pPr>
      <w:spacing w:after="0" w:line="240" w:lineRule="auto"/>
    </w:pPr>
    <w:tblPr>
      <w:tblStyleRowBandSize w:val="1"/>
      <w:tblStyleColBandSize w:val="1"/>
    </w:tblPr>
  </w:style>
  <w:style w:type="table" w:customStyle="1" w:styleId="3">
    <w:name w:val="3"/>
    <w:basedOn w:val="TableNormal1"/>
    <w:pPr>
      <w:spacing w:after="0" w:line="240" w:lineRule="auto"/>
    </w:pPr>
    <w:tblPr>
      <w:tblStyleRowBandSize w:val="1"/>
      <w:tblStyleColBandSize w:val="1"/>
    </w:tblPr>
  </w:style>
  <w:style w:type="table" w:customStyle="1" w:styleId="2">
    <w:name w:val="2"/>
    <w:basedOn w:val="TableNormal1"/>
    <w:pPr>
      <w:spacing w:after="0" w:line="240" w:lineRule="auto"/>
    </w:pPr>
    <w:tblPr>
      <w:tblStyleRowBandSize w:val="1"/>
      <w:tblStyleColBandSize w:val="1"/>
    </w:tblPr>
  </w:style>
  <w:style w:type="table" w:customStyle="1" w:styleId="1">
    <w:name w:val="1"/>
    <w:basedOn w:val="TableNormal1"/>
    <w:pPr>
      <w:spacing w:after="0" w:line="240" w:lineRule="auto"/>
    </w:pPr>
    <w:tblPr>
      <w:tblStyleRowBandSize w:val="1"/>
      <w:tblStyleColBandSize w:val="1"/>
    </w:tblPr>
  </w:style>
  <w:style w:type="character" w:customStyle="1" w:styleId="gi">
    <w:name w:val="gi"/>
    <w:basedOn w:val="Fontepargpadro"/>
    <w:rsid w:val="00D8742C"/>
  </w:style>
  <w:style w:type="character" w:styleId="nfase">
    <w:name w:val="Emphasis"/>
    <w:basedOn w:val="Fontepargpadro"/>
    <w:uiPriority w:val="20"/>
    <w:qFormat/>
    <w:rsid w:val="00F00DE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138331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redalyc.org/journal/921/92153187003/html/" TargetMode="External"/><Relationship Id="rId18" Type="http://schemas.openxmlformats.org/officeDocument/2006/relationships/hyperlink" Target="https://ddc.mep.go.cr/sites/all/files/ddc_mep_go_cr/adjuntos/lineamientos_tecnicos_evaluacion_para_el_aprendizaje_21-2-2024.pdf" TargetMode="External"/><Relationship Id="rId3" Type="http://schemas.openxmlformats.org/officeDocument/2006/relationships/numbering" Target="numbering.xml"/><Relationship Id="rId21" Type="http://schemas.openxmlformats.org/officeDocument/2006/relationships/hyperlink" Target="https://www.revista.unam.mx/2018v19n6/evaluacion-del-aprendizaje-de-los-estudiantes/" TargetMode="External"/><Relationship Id="rId7" Type="http://schemas.openxmlformats.org/officeDocument/2006/relationships/footnotes" Target="footnotes.xml"/><Relationship Id="rId12" Type="http://schemas.openxmlformats.org/officeDocument/2006/relationships/hyperlink" Target="https://www.redalyc.org/pdf/567/56752038009.pdf" TargetMode="External"/><Relationship Id="rId17" Type="http://schemas.openxmlformats.org/officeDocument/2006/relationships/hyperlink" Target="https://ddc.mep.go.cr/sites/all/files/ddc_mep_go_cr/archivos/orientaciones_pedagogicas_2023_v7_1.pdf"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mep.go.cr/transparencia-institucional/planes-institucionales/politica-curricular" TargetMode="External"/><Relationship Id="rId20" Type="http://schemas.openxmlformats.org/officeDocument/2006/relationships/hyperlink" Target="https://www.ecoeediciones.com/wp-content/uploads/2015/08/Evaluacion-de-los-aprendizajes-y-desarrollo.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23857/pc.v6i5.2632"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dgth.mep.go.cr/wp-content/uploads/2020/11/Decreto-Ejecutivo-40862-MEP-Reglamento-evaluaci%C3%B3n-de-los-aprendizajes.pdf" TargetMode="External"/><Relationship Id="rId23" Type="http://schemas.openxmlformats.org/officeDocument/2006/relationships/footer" Target="footer1.xml"/><Relationship Id="rId10" Type="http://schemas.openxmlformats.org/officeDocument/2006/relationships/hyperlink" Target="https://dx.doi.org/10.15359/ree.24-1.21" TargetMode="External"/><Relationship Id="rId19" Type="http://schemas.openxmlformats.org/officeDocument/2006/relationships/hyperlink" Target="https://www.casadelibrosabiertos.uam.mx/contenido/contenido/Libroelectronico/Evaluacion_del_aprendizaje_.pdf" TargetMode="External"/><Relationship Id="rId4" Type="http://schemas.openxmlformats.org/officeDocument/2006/relationships/styles" Target="styles.xml"/><Relationship Id="rId9" Type="http://schemas.openxmlformats.org/officeDocument/2006/relationships/hyperlink" Target="mailto:josiane.pawlowski@una.cr" TargetMode="External"/><Relationship Id="rId14" Type="http://schemas.openxmlformats.org/officeDocument/2006/relationships/hyperlink" Target="https://doi.org/10.1080/02601370304837" TargetMode="External"/><Relationship Id="rId22" Type="http://schemas.openxmlformats.org/officeDocument/2006/relationships/hyperlink" Target="https://www.revista.unam.mx/2018v19n6/evaluacion-del-aprendizaje-de-los-estudiant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8sO0X71UacY9bnAvfLWexVizcQ==">CgMxLjAaJwoBMBIiCiAIBCocCgtBQUFCUDBGSmczSRAIGgtBQUFCUDBGSmczSRonCgExEiIKIAgEKhwKC0FBQUJQMEZKZzNNEAgaC0FBQUJQMEZKZzNNGicKATISIgogCAQqHAoLQUFBQlB6NW9uQ1EQCBoLQUFBQlB6NW9uQ1EaJwoBMxIiCiAIBCocCgtBQUFCUDBmRURMcxAIGgtBQUFCUDBmRURMcxonCgE0EiIKIAgEKhwKC0FBQUJQMGZFREtZEAgaC0FBQUJQMGZFREtZGicKATUSIgogCAQqHAoLQUFBQlAwRkpnM2MQCBoLQUFBQlAwRkpnM2MaJwoBNhIiCiAIBCocCgtBQUFCUDBGSmcydxAIGgtBQUFCUDBGSmcydxonCgE3EiIKIAgEKhwKC0FBQUJQMGZFRExvEAgaC0FBQUJQMGZFRExvGicKATgSIgogCAQqHAoLQUFBQlAwZkVES2cQCBoLQUFBQlAwZkVES2caJwoBORIiCiAIBCocCgtBQUFCUDBmRURLaxAIGgtBQUFCUDBmRURLaxooCgIxMBIiCiAIBCocCgtBQUFCUDBmRURLcxAIGgtBQUFCUDBmRURLcxooCgIxMRIiCiAIBCocCgtBQUFCUDBmRURMZxAIGgtBQUFCUDBmRURMZxooCgIxMhIiCiAIBCocCgtBQUFCUDBmRURMMBAIGgtBQUFCUDBmRURMMCKkAwoLQUFBQlAwRkpnM00S8gIKC0FBQUJQMEZKZzNNEgtBQUFCUDBGSmczTRpDCgl0ZXh0L2h0bWwSNnBvdGVuY2lhciBsb3MgYXByZW5kaXphamVzIGRlIGZvcm1hcyBtw6FzIGNvbXByZW5zaXZhcyJECgp0ZXh0L3BsYWluEjZwb3RlbmNpYXIgbG9zIGFwcmVuZGl6YWplcyBkZSBmb3JtYXMgbcOhcyBjb21wcmVuc2l2YXMqGyIVMTA4MDMxODUwOTI5NzAxNDM2MjU5KAA4ADDV/4ipgTI41f+IqYEySkIKCnRleHQvcGxhaW4SNGFwcmltb3JhciBhIGFwcmVuZGl6YWdlbSBwYXJhIGZvcm1hcyBtYWlzIGludHJlZ3JhaXNaDDQydTFnMHg4dmt1N3ICIAB4AJoBBggAEAAYAKoBOBI2cG90ZW5jaWFyIGxvcyBhcHJlbmRpemFqZXMgZGUgZm9ybWFzIG3DoXMgY29tcHJlbnNpdmFzsAEAuAEAGNX/iKmBMiDV/4ipgTIwAEIQa2l4LmRwZmUxdmQ3YXpjbSL7AwoLQUFBQlAwZkVETGcSyQMKC0FBQUJQMGZFRExnEgtBQUFCUDBmRURMZxolCgl0ZXh0L2h0bWwSGGVzdGEgbm8gZXN0YSBlbiBlbCB0ZXh0byImCgp0ZXh0L3BsYWluEhhlc3RhIG5vIGVzdGEgZW4gZWwgdGV4dG8qGyIVMTE3NDIwNzI2MTY0MjMxODEwMDI5KAA4ADDM5NS8gTI4zOTUvIEySvIBCgp0ZXh0L3BsYWluEuMBQ8OhY2VyZXMgTWVzYSwgTS4gTC4sIEfDs21leiBNZWzDqW5kZXosIEwuIEUuLCB5IFrDusOxaWdhIFJvZHLDrWd1ZXosIE0uICgyMDE4KS4gRWwgcGFwZWwgZGVsIGRvY2VudGUgZW4gbGEgZXZhbHVhY2nDs24gZGVsIGFwcmVuZGl6YWplLiBSZXZpc3RhIENvbnJhZG8sIDE0KDYzKSwxOTYtMjA3LiBSZWN1cGVyYWRvIGRlIGh0dHA6Ly9jb25yYWRvLnVjZi5lZHUuY3UvaW5kZXgucGhwL2NvbnJhZG9aDGk2dTJkdmNkejR0NXICIAB4AJoBBggAEAAYAKoBGhIYZXN0YSBubyBlc3RhIGVuIGVsIHRleHRvsAEAuAEAGMzk1LyBMiDM5NS8gTIwAEIQa2l4Lml2bGlpaGNrMWt5YSKRAwoLQUFBQlAwRkpnM0kS3wIKC0FBQUJQMEZKZzNJEgtBQUFCUDBGSmczSRpKCgl0ZXh0L2h0bWwSPXRyb2NhciwgbmFvIHNlaSBzZSBuYW8gw6kgcHJlc2Vuw6dhIG91IGFzc2l0ZW5jaWEgdG8gY29tIHNvbm8iSwoKdGV4dC9wbGFpbhI9dHJvY2FyLCBuYW8gc2VpIHNlIG5hbyDDqSBwcmVzZW7Dp2Egb3UgYXNzaXRlbmNpYSB0byBjb20gc29ubyobIhUxMDgwMzE4NTA5Mjk3MDE0MzYyNTkoADgAMPmJ+6iBMjj5ifuogTJKGgoKdGV4dC9wbGFpbhIMYXNzaWR1aWRhZGUsWgxtYjQzanVkZ3pvejVyAiAAeACaAQYIABAAGACqAT8SPXRyb2NhciwgbmFvIHNlaSBzZSBuYW8gw6kgcHJlc2Vuw6dhIG91IGFzc2l0ZW5jaWEgdG8gY29tIHNvbm+wAQC4AQAY+Yn7qIEyIPmJ+6iBMjAAQhBraXguaHptdXRxejFkcHlqIqYCCgtBQUFCUDBmRURLWRL0AQoLQUFBQlAwZkVES1kSC0FBQUJQMGZFREtZGhsKCXRleHQvaHRtbBIObWUgZmFsdMOzIGVzdGEiHAoKdGV4dC9wbGFpbhIObWUgZmFsdMOzIGVzdGEqGyIVMTE3NDIwNzI2MTY0MjMxODEwMDI5KAA4ADDp5su8gTI46ebLvIEySjwKCnRleHQvcGxhaW4SLihDYXN0cm8sIDIwMjA7IFPDoW5jaGV6LCAyMDE4OyAgUGFyZWRlcywgMjAxNilaDHhzaTltaDJza3BhYnICIAB4AJoBBggAEAAYAKoBEBIObWUgZmFsdMOzIGVzdGGwAQC4AQAY6ebLvIEyIOnmy7yBMjAAQhBraXguc2lwdWZkcHJlcGV1IuQFCgtBQUFCUDBGSmczYxKyBQoLQUFBQlAwRkpnM2MSC0FBQUJQMEZKZzNjGj0KCXRleHQvaHRtbBIwcGVuc2FyIGFtYW5oYSBzZSBlc3RhIG91IHNlIGEgb3V0cmEgbXVkbyBhIHRleHRvIj4KCnRleHQvcGxhaW4SMHBlbnNhciBhbWFuaGEgc2UgZXN0YSBvdSBzZSBhIG91dHJhIG11ZG8gYSB0ZXh0byobIhUxMDgwMzE4NTA5Mjk3MDE0MzYyNTkoADgAMKbhnamBMjim4Z2pgTJKkwMKCnRleHQvcGxhaW4ShANUYWJsYSAxCkNhcmFjdGVyw61zdGljYXMgc29jaW9kZW1vZ3LDoWZpY2FzIGRlIGxhIG11ZXN0cmEgCgpmCiUKUmFuZ29zIGRlIGVkYWQKCgoyMi0zMAoyMAo2LDgKMzAtMzkKNjkKMjMsNQo0MC00OQo4NwoyOSw2CjUwLTU5CjExMAozNyw0CjYwLTY4CjgKMiw3CkHDsW9zIGRlIGV4cGVyaWVuY2lhIGxhYm9yYWwKCgowLTIKMTgKNiwxCjMtNQo0MQoxMyw5CjYtMTAKNDkKMTYsNwoxMS0yMAo2OQoyMyw1CjIxLTMwCjEwMwozNSwwCjMxLTM3CjE0CjQsOApOaXZlbCBhdGVuZGlkbyBlbiBlbCBhw7FvIDIwMjQKCgpQcmltZXJvCjExMAozNyw0ClNlZ3VuZG8KMTE0CjM4LDgKVGVyY2VybwoxMDIKMzQsNwpDdWFydG8KMTExCjM3LDgKUXVpbnRvCjEyMAo0MCw4ClNleHRvCjExNQozOSwxWgwzbXJleW5sNnlvMmlyAiAAeACaAQYIABAAGACqATISMHBlbnNhciBhbWFuaGEgc2UgZXN0YSBvdSBzZSBhIG91dHJhIG11ZG8gYSB0ZXh0b7ABALgBABim4Z2pgTIgpuGdqYEyMABCEGtpeC40ZG52azY4a2R0aTMi6gEKC0FBQUJQMGZFREtzErgBCgtBQUFCUDBmRURLcxILQUFBQlAwZkVES3MaEQoJdGV4dC9odG1sEgRlc3RhIhIKCnRleHQvcGxhaW4SBGVzdGEqGyIVMTE3NDIwNzI2MTY0MjMxODEwMDI5KAA4ADDO6dG8gTI4zunRvIEySh4KCnRleHQvcGxhaW4SEChJbGxlcmlzLCAyMDAzKS5aDG5yZ3hidGU4dDkydHICIAB4AJoBBggAEAAYAKoBBhIEZXN0YbABALgBABjO6dG8gTIgzunRvIEyMABCEGtpeC42bzl0eHZ0a2sxZjIiigcKC0FBQUJQejVvbkNREtgGCgtBQUFCUHo1b25DURILQUFBQlB6NW9uQ1Ea8QEKCXRleHQvaHRtbBLjAUhheSBwdWJsaWNhZG9zIGVuIGxhIHJldmlzdGEgYXJ0w61jdWxvcyBxdWUgdGllbmVuIHNvbG8gaW50cm9kdWNjaW9uIHkgbWFyY28sIG90cm9zIGludHJvIHkgYW50ZWNlZGVudGVzLiBIaWNlIGFzw60gcHEgZWwgbnVlc3RybyB0aWVuZSBtYXJjbyBjb25jZXB0dWFsLyBBbnRlY2VkZW50ZXMgeSBlc3RhZG8uIEEgdmVyIHNpIHNpcnZlLiBTaSBubywgbm9zIHN1Z2VyaXLDoW4gbWVqb3JhcmxvLi4uIvIBCgp0ZXh0L3BsYWluEuMBSGF5IHB1YmxpY2Fkb3MgZW4gbGEgcmV2aXN0YSBhcnTDrWN1bG9zIHF1ZSB0aWVuZW4gc29sbyBpbnRyb2R1Y2Npb24geSBtYXJjbywgb3Ryb3MgaW50cm8geSBhbnRlY2VkZW50ZXMuIEhpY2UgYXPDrSBwcSBlbCBudWVzdHJvIHRpZW5lIG1hcmNvIGNvbmNlcHR1YWwvIEFudGVjZWRlbnRlcyB5IGVzdGFkby4gQSB2ZXIgc2kgc2lydmUuIFNpIG5vLCBub3Mgc3VnZXJpcsOhbiBtZWpvcmFybG8uLi4qGyIVMTA4MDMxODUwOTI5NzAxNDM2MjU5KAA4ADC7h6+2gTI4u4evtoEyShsKCnRleHQvcGxhaW4SDUludHJvZHVjY2nDs25aDGczajc0dnh3bmtiMnICIAB4AJoBBggAEAAYAKoB5gES4wFIYXkgcHVibGljYWRvcyBlbiBsYSByZXZpc3RhIGFydMOtY3Vsb3MgcXVlIHRpZW5lbiBzb2xvIGludHJvZHVjY2lvbiB5IG1hcmNvLCBvdHJvcyBpbnRybyB5IGFudGVjZWRlbnRlcy4gSGljZSBhc8OtIHBxIGVsIG51ZXN0cm8gdGllbmUgbWFyY28gY29uY2VwdHVhbC8gQW50ZWNlZGVudGVzIHkgZXN0YWRvLiBBIHZlciBzaSBzaXJ2ZS4gU2kgbm8sIG5vcyBzdWdlcmlyw6FuIG1lam9yYXJsby4uLrABALgBABi7h6+2gTIgu4evtoEyMABCEGtpeC40YzB3bThzeDRmb3Mi7gMKC0FBQUJQMGZFREwwErwDCgtBQUFCUDBmRURMMBILQUFBQlAwZkVETDAaLQoJdGV4dC9odG1sEiBlc3RhIG5vIGxhIGVuY29udHLDqSBlbiBlbCB0ZXh0byIuCgp0ZXh0L3BsYWluEiBlc3RhIG5vIGxhIGVuY29udHLDqSBlbiBlbCB0ZXh0byobIhUxMTc0MjA3MjYxNjQyMzE4MTAwMjkoADgAMMWV3byBMjjFld28gTJKzQEKCnRleHQvcGxhaW4SvgFQYXJlZGVzLCBFICgyMDE2KS4gRGUgbGEgZXZhbHVhY2nDs24gZGlhZ27Ds3N0aWNhIGEgbGEgZXZhbHVhY2nDs24gc3VtYXRpdmE6IGxvZ3JvcyB5IGZyYWNhc29zIGVuIGxvcyBhcHJlbmRpemFqZXMuIGh0dHBzOi8vY2VudHJvZGVpbnZlc3RpZ2FjaW9uZWR1Y2F0aXZhdWF0eC5vcmcvcHVibGljYWNpb24vcGRmMjAxNi9BMjA4LnBkWgxmNTlnNWJzdm8wMmRyAiAAeACaAQYIABAAGACqASISIGVzdGEgbm8gbGEgZW5jb250csOpIGVuIGVsIHRleHRvsAEAuAEAGMWV3byBMiDFld28gTIwAEIQa2l4LnBkdjA0YWZxbmFkdCKIAgoLQUFBQlAwZkVETHMS1gEKC0FBQUJQMGZFRExzEgtBQUFCUDBmRURMcxobCgl0ZXh0L2h0bWwSDmVzdGEgbWUgZmFsdMOzIhwKCnRleHQvcGxhaW4SDmVzdGEgbWUgZmFsdMOzKhsiFTExNzQyMDcyNjE2NDIzMTgxMDAyOSgAOAAw2KPavIEyONij2ryBMkoeCgp0ZXh0L3BsYWluEhAoU8OhbmNoZXosIDIwMTg7WgxkMDVkYmluZmVkd3dyAiAAeACaAQYIABAAGACqARASDmVzdGEgbWUgZmFsdMOzsAEAuAEAGNij2ryBMiDYo9q8gTIwAEIQa2l4LmQ0eHp3eXpjMG51cSLxAQoLQUFBQlAwZkVES2sSvwEKC0FBQUJQMGZFREtrEgtBQUFCUDBmRURLaxoRCgl0ZXh0L2h0bWwSBGVzdGEiEgoKdGV4dC9wbGFpbhIEZXN0YSobIhUxMTc0MjA3MjYxNjQyMzE4MTAwMjkoADgAMMig0byBMjjIoNG8gTJKJQoKdGV4dC9wbGFpbhIXKFNvdG8gQ2FsZGVyw7NuLCAyMDAxKS5aDDZoaGU1bTdpdm80anICIAB4AJoBBggAEAAYAKoBBhIEZXN0YbABALgBABjIoNG8gTIgyKDRvIEyMABCEGtpeC5mYmMydHBqZTUwM2oi8wEKC0FBQUJQMGZFRExvEsEBCgtBQUFCUDBmRURMbxILQUFBQlAwZkVETG8aEQoJdGV4dC9odG1sEgRlc3RhIhIKCnRleHQvcGxhaW4SBGVzdGEqGyIVMTE3NDIwNzI2MTY0MjMxODEwMDI5KAA4ADCXo9e8gTI4l6PXvIEySicKCnRleHQvcGxhaW4SGUFsemF0ZSB5IENhc3Rhw7FlZGEgMjAyMClaDHNjYm9jeXRkY2RqdXICIAB4AJoBBggAEAAYAKoBBhIEZXN0YbABALgBABiXo9e8gTIgl6PXvIEyMABCEGtpeC50NTZhbzFpMWk1NWkixwUKC0FBQUJQMEZKZzJ3EpUFCgtBQUFCUDBGSmcydxILQUFBQlAwRkpnMncaIAoJdGV4dC9odG1sEhN0cmFzZm9ybWFyIGVuIHRleHRvIiEKCnRleHQvcGxhaW4SE3RyYXNmb3JtYXIgZW4gdGV4dG8qGyIVMTA4MDMxODUwOTI5NzAxNDM2MjU5KAA4ADClrs6ogTI4pa7OqIEySs0DCgp0ZXh0L3BsYWluEr4DVGFibGEgWApGcmVjdWVuY2lhIHkgcG9yY2VudGFqZSBkZSBsYXMgYWNjaW9uZXMgcXVlIGxhcyBwZXJzb25hcyBkb2NlbnRlcyBjcmVlbiBxdWUgcG9kcsOtYW4gcmVhbGl6YXJzZSBwYXJhIG1lam9yYXIgbGEgZXZhbHVhY2nDs24gZGUgbG9zIGFwcmVuZGl6YWplcwpBY2Npb25lcwpTw60KCk5vCgoKZgolCmYKJQpEaXNtaW51Y2nDs24gZGVsIHBvcmNlbnRhamUgZGVsIHRyYWJham8gY290aWRpYW5vCjE0NAo0OSwwCjE1MAo1MSwwCkF1bWVudG8gZGVsIHBvcmNlbnRhamUgZGUgbGFzIHRhcmVhcwo3OQoyNiw5CjIxNQo3MywxCkF1bWVudG8gZGVsIHBvcmNlbnRhamUgZGUgbGFzIHBydWViYXMgZXNjcml0YXMKMTcwCjU3LDgKMTI0CjQyLDIKSW5jbHVzacOzbiBkZSBsb3MgVHJhYmFqb3MgZXh0cmEtY2xhc2UKODUKMjgsOQoyMDkKNzEsMQpOaW5ndW5hCjUzCjE4LDAKMjQxCjgyLDBaDGdxYnp6NDlqNnd3aHICIAB4AJoBBggAEAAYAKoBFRITdHJhc2Zvcm1hciBlbiB0ZXh0b7ABALgBABilrs6ogTIgpa7OqIEyMABCEGtpeC40bzh4ZGJoeG0xM2YigwIKC0FBQUJQMGZFREtnEtIBCgtBQUFCUDBmRURLZxILQUFBQlAwZkVES2caEQoJdGV4dC9odG1sEgRlc3RhIhIKCnRleHQvcGxhaW4SBGVzdGEqGyIVMTE3NDIwNzI2MTY0MjMxODEwMDI5KAA4ADDB8c+8gTI4wfHPvIEySjgKCnRleHQvcGxhaW4SKihSZW4gZXQgYWwuLCAyMDIxOyBSb3PDoXJpbyBldCBhbC4sIDIwMTkpLloMZG1tbWMwd3F6ZHo3cgIgAHgAmgEGCAAQABgAqgEGEgRlc3RhsAEAuAEAGMHxz7yBMiDB8c+8gTIwAEIPa2l4Lnkwd2JzeHRxajA1MghoLmdqZGd4czgAciExeUNNallHdWhPMDZrZ3l1MTQ4ZGJBTHNsY2V0NVVRLUI=</go:docsCustomData>
</go:gDocsCustomXmlDataStorage>
</file>

<file path=customXml/itemProps1.xml><?xml version="1.0" encoding="utf-8"?>
<ds:datastoreItem xmlns:ds="http://schemas.openxmlformats.org/officeDocument/2006/customXml" ds:itemID="{5C93503A-0B38-4A3E-B464-DEAEFFC6E428}">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9187</Words>
  <Characters>50529</Characters>
  <Application>Microsoft Office Word</Application>
  <DocSecurity>0</DocSecurity>
  <Lines>421</Lines>
  <Paragraphs>119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Sofia Herrera Segura</dc:creator>
  <cp:lastModifiedBy>JOSIANE PAWLOWSKI</cp:lastModifiedBy>
  <cp:revision>1</cp:revision>
  <dcterms:created xsi:type="dcterms:W3CDTF">2024-06-15T04:07:00Z</dcterms:created>
  <dcterms:modified xsi:type="dcterms:W3CDTF">2024-09-02T15:54:00Z</dcterms:modified>
</cp:coreProperties>
</file>